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6FC45">
      <w:pPr>
        <w:jc w:val="left"/>
        <w:rPr>
          <w:rFonts w:ascii="宋体" w:hAnsi="宋体"/>
          <w:color w:val="auto"/>
          <w:sz w:val="24"/>
          <w:highlight w:val="none"/>
        </w:rPr>
      </w:pPr>
      <w:bookmarkStart w:id="0" w:name="OLE_LINK1"/>
      <w:bookmarkStart w:id="1" w:name="OLE_LINK16"/>
      <w:bookmarkStart w:id="2" w:name="OLE_LINK31"/>
      <w:bookmarkStart w:id="3" w:name="OLE_LINK17"/>
      <w:bookmarkStart w:id="332" w:name="_GoBack"/>
      <w:bookmarkEnd w:id="332"/>
    </w:p>
    <w:p w14:paraId="038241ED">
      <w:pPr>
        <w:spacing w:line="360" w:lineRule="auto"/>
        <w:jc w:val="center"/>
        <w:rPr>
          <w:rFonts w:ascii="宋体" w:hAnsi="宋体"/>
          <w:b/>
          <w:color w:val="auto"/>
          <w:sz w:val="60"/>
          <w:szCs w:val="60"/>
          <w:highlight w:val="none"/>
        </w:rPr>
      </w:pPr>
      <w:r>
        <w:rPr>
          <w:rFonts w:hint="eastAsia" w:ascii="宋体" w:hAnsi="宋体"/>
          <w:b/>
          <w:color w:val="auto"/>
          <w:sz w:val="60"/>
          <w:szCs w:val="60"/>
          <w:highlight w:val="none"/>
        </w:rPr>
        <w:t>广西建基项目管理顾问有限公司</w:t>
      </w:r>
    </w:p>
    <w:p w14:paraId="6FE81450">
      <w:pPr>
        <w:jc w:val="left"/>
        <w:rPr>
          <w:rFonts w:ascii="宋体" w:hAnsi="宋体"/>
          <w:color w:val="auto"/>
          <w:sz w:val="24"/>
          <w:highlight w:val="none"/>
        </w:rPr>
      </w:pPr>
    </w:p>
    <w:p w14:paraId="3555B42E">
      <w:pPr>
        <w:jc w:val="left"/>
        <w:rPr>
          <w:rFonts w:ascii="宋体" w:hAnsi="宋体"/>
          <w:color w:val="auto"/>
          <w:sz w:val="24"/>
          <w:highlight w:val="none"/>
        </w:rPr>
      </w:pPr>
      <w:r>
        <w:rPr>
          <w:rFonts w:ascii="宋体" w:hAnsi="宋体"/>
          <w:color w:val="auto"/>
          <w:sz w:val="24"/>
          <w:highlight w:val="none"/>
        </w:rPr>
        <w:cr/>
      </w:r>
    </w:p>
    <w:p w14:paraId="3A6E4816">
      <w:pPr>
        <w:jc w:val="center"/>
        <w:rPr>
          <w:rFonts w:ascii="宋体" w:hAnsi="宋体"/>
          <w:color w:val="auto"/>
          <w:sz w:val="84"/>
          <w:szCs w:val="84"/>
          <w:highlight w:val="none"/>
        </w:rPr>
      </w:pPr>
      <w:r>
        <w:rPr>
          <w:rFonts w:hint="eastAsia" w:ascii="宋体" w:hAnsi="宋体"/>
          <w:b/>
          <w:bCs/>
          <w:color w:val="auto"/>
          <w:sz w:val="84"/>
          <w:szCs w:val="84"/>
          <w:highlight w:val="none"/>
        </w:rPr>
        <w:t>竞争性磋商文件</w:t>
      </w:r>
    </w:p>
    <w:p w14:paraId="5DE420ED">
      <w:pPr>
        <w:jc w:val="center"/>
        <w:rPr>
          <w:rFonts w:ascii="宋体" w:hAnsi="宋体"/>
          <w:color w:val="auto"/>
          <w:sz w:val="24"/>
          <w:highlight w:val="none"/>
        </w:rPr>
      </w:pPr>
      <w:r>
        <w:rPr>
          <w:rFonts w:hint="eastAsia" w:ascii="宋体" w:hAnsi="宋体"/>
          <w:b/>
          <w:bCs/>
          <w:color w:val="auto"/>
          <w:sz w:val="52"/>
          <w:szCs w:val="52"/>
          <w:highlight w:val="none"/>
        </w:rPr>
        <w:t>（全流程电子化采购）</w:t>
      </w:r>
    </w:p>
    <w:p w14:paraId="57B28A14">
      <w:pPr>
        <w:jc w:val="left"/>
        <w:rPr>
          <w:rFonts w:ascii="宋体" w:hAnsi="宋体"/>
          <w:color w:val="auto"/>
          <w:sz w:val="24"/>
          <w:highlight w:val="none"/>
        </w:rPr>
      </w:pPr>
    </w:p>
    <w:p w14:paraId="359059EB">
      <w:pPr>
        <w:jc w:val="left"/>
        <w:rPr>
          <w:rFonts w:ascii="宋体" w:hAnsi="宋体"/>
          <w:color w:val="auto"/>
          <w:sz w:val="24"/>
          <w:highlight w:val="none"/>
        </w:rPr>
      </w:pPr>
    </w:p>
    <w:p w14:paraId="24419D09">
      <w:pPr>
        <w:jc w:val="left"/>
        <w:rPr>
          <w:rFonts w:ascii="宋体" w:hAnsi="宋体"/>
          <w:color w:val="auto"/>
          <w:sz w:val="24"/>
          <w:highlight w:val="none"/>
        </w:rPr>
      </w:pPr>
    </w:p>
    <w:p w14:paraId="1ADF35B9">
      <w:pPr>
        <w:spacing w:beforeLines="100" w:line="560" w:lineRule="exact"/>
        <w:rPr>
          <w:rFonts w:ascii="宋体" w:hAnsi="宋体"/>
          <w:b/>
          <w:color w:val="auto"/>
          <w:sz w:val="36"/>
          <w:szCs w:val="36"/>
          <w:highlight w:val="none"/>
        </w:rPr>
      </w:pPr>
      <w:r>
        <w:rPr>
          <w:rFonts w:hint="eastAsia" w:ascii="宋体" w:hAnsi="宋体"/>
          <w:b/>
          <w:color w:val="auto"/>
          <w:sz w:val="36"/>
          <w:szCs w:val="36"/>
          <w:highlight w:val="none"/>
        </w:rPr>
        <w:t>项目名称：梧州市工人医院保险服务（重3）</w:t>
      </w:r>
    </w:p>
    <w:p w14:paraId="776CBBB9">
      <w:pPr>
        <w:spacing w:beforeLines="100" w:line="360" w:lineRule="auto"/>
        <w:jc w:val="left"/>
        <w:rPr>
          <w:rFonts w:ascii="宋体" w:hAnsi="宋体"/>
          <w:color w:val="auto"/>
          <w:sz w:val="24"/>
          <w:highlight w:val="none"/>
        </w:rPr>
      </w:pPr>
      <w:r>
        <w:rPr>
          <w:rFonts w:hint="eastAsia" w:ascii="宋体" w:hAnsi="宋体"/>
          <w:b/>
          <w:color w:val="auto"/>
          <w:sz w:val="36"/>
          <w:szCs w:val="36"/>
          <w:highlight w:val="none"/>
        </w:rPr>
        <w:t>项目编号：WZZC2026-C3-990207-GXJJ</w:t>
      </w:r>
    </w:p>
    <w:p w14:paraId="3670AA52">
      <w:pPr>
        <w:jc w:val="left"/>
        <w:rPr>
          <w:rFonts w:ascii="宋体" w:hAnsi="宋体"/>
          <w:color w:val="auto"/>
          <w:sz w:val="24"/>
          <w:highlight w:val="none"/>
        </w:rPr>
      </w:pPr>
    </w:p>
    <w:p w14:paraId="659A694A">
      <w:pPr>
        <w:jc w:val="left"/>
        <w:rPr>
          <w:rFonts w:ascii="宋体" w:hAnsi="宋体"/>
          <w:color w:val="auto"/>
          <w:sz w:val="24"/>
          <w:highlight w:val="none"/>
        </w:rPr>
      </w:pPr>
    </w:p>
    <w:p w14:paraId="40DC8055">
      <w:pPr>
        <w:jc w:val="left"/>
        <w:rPr>
          <w:rFonts w:ascii="宋体" w:hAnsi="宋体"/>
          <w:color w:val="auto"/>
          <w:sz w:val="24"/>
          <w:highlight w:val="none"/>
        </w:rPr>
      </w:pPr>
    </w:p>
    <w:p w14:paraId="7F00DB72">
      <w:pPr>
        <w:jc w:val="left"/>
        <w:rPr>
          <w:rFonts w:ascii="宋体" w:hAnsi="宋体"/>
          <w:color w:val="auto"/>
          <w:sz w:val="24"/>
          <w:highlight w:val="none"/>
        </w:rPr>
      </w:pPr>
    </w:p>
    <w:p w14:paraId="561CA8A3">
      <w:pPr>
        <w:jc w:val="left"/>
        <w:rPr>
          <w:rFonts w:ascii="宋体" w:hAnsi="宋体"/>
          <w:color w:val="auto"/>
          <w:sz w:val="24"/>
          <w:highlight w:val="none"/>
        </w:rPr>
      </w:pPr>
    </w:p>
    <w:p w14:paraId="230E2979">
      <w:pPr>
        <w:jc w:val="left"/>
        <w:rPr>
          <w:rFonts w:ascii="宋体" w:hAnsi="宋体"/>
          <w:color w:val="auto"/>
          <w:sz w:val="24"/>
          <w:highlight w:val="none"/>
        </w:rPr>
      </w:pPr>
    </w:p>
    <w:p w14:paraId="639E1FC2">
      <w:pPr>
        <w:jc w:val="left"/>
        <w:rPr>
          <w:rFonts w:ascii="宋体" w:hAnsi="宋体"/>
          <w:color w:val="auto"/>
          <w:sz w:val="24"/>
          <w:highlight w:val="none"/>
        </w:rPr>
      </w:pPr>
    </w:p>
    <w:p w14:paraId="116336CC">
      <w:pPr>
        <w:jc w:val="left"/>
        <w:rPr>
          <w:rFonts w:ascii="宋体" w:hAnsi="宋体"/>
          <w:color w:val="auto"/>
          <w:sz w:val="24"/>
          <w:highlight w:val="none"/>
        </w:rPr>
      </w:pPr>
    </w:p>
    <w:p w14:paraId="14CCCA05">
      <w:pPr>
        <w:jc w:val="left"/>
        <w:rPr>
          <w:rFonts w:ascii="宋体" w:hAnsi="宋体"/>
          <w:color w:val="auto"/>
          <w:sz w:val="24"/>
          <w:highlight w:val="none"/>
        </w:rPr>
      </w:pPr>
    </w:p>
    <w:p w14:paraId="0115DDCF">
      <w:pPr>
        <w:spacing w:line="360" w:lineRule="auto"/>
        <w:ind w:firstLine="1259" w:firstLineChars="392"/>
        <w:rPr>
          <w:rFonts w:ascii="宋体" w:hAnsi="宋体"/>
          <w:b/>
          <w:color w:val="auto"/>
          <w:sz w:val="32"/>
          <w:szCs w:val="32"/>
          <w:highlight w:val="none"/>
        </w:rPr>
      </w:pPr>
      <w:r>
        <w:rPr>
          <w:rFonts w:hint="eastAsia" w:ascii="宋体" w:hAnsi="宋体"/>
          <w:b/>
          <w:color w:val="auto"/>
          <w:sz w:val="32"/>
          <w:szCs w:val="32"/>
          <w:highlight w:val="none"/>
        </w:rPr>
        <w:t xml:space="preserve">采   购   人：梧州市工人医院 </w:t>
      </w:r>
    </w:p>
    <w:p w14:paraId="0687B16E">
      <w:pPr>
        <w:jc w:val="left"/>
        <w:rPr>
          <w:rFonts w:ascii="宋体" w:hAnsi="宋体"/>
          <w:color w:val="auto"/>
          <w:sz w:val="24"/>
          <w:highlight w:val="none"/>
        </w:rPr>
      </w:pPr>
    </w:p>
    <w:p w14:paraId="6F335663">
      <w:pPr>
        <w:spacing w:line="360" w:lineRule="auto"/>
        <w:ind w:firstLine="1259" w:firstLineChars="392"/>
        <w:rPr>
          <w:rFonts w:ascii="宋体" w:hAnsi="宋体"/>
          <w:b/>
          <w:color w:val="auto"/>
          <w:spacing w:val="-8"/>
          <w:sz w:val="32"/>
          <w:szCs w:val="32"/>
          <w:highlight w:val="none"/>
        </w:rPr>
      </w:pPr>
      <w:r>
        <w:rPr>
          <w:rFonts w:hint="eastAsia" w:ascii="宋体" w:hAnsi="宋体"/>
          <w:b/>
          <w:color w:val="auto"/>
          <w:sz w:val="32"/>
          <w:szCs w:val="32"/>
          <w:highlight w:val="none"/>
        </w:rPr>
        <w:t>采购代理机构：广西建基项目管理顾问有限公司</w:t>
      </w:r>
    </w:p>
    <w:p w14:paraId="2BE4296E">
      <w:pPr>
        <w:jc w:val="left"/>
        <w:rPr>
          <w:rFonts w:ascii="宋体" w:hAnsi="宋体"/>
          <w:color w:val="auto"/>
          <w:sz w:val="24"/>
          <w:highlight w:val="none"/>
        </w:rPr>
      </w:pPr>
    </w:p>
    <w:p w14:paraId="0C7161D8">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2026</w:t>
      </w:r>
      <w:r>
        <w:rPr>
          <w:rFonts w:hint="eastAsia" w:ascii="宋体" w:hAnsi="宋体"/>
          <w:b/>
          <w:color w:val="auto"/>
          <w:spacing w:val="-8"/>
          <w:sz w:val="32"/>
          <w:szCs w:val="32"/>
          <w:highlight w:val="none"/>
        </w:rPr>
        <w:t>年08月</w:t>
      </w:r>
    </w:p>
    <w:p w14:paraId="652549D3">
      <w:pPr>
        <w:spacing w:line="400" w:lineRule="exact"/>
        <w:ind w:left="-2" w:leftChars="-1"/>
        <w:rPr>
          <w:rFonts w:ascii="宋体" w:hAnsi="宋体"/>
          <w:color w:val="auto"/>
          <w:highlight w:val="none"/>
        </w:rPr>
      </w:pPr>
      <w:r>
        <w:rPr>
          <w:rFonts w:ascii="宋体" w:hAnsi="宋体"/>
          <w:color w:val="auto"/>
          <w:highlight w:val="none"/>
        </w:rPr>
        <w:br w:type="page"/>
      </w:r>
    </w:p>
    <w:p w14:paraId="63984127">
      <w:pPr>
        <w:spacing w:line="400" w:lineRule="exact"/>
        <w:ind w:left="-2" w:leftChars="-1"/>
        <w:rPr>
          <w:rFonts w:ascii="宋体" w:hAnsi="宋体"/>
          <w:color w:val="auto"/>
          <w:highlight w:val="none"/>
        </w:rPr>
      </w:pPr>
    </w:p>
    <w:p w14:paraId="2CE466FF">
      <w:pPr>
        <w:widowControl/>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电子交易说明</w:t>
      </w:r>
    </w:p>
    <w:p w14:paraId="4293078F">
      <w:pPr>
        <w:widowControl/>
        <w:spacing w:line="360" w:lineRule="auto"/>
        <w:ind w:firstLine="420" w:firstLineChars="200"/>
        <w:jc w:val="left"/>
        <w:rPr>
          <w:rFonts w:ascii="宋体" w:hAnsi="宋体"/>
          <w:color w:val="auto"/>
          <w:highlight w:val="none"/>
        </w:rPr>
      </w:pPr>
    </w:p>
    <w:p w14:paraId="15E70CFB">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（1）电子交易：</w:t>
      </w:r>
      <w:r>
        <w:rPr>
          <w:rFonts w:hint="eastAsia" w:ascii="宋体" w:hAnsi="宋体" w:cs="仿宋_GB2312"/>
          <w:color w:val="auto"/>
          <w:kern w:val="0"/>
          <w:sz w:val="24"/>
          <w:highlight w:val="none"/>
        </w:rPr>
        <w:t>本项目以数据电文形式，依托“广西政府采购云平台”（https://www.gcy.zfcg.gxzf.gov.cn/）进行招标投标活动，不接受纸质响应文件。</w:t>
      </w:r>
    </w:p>
    <w:p w14:paraId="40817A7C">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（2）投标准备：</w:t>
      </w:r>
      <w:r>
        <w:rPr>
          <w:rFonts w:hint="eastAsia" w:ascii="宋体" w:hAnsi="宋体" w:cs="仿宋_GB2312"/>
          <w:color w:val="auto"/>
          <w:kern w:val="0"/>
          <w:sz w:val="24"/>
          <w:highlight w:val="none"/>
        </w:rPr>
        <w:t>注册账号——点击“商家入驻”，进行政府采购供应商资料填写；申领CA数字证书和绑定——详见“广西壮族自治区政府采购网-办事服务-下载专区-政采云CA证书办理操作指南”；下载并安装“广西政府采购云平台客户端”——详见“广西壮族自治区政府采购网-办事服务-下载专区-广西壮族自治区全流程电子招投标项目管理系统-供应商客户端”。CA证书费用由供应商自行承担，请各供应商合理预估时间，及时办理。</w:t>
      </w:r>
    </w:p>
    <w:p w14:paraId="16C75DB1">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（3）竞争性磋商文件的获取：</w:t>
      </w:r>
      <w:r>
        <w:rPr>
          <w:rFonts w:hint="eastAsia" w:ascii="宋体" w:hAnsi="宋体" w:cs="仿宋_GB2312"/>
          <w:color w:val="auto"/>
          <w:kern w:val="0"/>
          <w:sz w:val="24"/>
          <w:highlight w:val="none"/>
        </w:rPr>
        <w:t>使用账号登录或者使用CA登录广西政府采购云平台；进入“项目采购”应用，在获取采购文件菜单中选择项目，获取采购文件；电子响应文件制作需要基于“广西政府采购云平台”获取的采购文件编制。</w:t>
      </w:r>
    </w:p>
    <w:p w14:paraId="57D6DA4D">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（4）响应文件的制作：</w:t>
      </w:r>
      <w:r>
        <w:rPr>
          <w:rFonts w:hint="eastAsia" w:ascii="宋体" w:hAnsi="宋体" w:cs="仿宋_GB2312"/>
          <w:color w:val="auto"/>
          <w:kern w:val="0"/>
          <w:sz w:val="24"/>
          <w:highlight w:val="none"/>
        </w:rPr>
        <w:t>在“供应商客户端”中完成“填写基本信息”、“导入响应文件”、“标书关联”、“标书检查”、“电子签名”、“生成电子标书”等操作。</w:t>
      </w:r>
    </w:p>
    <w:p w14:paraId="2736808E">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（5）响应文件的传输提交：</w:t>
      </w:r>
      <w:r>
        <w:rPr>
          <w:rFonts w:hint="eastAsia" w:ascii="宋体" w:hAnsi="宋体" w:cs="仿宋_GB2312"/>
          <w:color w:val="auto"/>
          <w:kern w:val="0"/>
          <w:sz w:val="24"/>
          <w:highlight w:val="none"/>
        </w:rPr>
        <w:t>供应商在响应文件提交截止时间前将加密的响应文件上传至“广西政府采购云平台”。</w:t>
      </w:r>
    </w:p>
    <w:p w14:paraId="149EE934">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（6</w:t>
      </w:r>
      <w:r>
        <w:rPr>
          <w:rFonts w:ascii="宋体" w:hAnsi="宋体" w:cs="仿宋_GB2312"/>
          <w:b/>
          <w:color w:val="auto"/>
          <w:kern w:val="0"/>
          <w:sz w:val="24"/>
          <w:highlight w:val="none"/>
        </w:rPr>
        <w:t>）</w:t>
      </w:r>
      <w:r>
        <w:rPr>
          <w:rFonts w:hint="eastAsia" w:ascii="宋体" w:hAnsi="宋体" w:cs="仿宋_GB2312"/>
          <w:b/>
          <w:color w:val="auto"/>
          <w:kern w:val="0"/>
          <w:sz w:val="24"/>
          <w:highlight w:val="none"/>
        </w:rPr>
        <w:t>响应文件的解密：</w:t>
      </w:r>
      <w:r>
        <w:rPr>
          <w:rFonts w:hint="eastAsia" w:ascii="宋体" w:hAnsi="宋体" w:cs="仿宋_GB2312"/>
          <w:color w:val="auto"/>
          <w:kern w:val="0"/>
          <w:sz w:val="24"/>
          <w:highlight w:val="none"/>
        </w:rPr>
        <w:t xml:space="preserve">供应商按照“广西政府采购云平台”提示和采购文件的规定在30分钟内完成在线解密。 </w:t>
      </w:r>
    </w:p>
    <w:p w14:paraId="5897AFF5">
      <w:pPr>
        <w:widowControl/>
        <w:spacing w:line="360" w:lineRule="auto"/>
        <w:ind w:firstLine="482" w:firstLineChars="200"/>
        <w:jc w:val="left"/>
        <w:rPr>
          <w:rFonts w:ascii="宋体" w:hAnsi="宋体" w:cs="仿宋_GB2312"/>
          <w:b/>
          <w:color w:val="auto"/>
          <w:kern w:val="0"/>
          <w:sz w:val="24"/>
          <w:highlight w:val="none"/>
        </w:rPr>
      </w:pPr>
      <w:r>
        <w:rPr>
          <w:rFonts w:hint="eastAsia" w:ascii="宋体" w:hAnsi="宋体" w:cs="仿宋_GB2312"/>
          <w:b/>
          <w:color w:val="auto"/>
          <w:kern w:val="0"/>
          <w:sz w:val="24"/>
          <w:highlight w:val="none"/>
        </w:rPr>
        <w:t>（7）“广西政府采购云平台”技术咨询电话：95763</w:t>
      </w:r>
    </w:p>
    <w:p w14:paraId="6F4ABDEB">
      <w:pPr>
        <w:widowControl/>
        <w:spacing w:line="360" w:lineRule="auto"/>
        <w:ind w:firstLine="420" w:firstLineChars="200"/>
        <w:jc w:val="left"/>
        <w:rPr>
          <w:rFonts w:ascii="宋体" w:hAnsi="宋体"/>
          <w:color w:val="auto"/>
          <w:szCs w:val="21"/>
          <w:highlight w:val="none"/>
        </w:rPr>
      </w:pPr>
    </w:p>
    <w:p w14:paraId="60CB8346">
      <w:pPr>
        <w:spacing w:line="400" w:lineRule="exact"/>
        <w:ind w:left="-2" w:leftChars="-1"/>
        <w:rPr>
          <w:rFonts w:ascii="宋体" w:hAnsi="宋体"/>
          <w:color w:val="auto"/>
          <w:highlight w:val="none"/>
        </w:rPr>
      </w:pPr>
    </w:p>
    <w:p w14:paraId="761EE0EC">
      <w:pPr>
        <w:widowControl/>
        <w:spacing w:before="61" w:line="312" w:lineRule="auto"/>
        <w:ind w:left="102"/>
        <w:jc w:val="left"/>
        <w:rPr>
          <w:rFonts w:ascii="宋体" w:hAnsi="宋体"/>
          <w:color w:val="auto"/>
          <w:highlight w:val="none"/>
        </w:rPr>
      </w:pPr>
      <w:r>
        <w:rPr>
          <w:rFonts w:ascii="宋体" w:hAnsi="宋体"/>
          <w:color w:val="auto"/>
          <w:highlight w:val="none"/>
        </w:rPr>
        <w:br w:type="page"/>
      </w:r>
    </w:p>
    <w:p w14:paraId="3982CD3B">
      <w:pPr>
        <w:spacing w:line="400" w:lineRule="exact"/>
        <w:ind w:left="-2" w:leftChars="-1"/>
        <w:rPr>
          <w:rFonts w:ascii="宋体" w:hAnsi="宋体"/>
          <w:color w:val="auto"/>
          <w:highlight w:val="none"/>
        </w:rPr>
      </w:pPr>
    </w:p>
    <w:p w14:paraId="2654936B">
      <w:pPr>
        <w:spacing w:line="400" w:lineRule="exact"/>
        <w:ind w:left="-2" w:leftChars="-1"/>
        <w:rPr>
          <w:rFonts w:ascii="宋体" w:hAnsi="宋体"/>
          <w:color w:val="auto"/>
          <w:highlight w:val="none"/>
        </w:rPr>
      </w:pPr>
    </w:p>
    <w:p w14:paraId="67A61CA7">
      <w:pPr>
        <w:pStyle w:val="20"/>
        <w:ind w:left="0"/>
        <w:jc w:val="center"/>
        <w:rPr>
          <w:color w:val="auto"/>
          <w:sz w:val="36"/>
          <w:szCs w:val="36"/>
          <w:highlight w:val="none"/>
        </w:rPr>
      </w:pPr>
      <w:r>
        <w:rPr>
          <w:rFonts w:hint="eastAsia"/>
          <w:color w:val="auto"/>
          <w:sz w:val="36"/>
          <w:szCs w:val="36"/>
          <w:highlight w:val="none"/>
        </w:rPr>
        <w:t>目   录</w:t>
      </w:r>
    </w:p>
    <w:p w14:paraId="4F467757">
      <w:pPr>
        <w:rPr>
          <w:rFonts w:ascii="宋体" w:hAnsi="宋体"/>
          <w:color w:val="auto"/>
          <w:highlight w:val="none"/>
        </w:rPr>
      </w:pPr>
    </w:p>
    <w:p w14:paraId="3C5C7339">
      <w:pPr>
        <w:rPr>
          <w:rFonts w:ascii="宋体" w:hAnsi="宋体"/>
          <w:color w:val="auto"/>
          <w:highlight w:val="none"/>
        </w:rPr>
      </w:pPr>
    </w:p>
    <w:p w14:paraId="162C013B">
      <w:pPr>
        <w:pStyle w:val="20"/>
        <w:tabs>
          <w:tab w:val="right" w:leader="hyphen" w:pos="8820"/>
        </w:tabs>
        <w:spacing w:line="360" w:lineRule="auto"/>
        <w:ind w:left="539"/>
        <w:rPr>
          <w:color w:val="auto"/>
          <w:sz w:val="32"/>
          <w:szCs w:val="32"/>
          <w:highlight w:val="none"/>
        </w:rPr>
      </w:pPr>
      <w:r>
        <w:rPr>
          <w:rStyle w:val="35"/>
          <w:color w:val="auto"/>
          <w:sz w:val="32"/>
          <w:szCs w:val="32"/>
          <w:highlight w:val="none"/>
        </w:rPr>
        <w:fldChar w:fldCharType="begin"/>
      </w:r>
      <w:r>
        <w:rPr>
          <w:rStyle w:val="35"/>
          <w:color w:val="auto"/>
          <w:sz w:val="32"/>
          <w:szCs w:val="32"/>
          <w:highlight w:val="none"/>
        </w:rPr>
        <w:instrText xml:space="preserve"> TOC \o "1-1" \h \z \u </w:instrText>
      </w:r>
      <w:r>
        <w:rPr>
          <w:rStyle w:val="35"/>
          <w:color w:val="auto"/>
          <w:sz w:val="32"/>
          <w:szCs w:val="32"/>
          <w:highlight w:val="none"/>
        </w:rPr>
        <w:fldChar w:fldCharType="separate"/>
      </w:r>
      <w:r>
        <w:rPr>
          <w:color w:val="auto"/>
          <w:highlight w:val="none"/>
        </w:rPr>
        <w:fldChar w:fldCharType="begin"/>
      </w:r>
      <w:r>
        <w:rPr>
          <w:color w:val="auto"/>
          <w:highlight w:val="none"/>
        </w:rPr>
        <w:instrText xml:space="preserve"> HYPERLINK \l "_Toc64706754" </w:instrText>
      </w:r>
      <w:r>
        <w:rPr>
          <w:color w:val="auto"/>
          <w:highlight w:val="none"/>
        </w:rPr>
        <w:fldChar w:fldCharType="separate"/>
      </w:r>
      <w:r>
        <w:rPr>
          <w:rFonts w:hint="eastAsia"/>
          <w:color w:val="auto"/>
          <w:sz w:val="32"/>
          <w:szCs w:val="32"/>
          <w:highlight w:val="none"/>
        </w:rPr>
        <w:t>第一章竞争性磋商公告</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_Toc64706754 \h </w:instrText>
      </w:r>
      <w:r>
        <w:rPr>
          <w:color w:val="auto"/>
          <w:sz w:val="32"/>
          <w:szCs w:val="32"/>
          <w:highlight w:val="none"/>
        </w:rPr>
        <w:fldChar w:fldCharType="separate"/>
      </w:r>
      <w:r>
        <w:rPr>
          <w:color w:val="auto"/>
          <w:sz w:val="32"/>
          <w:szCs w:val="32"/>
          <w:highlight w:val="none"/>
        </w:rPr>
        <w:t>3</w:t>
      </w:r>
      <w:r>
        <w:rPr>
          <w:color w:val="auto"/>
          <w:sz w:val="32"/>
          <w:szCs w:val="32"/>
          <w:highlight w:val="none"/>
        </w:rPr>
        <w:fldChar w:fldCharType="end"/>
      </w:r>
      <w:r>
        <w:rPr>
          <w:color w:val="auto"/>
          <w:sz w:val="32"/>
          <w:szCs w:val="32"/>
          <w:highlight w:val="none"/>
        </w:rPr>
        <w:fldChar w:fldCharType="end"/>
      </w:r>
    </w:p>
    <w:p w14:paraId="1883542A">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"_Toc64706755" </w:instrText>
      </w:r>
      <w:r>
        <w:rPr>
          <w:color w:val="auto"/>
          <w:highlight w:val="none"/>
        </w:rPr>
        <w:fldChar w:fldCharType="separate"/>
      </w:r>
      <w:r>
        <w:rPr>
          <w:rFonts w:hint="eastAsia"/>
          <w:color w:val="auto"/>
          <w:sz w:val="32"/>
          <w:szCs w:val="32"/>
          <w:highlight w:val="none"/>
        </w:rPr>
        <w:t>第二章供应商须知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_Toc64706755 \h </w:instrText>
      </w:r>
      <w:r>
        <w:rPr>
          <w:color w:val="auto"/>
          <w:sz w:val="32"/>
          <w:szCs w:val="32"/>
          <w:highlight w:val="none"/>
        </w:rPr>
        <w:fldChar w:fldCharType="separate"/>
      </w:r>
      <w:r>
        <w:rPr>
          <w:color w:val="auto"/>
          <w:sz w:val="32"/>
          <w:szCs w:val="32"/>
          <w:highlight w:val="none"/>
        </w:rPr>
        <w:t>6</w:t>
      </w:r>
      <w:r>
        <w:rPr>
          <w:color w:val="auto"/>
          <w:sz w:val="32"/>
          <w:szCs w:val="32"/>
          <w:highlight w:val="none"/>
        </w:rPr>
        <w:fldChar w:fldCharType="end"/>
      </w:r>
      <w:r>
        <w:rPr>
          <w:color w:val="auto"/>
          <w:sz w:val="32"/>
          <w:szCs w:val="32"/>
          <w:highlight w:val="none"/>
        </w:rPr>
        <w:fldChar w:fldCharType="end"/>
      </w:r>
    </w:p>
    <w:p w14:paraId="106CC838">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"_Toc64706766" </w:instrText>
      </w:r>
      <w:r>
        <w:rPr>
          <w:color w:val="auto"/>
          <w:highlight w:val="none"/>
        </w:rPr>
        <w:fldChar w:fldCharType="separate"/>
      </w:r>
      <w:r>
        <w:rPr>
          <w:rFonts w:hint="eastAsia"/>
          <w:color w:val="auto"/>
          <w:sz w:val="32"/>
          <w:szCs w:val="32"/>
          <w:highlight w:val="none"/>
        </w:rPr>
        <w:t>第三章采购需求</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_Toc64706766 \h </w:instrText>
      </w:r>
      <w:r>
        <w:rPr>
          <w:color w:val="auto"/>
          <w:sz w:val="32"/>
          <w:szCs w:val="32"/>
          <w:highlight w:val="none"/>
        </w:rPr>
        <w:fldChar w:fldCharType="separate"/>
      </w:r>
      <w:r>
        <w:rPr>
          <w:color w:val="auto"/>
          <w:sz w:val="32"/>
          <w:szCs w:val="32"/>
          <w:highlight w:val="none"/>
        </w:rPr>
        <w:t>25</w:t>
      </w:r>
      <w:r>
        <w:rPr>
          <w:color w:val="auto"/>
          <w:sz w:val="32"/>
          <w:szCs w:val="32"/>
          <w:highlight w:val="none"/>
        </w:rPr>
        <w:fldChar w:fldCharType="end"/>
      </w:r>
      <w:r>
        <w:rPr>
          <w:color w:val="auto"/>
          <w:sz w:val="32"/>
          <w:szCs w:val="32"/>
          <w:highlight w:val="none"/>
        </w:rPr>
        <w:fldChar w:fldCharType="end"/>
      </w:r>
    </w:p>
    <w:p w14:paraId="64C7A556">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"_Toc64706767" </w:instrText>
      </w:r>
      <w:r>
        <w:rPr>
          <w:color w:val="auto"/>
          <w:highlight w:val="none"/>
        </w:rPr>
        <w:fldChar w:fldCharType="separate"/>
      </w:r>
      <w:r>
        <w:rPr>
          <w:rFonts w:hint="eastAsia"/>
          <w:color w:val="auto"/>
          <w:sz w:val="32"/>
          <w:szCs w:val="32"/>
          <w:highlight w:val="none"/>
        </w:rPr>
        <w:t>第四章评标方法及评标标准</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_Toc64706767 \h </w:instrText>
      </w:r>
      <w:r>
        <w:rPr>
          <w:color w:val="auto"/>
          <w:sz w:val="32"/>
          <w:szCs w:val="32"/>
          <w:highlight w:val="none"/>
        </w:rPr>
        <w:fldChar w:fldCharType="separate"/>
      </w:r>
      <w:r>
        <w:rPr>
          <w:color w:val="auto"/>
          <w:sz w:val="32"/>
          <w:szCs w:val="32"/>
          <w:highlight w:val="none"/>
        </w:rPr>
        <w:t>32</w:t>
      </w:r>
      <w:r>
        <w:rPr>
          <w:color w:val="auto"/>
          <w:sz w:val="32"/>
          <w:szCs w:val="32"/>
          <w:highlight w:val="none"/>
        </w:rPr>
        <w:fldChar w:fldCharType="end"/>
      </w:r>
      <w:r>
        <w:rPr>
          <w:color w:val="auto"/>
          <w:sz w:val="32"/>
          <w:szCs w:val="32"/>
          <w:highlight w:val="none"/>
        </w:rPr>
        <w:fldChar w:fldCharType="end"/>
      </w:r>
    </w:p>
    <w:p w14:paraId="38570993">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"_Toc64706768" </w:instrText>
      </w:r>
      <w:r>
        <w:rPr>
          <w:color w:val="auto"/>
          <w:highlight w:val="none"/>
        </w:rPr>
        <w:fldChar w:fldCharType="separate"/>
      </w:r>
      <w:r>
        <w:rPr>
          <w:rFonts w:hint="eastAsia"/>
          <w:color w:val="auto"/>
          <w:sz w:val="32"/>
          <w:szCs w:val="32"/>
          <w:highlight w:val="none"/>
        </w:rPr>
        <w:t>第五章拟签订的合同文本（格式）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_Toc64706768 \h </w:instrText>
      </w:r>
      <w:r>
        <w:rPr>
          <w:color w:val="auto"/>
          <w:sz w:val="32"/>
          <w:szCs w:val="32"/>
          <w:highlight w:val="none"/>
        </w:rPr>
        <w:fldChar w:fldCharType="separate"/>
      </w:r>
      <w:r>
        <w:rPr>
          <w:color w:val="auto"/>
          <w:sz w:val="32"/>
          <w:szCs w:val="32"/>
          <w:highlight w:val="none"/>
        </w:rPr>
        <w:t>48</w:t>
      </w:r>
      <w:r>
        <w:rPr>
          <w:color w:val="auto"/>
          <w:sz w:val="32"/>
          <w:szCs w:val="32"/>
          <w:highlight w:val="none"/>
        </w:rPr>
        <w:fldChar w:fldCharType="end"/>
      </w:r>
      <w:r>
        <w:rPr>
          <w:color w:val="auto"/>
          <w:sz w:val="32"/>
          <w:szCs w:val="32"/>
          <w:highlight w:val="none"/>
        </w:rPr>
        <w:fldChar w:fldCharType="end"/>
      </w:r>
    </w:p>
    <w:p w14:paraId="3E8371AD">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"_Toc64706769" </w:instrText>
      </w:r>
      <w:r>
        <w:rPr>
          <w:color w:val="auto"/>
          <w:highlight w:val="none"/>
        </w:rPr>
        <w:fldChar w:fldCharType="separate"/>
      </w:r>
      <w:r>
        <w:rPr>
          <w:rFonts w:hint="eastAsia"/>
          <w:color w:val="auto"/>
          <w:sz w:val="32"/>
          <w:szCs w:val="32"/>
          <w:highlight w:val="none"/>
        </w:rPr>
        <w:t>第六章响应文件（部分格式）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_Toc64706769 \h </w:instrText>
      </w:r>
      <w:r>
        <w:rPr>
          <w:color w:val="auto"/>
          <w:sz w:val="32"/>
          <w:szCs w:val="32"/>
          <w:highlight w:val="none"/>
        </w:rPr>
        <w:fldChar w:fldCharType="separate"/>
      </w:r>
      <w:r>
        <w:rPr>
          <w:color w:val="auto"/>
          <w:sz w:val="32"/>
          <w:szCs w:val="32"/>
          <w:highlight w:val="none"/>
        </w:rPr>
        <w:t>65</w:t>
      </w:r>
      <w:r>
        <w:rPr>
          <w:color w:val="auto"/>
          <w:sz w:val="32"/>
          <w:szCs w:val="32"/>
          <w:highlight w:val="none"/>
        </w:rPr>
        <w:fldChar w:fldCharType="end"/>
      </w:r>
      <w:r>
        <w:rPr>
          <w:color w:val="auto"/>
          <w:sz w:val="32"/>
          <w:szCs w:val="32"/>
          <w:highlight w:val="none"/>
        </w:rPr>
        <w:fldChar w:fldCharType="end"/>
      </w:r>
    </w:p>
    <w:p w14:paraId="3D820CC2">
      <w:pPr>
        <w:pStyle w:val="20"/>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"_Toc64706770" </w:instrText>
      </w:r>
      <w:r>
        <w:rPr>
          <w:color w:val="auto"/>
          <w:highlight w:val="none"/>
        </w:rPr>
        <w:fldChar w:fldCharType="separate"/>
      </w:r>
      <w:r>
        <w:rPr>
          <w:rFonts w:hint="eastAsia"/>
          <w:color w:val="auto"/>
          <w:sz w:val="32"/>
          <w:szCs w:val="32"/>
          <w:highlight w:val="none"/>
        </w:rPr>
        <w:t>第七章附件</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_Toc64706770 \h </w:instrText>
      </w:r>
      <w:r>
        <w:rPr>
          <w:color w:val="auto"/>
          <w:sz w:val="32"/>
          <w:szCs w:val="32"/>
          <w:highlight w:val="none"/>
        </w:rPr>
        <w:fldChar w:fldCharType="separate"/>
      </w:r>
      <w:r>
        <w:rPr>
          <w:color w:val="auto"/>
          <w:sz w:val="32"/>
          <w:szCs w:val="32"/>
          <w:highlight w:val="none"/>
        </w:rPr>
        <w:t>90</w:t>
      </w:r>
      <w:r>
        <w:rPr>
          <w:color w:val="auto"/>
          <w:sz w:val="32"/>
          <w:szCs w:val="32"/>
          <w:highlight w:val="none"/>
        </w:rPr>
        <w:fldChar w:fldCharType="end"/>
      </w:r>
      <w:r>
        <w:rPr>
          <w:color w:val="auto"/>
          <w:sz w:val="32"/>
          <w:szCs w:val="32"/>
          <w:highlight w:val="none"/>
        </w:rPr>
        <w:fldChar w:fldCharType="end"/>
      </w:r>
    </w:p>
    <w:p w14:paraId="3815D171">
      <w:pPr>
        <w:pStyle w:val="20"/>
        <w:spacing w:line="760" w:lineRule="exact"/>
        <w:ind w:left="539"/>
        <w:rPr>
          <w:color w:val="auto"/>
          <w:spacing w:val="-8"/>
          <w:sz w:val="28"/>
          <w:highlight w:val="none"/>
        </w:rPr>
      </w:pPr>
      <w:r>
        <w:rPr>
          <w:rStyle w:val="35"/>
          <w:color w:val="auto"/>
          <w:sz w:val="32"/>
          <w:szCs w:val="32"/>
          <w:highlight w:val="none"/>
        </w:rPr>
        <w:fldChar w:fldCharType="end"/>
      </w:r>
    </w:p>
    <w:p w14:paraId="3E949A4F">
      <w:pPr>
        <w:pStyle w:val="14"/>
        <w:rPr>
          <w:rFonts w:hAnsi="宋体"/>
          <w:color w:val="auto"/>
          <w:highlight w:val="none"/>
        </w:rPr>
      </w:pPr>
    </w:p>
    <w:p w14:paraId="0092721D">
      <w:pPr>
        <w:widowControl/>
        <w:jc w:val="left"/>
        <w:rPr>
          <w:rFonts w:ascii="宋体" w:hAnsi="宋体"/>
          <w:color w:val="auto"/>
          <w:szCs w:val="20"/>
          <w:highlight w:val="none"/>
        </w:rPr>
      </w:pPr>
      <w:r>
        <w:rPr>
          <w:rFonts w:ascii="宋体" w:hAnsi="宋体"/>
          <w:color w:val="auto"/>
          <w:highlight w:val="none"/>
        </w:rPr>
        <w:br w:type="page"/>
      </w:r>
    </w:p>
    <w:p w14:paraId="5953CA3F">
      <w:pPr>
        <w:spacing w:line="200" w:lineRule="exact"/>
        <w:ind w:firstLine="420" w:firstLineChars="200"/>
        <w:rPr>
          <w:rFonts w:ascii="宋体" w:hAnsi="宋体"/>
          <w:color w:val="auto"/>
          <w:highlight w:val="none"/>
        </w:rPr>
      </w:pPr>
    </w:p>
    <w:p w14:paraId="591FFA39">
      <w:pPr>
        <w:pStyle w:val="2"/>
        <w:jc w:val="center"/>
        <w:rPr>
          <w:rFonts w:ascii="宋体" w:hAnsi="宋体"/>
          <w:bCs/>
          <w:color w:val="auto"/>
          <w:sz w:val="44"/>
          <w:highlight w:val="none"/>
        </w:rPr>
      </w:pPr>
      <w:bookmarkStart w:id="4" w:name="_Toc64706754"/>
      <w:r>
        <w:rPr>
          <w:rFonts w:hint="eastAsia" w:ascii="宋体" w:hAnsi="宋体"/>
          <w:bCs/>
          <w:color w:val="auto"/>
          <w:sz w:val="44"/>
          <w:highlight w:val="none"/>
        </w:rPr>
        <w:t>第一章  竞争性磋商公告</w:t>
      </w:r>
      <w:bookmarkEnd w:id="4"/>
    </w:p>
    <w:p w14:paraId="625009AE">
      <w:pPr>
        <w:pStyle w:val="14"/>
        <w:spacing w:line="400" w:lineRule="exact"/>
        <w:jc w:val="center"/>
        <w:rPr>
          <w:rFonts w:hAnsi="宋体"/>
          <w:b/>
          <w:color w:val="auto"/>
          <w:spacing w:val="-2"/>
          <w:sz w:val="32"/>
          <w:szCs w:val="32"/>
          <w:highlight w:val="none"/>
        </w:rPr>
      </w:pPr>
      <w:bookmarkStart w:id="5" w:name="OLE_LINK3"/>
      <w:r>
        <w:rPr>
          <w:rFonts w:hint="eastAsia" w:hAnsi="宋体"/>
          <w:b/>
          <w:color w:val="auto"/>
          <w:spacing w:val="-2"/>
          <w:sz w:val="32"/>
          <w:szCs w:val="32"/>
          <w:highlight w:val="none"/>
        </w:rPr>
        <w:t>梧州市工人医院保险服务（重3）</w:t>
      </w:r>
      <w:r>
        <w:rPr>
          <w:rFonts w:hAnsi="宋体"/>
          <w:b/>
          <w:color w:val="auto"/>
          <w:spacing w:val="-2"/>
          <w:sz w:val="32"/>
          <w:szCs w:val="32"/>
          <w:highlight w:val="none"/>
        </w:rPr>
        <w:t>（</w:t>
      </w:r>
      <w:r>
        <w:rPr>
          <w:rFonts w:hint="eastAsia" w:hAnsi="宋体"/>
          <w:b/>
          <w:color w:val="auto"/>
          <w:spacing w:val="-2"/>
          <w:sz w:val="32"/>
          <w:szCs w:val="32"/>
          <w:highlight w:val="none"/>
        </w:rPr>
        <w:t>WZZC2026-C3-990207-GXJJ</w:t>
      </w:r>
      <w:r>
        <w:rPr>
          <w:rFonts w:hAnsi="宋体"/>
          <w:b/>
          <w:color w:val="auto"/>
          <w:spacing w:val="-2"/>
          <w:sz w:val="32"/>
          <w:szCs w:val="32"/>
          <w:highlight w:val="none"/>
        </w:rPr>
        <w:t>）</w:t>
      </w:r>
      <w:bookmarkEnd w:id="5"/>
    </w:p>
    <w:p w14:paraId="56D54A6F">
      <w:pPr>
        <w:pStyle w:val="14"/>
        <w:spacing w:line="400" w:lineRule="exact"/>
        <w:jc w:val="center"/>
        <w:rPr>
          <w:rFonts w:hAnsi="宋体"/>
          <w:b/>
          <w:color w:val="auto"/>
          <w:spacing w:val="-2"/>
          <w:sz w:val="32"/>
          <w:szCs w:val="32"/>
          <w:highlight w:val="none"/>
        </w:rPr>
      </w:pPr>
      <w:r>
        <w:rPr>
          <w:rFonts w:hint="eastAsia" w:hAnsi="宋体"/>
          <w:b/>
          <w:color w:val="auto"/>
          <w:spacing w:val="-2"/>
          <w:sz w:val="32"/>
          <w:szCs w:val="32"/>
          <w:highlight w:val="none"/>
        </w:rPr>
        <w:t>竞争性磋商公告</w:t>
      </w:r>
    </w:p>
    <w:tbl>
      <w:tblPr>
        <w:tblStyle w:val="29"/>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6"/>
      </w:tblGrid>
      <w:tr w14:paraId="419D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736" w:type="dxa"/>
            <w:vAlign w:val="center"/>
          </w:tcPr>
          <w:p w14:paraId="6F47EFDF">
            <w:pPr>
              <w:snapToGrid w:val="0"/>
              <w:spacing w:line="360" w:lineRule="auto"/>
              <w:rPr>
                <w:rFonts w:ascii="宋体" w:hAnsi="宋体"/>
                <w:b/>
                <w:color w:val="auto"/>
                <w:highlight w:val="none"/>
              </w:rPr>
            </w:pPr>
            <w:r>
              <w:rPr>
                <w:rFonts w:hint="eastAsia" w:ascii="宋体" w:hAnsi="宋体"/>
                <w:b/>
                <w:color w:val="auto"/>
                <w:highlight w:val="none"/>
              </w:rPr>
              <w:t>项目概况</w:t>
            </w:r>
          </w:p>
          <w:p w14:paraId="12362792">
            <w:pPr>
              <w:snapToGrid w:val="0"/>
              <w:spacing w:line="360" w:lineRule="auto"/>
              <w:ind w:firstLine="420" w:firstLineChars="200"/>
              <w:rPr>
                <w:rFonts w:ascii="宋体" w:hAnsi="宋体"/>
                <w:color w:val="auto"/>
                <w:highlight w:val="none"/>
              </w:rPr>
            </w:pPr>
            <w:r>
              <w:rPr>
                <w:rFonts w:hint="eastAsia" w:ascii="宋体" w:hAnsi="宋体"/>
                <w:color w:val="auto"/>
                <w:highlight w:val="none"/>
                <w:u w:val="single"/>
              </w:rPr>
              <w:t>梧州市工人医院保险服务（重3）</w:t>
            </w:r>
            <w:r>
              <w:rPr>
                <w:rFonts w:hint="eastAsia" w:ascii="宋体" w:hAnsi="宋体"/>
                <w:color w:val="auto"/>
                <w:highlight w:val="none"/>
              </w:rPr>
              <w:t>采购项目的潜在供应商应在</w:t>
            </w:r>
            <w:r>
              <w:rPr>
                <w:rFonts w:hint="eastAsia" w:ascii="宋体" w:hAnsi="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Style w:val="35"/>
                <w:rFonts w:hint="eastAsia" w:ascii="宋体" w:hAnsi="宋体"/>
                <w:color w:val="auto"/>
                <w:szCs w:val="21"/>
                <w:highlight w:val="none"/>
              </w:rPr>
              <w:t>https://www.gcy.zfcg.gxzf.gov.cn/</w:t>
            </w:r>
            <w:r>
              <w:rPr>
                <w:rStyle w:val="35"/>
                <w:rFonts w:hint="eastAsia" w:ascii="宋体" w:hAnsi="宋体"/>
                <w:color w:val="auto"/>
                <w:szCs w:val="21"/>
                <w:highlight w:val="none"/>
              </w:rPr>
              <w:fldChar w:fldCharType="end"/>
            </w:r>
            <w:r>
              <w:rPr>
                <w:rFonts w:hint="eastAsia" w:ascii="宋体" w:hAnsi="宋体"/>
                <w:color w:val="auto"/>
                <w:szCs w:val="21"/>
                <w:highlight w:val="none"/>
                <w:u w:val="single"/>
              </w:rPr>
              <w:t>）</w:t>
            </w:r>
            <w:r>
              <w:rPr>
                <w:rFonts w:hint="eastAsia" w:ascii="宋体" w:hAnsi="宋体"/>
                <w:color w:val="auto"/>
                <w:highlight w:val="none"/>
              </w:rPr>
              <w:t>获取采购文件，并于</w:t>
            </w:r>
            <w:r>
              <w:rPr>
                <w:rFonts w:hint="eastAsia" w:ascii="宋体" w:hAnsi="宋体"/>
                <w:color w:val="auto"/>
                <w:szCs w:val="21"/>
                <w:highlight w:val="none"/>
                <w:u w:val="single"/>
              </w:rPr>
              <w:t>2026年09月09日09:00</w:t>
            </w:r>
            <w:r>
              <w:rPr>
                <w:rFonts w:hint="eastAsia" w:ascii="宋体" w:hAnsi="宋体"/>
                <w:color w:val="auto"/>
                <w:highlight w:val="none"/>
              </w:rPr>
              <w:t>（北京时间）前提交响应</w:t>
            </w:r>
            <w:r>
              <w:rPr>
                <w:rFonts w:ascii="宋体" w:hAnsi="宋体"/>
                <w:color w:val="auto"/>
                <w:highlight w:val="none"/>
              </w:rPr>
              <w:t>文件</w:t>
            </w:r>
            <w:r>
              <w:rPr>
                <w:rFonts w:hint="eastAsia" w:ascii="宋体" w:hAnsi="宋体"/>
                <w:color w:val="auto"/>
                <w:highlight w:val="none"/>
              </w:rPr>
              <w:t>。</w:t>
            </w:r>
          </w:p>
        </w:tc>
      </w:tr>
    </w:tbl>
    <w:p w14:paraId="7D320B17">
      <w:pPr>
        <w:spacing w:beforeLines="30" w:line="440" w:lineRule="exact"/>
        <w:rPr>
          <w:rFonts w:ascii="宋体" w:hAnsi="宋体"/>
          <w:b/>
          <w:color w:val="auto"/>
          <w:highlight w:val="none"/>
        </w:rPr>
      </w:pPr>
      <w:bookmarkStart w:id="6" w:name="_Toc35393798"/>
      <w:bookmarkStart w:id="7" w:name="_Toc35393629"/>
      <w:bookmarkStart w:id="8" w:name="_Toc28359012"/>
      <w:bookmarkStart w:id="9" w:name="_Toc28359089"/>
      <w:r>
        <w:rPr>
          <w:rFonts w:hint="eastAsia" w:ascii="宋体" w:hAnsi="宋体"/>
          <w:b/>
          <w:color w:val="auto"/>
          <w:highlight w:val="none"/>
        </w:rPr>
        <w:t>一、项目基本情况</w:t>
      </w:r>
      <w:bookmarkEnd w:id="6"/>
      <w:bookmarkEnd w:id="7"/>
      <w:bookmarkEnd w:id="8"/>
      <w:bookmarkEnd w:id="9"/>
    </w:p>
    <w:p w14:paraId="04DBB21D">
      <w:pPr>
        <w:spacing w:line="440" w:lineRule="exact"/>
        <w:ind w:firstLine="420" w:firstLineChars="200"/>
        <w:rPr>
          <w:rFonts w:ascii="宋体" w:hAnsi="宋体"/>
          <w:color w:val="auto"/>
          <w:highlight w:val="none"/>
        </w:rPr>
      </w:pPr>
      <w:r>
        <w:rPr>
          <w:rFonts w:hint="eastAsia" w:ascii="宋体" w:hAnsi="宋体"/>
          <w:color w:val="auto"/>
          <w:highlight w:val="none"/>
        </w:rPr>
        <w:t>项目编号：WZZC2026-C3-990207-GXJJ</w:t>
      </w:r>
    </w:p>
    <w:p w14:paraId="55042C02">
      <w:pPr>
        <w:spacing w:line="440" w:lineRule="exact"/>
        <w:ind w:firstLine="420" w:firstLineChars="200"/>
        <w:rPr>
          <w:rFonts w:ascii="宋体" w:hAnsi="宋体"/>
          <w:color w:val="auto"/>
          <w:highlight w:val="none"/>
        </w:rPr>
      </w:pPr>
      <w:r>
        <w:rPr>
          <w:rFonts w:hint="eastAsia" w:ascii="宋体" w:hAnsi="宋体"/>
          <w:color w:val="auto"/>
          <w:highlight w:val="none"/>
        </w:rPr>
        <w:t>项目名称：梧州市工人医院保险服务（重3）</w:t>
      </w:r>
    </w:p>
    <w:p w14:paraId="51F48734">
      <w:pPr>
        <w:spacing w:line="440" w:lineRule="exact"/>
        <w:ind w:firstLine="420" w:firstLineChars="200"/>
        <w:rPr>
          <w:rFonts w:ascii="宋体" w:hAnsi="宋体"/>
          <w:color w:val="auto"/>
          <w:highlight w:val="none"/>
        </w:rPr>
      </w:pPr>
      <w:r>
        <w:rPr>
          <w:rFonts w:hint="eastAsia" w:ascii="宋体" w:hAnsi="宋体"/>
          <w:color w:val="auto"/>
          <w:highlight w:val="none"/>
        </w:rPr>
        <w:t>采购方式：竞争性磋商</w:t>
      </w:r>
    </w:p>
    <w:p w14:paraId="6B61A947">
      <w:pPr>
        <w:spacing w:line="440" w:lineRule="exact"/>
        <w:ind w:firstLine="420" w:firstLineChars="200"/>
        <w:rPr>
          <w:rFonts w:ascii="宋体" w:hAnsi="宋体"/>
          <w:color w:val="auto"/>
          <w:highlight w:val="none"/>
        </w:rPr>
      </w:pPr>
      <w:r>
        <w:rPr>
          <w:rFonts w:hint="eastAsia" w:ascii="宋体" w:hAnsi="宋体"/>
          <w:color w:val="auto"/>
          <w:highlight w:val="none"/>
        </w:rPr>
        <w:t>预算总金额（元）：1225200</w:t>
      </w:r>
    </w:p>
    <w:p w14:paraId="2A87F4A7">
      <w:pPr>
        <w:spacing w:line="440" w:lineRule="exact"/>
        <w:ind w:firstLine="420" w:firstLineChars="200"/>
        <w:rPr>
          <w:rFonts w:ascii="宋体" w:hAnsi="宋体"/>
          <w:color w:val="auto"/>
          <w:highlight w:val="none"/>
        </w:rPr>
      </w:pPr>
      <w:r>
        <w:rPr>
          <w:rFonts w:hint="eastAsia" w:ascii="宋体" w:hAnsi="宋体"/>
          <w:color w:val="auto"/>
          <w:highlight w:val="none"/>
        </w:rPr>
        <w:t>采购需求：</w:t>
      </w:r>
    </w:p>
    <w:p w14:paraId="156BD97D">
      <w:pPr>
        <w:spacing w:line="440" w:lineRule="exact"/>
        <w:ind w:firstLine="850" w:firstLineChars="405"/>
        <w:rPr>
          <w:rFonts w:ascii="宋体" w:hAnsi="宋体"/>
          <w:color w:val="auto"/>
          <w:highlight w:val="none"/>
        </w:rPr>
      </w:pPr>
      <w:r>
        <w:rPr>
          <w:rFonts w:hint="eastAsia" w:ascii="宋体" w:hAnsi="宋体"/>
          <w:color w:val="auto"/>
          <w:highlight w:val="none"/>
        </w:rPr>
        <w:t>标项一</w:t>
      </w:r>
    </w:p>
    <w:p w14:paraId="4CA57A5A">
      <w:pPr>
        <w:spacing w:line="440" w:lineRule="exact"/>
        <w:ind w:firstLine="850" w:firstLineChars="405"/>
        <w:rPr>
          <w:rFonts w:ascii="宋体" w:hAnsi="宋体" w:cs="宋体"/>
          <w:color w:val="auto"/>
          <w:szCs w:val="21"/>
          <w:highlight w:val="none"/>
        </w:rPr>
      </w:pPr>
      <w:r>
        <w:rPr>
          <w:rFonts w:hint="eastAsia" w:ascii="宋体" w:hAnsi="宋体"/>
          <w:color w:val="auto"/>
          <w:highlight w:val="none"/>
        </w:rPr>
        <w:t>标项名称：</w:t>
      </w:r>
      <w:bookmarkStart w:id="10" w:name="OLE_LINK12"/>
      <w:r>
        <w:rPr>
          <w:rFonts w:hint="eastAsia" w:ascii="宋体" w:hAnsi="宋体"/>
          <w:color w:val="auto"/>
          <w:highlight w:val="none"/>
        </w:rPr>
        <w:t>2026年度职工团体补偿医疗保险</w:t>
      </w:r>
      <w:bookmarkEnd w:id="10"/>
    </w:p>
    <w:p w14:paraId="5D0C840B">
      <w:pPr>
        <w:spacing w:line="440" w:lineRule="exact"/>
        <w:ind w:firstLine="850" w:firstLineChars="405"/>
        <w:rPr>
          <w:rFonts w:ascii="宋体" w:hAnsi="宋体" w:cs="宋体"/>
          <w:color w:val="auto"/>
          <w:szCs w:val="21"/>
          <w:highlight w:val="none"/>
        </w:rPr>
      </w:pPr>
      <w:r>
        <w:rPr>
          <w:rFonts w:hint="eastAsia" w:ascii="宋体" w:hAnsi="宋体" w:cs="宋体"/>
          <w:color w:val="auto"/>
          <w:szCs w:val="21"/>
          <w:highlight w:val="none"/>
        </w:rPr>
        <w:t>数量：1</w:t>
      </w:r>
    </w:p>
    <w:p w14:paraId="09F7A77A">
      <w:pPr>
        <w:spacing w:line="440" w:lineRule="exact"/>
        <w:ind w:firstLine="850" w:firstLineChars="405"/>
        <w:rPr>
          <w:rFonts w:ascii="宋体" w:hAnsi="宋体"/>
          <w:color w:val="auto"/>
          <w:highlight w:val="none"/>
        </w:rPr>
      </w:pPr>
      <w:r>
        <w:rPr>
          <w:rFonts w:hint="eastAsia" w:ascii="宋体" w:hAnsi="宋体"/>
          <w:color w:val="auto"/>
          <w:highlight w:val="none"/>
        </w:rPr>
        <w:t>预算金额（元）：565200</w:t>
      </w:r>
    </w:p>
    <w:p w14:paraId="65ED2DD6">
      <w:pPr>
        <w:spacing w:line="440" w:lineRule="exact"/>
        <w:ind w:left="420" w:leftChars="200" w:firstLine="430" w:firstLineChars="205"/>
        <w:rPr>
          <w:rFonts w:ascii="宋体" w:hAnsi="宋体"/>
          <w:color w:val="auto"/>
          <w:highlight w:val="none"/>
        </w:rPr>
      </w:pPr>
      <w:r>
        <w:rPr>
          <w:rFonts w:ascii="宋体" w:hAnsi="宋体" w:cs="仿宋"/>
          <w:color w:val="auto"/>
          <w:szCs w:val="21"/>
          <w:highlight w:val="none"/>
        </w:rPr>
        <w:t>简要规格描述或项目基本概况介绍、用途：</w:t>
      </w:r>
      <w:bookmarkStart w:id="11" w:name="OLE_LINK27"/>
      <w:r>
        <w:rPr>
          <w:rFonts w:hint="eastAsia" w:ascii="宋体" w:hAnsi="宋体" w:cs="仿宋"/>
          <w:color w:val="auto"/>
          <w:szCs w:val="21"/>
          <w:highlight w:val="none"/>
        </w:rPr>
        <w:t>通过择优选取1家具有资质的商业保险机构承办2026年度职工团体补偿医疗保险。如需进一步了解详细内容，详见磋商文件。</w:t>
      </w:r>
    </w:p>
    <w:bookmarkEnd w:id="11"/>
    <w:p w14:paraId="2DF07462">
      <w:pPr>
        <w:spacing w:line="440" w:lineRule="exact"/>
        <w:ind w:firstLine="850" w:firstLineChars="405"/>
        <w:rPr>
          <w:rFonts w:ascii="宋体" w:hAnsi="宋体"/>
          <w:color w:val="auto"/>
          <w:highlight w:val="none"/>
        </w:rPr>
      </w:pPr>
      <w:r>
        <w:rPr>
          <w:rFonts w:hint="eastAsia" w:ascii="宋体" w:hAnsi="宋体"/>
          <w:color w:val="auto"/>
          <w:highlight w:val="none"/>
        </w:rPr>
        <w:t>最高限价（如有）：</w:t>
      </w:r>
      <w:r>
        <w:rPr>
          <w:rFonts w:ascii="宋体" w:hAnsi="宋体"/>
          <w:color w:val="auto"/>
          <w:highlight w:val="none"/>
        </w:rPr>
        <w:t>/</w:t>
      </w:r>
    </w:p>
    <w:p w14:paraId="0F82A1EA">
      <w:pPr>
        <w:spacing w:line="440" w:lineRule="exact"/>
        <w:ind w:firstLine="850" w:firstLineChars="405"/>
        <w:rPr>
          <w:rFonts w:ascii="宋体" w:hAnsi="宋体"/>
          <w:color w:val="auto"/>
          <w:highlight w:val="none"/>
        </w:rPr>
      </w:pPr>
      <w:r>
        <w:rPr>
          <w:rFonts w:hint="eastAsia" w:ascii="宋体" w:hAnsi="宋体"/>
          <w:color w:val="auto"/>
          <w:highlight w:val="none"/>
        </w:rPr>
        <w:t>合同履行期限：</w:t>
      </w:r>
      <w:bookmarkStart w:id="12" w:name="OLE_LINK28"/>
      <w:r>
        <w:rPr>
          <w:rFonts w:hint="eastAsia" w:ascii="宋体" w:hAnsi="宋体"/>
          <w:color w:val="auto"/>
          <w:highlight w:val="none"/>
        </w:rPr>
        <w:t>1年</w:t>
      </w:r>
      <w:bookmarkEnd w:id="12"/>
    </w:p>
    <w:p w14:paraId="43AC02AF">
      <w:pPr>
        <w:spacing w:line="440" w:lineRule="exact"/>
        <w:ind w:firstLine="850" w:firstLineChars="405"/>
        <w:rPr>
          <w:rFonts w:ascii="宋体" w:hAnsi="宋体"/>
          <w:color w:val="auto"/>
          <w:highlight w:val="none"/>
        </w:rPr>
      </w:pPr>
      <w:r>
        <w:rPr>
          <w:rFonts w:hint="eastAsia" w:ascii="宋体" w:hAnsi="宋体"/>
          <w:color w:val="auto"/>
          <w:highlight w:val="none"/>
        </w:rPr>
        <w:t>本项目</w:t>
      </w:r>
      <w:r>
        <w:rPr>
          <w:rFonts w:hint="eastAsia" w:ascii="宋体" w:hAnsi="宋体"/>
          <w:b/>
          <w:color w:val="auto"/>
          <w:highlight w:val="none"/>
        </w:rPr>
        <w:t>（否）</w:t>
      </w:r>
      <w:r>
        <w:rPr>
          <w:rFonts w:hint="eastAsia" w:ascii="宋体" w:hAnsi="宋体"/>
          <w:color w:val="auto"/>
          <w:highlight w:val="none"/>
        </w:rPr>
        <w:t>接受联合体投标</w:t>
      </w:r>
    </w:p>
    <w:p w14:paraId="7D7DDB3E">
      <w:pPr>
        <w:spacing w:line="440" w:lineRule="exact"/>
        <w:ind w:firstLine="854" w:firstLineChars="405"/>
        <w:rPr>
          <w:rFonts w:ascii="宋体" w:hAnsi="宋体"/>
          <w:b/>
          <w:bCs/>
          <w:color w:val="auto"/>
          <w:szCs w:val="21"/>
          <w:highlight w:val="none"/>
          <w:u w:val="single"/>
        </w:rPr>
      </w:pPr>
      <w:r>
        <w:rPr>
          <w:rFonts w:hint="eastAsia" w:ascii="宋体" w:hAnsi="宋体"/>
          <w:b/>
          <w:bCs/>
          <w:color w:val="auto"/>
          <w:highlight w:val="none"/>
        </w:rPr>
        <w:t>备注：</w:t>
      </w:r>
      <w:bookmarkStart w:id="13" w:name="OLE_LINK29"/>
      <w:bookmarkStart w:id="14" w:name="OLE_LINK30"/>
      <w:r>
        <w:rPr>
          <w:rFonts w:ascii="宋体" w:hAnsi="宋体"/>
          <w:b/>
          <w:bCs/>
          <w:color w:val="auto"/>
          <w:szCs w:val="21"/>
          <w:highlight w:val="none"/>
          <w:u w:val="single"/>
        </w:rPr>
        <w:t>本项目不专门面向中小企业预留采购份额。</w:t>
      </w:r>
      <w:bookmarkEnd w:id="13"/>
      <w:bookmarkEnd w:id="14"/>
    </w:p>
    <w:p w14:paraId="5DECD1CA">
      <w:pPr>
        <w:spacing w:line="440" w:lineRule="exact"/>
        <w:ind w:firstLine="850" w:firstLineChars="405"/>
        <w:rPr>
          <w:rFonts w:ascii="宋体" w:hAnsi="宋体"/>
          <w:color w:val="auto"/>
          <w:highlight w:val="none"/>
        </w:rPr>
      </w:pPr>
      <w:r>
        <w:rPr>
          <w:rFonts w:hint="eastAsia" w:ascii="宋体" w:hAnsi="宋体"/>
          <w:color w:val="auto"/>
          <w:highlight w:val="none"/>
        </w:rPr>
        <w:t>标项二</w:t>
      </w:r>
    </w:p>
    <w:p w14:paraId="045CF07F">
      <w:pPr>
        <w:spacing w:line="440" w:lineRule="exact"/>
        <w:ind w:firstLine="850" w:firstLineChars="405"/>
        <w:rPr>
          <w:rFonts w:ascii="宋体" w:hAnsi="宋体" w:cs="宋体"/>
          <w:color w:val="auto"/>
          <w:szCs w:val="21"/>
          <w:highlight w:val="none"/>
        </w:rPr>
      </w:pPr>
      <w:r>
        <w:rPr>
          <w:rFonts w:hint="eastAsia" w:ascii="宋体" w:hAnsi="宋体"/>
          <w:color w:val="auto"/>
          <w:highlight w:val="none"/>
        </w:rPr>
        <w:t>标项名称：</w:t>
      </w:r>
      <w:bookmarkStart w:id="15" w:name="OLE_LINK26"/>
      <w:bookmarkStart w:id="16" w:name="OLE_LINK15"/>
      <w:r>
        <w:rPr>
          <w:rFonts w:hint="eastAsia" w:ascii="宋体" w:hAnsi="宋体"/>
          <w:color w:val="auto"/>
          <w:highlight w:val="none"/>
        </w:rPr>
        <w:t>2026年医疗责任保险</w:t>
      </w:r>
      <w:bookmarkEnd w:id="15"/>
      <w:bookmarkEnd w:id="16"/>
    </w:p>
    <w:p w14:paraId="6B3D7D37">
      <w:pPr>
        <w:spacing w:line="440" w:lineRule="exact"/>
        <w:ind w:firstLine="850" w:firstLineChars="405"/>
        <w:rPr>
          <w:rFonts w:ascii="宋体" w:hAnsi="宋体" w:cs="宋体"/>
          <w:color w:val="auto"/>
          <w:szCs w:val="21"/>
          <w:highlight w:val="none"/>
        </w:rPr>
      </w:pPr>
      <w:r>
        <w:rPr>
          <w:rFonts w:hint="eastAsia" w:ascii="宋体" w:hAnsi="宋体" w:cs="宋体"/>
          <w:color w:val="auto"/>
          <w:szCs w:val="21"/>
          <w:highlight w:val="none"/>
        </w:rPr>
        <w:t>数量：1</w:t>
      </w:r>
    </w:p>
    <w:p w14:paraId="6AA51FF8">
      <w:pPr>
        <w:spacing w:line="440" w:lineRule="exact"/>
        <w:ind w:firstLine="850" w:firstLineChars="405"/>
        <w:rPr>
          <w:rFonts w:ascii="宋体" w:hAnsi="宋体"/>
          <w:color w:val="auto"/>
          <w:highlight w:val="none"/>
        </w:rPr>
      </w:pPr>
      <w:r>
        <w:rPr>
          <w:rFonts w:hint="eastAsia" w:ascii="宋体" w:hAnsi="宋体"/>
          <w:color w:val="auto"/>
          <w:highlight w:val="none"/>
        </w:rPr>
        <w:t>预算金额（元）：660000</w:t>
      </w:r>
    </w:p>
    <w:p w14:paraId="74A39782">
      <w:pPr>
        <w:spacing w:line="440" w:lineRule="exact"/>
        <w:ind w:left="420" w:leftChars="200" w:firstLine="430" w:firstLineChars="205"/>
        <w:rPr>
          <w:rFonts w:ascii="宋体" w:hAnsi="宋体"/>
          <w:color w:val="auto"/>
          <w:highlight w:val="none"/>
        </w:rPr>
      </w:pPr>
      <w:r>
        <w:rPr>
          <w:rFonts w:ascii="宋体" w:hAnsi="宋体" w:cs="仿宋"/>
          <w:color w:val="auto"/>
          <w:szCs w:val="21"/>
          <w:highlight w:val="none"/>
        </w:rPr>
        <w:t>简要规格描述或项目基本概况介绍、用途：</w:t>
      </w:r>
      <w:bookmarkStart w:id="17" w:name="OLE_LINK45"/>
      <w:bookmarkStart w:id="18" w:name="OLE_LINK46"/>
      <w:r>
        <w:rPr>
          <w:rFonts w:hint="eastAsia" w:ascii="宋体" w:hAnsi="宋体" w:cs="仿宋"/>
          <w:color w:val="auto"/>
          <w:szCs w:val="21"/>
          <w:highlight w:val="none"/>
        </w:rPr>
        <w:t>通过择优选取1家具有资质的商业保险机构承办2026年医疗责任保险。如需进一步了解详细内容，详见磋商文件。</w:t>
      </w:r>
    </w:p>
    <w:bookmarkEnd w:id="17"/>
    <w:bookmarkEnd w:id="18"/>
    <w:p w14:paraId="6E592637">
      <w:pPr>
        <w:spacing w:line="440" w:lineRule="exact"/>
        <w:ind w:firstLine="850" w:firstLineChars="405"/>
        <w:rPr>
          <w:rFonts w:ascii="宋体" w:hAnsi="宋体"/>
          <w:color w:val="auto"/>
          <w:highlight w:val="none"/>
        </w:rPr>
      </w:pPr>
      <w:r>
        <w:rPr>
          <w:rFonts w:hint="eastAsia" w:ascii="宋体" w:hAnsi="宋体"/>
          <w:color w:val="auto"/>
          <w:highlight w:val="none"/>
        </w:rPr>
        <w:t>最高限价（如有）：</w:t>
      </w:r>
      <w:r>
        <w:rPr>
          <w:rFonts w:ascii="宋体" w:hAnsi="宋体"/>
          <w:color w:val="auto"/>
          <w:highlight w:val="none"/>
        </w:rPr>
        <w:t>/</w:t>
      </w:r>
    </w:p>
    <w:p w14:paraId="59B8F6C8">
      <w:pPr>
        <w:spacing w:line="440" w:lineRule="exact"/>
        <w:ind w:firstLine="850" w:firstLineChars="405"/>
        <w:rPr>
          <w:rFonts w:ascii="宋体" w:hAnsi="宋体"/>
          <w:color w:val="auto"/>
          <w:highlight w:val="none"/>
        </w:rPr>
      </w:pPr>
      <w:r>
        <w:rPr>
          <w:rFonts w:hint="eastAsia" w:ascii="宋体" w:hAnsi="宋体"/>
          <w:color w:val="auto"/>
          <w:highlight w:val="none"/>
        </w:rPr>
        <w:t>合同履行期限：1年</w:t>
      </w:r>
    </w:p>
    <w:p w14:paraId="6CAF9F07">
      <w:pPr>
        <w:spacing w:line="440" w:lineRule="exact"/>
        <w:ind w:firstLine="850" w:firstLineChars="405"/>
        <w:rPr>
          <w:rFonts w:ascii="宋体" w:hAnsi="宋体"/>
          <w:color w:val="auto"/>
          <w:highlight w:val="none"/>
        </w:rPr>
      </w:pPr>
      <w:r>
        <w:rPr>
          <w:rFonts w:hint="eastAsia" w:ascii="宋体" w:hAnsi="宋体"/>
          <w:color w:val="auto"/>
          <w:highlight w:val="none"/>
        </w:rPr>
        <w:t>本项目</w:t>
      </w:r>
      <w:r>
        <w:rPr>
          <w:rFonts w:hint="eastAsia" w:ascii="宋体" w:hAnsi="宋体"/>
          <w:b/>
          <w:color w:val="auto"/>
          <w:highlight w:val="none"/>
        </w:rPr>
        <w:t>（否）</w:t>
      </w:r>
      <w:r>
        <w:rPr>
          <w:rFonts w:hint="eastAsia" w:ascii="宋体" w:hAnsi="宋体"/>
          <w:color w:val="auto"/>
          <w:highlight w:val="none"/>
        </w:rPr>
        <w:t>接受联合体投标</w:t>
      </w:r>
    </w:p>
    <w:p w14:paraId="360A3E7A">
      <w:pPr>
        <w:spacing w:line="440" w:lineRule="exact"/>
        <w:ind w:firstLine="854" w:firstLineChars="405"/>
        <w:rPr>
          <w:rFonts w:ascii="宋体" w:hAnsi="宋体"/>
          <w:b/>
          <w:bCs/>
          <w:color w:val="auto"/>
          <w:szCs w:val="21"/>
          <w:highlight w:val="none"/>
          <w:u w:val="single"/>
        </w:rPr>
      </w:pPr>
      <w:r>
        <w:rPr>
          <w:rFonts w:hint="eastAsia" w:ascii="宋体" w:hAnsi="宋体"/>
          <w:b/>
          <w:bCs/>
          <w:color w:val="auto"/>
          <w:highlight w:val="none"/>
        </w:rPr>
        <w:t>备注：</w:t>
      </w:r>
      <w:r>
        <w:rPr>
          <w:rFonts w:ascii="宋体" w:hAnsi="宋体"/>
          <w:b/>
          <w:bCs/>
          <w:color w:val="auto"/>
          <w:szCs w:val="21"/>
          <w:highlight w:val="none"/>
          <w:u w:val="single"/>
        </w:rPr>
        <w:t>本项目不专门面向中小企业预留采购份额。</w:t>
      </w:r>
    </w:p>
    <w:p w14:paraId="419BF051">
      <w:pPr>
        <w:spacing w:beforeLines="30" w:line="440" w:lineRule="exact"/>
        <w:rPr>
          <w:rFonts w:ascii="宋体" w:hAnsi="宋体"/>
          <w:b/>
          <w:color w:val="auto"/>
          <w:highlight w:val="none"/>
        </w:rPr>
      </w:pPr>
      <w:bookmarkStart w:id="19" w:name="_Toc35393630"/>
      <w:bookmarkStart w:id="20" w:name="_Toc35393799"/>
      <w:bookmarkStart w:id="21" w:name="_Toc28359090"/>
      <w:bookmarkStart w:id="22" w:name="_Toc28359013"/>
      <w:r>
        <w:rPr>
          <w:rFonts w:hint="eastAsia" w:ascii="宋体" w:hAnsi="宋体"/>
          <w:b/>
          <w:color w:val="auto"/>
          <w:highlight w:val="none"/>
        </w:rPr>
        <w:t>二、申请人的资格要求：</w:t>
      </w:r>
      <w:bookmarkEnd w:id="19"/>
      <w:bookmarkEnd w:id="20"/>
      <w:bookmarkEnd w:id="21"/>
      <w:bookmarkEnd w:id="22"/>
    </w:p>
    <w:p w14:paraId="07441010">
      <w:pPr>
        <w:spacing w:line="440" w:lineRule="exact"/>
        <w:ind w:firstLine="420" w:firstLineChars="200"/>
        <w:rPr>
          <w:rFonts w:ascii="宋体" w:hAnsi="宋体"/>
          <w:color w:val="auto"/>
          <w:highlight w:val="none"/>
        </w:rPr>
      </w:pPr>
      <w:bookmarkStart w:id="23" w:name="_Toc35393800"/>
      <w:bookmarkStart w:id="24" w:name="_Toc35393631"/>
      <w:bookmarkStart w:id="25" w:name="_Toc28359091"/>
      <w:bookmarkStart w:id="26" w:name="_Toc28359014"/>
      <w:r>
        <w:rPr>
          <w:rFonts w:hint="eastAsia" w:ascii="宋体" w:hAnsi="宋体"/>
          <w:color w:val="auto"/>
          <w:highlight w:val="none"/>
        </w:rPr>
        <w:t>1</w:t>
      </w:r>
      <w:r>
        <w:rPr>
          <w:rFonts w:hint="eastAsia" w:ascii="宋体" w:hAnsi="宋体"/>
          <w:color w:val="auto"/>
          <w:szCs w:val="21"/>
          <w:highlight w:val="none"/>
        </w:rPr>
        <w:t>．</w:t>
      </w:r>
      <w:r>
        <w:rPr>
          <w:rFonts w:hint="eastAsia" w:ascii="宋体" w:hAnsi="宋体"/>
          <w:color w:val="auto"/>
          <w:highlight w:val="none"/>
        </w:rPr>
        <w:t>满足《中华人民共和国政府采购法》第二十二条的规定</w:t>
      </w:r>
    </w:p>
    <w:p w14:paraId="52562846">
      <w:pPr>
        <w:spacing w:line="440" w:lineRule="exact"/>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color w:val="auto"/>
          <w:szCs w:val="21"/>
          <w:highlight w:val="none"/>
        </w:rPr>
        <w:t>．</w:t>
      </w:r>
      <w:r>
        <w:rPr>
          <w:rFonts w:hint="eastAsia" w:ascii="宋体" w:hAnsi="宋体"/>
          <w:color w:val="auto"/>
          <w:highlight w:val="none"/>
        </w:rPr>
        <w:t>落实政府采购政策需满足的资格要求：无</w:t>
      </w:r>
    </w:p>
    <w:p w14:paraId="49C8DBC6">
      <w:pPr>
        <w:spacing w:line="440" w:lineRule="exact"/>
        <w:ind w:firstLine="420" w:firstLineChars="200"/>
        <w:rPr>
          <w:rFonts w:ascii="宋体" w:hAnsi="宋体"/>
          <w:color w:val="auto"/>
          <w:highlight w:val="none"/>
        </w:rPr>
      </w:pPr>
      <w:r>
        <w:rPr>
          <w:rFonts w:hint="eastAsia" w:ascii="宋体" w:hAnsi="宋体"/>
          <w:color w:val="auto"/>
          <w:highlight w:val="none"/>
        </w:rPr>
        <w:t>3</w:t>
      </w:r>
      <w:r>
        <w:rPr>
          <w:rFonts w:hint="eastAsia" w:ascii="宋体" w:hAnsi="宋体"/>
          <w:color w:val="auto"/>
          <w:szCs w:val="21"/>
          <w:highlight w:val="none"/>
        </w:rPr>
        <w:t>．</w:t>
      </w:r>
      <w:r>
        <w:rPr>
          <w:rFonts w:hint="eastAsia" w:ascii="宋体" w:hAnsi="宋体"/>
          <w:color w:val="auto"/>
          <w:highlight w:val="none"/>
        </w:rPr>
        <w:t>本项目的特定资格要求：【分标1、2】：供应商具备有效的《经营保险业务许可证</w:t>
      </w:r>
      <w:r>
        <w:rPr>
          <w:rFonts w:hint="eastAsia" w:ascii="宋体" w:hAnsi="宋体"/>
          <w:color w:val="auto"/>
          <w:highlight w:val="none"/>
          <w:lang w:eastAsia="zh-CN"/>
        </w:rPr>
        <w:t>》</w:t>
      </w:r>
      <w:r>
        <w:rPr>
          <w:rFonts w:hint="eastAsia" w:ascii="宋体" w:hAnsi="宋体"/>
          <w:color w:val="auto"/>
          <w:highlight w:val="none"/>
        </w:rPr>
        <w:t>。</w:t>
      </w:r>
    </w:p>
    <w:p w14:paraId="31A3B651">
      <w:pPr>
        <w:spacing w:beforeLines="30" w:line="440" w:lineRule="exact"/>
        <w:rPr>
          <w:rFonts w:ascii="宋体" w:hAnsi="宋体"/>
          <w:b/>
          <w:color w:val="auto"/>
          <w:highlight w:val="none"/>
        </w:rPr>
      </w:pPr>
      <w:r>
        <w:rPr>
          <w:rFonts w:hint="eastAsia" w:ascii="宋体" w:hAnsi="宋体"/>
          <w:b/>
          <w:color w:val="auto"/>
          <w:highlight w:val="none"/>
        </w:rPr>
        <w:t>三、获取采购文件</w:t>
      </w:r>
      <w:bookmarkEnd w:id="23"/>
      <w:bookmarkEnd w:id="24"/>
      <w:bookmarkEnd w:id="25"/>
      <w:bookmarkEnd w:id="26"/>
    </w:p>
    <w:p w14:paraId="7D3853CB">
      <w:pPr>
        <w:spacing w:line="440" w:lineRule="exact"/>
        <w:ind w:firstLine="420" w:firstLineChars="200"/>
        <w:rPr>
          <w:rFonts w:ascii="宋体" w:hAnsi="宋体"/>
          <w:color w:val="auto"/>
          <w:highlight w:val="none"/>
        </w:rPr>
      </w:pPr>
      <w:r>
        <w:rPr>
          <w:rFonts w:hint="eastAsia" w:ascii="宋体" w:hAnsi="宋体"/>
          <w:color w:val="auto"/>
          <w:highlight w:val="none"/>
        </w:rPr>
        <w:t>时间：</w:t>
      </w:r>
      <w:r>
        <w:rPr>
          <w:rFonts w:hint="eastAsia" w:ascii="宋体" w:hAnsi="宋体"/>
          <w:color w:val="auto"/>
          <w:szCs w:val="21"/>
          <w:highlight w:val="none"/>
        </w:rPr>
        <w:t>2026年08月28日至2026年09月04日</w:t>
      </w:r>
      <w:r>
        <w:rPr>
          <w:rFonts w:hint="eastAsia" w:ascii="宋体" w:hAnsi="宋体"/>
          <w:color w:val="auto"/>
          <w:highlight w:val="none"/>
        </w:rPr>
        <w:t>，每天上午00:00至12:00，下午12:00至23:59（北京时间，法定节假日除外）</w:t>
      </w:r>
    </w:p>
    <w:p w14:paraId="0DC8DFDE">
      <w:pPr>
        <w:pStyle w:val="14"/>
        <w:spacing w:line="440" w:lineRule="exact"/>
        <w:ind w:firstLine="420" w:firstLineChars="200"/>
        <w:rPr>
          <w:rFonts w:hAnsi="宋体"/>
          <w:color w:val="auto"/>
          <w:highlight w:val="none"/>
        </w:rPr>
      </w:pPr>
      <w:r>
        <w:rPr>
          <w:rFonts w:hint="eastAsia" w:hAnsi="宋体"/>
          <w:color w:val="auto"/>
          <w:highlight w:val="none"/>
        </w:rPr>
        <w:t>地点</w:t>
      </w:r>
      <w:r>
        <w:rPr>
          <w:rFonts w:hAnsi="宋体" w:cs="宋体"/>
          <w:color w:val="auto"/>
          <w:kern w:val="0"/>
          <w:szCs w:val="21"/>
          <w:highlight w:val="none"/>
        </w:rPr>
        <w:t>（网址）</w:t>
      </w:r>
      <w:r>
        <w:rPr>
          <w:rFonts w:hint="eastAsia" w:hAnsi="宋体"/>
          <w:color w:val="auto"/>
          <w:highlight w:val="none"/>
        </w:rPr>
        <w:t>：</w:t>
      </w:r>
      <w:bookmarkStart w:id="27" w:name="OLE_LINK35"/>
      <w:bookmarkStart w:id="28" w:name="OLE_LINK34"/>
      <w:r>
        <w:rPr>
          <w:rFonts w:hint="eastAsia" w:hAnsi="宋体"/>
          <w:color w:val="auto"/>
          <w:highlight w:val="none"/>
        </w:rPr>
        <w:t>“广西政府采购云平台”（https://www.gcy.zfcg.gxzf.gov.cn/）</w:t>
      </w:r>
    </w:p>
    <w:bookmarkEnd w:id="27"/>
    <w:bookmarkEnd w:id="28"/>
    <w:p w14:paraId="4BE79B4D">
      <w:pPr>
        <w:spacing w:line="440" w:lineRule="exact"/>
        <w:ind w:firstLine="420" w:firstLineChars="200"/>
        <w:rPr>
          <w:rFonts w:hAnsi="宋体"/>
          <w:color w:val="auto"/>
          <w:highlight w:val="none"/>
        </w:rPr>
      </w:pPr>
      <w:r>
        <w:rPr>
          <w:rFonts w:hint="eastAsia" w:hAnsi="宋体"/>
          <w:color w:val="auto"/>
          <w:highlight w:val="none"/>
        </w:rPr>
        <w:t>方式：</w:t>
      </w:r>
      <w:bookmarkStart w:id="29" w:name="OLE_LINK36"/>
      <w:r>
        <w:rPr>
          <w:rFonts w:hint="eastAsia" w:hAnsi="宋体"/>
          <w:color w:val="auto"/>
          <w:highlight w:val="none"/>
        </w:rPr>
        <w:t>供应商登录“广西政府采购云平台</w:t>
      </w:r>
      <w:r>
        <w:rPr>
          <w:rFonts w:hint="eastAsia" w:ascii="宋体" w:hAnsi="宋体"/>
          <w:color w:val="auto"/>
          <w:szCs w:val="20"/>
          <w:highlight w:val="none"/>
        </w:rPr>
        <w:t>”（https://www.gcy.zfcg.gxzf.gov.cn/）</w:t>
      </w:r>
      <w:r>
        <w:rPr>
          <w:rFonts w:hint="eastAsia" w:hAnsi="宋体"/>
          <w:color w:val="auto"/>
          <w:highlight w:val="none"/>
        </w:rPr>
        <w:t>自行免费下载。潜在供应商未在“广西政府采购云平台”注册或未在有效时限内获取采购文件的，将无法进行磋商。</w:t>
      </w:r>
    </w:p>
    <w:bookmarkEnd w:id="29"/>
    <w:p w14:paraId="495C6215">
      <w:pPr>
        <w:spacing w:line="440" w:lineRule="exact"/>
        <w:ind w:firstLine="420" w:firstLineChars="200"/>
        <w:rPr>
          <w:rFonts w:ascii="宋体" w:hAnsi="宋体"/>
          <w:color w:val="auto"/>
          <w:highlight w:val="none"/>
        </w:rPr>
      </w:pPr>
      <w:r>
        <w:rPr>
          <w:rFonts w:hint="eastAsia" w:ascii="宋体" w:hAnsi="宋体"/>
          <w:color w:val="auto"/>
          <w:highlight w:val="none"/>
        </w:rPr>
        <w:t>售价（元）：0</w:t>
      </w:r>
    </w:p>
    <w:p w14:paraId="6FEF4C90">
      <w:pPr>
        <w:spacing w:beforeLines="30" w:line="440" w:lineRule="exact"/>
        <w:rPr>
          <w:rFonts w:ascii="宋体" w:hAnsi="宋体"/>
          <w:b/>
          <w:color w:val="auto"/>
          <w:highlight w:val="none"/>
        </w:rPr>
      </w:pPr>
      <w:bookmarkStart w:id="30" w:name="_Toc35393801"/>
      <w:bookmarkStart w:id="31" w:name="_Toc35393632"/>
      <w:bookmarkStart w:id="32" w:name="_Toc28359092"/>
      <w:bookmarkStart w:id="33" w:name="_Toc28359015"/>
      <w:r>
        <w:rPr>
          <w:rFonts w:hint="eastAsia" w:ascii="宋体" w:hAnsi="宋体"/>
          <w:b/>
          <w:color w:val="auto"/>
          <w:highlight w:val="none"/>
        </w:rPr>
        <w:t>四、响应文件提交</w:t>
      </w:r>
      <w:bookmarkEnd w:id="30"/>
      <w:bookmarkEnd w:id="31"/>
      <w:bookmarkEnd w:id="32"/>
      <w:bookmarkEnd w:id="33"/>
    </w:p>
    <w:p w14:paraId="633003F8">
      <w:pPr>
        <w:spacing w:line="440" w:lineRule="exact"/>
        <w:ind w:firstLine="420" w:firstLineChars="200"/>
        <w:rPr>
          <w:rFonts w:ascii="宋体" w:hAnsi="宋体"/>
          <w:color w:val="auto"/>
          <w:highlight w:val="none"/>
        </w:rPr>
      </w:pPr>
      <w:r>
        <w:rPr>
          <w:rFonts w:hint="eastAsia" w:ascii="宋体" w:hAnsi="宋体"/>
          <w:color w:val="auto"/>
          <w:highlight w:val="none"/>
        </w:rPr>
        <w:t>截止时间：</w:t>
      </w:r>
      <w:r>
        <w:rPr>
          <w:rFonts w:hint="eastAsia" w:ascii="宋体" w:hAnsi="宋体"/>
          <w:color w:val="auto"/>
          <w:szCs w:val="21"/>
          <w:highlight w:val="none"/>
          <w:u w:val="single"/>
        </w:rPr>
        <w:t>2026年09月09日09:00</w:t>
      </w:r>
      <w:r>
        <w:rPr>
          <w:rFonts w:hint="eastAsia" w:ascii="宋体" w:hAnsi="宋体"/>
          <w:color w:val="auto"/>
          <w:highlight w:val="none"/>
        </w:rPr>
        <w:t>（北京时间）</w:t>
      </w:r>
    </w:p>
    <w:p w14:paraId="23483A63">
      <w:pPr>
        <w:spacing w:line="440" w:lineRule="exact"/>
        <w:ind w:firstLine="420" w:firstLineChars="200"/>
        <w:rPr>
          <w:rFonts w:ascii="宋体" w:hAnsi="宋体"/>
          <w:color w:val="auto"/>
          <w:highlight w:val="none"/>
        </w:rPr>
      </w:pPr>
      <w:r>
        <w:rPr>
          <w:rFonts w:hint="eastAsia" w:ascii="宋体" w:hAnsi="宋体"/>
          <w:color w:val="auto"/>
          <w:highlight w:val="none"/>
        </w:rPr>
        <w:t>地点</w:t>
      </w:r>
      <w:r>
        <w:rPr>
          <w:rFonts w:ascii="宋体" w:hAnsi="宋体"/>
          <w:color w:val="auto"/>
          <w:highlight w:val="none"/>
        </w:rPr>
        <w:t>（网址）</w:t>
      </w:r>
      <w:r>
        <w:rPr>
          <w:rFonts w:hint="eastAsia" w:ascii="宋体" w:hAnsi="宋体"/>
          <w:color w:val="auto"/>
          <w:highlight w:val="none"/>
        </w:rPr>
        <w:t>：</w:t>
      </w:r>
      <w:bookmarkStart w:id="34" w:name="OLE_LINK37"/>
      <w:bookmarkStart w:id="35" w:name="OLE_LINK38"/>
      <w:r>
        <w:rPr>
          <w:rFonts w:hint="eastAsia" w:ascii="宋体" w:hAnsi="宋体"/>
          <w:color w:val="auto"/>
          <w:highlight w:val="none"/>
        </w:rPr>
        <w:t>通过“广西政府采购云平台”（https://www.gcy.zfcg.gxzf.gov.cn/）在线提交。</w:t>
      </w:r>
      <w:bookmarkEnd w:id="34"/>
      <w:bookmarkEnd w:id="35"/>
    </w:p>
    <w:p w14:paraId="2EC32FA6">
      <w:pPr>
        <w:spacing w:beforeLines="30" w:line="440" w:lineRule="exact"/>
        <w:rPr>
          <w:rFonts w:ascii="宋体" w:hAnsi="宋体"/>
          <w:b/>
          <w:color w:val="auto"/>
          <w:highlight w:val="none"/>
        </w:rPr>
      </w:pPr>
      <w:bookmarkStart w:id="36" w:name="_Toc28359093"/>
      <w:bookmarkStart w:id="37" w:name="_Toc35393802"/>
      <w:bookmarkStart w:id="38" w:name="_Toc35393633"/>
      <w:bookmarkStart w:id="39" w:name="_Toc28359016"/>
      <w:r>
        <w:rPr>
          <w:rFonts w:hint="eastAsia" w:ascii="宋体" w:hAnsi="宋体"/>
          <w:b/>
          <w:color w:val="auto"/>
          <w:highlight w:val="none"/>
        </w:rPr>
        <w:t>五、响应文件开启</w:t>
      </w:r>
      <w:bookmarkEnd w:id="36"/>
      <w:bookmarkEnd w:id="37"/>
      <w:bookmarkEnd w:id="38"/>
      <w:bookmarkEnd w:id="39"/>
    </w:p>
    <w:p w14:paraId="2646D44C">
      <w:pPr>
        <w:spacing w:line="440" w:lineRule="exact"/>
        <w:ind w:firstLine="420" w:firstLineChars="200"/>
        <w:rPr>
          <w:rFonts w:ascii="宋体" w:hAnsi="宋体"/>
          <w:color w:val="auto"/>
          <w:highlight w:val="none"/>
        </w:rPr>
      </w:pPr>
      <w:r>
        <w:rPr>
          <w:rFonts w:hint="eastAsia" w:ascii="宋体" w:hAnsi="宋体"/>
          <w:color w:val="auto"/>
          <w:highlight w:val="none"/>
        </w:rPr>
        <w:t>开启时间：</w:t>
      </w:r>
      <w:r>
        <w:rPr>
          <w:rFonts w:hint="eastAsia" w:ascii="宋体" w:hAnsi="宋体"/>
          <w:color w:val="auto"/>
          <w:szCs w:val="21"/>
          <w:highlight w:val="none"/>
          <w:u w:val="single"/>
        </w:rPr>
        <w:t>2026年09月09日09:00</w:t>
      </w:r>
      <w:r>
        <w:rPr>
          <w:rFonts w:hint="eastAsia" w:ascii="宋体" w:hAnsi="宋体"/>
          <w:color w:val="auto"/>
          <w:highlight w:val="none"/>
        </w:rPr>
        <w:t>（北京时间）</w:t>
      </w:r>
    </w:p>
    <w:p w14:paraId="51CB4E1B">
      <w:pPr>
        <w:spacing w:beforeLines="30" w:line="440" w:lineRule="exact"/>
        <w:ind w:firstLine="420" w:firstLineChars="200"/>
        <w:rPr>
          <w:rFonts w:ascii="宋体" w:hAnsi="宋体"/>
          <w:color w:val="auto"/>
          <w:highlight w:val="none"/>
        </w:rPr>
      </w:pPr>
      <w:r>
        <w:rPr>
          <w:rFonts w:hint="eastAsia" w:ascii="宋体" w:hAnsi="宋体"/>
          <w:color w:val="auto"/>
          <w:highlight w:val="none"/>
        </w:rPr>
        <w:t>地点：</w:t>
      </w:r>
      <w:bookmarkStart w:id="40" w:name="_Toc28359094"/>
      <w:bookmarkStart w:id="41" w:name="_Toc35393803"/>
      <w:bookmarkStart w:id="42" w:name="_Toc28359017"/>
      <w:bookmarkStart w:id="43" w:name="_Toc35393634"/>
      <w:r>
        <w:rPr>
          <w:rFonts w:hint="eastAsia" w:ascii="宋体" w:hAnsi="宋体"/>
          <w:color w:val="auto"/>
          <w:highlight w:val="none"/>
        </w:rPr>
        <w:t>本项目通过“广西政府采购云平台”（https://www.gcy.zfcg.gxzf.gov.cn/）在线解密和开启响应文件（本项目不要求供应商到达开标现场，但供应商应准时在线出席电子开评标会议，随时关注开评标进度，如在开评标过程中有电子询标，应在规定的时间内对电子询标函进行澄清回复。）</w:t>
      </w:r>
    </w:p>
    <w:p w14:paraId="74DD6A6A">
      <w:pPr>
        <w:spacing w:beforeLines="30" w:line="440" w:lineRule="exact"/>
        <w:rPr>
          <w:rFonts w:ascii="宋体" w:hAnsi="宋体"/>
          <w:b/>
          <w:color w:val="auto"/>
          <w:highlight w:val="none"/>
        </w:rPr>
      </w:pPr>
      <w:r>
        <w:rPr>
          <w:rFonts w:hint="eastAsia" w:ascii="宋体" w:hAnsi="宋体"/>
          <w:b/>
          <w:color w:val="auto"/>
          <w:highlight w:val="none"/>
        </w:rPr>
        <w:t>六、公告期限</w:t>
      </w:r>
      <w:bookmarkEnd w:id="40"/>
      <w:bookmarkEnd w:id="41"/>
      <w:bookmarkEnd w:id="42"/>
      <w:bookmarkEnd w:id="43"/>
    </w:p>
    <w:p w14:paraId="199FA40B">
      <w:pPr>
        <w:spacing w:line="440" w:lineRule="exact"/>
        <w:ind w:firstLine="420" w:firstLineChars="200"/>
        <w:rPr>
          <w:rFonts w:ascii="宋体" w:hAnsi="宋体"/>
          <w:color w:val="auto"/>
          <w:highlight w:val="none"/>
        </w:rPr>
      </w:pPr>
      <w:r>
        <w:rPr>
          <w:rFonts w:hint="eastAsia" w:ascii="宋体" w:hAnsi="宋体"/>
          <w:color w:val="auto"/>
          <w:highlight w:val="none"/>
        </w:rPr>
        <w:t>自本公告发布之日起5个工作日。</w:t>
      </w:r>
    </w:p>
    <w:p w14:paraId="44133AB3">
      <w:pPr>
        <w:spacing w:beforeLines="30" w:line="440" w:lineRule="exact"/>
        <w:rPr>
          <w:rFonts w:ascii="宋体" w:hAnsi="宋体"/>
          <w:b/>
          <w:color w:val="auto"/>
          <w:highlight w:val="none"/>
        </w:rPr>
      </w:pPr>
      <w:bookmarkStart w:id="44" w:name="_Toc35393635"/>
      <w:bookmarkStart w:id="45" w:name="_Toc35393804"/>
      <w:r>
        <w:rPr>
          <w:rFonts w:hint="eastAsia" w:ascii="宋体" w:hAnsi="宋体"/>
          <w:b/>
          <w:color w:val="auto"/>
          <w:highlight w:val="none"/>
        </w:rPr>
        <w:t>七、其他补充事宜</w:t>
      </w:r>
      <w:bookmarkEnd w:id="44"/>
      <w:bookmarkEnd w:id="45"/>
    </w:p>
    <w:p w14:paraId="5D882337">
      <w:pPr>
        <w:spacing w:line="440" w:lineRule="exact"/>
        <w:ind w:firstLine="420" w:firstLineChars="200"/>
        <w:rPr>
          <w:rFonts w:ascii="宋体" w:hAnsi="宋体"/>
          <w:color w:val="auto"/>
          <w:szCs w:val="21"/>
          <w:highlight w:val="none"/>
        </w:rPr>
      </w:pPr>
      <w:bookmarkStart w:id="46" w:name="OLE_LINK39"/>
      <w:bookmarkStart w:id="47" w:name="OLE_LINK40"/>
      <w:r>
        <w:rPr>
          <w:rFonts w:hint="eastAsia" w:ascii="宋体" w:hAnsi="宋体"/>
          <w:color w:val="auto"/>
          <w:szCs w:val="21"/>
          <w:highlight w:val="none"/>
        </w:rPr>
        <w:t>本项目采购信息公告发布媒体</w:t>
      </w:r>
      <w:r>
        <w:rPr>
          <w:rFonts w:ascii="宋体" w:hAnsi="宋体"/>
          <w:color w:val="auto"/>
          <w:szCs w:val="21"/>
          <w:highlight w:val="none"/>
        </w:rPr>
        <w:t>：中国政府采购网</w:t>
      </w:r>
      <w:r>
        <w:rPr>
          <w:rFonts w:hint="eastAsia" w:ascii="宋体" w:hAnsi="宋体"/>
          <w:color w:val="auto"/>
          <w:szCs w:val="21"/>
          <w:highlight w:val="none"/>
        </w:rPr>
        <w:t>、广西壮族自治区</w:t>
      </w:r>
      <w:r>
        <w:rPr>
          <w:rFonts w:ascii="宋体" w:hAnsi="宋体"/>
          <w:color w:val="auto"/>
          <w:szCs w:val="21"/>
          <w:highlight w:val="none"/>
        </w:rPr>
        <w:t>政府采购网、</w:t>
      </w:r>
      <w:r>
        <w:rPr>
          <w:rFonts w:ascii="宋体" w:hAnsi="宋体"/>
          <w:color w:val="auto"/>
          <w:highlight w:val="none"/>
        </w:rPr>
        <w:t>梧州市政府采购网</w:t>
      </w:r>
      <w:r>
        <w:rPr>
          <w:rFonts w:hint="eastAsia" w:ascii="宋体" w:hAnsi="宋体"/>
          <w:color w:val="auto"/>
          <w:szCs w:val="21"/>
          <w:highlight w:val="none"/>
        </w:rPr>
        <w:t>、广西建基项目管理顾问有限公司网</w:t>
      </w:r>
    </w:p>
    <w:bookmarkEnd w:id="46"/>
    <w:bookmarkEnd w:id="47"/>
    <w:p w14:paraId="45BC9B0F">
      <w:pPr>
        <w:spacing w:beforeLines="30" w:line="440" w:lineRule="exact"/>
        <w:rPr>
          <w:rFonts w:ascii="宋体" w:hAnsi="宋体"/>
          <w:b/>
          <w:color w:val="auto"/>
          <w:highlight w:val="none"/>
        </w:rPr>
      </w:pPr>
      <w:bookmarkStart w:id="48" w:name="_Toc35393805"/>
      <w:bookmarkStart w:id="49" w:name="_Toc28359018"/>
      <w:bookmarkStart w:id="50" w:name="_Toc35393636"/>
      <w:bookmarkStart w:id="51" w:name="_Toc28359095"/>
      <w:r>
        <w:rPr>
          <w:rFonts w:hint="eastAsia" w:ascii="宋体" w:hAnsi="宋体"/>
          <w:b/>
          <w:color w:val="auto"/>
          <w:highlight w:val="none"/>
        </w:rPr>
        <w:t>八、凡对本次采购提出询问，请按</w:t>
      </w:r>
      <w:r>
        <w:rPr>
          <w:rFonts w:ascii="宋体" w:hAnsi="宋体"/>
          <w:b/>
          <w:color w:val="auto"/>
          <w:highlight w:val="none"/>
        </w:rPr>
        <w:t>以下方式</w:t>
      </w:r>
      <w:r>
        <w:rPr>
          <w:rFonts w:hint="eastAsia" w:ascii="宋体" w:hAnsi="宋体"/>
          <w:b/>
          <w:color w:val="auto"/>
          <w:highlight w:val="none"/>
        </w:rPr>
        <w:t>联系</w:t>
      </w:r>
      <w:bookmarkEnd w:id="48"/>
      <w:bookmarkEnd w:id="49"/>
      <w:bookmarkEnd w:id="50"/>
      <w:bookmarkEnd w:id="51"/>
    </w:p>
    <w:p w14:paraId="0F24E23B">
      <w:pPr>
        <w:spacing w:line="440" w:lineRule="exact"/>
        <w:rPr>
          <w:rFonts w:ascii="宋体" w:hAnsi="宋体"/>
          <w:color w:val="auto"/>
          <w:highlight w:val="none"/>
        </w:rPr>
      </w:pPr>
      <w:r>
        <w:rPr>
          <w:rFonts w:hint="eastAsia" w:ascii="宋体" w:hAnsi="宋体"/>
          <w:b/>
          <w:color w:val="auto"/>
          <w:highlight w:val="none"/>
        </w:rPr>
        <w:t>1</w:t>
      </w:r>
      <w:r>
        <w:rPr>
          <w:rFonts w:ascii="宋体" w:hAnsi="宋体"/>
          <w:color w:val="auto"/>
          <w:highlight w:val="none"/>
        </w:rPr>
        <w:t>.</w:t>
      </w:r>
      <w:r>
        <w:rPr>
          <w:rFonts w:hint="eastAsia" w:ascii="宋体" w:hAnsi="宋体"/>
          <w:color w:val="auto"/>
          <w:highlight w:val="none"/>
        </w:rPr>
        <w:t>采购人信息</w:t>
      </w:r>
    </w:p>
    <w:p w14:paraId="61DA38B5">
      <w:pPr>
        <w:spacing w:line="440" w:lineRule="exact"/>
        <w:ind w:firstLine="283" w:firstLineChars="135"/>
        <w:rPr>
          <w:rFonts w:ascii="宋体" w:hAnsi="宋体"/>
          <w:color w:val="auto"/>
          <w:highlight w:val="none"/>
        </w:rPr>
      </w:pPr>
      <w:r>
        <w:rPr>
          <w:rFonts w:hint="eastAsia" w:ascii="宋体" w:hAnsi="宋体"/>
          <w:color w:val="auto"/>
          <w:highlight w:val="none"/>
        </w:rPr>
        <w:t xml:space="preserve">名    称：梧州市工人医院 </w:t>
      </w:r>
    </w:p>
    <w:p w14:paraId="0E3AB84B">
      <w:pPr>
        <w:spacing w:line="440" w:lineRule="exact"/>
        <w:ind w:firstLine="283" w:firstLineChars="135"/>
        <w:rPr>
          <w:rFonts w:ascii="宋体" w:hAnsi="宋体"/>
          <w:color w:val="auto"/>
          <w:highlight w:val="none"/>
        </w:rPr>
      </w:pPr>
      <w:r>
        <w:rPr>
          <w:rFonts w:hint="eastAsia" w:ascii="宋体" w:hAnsi="宋体"/>
          <w:color w:val="auto"/>
          <w:highlight w:val="none"/>
        </w:rPr>
        <w:t>地    址：</w:t>
      </w:r>
      <w:bookmarkStart w:id="52" w:name="OLE_LINK41"/>
      <w:bookmarkStart w:id="53" w:name="OLE_LINK42"/>
      <w:r>
        <w:rPr>
          <w:rFonts w:hint="eastAsia" w:ascii="宋体" w:hAnsi="宋体"/>
          <w:color w:val="auto"/>
          <w:highlight w:val="none"/>
        </w:rPr>
        <w:t>梧州市高地路南三巷一号</w:t>
      </w:r>
      <w:bookmarkEnd w:id="52"/>
      <w:bookmarkEnd w:id="53"/>
    </w:p>
    <w:p w14:paraId="030B9B80">
      <w:pPr>
        <w:spacing w:line="440" w:lineRule="exact"/>
        <w:ind w:firstLine="283" w:firstLineChars="135"/>
        <w:rPr>
          <w:rFonts w:ascii="宋体" w:hAnsi="宋体"/>
          <w:color w:val="auto"/>
          <w:highlight w:val="none"/>
        </w:rPr>
      </w:pPr>
      <w:r>
        <w:rPr>
          <w:rFonts w:hint="eastAsia" w:ascii="宋体" w:hAnsi="宋体"/>
          <w:color w:val="auto"/>
          <w:highlight w:val="none"/>
        </w:rPr>
        <w:t>项目联系人：叶先生</w:t>
      </w:r>
    </w:p>
    <w:p w14:paraId="3D1E0AAC">
      <w:pPr>
        <w:spacing w:line="440" w:lineRule="exact"/>
        <w:ind w:firstLine="283" w:firstLineChars="135"/>
        <w:rPr>
          <w:rFonts w:ascii="宋体" w:hAnsi="宋体"/>
          <w:color w:val="auto"/>
          <w:highlight w:val="none"/>
        </w:rPr>
      </w:pPr>
      <w:r>
        <w:rPr>
          <w:rFonts w:hint="eastAsia" w:ascii="宋体" w:hAnsi="宋体"/>
          <w:color w:val="auto"/>
          <w:highlight w:val="none"/>
        </w:rPr>
        <w:t>项目联系方式：0774－2030686</w:t>
      </w:r>
    </w:p>
    <w:p w14:paraId="12BD5FD9">
      <w:pPr>
        <w:spacing w:line="440" w:lineRule="exact"/>
        <w:rPr>
          <w:rFonts w:ascii="宋体" w:hAnsi="宋体"/>
          <w:color w:val="auto"/>
          <w:highlight w:val="none"/>
        </w:rPr>
      </w:pPr>
      <w:r>
        <w:rPr>
          <w:rFonts w:hint="eastAsia" w:ascii="宋体" w:hAnsi="宋体"/>
          <w:b/>
          <w:color w:val="auto"/>
          <w:highlight w:val="none"/>
        </w:rPr>
        <w:t>2</w:t>
      </w:r>
      <w:r>
        <w:rPr>
          <w:rFonts w:ascii="宋体" w:hAnsi="宋体"/>
          <w:color w:val="auto"/>
          <w:highlight w:val="none"/>
        </w:rPr>
        <w:t>.</w:t>
      </w:r>
      <w:r>
        <w:rPr>
          <w:rFonts w:hint="eastAsia" w:ascii="宋体" w:hAnsi="宋体"/>
          <w:color w:val="auto"/>
          <w:highlight w:val="none"/>
        </w:rPr>
        <w:t>采购代理机构信息</w:t>
      </w:r>
    </w:p>
    <w:p w14:paraId="42A4CB7E">
      <w:pPr>
        <w:spacing w:line="440" w:lineRule="exact"/>
        <w:ind w:firstLine="283" w:firstLineChars="135"/>
        <w:rPr>
          <w:rFonts w:ascii="宋体" w:hAnsi="宋体"/>
          <w:color w:val="auto"/>
          <w:highlight w:val="none"/>
        </w:rPr>
      </w:pPr>
      <w:r>
        <w:rPr>
          <w:rFonts w:hint="eastAsia" w:ascii="宋体" w:hAnsi="宋体"/>
          <w:color w:val="auto"/>
          <w:highlight w:val="none"/>
        </w:rPr>
        <w:t>名    称：</w:t>
      </w:r>
      <w:r>
        <w:rPr>
          <w:rFonts w:hint="eastAsia" w:ascii="宋体" w:hAnsi="宋体"/>
          <w:color w:val="auto"/>
          <w:szCs w:val="21"/>
          <w:highlight w:val="none"/>
        </w:rPr>
        <w:t>广西建基项目管理顾问有限公司</w:t>
      </w:r>
    </w:p>
    <w:p w14:paraId="18BC3D89">
      <w:pPr>
        <w:spacing w:line="440" w:lineRule="exact"/>
        <w:ind w:firstLine="283" w:firstLineChars="135"/>
        <w:rPr>
          <w:rFonts w:ascii="宋体" w:hAnsi="宋体"/>
          <w:color w:val="auto"/>
          <w:highlight w:val="none"/>
        </w:rPr>
      </w:pPr>
      <w:r>
        <w:rPr>
          <w:rFonts w:hint="eastAsia" w:ascii="宋体" w:hAnsi="宋体"/>
          <w:color w:val="auto"/>
          <w:highlight w:val="none"/>
        </w:rPr>
        <w:t>地    址：</w:t>
      </w:r>
      <w:bookmarkStart w:id="54" w:name="OLE_LINK43"/>
      <w:r>
        <w:rPr>
          <w:rFonts w:hint="eastAsia" w:ascii="宋体" w:hAnsi="宋体"/>
          <w:color w:val="auto"/>
          <w:highlight w:val="none"/>
        </w:rPr>
        <w:t>梧州市新兴三路30号神冠豪都B栋2单元2203房</w:t>
      </w:r>
      <w:bookmarkEnd w:id="54"/>
    </w:p>
    <w:p w14:paraId="79D0DC02">
      <w:pPr>
        <w:spacing w:line="440" w:lineRule="exact"/>
        <w:ind w:firstLine="283" w:firstLineChars="135"/>
        <w:rPr>
          <w:rFonts w:ascii="宋体" w:hAnsi="宋体"/>
          <w:color w:val="auto"/>
          <w:highlight w:val="none"/>
        </w:rPr>
      </w:pPr>
      <w:r>
        <w:rPr>
          <w:rFonts w:hint="eastAsia" w:ascii="宋体" w:hAnsi="宋体"/>
          <w:color w:val="auto"/>
          <w:highlight w:val="none"/>
        </w:rPr>
        <w:t>项目联系人：黎工</w:t>
      </w:r>
    </w:p>
    <w:p w14:paraId="429E6C04">
      <w:pPr>
        <w:spacing w:line="440" w:lineRule="exact"/>
        <w:ind w:firstLine="283" w:firstLineChars="135"/>
        <w:rPr>
          <w:rFonts w:ascii="宋体" w:hAnsi="宋体"/>
          <w:color w:val="auto"/>
          <w:highlight w:val="none"/>
        </w:rPr>
      </w:pPr>
      <w:r>
        <w:rPr>
          <w:rFonts w:hint="eastAsia" w:ascii="宋体" w:hAnsi="宋体"/>
          <w:color w:val="auto"/>
          <w:highlight w:val="none"/>
        </w:rPr>
        <w:t>项目联系方式：</w:t>
      </w:r>
      <w:bookmarkStart w:id="55" w:name="OLE_LINK44"/>
      <w:r>
        <w:rPr>
          <w:rFonts w:hint="eastAsia" w:ascii="宋体" w:hAnsi="宋体"/>
          <w:color w:val="auto"/>
          <w:highlight w:val="none"/>
        </w:rPr>
        <w:t>0774-3818238</w:t>
      </w:r>
      <w:bookmarkEnd w:id="55"/>
    </w:p>
    <w:p w14:paraId="20B2F4A0">
      <w:pPr>
        <w:pStyle w:val="14"/>
        <w:spacing w:line="440" w:lineRule="exact"/>
        <w:rPr>
          <w:rFonts w:hAnsi="宋体"/>
          <w:color w:val="auto"/>
          <w:szCs w:val="21"/>
          <w:highlight w:val="none"/>
        </w:rPr>
      </w:pPr>
    </w:p>
    <w:p w14:paraId="29727D99">
      <w:pPr>
        <w:pStyle w:val="14"/>
        <w:spacing w:line="400" w:lineRule="exact"/>
        <w:rPr>
          <w:rFonts w:hAnsi="宋体"/>
          <w:b/>
          <w:color w:val="auto"/>
          <w:highlight w:val="none"/>
        </w:rPr>
      </w:pPr>
    </w:p>
    <w:p w14:paraId="0923E3C7">
      <w:pPr>
        <w:pStyle w:val="14"/>
        <w:spacing w:line="400" w:lineRule="exact"/>
        <w:rPr>
          <w:rFonts w:hAnsi="宋体"/>
          <w:b/>
          <w:color w:val="auto"/>
          <w:highlight w:val="none"/>
        </w:rPr>
      </w:pPr>
    </w:p>
    <w:p w14:paraId="778D1BB5">
      <w:pPr>
        <w:pStyle w:val="14"/>
        <w:spacing w:line="400" w:lineRule="exact"/>
        <w:rPr>
          <w:rFonts w:hAnsi="宋体"/>
          <w:b/>
          <w:color w:val="auto"/>
          <w:highlight w:val="none"/>
        </w:rPr>
      </w:pPr>
    </w:p>
    <w:p w14:paraId="47D27FB4">
      <w:pPr>
        <w:pStyle w:val="14"/>
        <w:spacing w:line="400" w:lineRule="exact"/>
        <w:rPr>
          <w:rFonts w:hAnsi="宋体"/>
          <w:b/>
          <w:color w:val="auto"/>
          <w:highlight w:val="none"/>
        </w:rPr>
      </w:pPr>
    </w:p>
    <w:p w14:paraId="5B07B2B1">
      <w:pPr>
        <w:pStyle w:val="14"/>
        <w:spacing w:line="400" w:lineRule="exact"/>
        <w:rPr>
          <w:rFonts w:hAnsi="宋体"/>
          <w:b/>
          <w:color w:val="auto"/>
          <w:highlight w:val="none"/>
        </w:rPr>
      </w:pPr>
    </w:p>
    <w:p w14:paraId="7FA4383D">
      <w:pPr>
        <w:pStyle w:val="14"/>
        <w:spacing w:line="400" w:lineRule="exact"/>
        <w:rPr>
          <w:rFonts w:hAnsi="宋体"/>
          <w:b/>
          <w:color w:val="auto"/>
          <w:highlight w:val="none"/>
        </w:rPr>
      </w:pPr>
    </w:p>
    <w:p w14:paraId="776F7C65">
      <w:pPr>
        <w:pStyle w:val="14"/>
        <w:spacing w:line="400" w:lineRule="exact"/>
        <w:rPr>
          <w:rFonts w:hAnsi="宋体"/>
          <w:b/>
          <w:color w:val="auto"/>
          <w:highlight w:val="none"/>
        </w:rPr>
      </w:pPr>
    </w:p>
    <w:p w14:paraId="0B45607B">
      <w:pPr>
        <w:rPr>
          <w:rFonts w:hAnsi="宋体"/>
          <w:b/>
          <w:color w:val="auto"/>
          <w:highlight w:val="none"/>
        </w:rPr>
      </w:pPr>
      <w:r>
        <w:rPr>
          <w:rFonts w:hAnsi="宋体"/>
          <w:b/>
          <w:color w:val="auto"/>
          <w:highlight w:val="none"/>
        </w:rPr>
        <w:br w:type="page"/>
      </w:r>
    </w:p>
    <w:p w14:paraId="33681B4F">
      <w:pPr>
        <w:pStyle w:val="2"/>
        <w:rPr>
          <w:color w:val="auto"/>
          <w:highlight w:val="none"/>
        </w:rPr>
      </w:pPr>
    </w:p>
    <w:p w14:paraId="30A063AD">
      <w:pPr>
        <w:pStyle w:val="14"/>
        <w:spacing w:line="400" w:lineRule="exact"/>
        <w:rPr>
          <w:rFonts w:hAnsi="宋体"/>
          <w:b/>
          <w:color w:val="auto"/>
          <w:highlight w:val="none"/>
        </w:rPr>
      </w:pPr>
    </w:p>
    <w:p w14:paraId="7ED08E25">
      <w:pPr>
        <w:pStyle w:val="2"/>
        <w:jc w:val="center"/>
        <w:rPr>
          <w:rFonts w:ascii="宋体" w:hAnsi="宋体"/>
          <w:bCs/>
          <w:color w:val="auto"/>
          <w:sz w:val="44"/>
          <w:highlight w:val="none"/>
        </w:rPr>
      </w:pPr>
      <w:bookmarkStart w:id="56" w:name="_Toc64706755"/>
      <w:r>
        <w:rPr>
          <w:rFonts w:hint="eastAsia" w:ascii="宋体" w:hAnsi="宋体"/>
          <w:bCs/>
          <w:color w:val="auto"/>
          <w:sz w:val="44"/>
          <w:highlight w:val="none"/>
        </w:rPr>
        <w:t>第二章  供应商须知</w:t>
      </w:r>
      <w:bookmarkEnd w:id="56"/>
    </w:p>
    <w:p w14:paraId="2D50664E">
      <w:pPr>
        <w:pStyle w:val="14"/>
        <w:spacing w:line="400" w:lineRule="exact"/>
        <w:rPr>
          <w:rFonts w:hAnsi="宋体"/>
          <w:b/>
          <w:color w:val="auto"/>
          <w:highlight w:val="none"/>
        </w:rPr>
      </w:pPr>
    </w:p>
    <w:p w14:paraId="0B61CF33">
      <w:pPr>
        <w:pStyle w:val="14"/>
        <w:spacing w:line="400" w:lineRule="exact"/>
        <w:rPr>
          <w:rFonts w:hAnsi="宋体"/>
          <w:b/>
          <w:color w:val="auto"/>
          <w:highlight w:val="none"/>
        </w:rPr>
      </w:pPr>
    </w:p>
    <w:p w14:paraId="1EB0320C">
      <w:pPr>
        <w:pStyle w:val="47"/>
        <w:spacing w:line="140" w:lineRule="exact"/>
        <w:rPr>
          <w:rFonts w:hAnsi="宋体"/>
          <w:color w:val="auto"/>
          <w:sz w:val="32"/>
          <w:highlight w:val="none"/>
        </w:rPr>
      </w:pPr>
      <w:r>
        <w:rPr>
          <w:rFonts w:hAnsi="宋体"/>
          <w:color w:val="auto"/>
          <w:sz w:val="30"/>
          <w:szCs w:val="30"/>
          <w:highlight w:val="none"/>
        </w:rPr>
        <w:br w:type="page"/>
      </w:r>
    </w:p>
    <w:p w14:paraId="7ACB304D">
      <w:pPr>
        <w:pStyle w:val="47"/>
        <w:spacing w:line="140" w:lineRule="exact"/>
        <w:rPr>
          <w:rFonts w:hAnsi="宋体"/>
          <w:color w:val="auto"/>
          <w:sz w:val="32"/>
          <w:highlight w:val="none"/>
        </w:rPr>
      </w:pPr>
      <w:bookmarkStart w:id="57" w:name="_Toc230578055"/>
      <w:bookmarkStart w:id="58" w:name="_Toc185702547"/>
      <w:bookmarkStart w:id="59" w:name="_Toc239839861"/>
      <w:bookmarkStart w:id="60" w:name="_Toc16068265"/>
      <w:bookmarkStart w:id="61" w:name="_Toc207770833"/>
      <w:bookmarkStart w:id="62" w:name="_Toc206525680"/>
    </w:p>
    <w:p w14:paraId="60F6F9D2">
      <w:pPr>
        <w:pStyle w:val="2"/>
        <w:spacing w:line="360" w:lineRule="exact"/>
        <w:jc w:val="center"/>
        <w:rPr>
          <w:rFonts w:ascii="宋体" w:hAnsi="宋体"/>
          <w:bCs/>
          <w:color w:val="auto"/>
          <w:sz w:val="32"/>
          <w:highlight w:val="none"/>
        </w:rPr>
      </w:pPr>
      <w:bookmarkStart w:id="63" w:name="_Toc64706756"/>
      <w:r>
        <w:rPr>
          <w:rFonts w:hint="eastAsia" w:ascii="宋体" w:hAnsi="宋体"/>
          <w:bCs/>
          <w:color w:val="auto"/>
          <w:sz w:val="32"/>
          <w:highlight w:val="none"/>
        </w:rPr>
        <w:t>供应商须知前附表</w:t>
      </w:r>
      <w:bookmarkEnd w:id="57"/>
      <w:bookmarkEnd w:id="58"/>
      <w:bookmarkEnd w:id="59"/>
      <w:bookmarkEnd w:id="60"/>
      <w:bookmarkEnd w:id="61"/>
      <w:bookmarkEnd w:id="62"/>
      <w:bookmarkEnd w:id="63"/>
    </w:p>
    <w:p w14:paraId="3FE28281">
      <w:pPr>
        <w:pStyle w:val="47"/>
        <w:spacing w:line="140" w:lineRule="exact"/>
        <w:rPr>
          <w:rFonts w:hAnsi="宋体"/>
          <w:color w:val="auto"/>
          <w:sz w:val="32"/>
          <w:highlight w:val="none"/>
        </w:rPr>
      </w:pPr>
    </w:p>
    <w:p w14:paraId="7DF8A002">
      <w:pPr>
        <w:pStyle w:val="47"/>
        <w:spacing w:line="360" w:lineRule="auto"/>
        <w:ind w:firstLine="420" w:firstLineChars="200"/>
        <w:rPr>
          <w:rFonts w:hAnsi="宋体"/>
          <w:color w:val="auto"/>
          <w:szCs w:val="21"/>
          <w:highlight w:val="none"/>
        </w:rPr>
      </w:pPr>
      <w:r>
        <w:rPr>
          <w:rFonts w:hint="eastAsia" w:hAnsi="宋体"/>
          <w:color w:val="auto"/>
          <w:szCs w:val="21"/>
          <w:highlight w:val="none"/>
        </w:rPr>
        <w:t>“供应商须知前附表”是对“供应商须知正文”的具体补充和修改，“前附表”与“正文”内容不一致的，均以“前附表”为准。“■”系指适用本项目的要求，“□”系指不适用本项目的要求。出现多种选项的条款，以“■”表示本条款所选择的方式。</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54"/>
        <w:gridCol w:w="1494"/>
        <w:gridCol w:w="6840"/>
      </w:tblGrid>
      <w:tr w14:paraId="56EA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536" w:type="dxa"/>
            <w:vAlign w:val="center"/>
          </w:tcPr>
          <w:p w14:paraId="5667859A">
            <w:pPr>
              <w:pStyle w:val="47"/>
              <w:snapToGrid w:val="0"/>
              <w:spacing w:line="360" w:lineRule="auto"/>
              <w:ind w:left="-105" w:leftChars="-50" w:right="-105" w:rightChars="-50"/>
              <w:jc w:val="center"/>
              <w:rPr>
                <w:rFonts w:hAnsi="宋体"/>
                <w:b/>
                <w:color w:val="auto"/>
                <w:szCs w:val="21"/>
                <w:highlight w:val="none"/>
              </w:rPr>
            </w:pPr>
            <w:r>
              <w:rPr>
                <w:rFonts w:hint="eastAsia" w:hAnsi="宋体"/>
                <w:b/>
                <w:color w:val="auto"/>
                <w:szCs w:val="21"/>
                <w:highlight w:val="none"/>
              </w:rPr>
              <w:t>序号</w:t>
            </w:r>
          </w:p>
        </w:tc>
        <w:tc>
          <w:tcPr>
            <w:tcW w:w="654" w:type="dxa"/>
            <w:vAlign w:val="center"/>
          </w:tcPr>
          <w:p w14:paraId="1220D16F">
            <w:pPr>
              <w:pStyle w:val="47"/>
              <w:snapToGrid w:val="0"/>
              <w:spacing w:line="360" w:lineRule="auto"/>
              <w:ind w:left="-105" w:leftChars="-50" w:right="-105" w:rightChars="-50"/>
              <w:jc w:val="center"/>
              <w:rPr>
                <w:rFonts w:hAnsi="宋体"/>
                <w:b/>
                <w:color w:val="auto"/>
                <w:szCs w:val="21"/>
                <w:highlight w:val="none"/>
              </w:rPr>
            </w:pPr>
            <w:r>
              <w:rPr>
                <w:rFonts w:hint="eastAsia" w:hAnsi="宋体"/>
                <w:b/>
                <w:color w:val="auto"/>
                <w:szCs w:val="21"/>
                <w:highlight w:val="none"/>
              </w:rPr>
              <w:t>条款号</w:t>
            </w:r>
          </w:p>
        </w:tc>
        <w:tc>
          <w:tcPr>
            <w:tcW w:w="1494" w:type="dxa"/>
            <w:vAlign w:val="center"/>
          </w:tcPr>
          <w:p w14:paraId="799AA201">
            <w:pPr>
              <w:pStyle w:val="47"/>
              <w:snapToGrid w:val="0"/>
              <w:spacing w:line="360" w:lineRule="auto"/>
              <w:jc w:val="center"/>
              <w:rPr>
                <w:rFonts w:hAnsi="宋体"/>
                <w:b/>
                <w:color w:val="auto"/>
                <w:szCs w:val="21"/>
                <w:highlight w:val="none"/>
              </w:rPr>
            </w:pPr>
            <w:r>
              <w:rPr>
                <w:rFonts w:hint="eastAsia" w:hAnsi="宋体"/>
                <w:b/>
                <w:color w:val="auto"/>
                <w:szCs w:val="21"/>
                <w:highlight w:val="none"/>
              </w:rPr>
              <w:t>条款名称</w:t>
            </w:r>
          </w:p>
        </w:tc>
        <w:tc>
          <w:tcPr>
            <w:tcW w:w="6840" w:type="dxa"/>
            <w:vAlign w:val="center"/>
          </w:tcPr>
          <w:p w14:paraId="2944985A">
            <w:pPr>
              <w:pStyle w:val="47"/>
              <w:snapToGrid w:val="0"/>
              <w:spacing w:line="360" w:lineRule="auto"/>
              <w:jc w:val="center"/>
              <w:rPr>
                <w:rFonts w:hAnsi="宋体"/>
                <w:b/>
                <w:color w:val="auto"/>
                <w:szCs w:val="21"/>
                <w:highlight w:val="none"/>
              </w:rPr>
            </w:pPr>
            <w:r>
              <w:rPr>
                <w:rFonts w:hint="eastAsia" w:hAnsi="宋体"/>
                <w:b/>
                <w:color w:val="auto"/>
                <w:szCs w:val="21"/>
                <w:highlight w:val="none"/>
              </w:rPr>
              <w:t>内    容</w:t>
            </w:r>
          </w:p>
        </w:tc>
      </w:tr>
      <w:tr w14:paraId="5CF6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36" w:type="dxa"/>
            <w:vAlign w:val="center"/>
          </w:tcPr>
          <w:p w14:paraId="2AD7AB83">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w:t>
            </w:r>
          </w:p>
        </w:tc>
        <w:tc>
          <w:tcPr>
            <w:tcW w:w="654" w:type="dxa"/>
            <w:vAlign w:val="center"/>
          </w:tcPr>
          <w:p w14:paraId="3325AA0D">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1.1</w:t>
            </w:r>
          </w:p>
        </w:tc>
        <w:tc>
          <w:tcPr>
            <w:tcW w:w="1494" w:type="dxa"/>
            <w:vAlign w:val="center"/>
          </w:tcPr>
          <w:p w14:paraId="3154C482">
            <w:pPr>
              <w:pStyle w:val="14"/>
              <w:snapToGrid w:val="0"/>
              <w:spacing w:line="360" w:lineRule="auto"/>
              <w:jc w:val="center"/>
              <w:rPr>
                <w:rFonts w:hAnsi="宋体"/>
                <w:color w:val="auto"/>
                <w:szCs w:val="21"/>
                <w:highlight w:val="none"/>
              </w:rPr>
            </w:pPr>
            <w:r>
              <w:rPr>
                <w:rFonts w:hint="eastAsia" w:hAnsi="宋体"/>
                <w:color w:val="auto"/>
                <w:szCs w:val="21"/>
                <w:highlight w:val="none"/>
              </w:rPr>
              <w:t>项目名称</w:t>
            </w:r>
          </w:p>
          <w:p w14:paraId="57C38B5D">
            <w:pPr>
              <w:pStyle w:val="14"/>
              <w:snapToGrid w:val="0"/>
              <w:spacing w:line="360" w:lineRule="auto"/>
              <w:jc w:val="center"/>
              <w:rPr>
                <w:rFonts w:hAnsi="宋体"/>
                <w:color w:val="auto"/>
                <w:szCs w:val="21"/>
                <w:highlight w:val="none"/>
              </w:rPr>
            </w:pPr>
            <w:r>
              <w:rPr>
                <w:rFonts w:hint="eastAsia" w:hAnsi="宋体"/>
                <w:color w:val="auto"/>
                <w:szCs w:val="21"/>
                <w:highlight w:val="none"/>
              </w:rPr>
              <w:t>及编号</w:t>
            </w:r>
          </w:p>
        </w:tc>
        <w:tc>
          <w:tcPr>
            <w:tcW w:w="6840" w:type="dxa"/>
            <w:vAlign w:val="center"/>
          </w:tcPr>
          <w:p w14:paraId="3D4A1B9E">
            <w:pPr>
              <w:pStyle w:val="47"/>
              <w:snapToGrid w:val="0"/>
              <w:spacing w:line="360" w:lineRule="auto"/>
              <w:ind w:left="945" w:hanging="945" w:hangingChars="450"/>
              <w:rPr>
                <w:rFonts w:hAnsi="宋体"/>
                <w:color w:val="auto"/>
                <w:szCs w:val="21"/>
                <w:highlight w:val="none"/>
                <w:u w:val="single"/>
              </w:rPr>
            </w:pPr>
            <w:r>
              <w:rPr>
                <w:rFonts w:hint="eastAsia" w:hAnsi="宋体"/>
                <w:color w:val="auto"/>
                <w:szCs w:val="21"/>
                <w:highlight w:val="none"/>
              </w:rPr>
              <w:t>项目名称：梧州市工人医院保险服务（重3）</w:t>
            </w:r>
          </w:p>
          <w:p w14:paraId="3CCA8555">
            <w:pPr>
              <w:pStyle w:val="47"/>
              <w:snapToGrid w:val="0"/>
              <w:spacing w:line="360" w:lineRule="auto"/>
              <w:rPr>
                <w:rFonts w:hAnsi="宋体"/>
                <w:color w:val="auto"/>
                <w:szCs w:val="21"/>
                <w:highlight w:val="none"/>
              </w:rPr>
            </w:pPr>
            <w:r>
              <w:rPr>
                <w:rFonts w:hint="eastAsia" w:hAnsi="宋体"/>
                <w:color w:val="auto"/>
                <w:szCs w:val="21"/>
                <w:highlight w:val="none"/>
              </w:rPr>
              <w:t>项目编号：WZZC2026-C3-990207-GXJJ</w:t>
            </w:r>
          </w:p>
          <w:p w14:paraId="769F0E17">
            <w:pPr>
              <w:pStyle w:val="14"/>
              <w:snapToGrid w:val="0"/>
              <w:spacing w:line="360" w:lineRule="auto"/>
              <w:rPr>
                <w:rFonts w:hAnsi="宋体"/>
                <w:color w:val="auto"/>
                <w:szCs w:val="21"/>
                <w:highlight w:val="none"/>
              </w:rPr>
            </w:pPr>
            <w:r>
              <w:rPr>
                <w:rFonts w:hint="eastAsia" w:hAnsi="宋体"/>
                <w:color w:val="auto"/>
                <w:szCs w:val="21"/>
                <w:highlight w:val="none"/>
              </w:rPr>
              <w:t>采购内容及要求：</w:t>
            </w:r>
            <w:r>
              <w:rPr>
                <w:rFonts w:hint="eastAsia" w:hAnsi="宋体" w:cs="宋体"/>
                <w:color w:val="auto"/>
                <w:highlight w:val="none"/>
              </w:rPr>
              <w:t>具体详见竞争性磋商文件第三章</w:t>
            </w:r>
            <w:r>
              <w:rPr>
                <w:rFonts w:hint="eastAsia" w:hAnsi="宋体" w:cs="仿宋"/>
                <w:color w:val="auto"/>
                <w:szCs w:val="21"/>
                <w:highlight w:val="none"/>
              </w:rPr>
              <w:t>。</w:t>
            </w:r>
          </w:p>
          <w:p w14:paraId="443716BF">
            <w:pPr>
              <w:pStyle w:val="14"/>
              <w:snapToGrid w:val="0"/>
              <w:spacing w:line="360" w:lineRule="auto"/>
              <w:rPr>
                <w:rFonts w:hAnsi="宋体"/>
                <w:color w:val="auto"/>
                <w:szCs w:val="21"/>
                <w:highlight w:val="none"/>
              </w:rPr>
            </w:pPr>
            <w:r>
              <w:rPr>
                <w:rFonts w:hint="eastAsia" w:hAnsi="宋体"/>
                <w:color w:val="auto"/>
                <w:highlight w:val="none"/>
              </w:rPr>
              <w:t>采购方式：竞争性磋商</w:t>
            </w:r>
          </w:p>
        </w:tc>
      </w:tr>
      <w:tr w14:paraId="2844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536" w:type="dxa"/>
            <w:vAlign w:val="center"/>
          </w:tcPr>
          <w:p w14:paraId="685291DA">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w:t>
            </w:r>
          </w:p>
        </w:tc>
        <w:tc>
          <w:tcPr>
            <w:tcW w:w="654" w:type="dxa"/>
            <w:vAlign w:val="center"/>
          </w:tcPr>
          <w:p w14:paraId="002069B0">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2.1</w:t>
            </w:r>
          </w:p>
        </w:tc>
        <w:tc>
          <w:tcPr>
            <w:tcW w:w="1494" w:type="dxa"/>
            <w:vAlign w:val="center"/>
          </w:tcPr>
          <w:p w14:paraId="2011477A">
            <w:pPr>
              <w:pStyle w:val="47"/>
              <w:snapToGrid w:val="0"/>
              <w:spacing w:line="360" w:lineRule="auto"/>
              <w:jc w:val="center"/>
              <w:rPr>
                <w:rFonts w:hAnsi="宋体"/>
                <w:color w:val="auto"/>
                <w:szCs w:val="21"/>
                <w:highlight w:val="none"/>
              </w:rPr>
            </w:pPr>
            <w:r>
              <w:rPr>
                <w:rFonts w:hint="eastAsia" w:hAnsi="宋体"/>
                <w:color w:val="auto"/>
                <w:szCs w:val="21"/>
                <w:highlight w:val="none"/>
              </w:rPr>
              <w:t>采购人</w:t>
            </w:r>
          </w:p>
        </w:tc>
        <w:tc>
          <w:tcPr>
            <w:tcW w:w="6840" w:type="dxa"/>
            <w:vAlign w:val="center"/>
          </w:tcPr>
          <w:p w14:paraId="1AAEB1D2">
            <w:pPr>
              <w:pStyle w:val="47"/>
              <w:snapToGrid w:val="0"/>
              <w:spacing w:line="360" w:lineRule="auto"/>
              <w:rPr>
                <w:rFonts w:hAnsi="宋体"/>
                <w:color w:val="auto"/>
                <w:szCs w:val="21"/>
                <w:highlight w:val="none"/>
              </w:rPr>
            </w:pPr>
            <w:r>
              <w:rPr>
                <w:rFonts w:hint="eastAsia" w:hAnsi="宋体"/>
                <w:color w:val="auto"/>
                <w:szCs w:val="21"/>
                <w:highlight w:val="none"/>
              </w:rPr>
              <w:t xml:space="preserve">名    称：梧州市工人医院 </w:t>
            </w:r>
          </w:p>
          <w:p w14:paraId="317A4714">
            <w:pPr>
              <w:pStyle w:val="47"/>
              <w:snapToGrid w:val="0"/>
              <w:spacing w:line="360" w:lineRule="auto"/>
              <w:ind w:left="945" w:hanging="945" w:hangingChars="450"/>
              <w:rPr>
                <w:rFonts w:hAnsi="宋体"/>
                <w:color w:val="auto"/>
                <w:szCs w:val="21"/>
                <w:highlight w:val="none"/>
              </w:rPr>
            </w:pPr>
            <w:r>
              <w:rPr>
                <w:rFonts w:hint="eastAsia" w:hAnsi="宋体"/>
                <w:color w:val="auto"/>
                <w:szCs w:val="21"/>
                <w:highlight w:val="none"/>
              </w:rPr>
              <w:t>地    址：梧州市高地路南三巷一号</w:t>
            </w:r>
          </w:p>
          <w:p w14:paraId="3BAABEDA">
            <w:pPr>
              <w:pStyle w:val="47"/>
              <w:snapToGrid w:val="0"/>
              <w:spacing w:line="360" w:lineRule="auto"/>
              <w:rPr>
                <w:rFonts w:hAnsi="宋体"/>
                <w:color w:val="auto"/>
                <w:szCs w:val="21"/>
                <w:highlight w:val="none"/>
              </w:rPr>
            </w:pPr>
            <w:r>
              <w:rPr>
                <w:rFonts w:hint="eastAsia" w:hAnsi="宋体"/>
                <w:color w:val="auto"/>
                <w:szCs w:val="21"/>
                <w:highlight w:val="none"/>
              </w:rPr>
              <w:t>项目联系人：叶先生</w:t>
            </w:r>
          </w:p>
          <w:p w14:paraId="73BA2731">
            <w:pPr>
              <w:pStyle w:val="47"/>
              <w:snapToGrid w:val="0"/>
              <w:spacing w:line="360" w:lineRule="auto"/>
              <w:rPr>
                <w:rFonts w:hAnsi="宋体"/>
                <w:color w:val="auto"/>
                <w:szCs w:val="21"/>
                <w:highlight w:val="none"/>
              </w:rPr>
            </w:pPr>
            <w:r>
              <w:rPr>
                <w:rFonts w:hint="eastAsia" w:hAnsi="宋体"/>
                <w:color w:val="auto"/>
                <w:szCs w:val="21"/>
                <w:highlight w:val="none"/>
              </w:rPr>
              <w:t>项目联系方式：0774－2030686</w:t>
            </w:r>
          </w:p>
        </w:tc>
      </w:tr>
      <w:tr w14:paraId="3F4E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536" w:type="dxa"/>
            <w:vAlign w:val="center"/>
          </w:tcPr>
          <w:p w14:paraId="40F4AB83">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3</w:t>
            </w:r>
          </w:p>
        </w:tc>
        <w:tc>
          <w:tcPr>
            <w:tcW w:w="654" w:type="dxa"/>
            <w:vAlign w:val="center"/>
          </w:tcPr>
          <w:p w14:paraId="28F6587E">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2.2</w:t>
            </w:r>
          </w:p>
        </w:tc>
        <w:tc>
          <w:tcPr>
            <w:tcW w:w="1494" w:type="dxa"/>
            <w:vAlign w:val="center"/>
          </w:tcPr>
          <w:p w14:paraId="2B868B1C">
            <w:pPr>
              <w:pStyle w:val="47"/>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采购代理机构</w:t>
            </w:r>
          </w:p>
        </w:tc>
        <w:tc>
          <w:tcPr>
            <w:tcW w:w="6840" w:type="dxa"/>
            <w:vAlign w:val="center"/>
          </w:tcPr>
          <w:p w14:paraId="2F69398D">
            <w:pPr>
              <w:pStyle w:val="47"/>
              <w:snapToGrid w:val="0"/>
              <w:spacing w:line="360" w:lineRule="auto"/>
              <w:rPr>
                <w:rFonts w:hAnsi="宋体"/>
                <w:color w:val="auto"/>
                <w:szCs w:val="21"/>
                <w:highlight w:val="none"/>
              </w:rPr>
            </w:pPr>
            <w:r>
              <w:rPr>
                <w:rFonts w:hint="eastAsia" w:hAnsi="宋体"/>
                <w:color w:val="auto"/>
                <w:szCs w:val="21"/>
                <w:highlight w:val="none"/>
              </w:rPr>
              <w:t>名    称：广西建基项目管理顾问有限公司</w:t>
            </w:r>
          </w:p>
          <w:p w14:paraId="3078D6AA">
            <w:pPr>
              <w:pStyle w:val="47"/>
              <w:snapToGrid w:val="0"/>
              <w:spacing w:line="360" w:lineRule="auto"/>
              <w:rPr>
                <w:rFonts w:hAnsi="宋体"/>
                <w:color w:val="auto"/>
                <w:szCs w:val="21"/>
                <w:highlight w:val="none"/>
              </w:rPr>
            </w:pPr>
            <w:r>
              <w:rPr>
                <w:rFonts w:hint="eastAsia" w:hAnsi="宋体"/>
                <w:color w:val="auto"/>
                <w:szCs w:val="21"/>
                <w:highlight w:val="none"/>
              </w:rPr>
              <w:t>地    址：梧州市新兴三路30号神冠豪都B栋2单元2203房</w:t>
            </w:r>
          </w:p>
          <w:p w14:paraId="32535D29">
            <w:pPr>
              <w:pStyle w:val="47"/>
              <w:snapToGrid w:val="0"/>
              <w:spacing w:line="360" w:lineRule="auto"/>
              <w:rPr>
                <w:rFonts w:hAnsi="宋体"/>
                <w:color w:val="auto"/>
                <w:szCs w:val="21"/>
                <w:highlight w:val="none"/>
              </w:rPr>
            </w:pPr>
            <w:r>
              <w:rPr>
                <w:rFonts w:hint="eastAsia" w:hAnsi="宋体"/>
                <w:color w:val="auto"/>
                <w:szCs w:val="21"/>
                <w:highlight w:val="none"/>
              </w:rPr>
              <w:t>项目联系人：黎工</w:t>
            </w:r>
          </w:p>
          <w:p w14:paraId="20BE3BE1">
            <w:pPr>
              <w:pStyle w:val="47"/>
              <w:snapToGrid w:val="0"/>
              <w:spacing w:line="360" w:lineRule="auto"/>
              <w:rPr>
                <w:rFonts w:hAnsi="宋体"/>
                <w:color w:val="auto"/>
                <w:highlight w:val="none"/>
              </w:rPr>
            </w:pPr>
            <w:r>
              <w:rPr>
                <w:rFonts w:hint="eastAsia" w:hAnsi="宋体"/>
                <w:color w:val="auto"/>
                <w:szCs w:val="21"/>
                <w:highlight w:val="none"/>
              </w:rPr>
              <w:t>项目联系方式：0774-3818238</w:t>
            </w:r>
          </w:p>
        </w:tc>
      </w:tr>
      <w:tr w14:paraId="09E8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36" w:type="dxa"/>
            <w:vAlign w:val="center"/>
          </w:tcPr>
          <w:p w14:paraId="6BFF60E9">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4</w:t>
            </w:r>
          </w:p>
        </w:tc>
        <w:tc>
          <w:tcPr>
            <w:tcW w:w="654" w:type="dxa"/>
            <w:vAlign w:val="center"/>
          </w:tcPr>
          <w:p w14:paraId="4666F120">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2.3</w:t>
            </w:r>
          </w:p>
        </w:tc>
        <w:tc>
          <w:tcPr>
            <w:tcW w:w="1494" w:type="dxa"/>
            <w:vAlign w:val="center"/>
          </w:tcPr>
          <w:p w14:paraId="320B71BF">
            <w:pPr>
              <w:pStyle w:val="47"/>
              <w:snapToGrid w:val="0"/>
              <w:spacing w:line="360" w:lineRule="auto"/>
              <w:jc w:val="center"/>
              <w:rPr>
                <w:rFonts w:hAnsi="宋体"/>
                <w:color w:val="auto"/>
                <w:szCs w:val="21"/>
                <w:highlight w:val="none"/>
              </w:rPr>
            </w:pPr>
            <w:r>
              <w:rPr>
                <w:rFonts w:hint="eastAsia" w:hAnsi="宋体"/>
                <w:color w:val="auto"/>
                <w:szCs w:val="21"/>
                <w:highlight w:val="none"/>
              </w:rPr>
              <w:t>监督管理部门</w:t>
            </w:r>
          </w:p>
        </w:tc>
        <w:tc>
          <w:tcPr>
            <w:tcW w:w="6840" w:type="dxa"/>
            <w:vAlign w:val="center"/>
          </w:tcPr>
          <w:p w14:paraId="075A95B6">
            <w:pPr>
              <w:pStyle w:val="47"/>
              <w:snapToGrid w:val="0"/>
              <w:spacing w:line="360" w:lineRule="auto"/>
              <w:rPr>
                <w:rFonts w:hAnsi="宋体"/>
                <w:color w:val="auto"/>
                <w:szCs w:val="21"/>
                <w:highlight w:val="none"/>
              </w:rPr>
            </w:pPr>
            <w:r>
              <w:rPr>
                <w:rFonts w:hint="eastAsia" w:hAnsi="宋体"/>
                <w:color w:val="auto"/>
                <w:szCs w:val="21"/>
                <w:highlight w:val="none"/>
              </w:rPr>
              <w:t>梧州市财政局政府采购监督管理科（电话：0774-3866434）</w:t>
            </w:r>
          </w:p>
        </w:tc>
      </w:tr>
      <w:tr w14:paraId="5921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536" w:type="dxa"/>
            <w:vAlign w:val="center"/>
          </w:tcPr>
          <w:p w14:paraId="54F6CAB1">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5</w:t>
            </w:r>
          </w:p>
        </w:tc>
        <w:tc>
          <w:tcPr>
            <w:tcW w:w="654" w:type="dxa"/>
            <w:vAlign w:val="center"/>
          </w:tcPr>
          <w:p w14:paraId="67566C98">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5.1</w:t>
            </w:r>
          </w:p>
        </w:tc>
        <w:tc>
          <w:tcPr>
            <w:tcW w:w="1494" w:type="dxa"/>
            <w:vAlign w:val="center"/>
          </w:tcPr>
          <w:p w14:paraId="3072E144">
            <w:pPr>
              <w:pStyle w:val="47"/>
              <w:snapToGrid w:val="0"/>
              <w:spacing w:line="360" w:lineRule="auto"/>
              <w:jc w:val="center"/>
              <w:rPr>
                <w:rFonts w:hAnsi="宋体"/>
                <w:color w:val="auto"/>
                <w:szCs w:val="21"/>
                <w:highlight w:val="none"/>
              </w:rPr>
            </w:pPr>
            <w:r>
              <w:rPr>
                <w:rFonts w:hint="eastAsia" w:hAnsi="宋体"/>
                <w:color w:val="auto"/>
                <w:szCs w:val="21"/>
                <w:highlight w:val="none"/>
              </w:rPr>
              <w:t>磋商供应商资格要求</w:t>
            </w:r>
          </w:p>
        </w:tc>
        <w:tc>
          <w:tcPr>
            <w:tcW w:w="6840" w:type="dxa"/>
            <w:vAlign w:val="center"/>
          </w:tcPr>
          <w:p w14:paraId="511FDD73">
            <w:pPr>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w:t>
            </w:r>
            <w:r>
              <w:rPr>
                <w:rFonts w:hint="eastAsia" w:ascii="宋体" w:hAnsi="宋体"/>
                <w:color w:val="auto"/>
                <w:highlight w:val="none"/>
              </w:rPr>
              <w:t>满足《中华人民共和国政府采购法》第二十二条的规定</w:t>
            </w:r>
          </w:p>
          <w:p w14:paraId="7BAE36ED">
            <w:pPr>
              <w:spacing w:line="360" w:lineRule="auto"/>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color w:val="auto"/>
                <w:szCs w:val="21"/>
                <w:highlight w:val="none"/>
              </w:rPr>
              <w:t>．</w:t>
            </w:r>
            <w:r>
              <w:rPr>
                <w:rFonts w:hint="eastAsia" w:ascii="宋体" w:hAnsi="宋体"/>
                <w:color w:val="auto"/>
                <w:highlight w:val="none"/>
              </w:rPr>
              <w:t>落实政府采购政策需满足的资格要求：无</w:t>
            </w:r>
          </w:p>
          <w:p w14:paraId="347AC1EC">
            <w:pPr>
              <w:spacing w:line="360" w:lineRule="auto"/>
              <w:ind w:firstLine="420" w:firstLineChars="200"/>
              <w:rPr>
                <w:rFonts w:hAnsi="宋体"/>
                <w:color w:val="auto"/>
                <w:szCs w:val="21"/>
                <w:highlight w:val="none"/>
              </w:rPr>
            </w:pPr>
            <w:r>
              <w:rPr>
                <w:rFonts w:hint="eastAsia" w:ascii="宋体" w:hAnsi="宋体"/>
                <w:color w:val="auto"/>
                <w:highlight w:val="none"/>
              </w:rPr>
              <w:t>3</w:t>
            </w:r>
            <w:r>
              <w:rPr>
                <w:rFonts w:hint="eastAsia" w:ascii="宋体" w:hAnsi="宋体"/>
                <w:color w:val="auto"/>
                <w:szCs w:val="21"/>
                <w:highlight w:val="none"/>
              </w:rPr>
              <w:t>．</w:t>
            </w:r>
            <w:r>
              <w:rPr>
                <w:rFonts w:hint="eastAsia" w:ascii="宋体" w:hAnsi="宋体"/>
                <w:color w:val="auto"/>
                <w:highlight w:val="none"/>
              </w:rPr>
              <w:t>本项目的特定资格要求：【分标1、2】：供应商具备有效的《经营保险业务许可证》。</w:t>
            </w:r>
          </w:p>
        </w:tc>
      </w:tr>
      <w:tr w14:paraId="757F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36" w:type="dxa"/>
            <w:vAlign w:val="center"/>
          </w:tcPr>
          <w:p w14:paraId="66B3DAAF">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6</w:t>
            </w:r>
          </w:p>
        </w:tc>
        <w:tc>
          <w:tcPr>
            <w:tcW w:w="654" w:type="dxa"/>
            <w:vAlign w:val="center"/>
          </w:tcPr>
          <w:p w14:paraId="74651AD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5.2</w:t>
            </w:r>
          </w:p>
        </w:tc>
        <w:tc>
          <w:tcPr>
            <w:tcW w:w="1494" w:type="dxa"/>
            <w:vAlign w:val="center"/>
          </w:tcPr>
          <w:p w14:paraId="65E5C9E2">
            <w:pPr>
              <w:pStyle w:val="47"/>
              <w:spacing w:line="360" w:lineRule="auto"/>
              <w:jc w:val="center"/>
              <w:rPr>
                <w:rFonts w:hAnsi="宋体"/>
                <w:color w:val="auto"/>
                <w:szCs w:val="21"/>
                <w:highlight w:val="none"/>
              </w:rPr>
            </w:pPr>
            <w:r>
              <w:rPr>
                <w:rFonts w:hint="eastAsia" w:hAnsi="宋体"/>
                <w:color w:val="auto"/>
                <w:szCs w:val="21"/>
                <w:highlight w:val="none"/>
              </w:rPr>
              <w:t>联合体</w:t>
            </w:r>
          </w:p>
        </w:tc>
        <w:tc>
          <w:tcPr>
            <w:tcW w:w="6840" w:type="dxa"/>
            <w:vAlign w:val="center"/>
          </w:tcPr>
          <w:p w14:paraId="6E9089F4">
            <w:pPr>
              <w:pStyle w:val="47"/>
              <w:spacing w:line="360" w:lineRule="auto"/>
              <w:ind w:left="304" w:hanging="304" w:hangingChars="145"/>
              <w:rPr>
                <w:rFonts w:hAnsi="宋体"/>
                <w:b/>
                <w:color w:val="auto"/>
                <w:kern w:val="0"/>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A </w:t>
            </w:r>
            <w:r>
              <w:rPr>
                <w:rFonts w:hint="eastAsia" w:hAnsi="宋体"/>
                <w:b/>
                <w:color w:val="auto"/>
                <w:kern w:val="0"/>
                <w:szCs w:val="21"/>
                <w:highlight w:val="none"/>
              </w:rPr>
              <w:t>本项目不接受联合体。</w:t>
            </w:r>
          </w:p>
          <w:p w14:paraId="2C0CCC6B">
            <w:pPr>
              <w:pStyle w:val="47"/>
              <w:spacing w:line="360" w:lineRule="auto"/>
              <w:ind w:left="517" w:hanging="517" w:hangingChars="245"/>
              <w:rPr>
                <w:rFonts w:hAnsi="宋体"/>
                <w:color w:val="auto"/>
                <w:szCs w:val="21"/>
                <w:highlight w:val="none"/>
              </w:rPr>
            </w:pPr>
            <w:r>
              <w:rPr>
                <w:rFonts w:hint="eastAsia" w:hAnsi="宋体"/>
                <w:b/>
                <w:color w:val="auto"/>
                <w:szCs w:val="21"/>
                <w:highlight w:val="none"/>
              </w:rPr>
              <w:t xml:space="preserve">□ </w:t>
            </w:r>
            <w:r>
              <w:rPr>
                <w:rFonts w:hint="eastAsia" w:hAnsi="宋体"/>
                <w:b/>
                <w:bCs/>
                <w:color w:val="auto"/>
                <w:szCs w:val="21"/>
                <w:highlight w:val="none"/>
              </w:rPr>
              <w:t xml:space="preserve">B </w:t>
            </w:r>
            <w:r>
              <w:rPr>
                <w:rFonts w:hint="eastAsia" w:hAnsi="宋体"/>
                <w:b/>
                <w:color w:val="auto"/>
                <w:kern w:val="0"/>
                <w:szCs w:val="21"/>
                <w:highlight w:val="none"/>
              </w:rPr>
              <w:t>本项目接受联合体：</w:t>
            </w:r>
            <w:r>
              <w:rPr>
                <w:rFonts w:hAnsi="宋体"/>
                <w:color w:val="auto"/>
                <w:kern w:val="0"/>
                <w:szCs w:val="21"/>
                <w:highlight w:val="none"/>
                <w:u w:val="single"/>
              </w:rPr>
              <w:t xml:space="preserve">  /  </w:t>
            </w:r>
            <w:r>
              <w:rPr>
                <w:rFonts w:hint="eastAsia" w:hAnsi="宋体"/>
                <w:color w:val="auto"/>
                <w:kern w:val="0"/>
                <w:szCs w:val="21"/>
                <w:highlight w:val="none"/>
              </w:rPr>
              <w:t>。</w:t>
            </w:r>
          </w:p>
        </w:tc>
      </w:tr>
      <w:tr w14:paraId="40BF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36" w:type="dxa"/>
            <w:vAlign w:val="center"/>
          </w:tcPr>
          <w:p w14:paraId="548AF8D0">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7</w:t>
            </w:r>
          </w:p>
        </w:tc>
        <w:tc>
          <w:tcPr>
            <w:tcW w:w="654" w:type="dxa"/>
            <w:vAlign w:val="center"/>
          </w:tcPr>
          <w:p w14:paraId="1A2A672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14.1</w:t>
            </w:r>
          </w:p>
        </w:tc>
        <w:tc>
          <w:tcPr>
            <w:tcW w:w="1494" w:type="dxa"/>
            <w:vAlign w:val="center"/>
          </w:tcPr>
          <w:p w14:paraId="00F181FC">
            <w:pPr>
              <w:pStyle w:val="47"/>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响应文件份数</w:t>
            </w:r>
          </w:p>
        </w:tc>
        <w:tc>
          <w:tcPr>
            <w:tcW w:w="6840" w:type="dxa"/>
            <w:vAlign w:val="center"/>
          </w:tcPr>
          <w:p w14:paraId="51AF97A0">
            <w:pPr>
              <w:snapToGrid w:val="0"/>
              <w:spacing w:line="360" w:lineRule="auto"/>
              <w:rPr>
                <w:rFonts w:ascii="宋体" w:hAnsi="宋体"/>
                <w:color w:val="auto"/>
                <w:szCs w:val="21"/>
                <w:highlight w:val="none"/>
              </w:rPr>
            </w:pPr>
            <w:r>
              <w:rPr>
                <w:rFonts w:hint="eastAsia" w:ascii="宋体" w:hAnsi="宋体"/>
                <w:color w:val="auto"/>
                <w:szCs w:val="21"/>
                <w:highlight w:val="none"/>
              </w:rPr>
              <w:t>电子加密响应文件：1份</w:t>
            </w:r>
          </w:p>
        </w:tc>
      </w:tr>
      <w:tr w14:paraId="63F9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6" w:type="dxa"/>
            <w:vAlign w:val="center"/>
          </w:tcPr>
          <w:p w14:paraId="50E0CE6B">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8</w:t>
            </w:r>
          </w:p>
        </w:tc>
        <w:tc>
          <w:tcPr>
            <w:tcW w:w="654" w:type="dxa"/>
            <w:vAlign w:val="center"/>
          </w:tcPr>
          <w:p w14:paraId="0E9A2A39">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14.2</w:t>
            </w:r>
          </w:p>
        </w:tc>
        <w:tc>
          <w:tcPr>
            <w:tcW w:w="1494" w:type="dxa"/>
            <w:vAlign w:val="center"/>
          </w:tcPr>
          <w:p w14:paraId="7CE55C34">
            <w:pPr>
              <w:pStyle w:val="47"/>
              <w:snapToGrid w:val="0"/>
              <w:spacing w:line="360" w:lineRule="auto"/>
              <w:jc w:val="center"/>
              <w:rPr>
                <w:rFonts w:hAnsi="宋体"/>
                <w:color w:val="auto"/>
                <w:szCs w:val="21"/>
                <w:highlight w:val="none"/>
              </w:rPr>
            </w:pPr>
            <w:r>
              <w:rPr>
                <w:rFonts w:hint="eastAsia" w:hAnsi="宋体"/>
                <w:color w:val="auto"/>
                <w:szCs w:val="21"/>
                <w:highlight w:val="none"/>
              </w:rPr>
              <w:t>响应文件制作方式</w:t>
            </w:r>
          </w:p>
        </w:tc>
        <w:tc>
          <w:tcPr>
            <w:tcW w:w="6840" w:type="dxa"/>
            <w:vAlign w:val="center"/>
          </w:tcPr>
          <w:p w14:paraId="76B3FC54">
            <w:pPr>
              <w:snapToGrid w:val="0"/>
              <w:spacing w:line="360" w:lineRule="auto"/>
              <w:rPr>
                <w:rFonts w:ascii="宋体" w:hAnsi="宋体"/>
                <w:color w:val="auto"/>
                <w:szCs w:val="21"/>
                <w:highlight w:val="none"/>
              </w:rPr>
            </w:pPr>
            <w:r>
              <w:rPr>
                <w:rFonts w:hint="eastAsia" w:ascii="宋体" w:hAnsi="宋体"/>
                <w:color w:val="auto"/>
                <w:szCs w:val="21"/>
                <w:highlight w:val="none"/>
              </w:rPr>
              <w:t>供应商下载并安装“政采云电子交易客户端”——详见“广西壮族自治区政府采购网-办事服务-下载专区-广西壮族自治区全流程电子招投标项目管理系统-供应商客户端”，并按照磋商文件和电子交易平台的要求制作、加密并提交。</w:t>
            </w:r>
          </w:p>
        </w:tc>
      </w:tr>
      <w:tr w14:paraId="3A88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536" w:type="dxa"/>
            <w:vAlign w:val="center"/>
          </w:tcPr>
          <w:p w14:paraId="04351567">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9</w:t>
            </w:r>
          </w:p>
        </w:tc>
        <w:tc>
          <w:tcPr>
            <w:tcW w:w="654" w:type="dxa"/>
            <w:vAlign w:val="center"/>
          </w:tcPr>
          <w:p w14:paraId="187A22C0">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14.3</w:t>
            </w:r>
          </w:p>
        </w:tc>
        <w:tc>
          <w:tcPr>
            <w:tcW w:w="1494" w:type="dxa"/>
            <w:vAlign w:val="center"/>
          </w:tcPr>
          <w:p w14:paraId="6375E01D">
            <w:pPr>
              <w:pStyle w:val="47"/>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响应文件签字、盖章</w:t>
            </w:r>
          </w:p>
        </w:tc>
        <w:tc>
          <w:tcPr>
            <w:tcW w:w="6840" w:type="dxa"/>
            <w:vAlign w:val="center"/>
          </w:tcPr>
          <w:p w14:paraId="1DD87BE1">
            <w:pPr>
              <w:numPr>
                <w:ilvl w:val="0"/>
                <w:numId w:val="3"/>
              </w:numPr>
              <w:spacing w:line="360" w:lineRule="auto"/>
              <w:ind w:left="315" w:hanging="315" w:hangingChars="150"/>
              <w:rPr>
                <w:rFonts w:ascii="宋体" w:hAnsi="宋体"/>
                <w:color w:val="auto"/>
                <w:highlight w:val="none"/>
              </w:rPr>
            </w:pPr>
            <w:r>
              <w:rPr>
                <w:rFonts w:hint="eastAsia" w:ascii="宋体" w:hAnsi="宋体"/>
                <w:color w:val="auto"/>
                <w:highlight w:val="none"/>
              </w:rPr>
              <w:t>磋商文件中规定盖“CA电子签章”的位置或文件，应加盖经认证的电子公章或电子签字章。</w:t>
            </w:r>
          </w:p>
          <w:p w14:paraId="3E260AE8">
            <w:pPr>
              <w:numPr>
                <w:ilvl w:val="0"/>
                <w:numId w:val="3"/>
              </w:numPr>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79FC7F1F">
            <w:pPr>
              <w:spacing w:line="360" w:lineRule="auto"/>
              <w:ind w:left="315" w:hanging="315" w:hangingChars="150"/>
              <w:rPr>
                <w:rFonts w:ascii="宋体" w:hAnsi="宋体"/>
                <w:color w:val="auto"/>
                <w:highlight w:val="none"/>
              </w:rPr>
            </w:pPr>
            <w:r>
              <w:rPr>
                <w:rFonts w:hint="eastAsia" w:ascii="宋体" w:hAnsi="宋体"/>
                <w:color w:val="auto"/>
                <w:szCs w:val="21"/>
                <w:highlight w:val="none"/>
              </w:rPr>
              <w:t>3、响应文件未按要求盖CA电子签章或签字的，响应无效。</w:t>
            </w:r>
          </w:p>
        </w:tc>
      </w:tr>
      <w:tr w14:paraId="4733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536" w:type="dxa"/>
            <w:vAlign w:val="center"/>
          </w:tcPr>
          <w:p w14:paraId="0A01B82C">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10</w:t>
            </w:r>
          </w:p>
        </w:tc>
        <w:tc>
          <w:tcPr>
            <w:tcW w:w="654" w:type="dxa"/>
            <w:vAlign w:val="center"/>
          </w:tcPr>
          <w:p w14:paraId="4314A2F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15</w:t>
            </w:r>
          </w:p>
        </w:tc>
        <w:tc>
          <w:tcPr>
            <w:tcW w:w="1494" w:type="dxa"/>
            <w:vAlign w:val="center"/>
          </w:tcPr>
          <w:p w14:paraId="24D0F32F">
            <w:pPr>
              <w:pStyle w:val="47"/>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磋商报价</w:t>
            </w:r>
          </w:p>
        </w:tc>
        <w:tc>
          <w:tcPr>
            <w:tcW w:w="6840" w:type="dxa"/>
            <w:vAlign w:val="center"/>
          </w:tcPr>
          <w:p w14:paraId="70B3B56D">
            <w:pPr>
              <w:pStyle w:val="14"/>
              <w:snapToGrid w:val="0"/>
              <w:spacing w:line="360" w:lineRule="auto"/>
              <w:rPr>
                <w:rFonts w:hAnsi="宋体"/>
                <w:color w:val="auto"/>
                <w:szCs w:val="21"/>
                <w:highlight w:val="none"/>
              </w:rPr>
            </w:pPr>
            <w:r>
              <w:rPr>
                <w:rFonts w:hint="eastAsia" w:hAnsi="宋体"/>
                <w:color w:val="auto"/>
                <w:szCs w:val="21"/>
                <w:highlight w:val="none"/>
              </w:rPr>
              <w:t>供应商必须就第三章《采购需求》中所有的项目和服务内容及有可能发生的所有费用作唯一完整报价。（</w:t>
            </w:r>
            <w:r>
              <w:rPr>
                <w:rFonts w:hint="eastAsia" w:hAnsi="宋体"/>
                <w:color w:val="auto"/>
                <w:highlight w:val="none"/>
              </w:rPr>
              <w:t>报价方案是唯一确定的，否则将被视为无效响应文件。</w:t>
            </w:r>
            <w:r>
              <w:rPr>
                <w:rFonts w:hint="eastAsia" w:hAnsi="宋体"/>
                <w:color w:val="auto"/>
                <w:szCs w:val="21"/>
                <w:highlight w:val="none"/>
              </w:rPr>
              <w:t>）</w:t>
            </w:r>
          </w:p>
        </w:tc>
      </w:tr>
      <w:tr w14:paraId="7DA7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36" w:type="dxa"/>
            <w:vAlign w:val="center"/>
          </w:tcPr>
          <w:p w14:paraId="73C9D06C">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654" w:type="dxa"/>
            <w:vAlign w:val="center"/>
          </w:tcPr>
          <w:p w14:paraId="327FC9EF">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16.1</w:t>
            </w:r>
          </w:p>
        </w:tc>
        <w:tc>
          <w:tcPr>
            <w:tcW w:w="1494" w:type="dxa"/>
            <w:vAlign w:val="center"/>
          </w:tcPr>
          <w:p w14:paraId="194B4E7C">
            <w:pPr>
              <w:pStyle w:val="47"/>
              <w:snapToGrid w:val="0"/>
              <w:spacing w:line="360" w:lineRule="auto"/>
              <w:jc w:val="center"/>
              <w:rPr>
                <w:rFonts w:hAnsi="宋体"/>
                <w:color w:val="auto"/>
                <w:szCs w:val="21"/>
                <w:highlight w:val="none"/>
              </w:rPr>
            </w:pPr>
            <w:r>
              <w:rPr>
                <w:rFonts w:hint="eastAsia" w:hAnsi="宋体"/>
                <w:color w:val="auto"/>
                <w:szCs w:val="21"/>
                <w:highlight w:val="none"/>
              </w:rPr>
              <w:t>磋商有效期</w:t>
            </w:r>
          </w:p>
        </w:tc>
        <w:tc>
          <w:tcPr>
            <w:tcW w:w="6840" w:type="dxa"/>
            <w:vAlign w:val="center"/>
          </w:tcPr>
          <w:p w14:paraId="7C4DD343">
            <w:pPr>
              <w:pStyle w:val="14"/>
              <w:snapToGrid w:val="0"/>
              <w:spacing w:line="360" w:lineRule="auto"/>
              <w:ind w:left="1037" w:hanging="1037" w:hangingChars="494"/>
              <w:rPr>
                <w:rFonts w:hAnsi="宋体"/>
                <w:color w:val="auto"/>
                <w:szCs w:val="21"/>
                <w:highlight w:val="none"/>
              </w:rPr>
            </w:pPr>
            <w:r>
              <w:rPr>
                <w:rFonts w:hint="eastAsia" w:hAnsi="宋体"/>
                <w:color w:val="auto"/>
                <w:szCs w:val="21"/>
                <w:highlight w:val="none"/>
              </w:rPr>
              <w:t>90天</w:t>
            </w:r>
          </w:p>
        </w:tc>
      </w:tr>
      <w:tr w14:paraId="5943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36" w:type="dxa"/>
            <w:vAlign w:val="center"/>
          </w:tcPr>
          <w:p w14:paraId="2DD88FDF">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654" w:type="dxa"/>
            <w:vAlign w:val="center"/>
          </w:tcPr>
          <w:p w14:paraId="0859548F">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17.1</w:t>
            </w:r>
          </w:p>
        </w:tc>
        <w:tc>
          <w:tcPr>
            <w:tcW w:w="1494" w:type="dxa"/>
            <w:vAlign w:val="center"/>
          </w:tcPr>
          <w:p w14:paraId="1698EBC2">
            <w:pPr>
              <w:pStyle w:val="47"/>
              <w:snapToGrid w:val="0"/>
              <w:spacing w:line="360" w:lineRule="auto"/>
              <w:jc w:val="center"/>
              <w:rPr>
                <w:rFonts w:hAnsi="宋体"/>
                <w:color w:val="auto"/>
                <w:szCs w:val="21"/>
                <w:highlight w:val="none"/>
              </w:rPr>
            </w:pPr>
            <w:r>
              <w:rPr>
                <w:rFonts w:hint="eastAsia" w:hAnsi="宋体"/>
                <w:color w:val="auto"/>
                <w:highlight w:val="none"/>
              </w:rPr>
              <w:t>磋商保证金金额及缴纳方式</w:t>
            </w:r>
          </w:p>
        </w:tc>
        <w:tc>
          <w:tcPr>
            <w:tcW w:w="6840" w:type="dxa"/>
            <w:vAlign w:val="center"/>
          </w:tcPr>
          <w:p w14:paraId="0EA4A48F">
            <w:pPr>
              <w:pStyle w:val="47"/>
              <w:snapToGrid w:val="0"/>
              <w:spacing w:line="400" w:lineRule="exact"/>
              <w:rPr>
                <w:rFonts w:hint="eastAsia" w:hAnsi="宋体" w:eastAsia="宋体"/>
                <w:b/>
                <w:color w:val="auto"/>
                <w:szCs w:val="21"/>
                <w:highlight w:val="none"/>
                <w:lang w:eastAsia="zh-CN"/>
              </w:rPr>
            </w:pPr>
            <w:r>
              <w:rPr>
                <w:rFonts w:hint="eastAsia" w:hAnsi="宋体"/>
                <w:b/>
                <w:color w:val="auto"/>
                <w:szCs w:val="21"/>
                <w:highlight w:val="none"/>
              </w:rPr>
              <w:t>本项目不设</w:t>
            </w:r>
            <w:r>
              <w:rPr>
                <w:rFonts w:hint="eastAsia" w:hAnsi="宋体"/>
                <w:b/>
                <w:color w:val="auto"/>
                <w:szCs w:val="21"/>
                <w:highlight w:val="none"/>
                <w:lang w:val="en-US" w:eastAsia="zh-CN"/>
              </w:rPr>
              <w:t>定</w:t>
            </w:r>
          </w:p>
        </w:tc>
      </w:tr>
      <w:tr w14:paraId="600E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36" w:type="dxa"/>
            <w:vAlign w:val="center"/>
          </w:tcPr>
          <w:p w14:paraId="40CA6A1E">
            <w:pPr>
              <w:spacing w:line="360" w:lineRule="auto"/>
              <w:jc w:val="center"/>
              <w:rPr>
                <w:rFonts w:ascii="宋体" w:hAnsi="宋体"/>
                <w:b/>
                <w:color w:val="auto"/>
                <w:szCs w:val="21"/>
                <w:highlight w:val="none"/>
              </w:rPr>
            </w:pPr>
            <w:r>
              <w:rPr>
                <w:rFonts w:hint="eastAsia" w:ascii="宋体" w:hAnsi="宋体"/>
                <w:b/>
                <w:color w:val="auto"/>
                <w:szCs w:val="21"/>
                <w:highlight w:val="none"/>
              </w:rPr>
              <w:t>13</w:t>
            </w:r>
          </w:p>
        </w:tc>
        <w:tc>
          <w:tcPr>
            <w:tcW w:w="654" w:type="dxa"/>
            <w:vAlign w:val="center"/>
          </w:tcPr>
          <w:p w14:paraId="78033C27">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494" w:type="dxa"/>
            <w:vAlign w:val="center"/>
          </w:tcPr>
          <w:p w14:paraId="5238BA55">
            <w:pPr>
              <w:pStyle w:val="47"/>
              <w:spacing w:line="360" w:lineRule="auto"/>
              <w:jc w:val="center"/>
              <w:rPr>
                <w:rFonts w:hAnsi="宋体"/>
                <w:color w:val="auto"/>
                <w:szCs w:val="21"/>
                <w:highlight w:val="none"/>
              </w:rPr>
            </w:pPr>
            <w:r>
              <w:rPr>
                <w:rFonts w:hint="eastAsia" w:hAnsi="宋体" w:cs="宋体"/>
                <w:color w:val="auto"/>
                <w:szCs w:val="21"/>
                <w:highlight w:val="none"/>
              </w:rPr>
              <w:t>现场考察</w:t>
            </w:r>
          </w:p>
        </w:tc>
        <w:tc>
          <w:tcPr>
            <w:tcW w:w="6840" w:type="dxa"/>
            <w:vAlign w:val="center"/>
          </w:tcPr>
          <w:p w14:paraId="4FAE115D">
            <w:pPr>
              <w:pStyle w:val="47"/>
              <w:spacing w:line="360" w:lineRule="auto"/>
              <w:ind w:left="306" w:hanging="306"/>
              <w:rPr>
                <w:rFonts w:hAnsi="宋体"/>
                <w:color w:val="auto"/>
                <w:szCs w:val="21"/>
                <w:highlight w:val="none"/>
              </w:rPr>
            </w:pPr>
            <w:r>
              <w:rPr>
                <w:rFonts w:hint="eastAsia" w:hAnsi="宋体"/>
                <w:b/>
                <w:color w:val="auto"/>
                <w:szCs w:val="21"/>
                <w:highlight w:val="none"/>
              </w:rPr>
              <w:t>■ A 不组织。</w:t>
            </w:r>
          </w:p>
          <w:p w14:paraId="70DB7BF8">
            <w:pPr>
              <w:pStyle w:val="47"/>
              <w:spacing w:line="360" w:lineRule="auto"/>
              <w:ind w:left="306" w:hanging="306"/>
              <w:rPr>
                <w:rFonts w:hAnsi="宋体"/>
                <w:color w:val="auto"/>
                <w:szCs w:val="21"/>
                <w:highlight w:val="none"/>
              </w:rPr>
            </w:pPr>
            <w:r>
              <w:rPr>
                <w:rFonts w:hint="eastAsia" w:hAnsi="宋体"/>
                <w:b/>
                <w:color w:val="auto"/>
                <w:szCs w:val="21"/>
                <w:highlight w:val="none"/>
              </w:rPr>
              <w:t>□ B 组织</w:t>
            </w:r>
            <w:r>
              <w:rPr>
                <w:rFonts w:hint="eastAsia" w:hAnsi="宋体"/>
                <w:color w:val="auto"/>
                <w:szCs w:val="21"/>
                <w:highlight w:val="none"/>
              </w:rPr>
              <w:t>，时间：</w:t>
            </w:r>
            <w:r>
              <w:rPr>
                <w:rFonts w:hAnsi="宋体"/>
                <w:color w:val="auto"/>
                <w:szCs w:val="21"/>
                <w:highlight w:val="none"/>
                <w:u w:val="single"/>
              </w:rPr>
              <w:t>/</w:t>
            </w:r>
            <w:r>
              <w:rPr>
                <w:rFonts w:hint="eastAsia" w:hAnsi="宋体"/>
                <w:color w:val="auto"/>
                <w:szCs w:val="21"/>
                <w:highlight w:val="none"/>
              </w:rPr>
              <w:t>，地点：</w:t>
            </w:r>
            <w:r>
              <w:rPr>
                <w:rFonts w:hAnsi="宋体"/>
                <w:color w:val="auto"/>
                <w:szCs w:val="21"/>
                <w:highlight w:val="none"/>
                <w:u w:val="single"/>
              </w:rPr>
              <w:t xml:space="preserve"> / </w:t>
            </w:r>
            <w:r>
              <w:rPr>
                <w:rFonts w:hint="eastAsia" w:hAnsi="宋体"/>
                <w:color w:val="auto"/>
                <w:szCs w:val="21"/>
                <w:highlight w:val="none"/>
              </w:rPr>
              <w:t>，联系人：</w:t>
            </w:r>
            <w:r>
              <w:rPr>
                <w:rFonts w:hAnsi="宋体"/>
                <w:color w:val="auto"/>
                <w:szCs w:val="21"/>
                <w:highlight w:val="none"/>
                <w:u w:val="single"/>
              </w:rPr>
              <w:t xml:space="preserve"> /</w:t>
            </w:r>
            <w:r>
              <w:rPr>
                <w:rFonts w:hint="eastAsia" w:hAnsi="宋体"/>
                <w:color w:val="auto"/>
                <w:szCs w:val="21"/>
                <w:highlight w:val="none"/>
              </w:rPr>
              <w:t>，联系方式：</w:t>
            </w:r>
            <w:r>
              <w:rPr>
                <w:rFonts w:hAnsi="宋体"/>
                <w:color w:val="auto"/>
                <w:szCs w:val="21"/>
                <w:highlight w:val="none"/>
                <w:u w:val="single"/>
              </w:rPr>
              <w:t>/</w:t>
            </w:r>
            <w:r>
              <w:rPr>
                <w:rFonts w:hint="eastAsia" w:hAnsi="宋体"/>
                <w:color w:val="auto"/>
                <w:szCs w:val="21"/>
                <w:highlight w:val="none"/>
              </w:rPr>
              <w:t>。</w:t>
            </w:r>
          </w:p>
        </w:tc>
      </w:tr>
      <w:tr w14:paraId="7F6A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6" w:type="dxa"/>
            <w:vAlign w:val="center"/>
          </w:tcPr>
          <w:p w14:paraId="216559FD">
            <w:pPr>
              <w:spacing w:line="360" w:lineRule="auto"/>
              <w:jc w:val="center"/>
              <w:rPr>
                <w:rFonts w:ascii="宋体" w:hAnsi="宋体"/>
                <w:b/>
                <w:color w:val="auto"/>
                <w:szCs w:val="21"/>
                <w:highlight w:val="none"/>
              </w:rPr>
            </w:pPr>
            <w:r>
              <w:rPr>
                <w:rFonts w:hint="eastAsia" w:ascii="宋体" w:hAnsi="宋体"/>
                <w:b/>
                <w:color w:val="auto"/>
                <w:szCs w:val="21"/>
                <w:highlight w:val="none"/>
              </w:rPr>
              <w:t>14</w:t>
            </w:r>
          </w:p>
        </w:tc>
        <w:tc>
          <w:tcPr>
            <w:tcW w:w="654" w:type="dxa"/>
            <w:vAlign w:val="center"/>
          </w:tcPr>
          <w:p w14:paraId="61DDF322">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494" w:type="dxa"/>
            <w:vAlign w:val="center"/>
          </w:tcPr>
          <w:p w14:paraId="0DFBEA31">
            <w:pPr>
              <w:pStyle w:val="47"/>
              <w:spacing w:line="360" w:lineRule="auto"/>
              <w:jc w:val="center"/>
              <w:rPr>
                <w:rFonts w:hAnsi="宋体" w:cs="宋体"/>
                <w:color w:val="auto"/>
                <w:szCs w:val="21"/>
                <w:highlight w:val="none"/>
              </w:rPr>
            </w:pPr>
            <w:r>
              <w:rPr>
                <w:rFonts w:hint="eastAsia" w:hAnsi="宋体" w:cs="宋体"/>
                <w:color w:val="auto"/>
                <w:szCs w:val="21"/>
                <w:highlight w:val="none"/>
              </w:rPr>
              <w:t>开标前答疑会</w:t>
            </w:r>
          </w:p>
        </w:tc>
        <w:tc>
          <w:tcPr>
            <w:tcW w:w="6840" w:type="dxa"/>
            <w:vAlign w:val="center"/>
          </w:tcPr>
          <w:p w14:paraId="01EC1113">
            <w:pPr>
              <w:pStyle w:val="47"/>
              <w:spacing w:line="360" w:lineRule="auto"/>
              <w:ind w:left="306" w:hanging="306"/>
              <w:rPr>
                <w:rFonts w:hAnsi="宋体"/>
                <w:color w:val="auto"/>
                <w:szCs w:val="21"/>
                <w:highlight w:val="none"/>
              </w:rPr>
            </w:pPr>
            <w:r>
              <w:rPr>
                <w:rFonts w:hint="eastAsia" w:hAnsi="宋体"/>
                <w:b/>
                <w:color w:val="auto"/>
                <w:szCs w:val="21"/>
                <w:highlight w:val="none"/>
              </w:rPr>
              <w:t>■ A 不召开。</w:t>
            </w:r>
          </w:p>
          <w:p w14:paraId="11C8A801">
            <w:pPr>
              <w:pStyle w:val="47"/>
              <w:spacing w:line="360" w:lineRule="auto"/>
              <w:ind w:left="306" w:hanging="306"/>
              <w:rPr>
                <w:rFonts w:hAnsi="宋体"/>
                <w:b/>
                <w:color w:val="auto"/>
                <w:szCs w:val="21"/>
                <w:highlight w:val="none"/>
              </w:rPr>
            </w:pPr>
            <w:r>
              <w:rPr>
                <w:rFonts w:hint="eastAsia" w:hAnsi="宋体"/>
                <w:b/>
                <w:color w:val="auto"/>
                <w:szCs w:val="21"/>
                <w:highlight w:val="none"/>
              </w:rPr>
              <w:t>□ B 召开，</w:t>
            </w:r>
            <w:r>
              <w:rPr>
                <w:rFonts w:hint="eastAsia" w:hAnsi="宋体"/>
                <w:color w:val="auto"/>
                <w:szCs w:val="21"/>
                <w:highlight w:val="none"/>
              </w:rPr>
              <w:t>时间：</w:t>
            </w:r>
            <w:r>
              <w:rPr>
                <w:rFonts w:hAnsi="宋体"/>
                <w:color w:val="auto"/>
                <w:szCs w:val="21"/>
                <w:highlight w:val="none"/>
                <w:u w:val="single"/>
              </w:rPr>
              <w:t>/</w:t>
            </w:r>
            <w:r>
              <w:rPr>
                <w:rFonts w:hint="eastAsia" w:hAnsi="宋体"/>
                <w:color w:val="auto"/>
                <w:szCs w:val="21"/>
                <w:highlight w:val="none"/>
              </w:rPr>
              <w:t>，地点：</w:t>
            </w:r>
            <w:r>
              <w:rPr>
                <w:rFonts w:hAnsi="宋体"/>
                <w:color w:val="auto"/>
                <w:szCs w:val="21"/>
                <w:highlight w:val="none"/>
                <w:u w:val="single"/>
              </w:rPr>
              <w:t>/</w:t>
            </w:r>
            <w:r>
              <w:rPr>
                <w:rFonts w:hint="eastAsia" w:hAnsi="宋体"/>
                <w:color w:val="auto"/>
                <w:szCs w:val="21"/>
                <w:highlight w:val="none"/>
              </w:rPr>
              <w:t>。</w:t>
            </w:r>
          </w:p>
        </w:tc>
      </w:tr>
      <w:tr w14:paraId="1D9F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36" w:type="dxa"/>
            <w:vAlign w:val="center"/>
          </w:tcPr>
          <w:p w14:paraId="559C8AD0">
            <w:pPr>
              <w:spacing w:line="360" w:lineRule="auto"/>
              <w:jc w:val="center"/>
              <w:rPr>
                <w:rFonts w:ascii="宋体" w:hAnsi="宋体"/>
                <w:b/>
                <w:color w:val="auto"/>
                <w:szCs w:val="21"/>
                <w:highlight w:val="none"/>
              </w:rPr>
            </w:pPr>
            <w:r>
              <w:rPr>
                <w:rFonts w:hint="eastAsia" w:ascii="宋体" w:hAnsi="宋体"/>
                <w:b/>
                <w:color w:val="auto"/>
                <w:szCs w:val="21"/>
                <w:highlight w:val="none"/>
              </w:rPr>
              <w:t>15</w:t>
            </w:r>
          </w:p>
        </w:tc>
        <w:tc>
          <w:tcPr>
            <w:tcW w:w="654" w:type="dxa"/>
            <w:vAlign w:val="center"/>
          </w:tcPr>
          <w:p w14:paraId="6FD36F4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1494" w:type="dxa"/>
            <w:vAlign w:val="center"/>
          </w:tcPr>
          <w:p w14:paraId="4A6DEECC">
            <w:pPr>
              <w:pStyle w:val="47"/>
              <w:snapToGrid w:val="0"/>
              <w:spacing w:line="360" w:lineRule="auto"/>
              <w:jc w:val="center"/>
              <w:rPr>
                <w:rFonts w:hAnsi="宋体"/>
                <w:color w:val="auto"/>
                <w:szCs w:val="21"/>
                <w:highlight w:val="none"/>
              </w:rPr>
            </w:pPr>
            <w:r>
              <w:rPr>
                <w:rFonts w:hint="eastAsia" w:hAnsi="宋体"/>
                <w:color w:val="auto"/>
                <w:szCs w:val="21"/>
                <w:highlight w:val="none"/>
              </w:rPr>
              <w:t>响应文件提交截止时间、地点</w:t>
            </w:r>
          </w:p>
        </w:tc>
        <w:tc>
          <w:tcPr>
            <w:tcW w:w="6840" w:type="dxa"/>
            <w:vAlign w:val="center"/>
          </w:tcPr>
          <w:p w14:paraId="1256263F">
            <w:pPr>
              <w:snapToGrid w:val="0"/>
              <w:spacing w:line="360" w:lineRule="auto"/>
              <w:rPr>
                <w:rFonts w:ascii="宋体" w:hAnsi="宋体"/>
                <w:color w:val="auto"/>
                <w:highlight w:val="none"/>
              </w:rPr>
            </w:pPr>
            <w:r>
              <w:rPr>
                <w:rFonts w:hint="eastAsia" w:ascii="宋体" w:hAnsi="宋体"/>
                <w:color w:val="auto"/>
                <w:highlight w:val="none"/>
              </w:rPr>
              <w:t>提交截止时间：2026年09月09日09:00（北京时间）</w:t>
            </w:r>
          </w:p>
          <w:p w14:paraId="6A43A58B">
            <w:pPr>
              <w:snapToGrid w:val="0"/>
              <w:spacing w:line="360" w:lineRule="auto"/>
              <w:ind w:left="1365" w:hanging="1365" w:hangingChars="650"/>
              <w:rPr>
                <w:rFonts w:ascii="宋体" w:hAnsi="宋体"/>
                <w:color w:val="auto"/>
                <w:highlight w:val="none"/>
              </w:rPr>
            </w:pPr>
            <w:r>
              <w:rPr>
                <w:rFonts w:hint="eastAsia" w:ascii="宋体" w:hAnsi="宋体"/>
                <w:color w:val="auto"/>
                <w:szCs w:val="21"/>
                <w:highlight w:val="none"/>
              </w:rPr>
              <w:t>地点</w:t>
            </w:r>
            <w:r>
              <w:rPr>
                <w:rFonts w:ascii="宋体" w:hAnsi="宋体"/>
                <w:color w:val="auto"/>
                <w:highlight w:val="none"/>
              </w:rPr>
              <w:t>（网址）</w:t>
            </w:r>
            <w:r>
              <w:rPr>
                <w:rFonts w:hint="eastAsia" w:ascii="宋体" w:hAnsi="宋体"/>
                <w:color w:val="auto"/>
                <w:highlight w:val="none"/>
              </w:rPr>
              <w:t>：</w:t>
            </w:r>
            <w:r>
              <w:rPr>
                <w:rFonts w:hint="eastAsia" w:ascii="宋体" w:hAnsi="宋体"/>
                <w:color w:val="auto"/>
                <w:szCs w:val="21"/>
                <w:highlight w:val="none"/>
              </w:rPr>
              <w:t>供应商应当在响应文件提交截止时间前，将生成的“电子加密响应文件”上传提交至“广西政府采购云平台”https://www.gcy.zfcg.gxzf.gov.cn/在线应标。</w:t>
            </w:r>
          </w:p>
        </w:tc>
      </w:tr>
      <w:tr w14:paraId="36E1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36" w:type="dxa"/>
            <w:vAlign w:val="center"/>
          </w:tcPr>
          <w:p w14:paraId="623818D7">
            <w:pPr>
              <w:spacing w:line="360" w:lineRule="auto"/>
              <w:jc w:val="center"/>
              <w:rPr>
                <w:rFonts w:ascii="宋体" w:hAnsi="宋体"/>
                <w:b/>
                <w:color w:val="auto"/>
                <w:szCs w:val="21"/>
                <w:highlight w:val="none"/>
              </w:rPr>
            </w:pPr>
            <w:r>
              <w:rPr>
                <w:rFonts w:hint="eastAsia" w:ascii="宋体" w:hAnsi="宋体"/>
                <w:b/>
                <w:color w:val="auto"/>
                <w:szCs w:val="21"/>
                <w:highlight w:val="none"/>
              </w:rPr>
              <w:t>16</w:t>
            </w:r>
          </w:p>
        </w:tc>
        <w:tc>
          <w:tcPr>
            <w:tcW w:w="654" w:type="dxa"/>
            <w:vAlign w:val="center"/>
          </w:tcPr>
          <w:p w14:paraId="37DDD9FA">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21.2</w:t>
            </w:r>
          </w:p>
        </w:tc>
        <w:tc>
          <w:tcPr>
            <w:tcW w:w="1494" w:type="dxa"/>
            <w:vAlign w:val="center"/>
          </w:tcPr>
          <w:p w14:paraId="5AACBC2C">
            <w:pPr>
              <w:pStyle w:val="47"/>
              <w:snapToGrid w:val="0"/>
              <w:spacing w:line="360" w:lineRule="auto"/>
              <w:jc w:val="center"/>
              <w:rPr>
                <w:rFonts w:hAnsi="宋体"/>
                <w:color w:val="auto"/>
                <w:szCs w:val="21"/>
                <w:highlight w:val="none"/>
              </w:rPr>
            </w:pPr>
            <w:r>
              <w:rPr>
                <w:rFonts w:hint="eastAsia" w:hAnsi="宋体"/>
                <w:color w:val="auto"/>
                <w:szCs w:val="21"/>
                <w:highlight w:val="none"/>
              </w:rPr>
              <w:t>响应文件开启时间、地点</w:t>
            </w:r>
          </w:p>
        </w:tc>
        <w:tc>
          <w:tcPr>
            <w:tcW w:w="6840" w:type="dxa"/>
            <w:vAlign w:val="center"/>
          </w:tcPr>
          <w:p w14:paraId="5C767C39">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时间：2026年09月09日09:00</w:t>
            </w:r>
            <w:r>
              <w:rPr>
                <w:rFonts w:hint="eastAsia" w:ascii="宋体" w:hAnsi="宋体"/>
                <w:color w:val="auto"/>
                <w:highlight w:val="none"/>
              </w:rPr>
              <w:t>（北京时间）</w:t>
            </w:r>
          </w:p>
          <w:p w14:paraId="18A3B4E0">
            <w:pPr>
              <w:snapToGrid w:val="0"/>
              <w:spacing w:line="360" w:lineRule="auto"/>
              <w:ind w:left="945" w:hanging="945" w:hangingChars="450"/>
              <w:rPr>
                <w:rFonts w:ascii="宋体" w:hAnsi="宋体"/>
                <w:color w:val="auto"/>
                <w:szCs w:val="21"/>
                <w:highlight w:val="none"/>
              </w:rPr>
            </w:pPr>
            <w:r>
              <w:rPr>
                <w:rFonts w:hint="eastAsia" w:ascii="宋体" w:hAnsi="宋体"/>
                <w:color w:val="auto"/>
                <w:szCs w:val="21"/>
                <w:highlight w:val="none"/>
              </w:rPr>
              <w:t>地点：“广西政府采购云平台”https://www.gcy.zfcg.gxzf.gov.cn/</w:t>
            </w:r>
          </w:p>
        </w:tc>
      </w:tr>
      <w:tr w14:paraId="28FB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36" w:type="dxa"/>
            <w:vAlign w:val="center"/>
          </w:tcPr>
          <w:p w14:paraId="64498E2A">
            <w:pPr>
              <w:spacing w:line="360" w:lineRule="auto"/>
              <w:jc w:val="center"/>
              <w:rPr>
                <w:rFonts w:ascii="宋体" w:hAnsi="宋体"/>
                <w:b/>
                <w:color w:val="auto"/>
                <w:szCs w:val="21"/>
                <w:highlight w:val="none"/>
              </w:rPr>
            </w:pPr>
            <w:r>
              <w:rPr>
                <w:rFonts w:hint="eastAsia" w:ascii="宋体" w:hAnsi="宋体"/>
                <w:b/>
                <w:color w:val="auto"/>
                <w:szCs w:val="21"/>
                <w:highlight w:val="none"/>
              </w:rPr>
              <w:t>17</w:t>
            </w:r>
          </w:p>
        </w:tc>
        <w:tc>
          <w:tcPr>
            <w:tcW w:w="654" w:type="dxa"/>
            <w:vAlign w:val="center"/>
          </w:tcPr>
          <w:p w14:paraId="683866C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24.1</w:t>
            </w:r>
          </w:p>
        </w:tc>
        <w:tc>
          <w:tcPr>
            <w:tcW w:w="1494" w:type="dxa"/>
            <w:vAlign w:val="center"/>
          </w:tcPr>
          <w:p w14:paraId="56B7D150">
            <w:pPr>
              <w:pStyle w:val="47"/>
              <w:snapToGrid w:val="0"/>
              <w:spacing w:line="360" w:lineRule="auto"/>
              <w:jc w:val="center"/>
              <w:rPr>
                <w:rFonts w:hAnsi="宋体"/>
                <w:color w:val="auto"/>
                <w:szCs w:val="21"/>
                <w:highlight w:val="none"/>
              </w:rPr>
            </w:pPr>
            <w:r>
              <w:rPr>
                <w:rFonts w:hint="eastAsia" w:hAnsi="宋体"/>
                <w:color w:val="auto"/>
                <w:szCs w:val="21"/>
                <w:highlight w:val="none"/>
              </w:rPr>
              <w:t>磋商小组组成</w:t>
            </w:r>
          </w:p>
        </w:tc>
        <w:tc>
          <w:tcPr>
            <w:tcW w:w="6840" w:type="dxa"/>
            <w:vAlign w:val="center"/>
          </w:tcPr>
          <w:p w14:paraId="67558FD1">
            <w:pPr>
              <w:pStyle w:val="14"/>
              <w:snapToGrid w:val="0"/>
              <w:spacing w:line="360" w:lineRule="auto"/>
              <w:ind w:left="2"/>
              <w:rPr>
                <w:rFonts w:hAnsi="宋体"/>
                <w:color w:val="auto"/>
                <w:szCs w:val="21"/>
                <w:highlight w:val="none"/>
              </w:rPr>
            </w:pPr>
            <w:r>
              <w:rPr>
                <w:rFonts w:hint="eastAsia" w:hAnsi="宋体"/>
                <w:color w:val="auto"/>
                <w:highlight w:val="none"/>
              </w:rPr>
              <w:t>磋商小组</w:t>
            </w:r>
            <w:r>
              <w:rPr>
                <w:rFonts w:hint="eastAsia" w:hAnsi="宋体"/>
                <w:color w:val="auto"/>
                <w:szCs w:val="21"/>
                <w:highlight w:val="none"/>
              </w:rPr>
              <w:t>构成：</w:t>
            </w:r>
            <w:r>
              <w:rPr>
                <w:rFonts w:hint="eastAsia" w:hAnsi="宋体"/>
                <w:b/>
                <w:color w:val="auto"/>
                <w:szCs w:val="21"/>
                <w:highlight w:val="none"/>
              </w:rPr>
              <w:t>3人</w:t>
            </w:r>
          </w:p>
        </w:tc>
      </w:tr>
      <w:tr w14:paraId="72C7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36" w:type="dxa"/>
            <w:vAlign w:val="center"/>
          </w:tcPr>
          <w:p w14:paraId="626AF412">
            <w:pPr>
              <w:spacing w:line="360" w:lineRule="auto"/>
              <w:jc w:val="center"/>
              <w:rPr>
                <w:rFonts w:ascii="宋体" w:hAnsi="宋体"/>
                <w:b/>
                <w:color w:val="auto"/>
                <w:szCs w:val="21"/>
                <w:highlight w:val="none"/>
              </w:rPr>
            </w:pPr>
            <w:r>
              <w:rPr>
                <w:rFonts w:hint="eastAsia" w:ascii="宋体" w:hAnsi="宋体"/>
                <w:b/>
                <w:color w:val="auto"/>
                <w:szCs w:val="21"/>
                <w:highlight w:val="none"/>
              </w:rPr>
              <w:t>18</w:t>
            </w:r>
          </w:p>
        </w:tc>
        <w:tc>
          <w:tcPr>
            <w:tcW w:w="654" w:type="dxa"/>
            <w:vAlign w:val="center"/>
          </w:tcPr>
          <w:p w14:paraId="21B9C52A">
            <w:pPr>
              <w:snapToGrid w:val="0"/>
              <w:spacing w:line="360" w:lineRule="auto"/>
              <w:jc w:val="center"/>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6.1</w:t>
            </w:r>
          </w:p>
        </w:tc>
        <w:tc>
          <w:tcPr>
            <w:tcW w:w="1494" w:type="dxa"/>
            <w:vAlign w:val="center"/>
          </w:tcPr>
          <w:p w14:paraId="18CA151D">
            <w:pPr>
              <w:pStyle w:val="47"/>
              <w:snapToGrid w:val="0"/>
              <w:spacing w:line="360" w:lineRule="auto"/>
              <w:jc w:val="center"/>
              <w:rPr>
                <w:rFonts w:hAnsi="宋体"/>
                <w:color w:val="auto"/>
                <w:szCs w:val="21"/>
                <w:highlight w:val="none"/>
              </w:rPr>
            </w:pPr>
            <w:r>
              <w:rPr>
                <w:rFonts w:hint="eastAsia" w:hAnsi="宋体"/>
                <w:color w:val="auto"/>
                <w:szCs w:val="21"/>
                <w:highlight w:val="none"/>
              </w:rPr>
              <w:t>磋商时间、地点、方式</w:t>
            </w:r>
          </w:p>
        </w:tc>
        <w:tc>
          <w:tcPr>
            <w:tcW w:w="6840" w:type="dxa"/>
            <w:vAlign w:val="center"/>
          </w:tcPr>
          <w:p w14:paraId="6890E304">
            <w:pPr>
              <w:spacing w:line="440" w:lineRule="exact"/>
              <w:rPr>
                <w:rFonts w:ascii="宋体" w:hAnsi="宋体"/>
                <w:color w:val="auto"/>
                <w:szCs w:val="21"/>
                <w:highlight w:val="none"/>
              </w:rPr>
            </w:pPr>
            <w:r>
              <w:rPr>
                <w:rFonts w:hint="eastAsia" w:ascii="宋体" w:hAnsi="宋体"/>
                <w:color w:val="auto"/>
                <w:szCs w:val="21"/>
                <w:highlight w:val="none"/>
              </w:rPr>
              <w:t>时间：2026年09月09日09:00</w:t>
            </w:r>
            <w:r>
              <w:rPr>
                <w:rFonts w:hint="eastAsia" w:ascii="宋体" w:hAnsi="宋体"/>
                <w:color w:val="auto"/>
                <w:highlight w:val="none"/>
              </w:rPr>
              <w:t>（北京时间）</w:t>
            </w:r>
            <w:r>
              <w:rPr>
                <w:rFonts w:hint="eastAsia" w:ascii="宋体" w:hAnsi="宋体"/>
                <w:color w:val="auto"/>
                <w:kern w:val="0"/>
                <w:szCs w:val="21"/>
                <w:highlight w:val="none"/>
              </w:rPr>
              <w:t>截标</w:t>
            </w:r>
            <w:r>
              <w:rPr>
                <w:rFonts w:hint="eastAsia" w:ascii="宋体" w:hAnsi="宋体"/>
                <w:bCs/>
                <w:color w:val="auto"/>
                <w:highlight w:val="none"/>
              </w:rPr>
              <w:t>会结束</w:t>
            </w:r>
            <w:r>
              <w:rPr>
                <w:rFonts w:hint="eastAsia" w:ascii="宋体" w:hAnsi="宋体"/>
                <w:color w:val="auto"/>
                <w:kern w:val="0"/>
                <w:szCs w:val="21"/>
                <w:highlight w:val="none"/>
              </w:rPr>
              <w:t>后</w:t>
            </w:r>
          </w:p>
          <w:p w14:paraId="7643BA13">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地点：“广西政府采购云平台”https://www.gcy.zfcg.gxzf.gov.cn/</w:t>
            </w:r>
          </w:p>
          <w:p w14:paraId="3BA4F218">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方式：磋商小组通过“</w:t>
            </w:r>
            <w:r>
              <w:rPr>
                <w:rFonts w:hint="eastAsia" w:ascii="宋体" w:hAnsi="宋体" w:cs="仿宋_GB2312"/>
                <w:color w:val="auto"/>
                <w:kern w:val="0"/>
                <w:sz w:val="24"/>
                <w:highlight w:val="none"/>
              </w:rPr>
              <w:t>广西政府采购云平台</w:t>
            </w:r>
            <w:r>
              <w:rPr>
                <w:rFonts w:hint="eastAsia" w:ascii="宋体" w:hAnsi="宋体"/>
                <w:color w:val="auto"/>
                <w:szCs w:val="21"/>
                <w:highlight w:val="none"/>
              </w:rPr>
              <w:t>”与供应商在线磋商</w:t>
            </w:r>
          </w:p>
        </w:tc>
      </w:tr>
      <w:tr w14:paraId="6C86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6" w:type="dxa"/>
            <w:vAlign w:val="center"/>
          </w:tcPr>
          <w:p w14:paraId="397C307C">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19</w:t>
            </w:r>
          </w:p>
        </w:tc>
        <w:tc>
          <w:tcPr>
            <w:tcW w:w="654" w:type="dxa"/>
            <w:vAlign w:val="center"/>
          </w:tcPr>
          <w:p w14:paraId="20854DC4">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26．2</w:t>
            </w:r>
          </w:p>
        </w:tc>
        <w:tc>
          <w:tcPr>
            <w:tcW w:w="1494" w:type="dxa"/>
            <w:vAlign w:val="center"/>
          </w:tcPr>
          <w:p w14:paraId="60BCA30A">
            <w:pPr>
              <w:pStyle w:val="47"/>
              <w:snapToGrid w:val="0"/>
              <w:spacing w:line="360" w:lineRule="auto"/>
              <w:jc w:val="center"/>
              <w:rPr>
                <w:rFonts w:hAnsi="宋体"/>
                <w:color w:val="auto"/>
                <w:szCs w:val="21"/>
                <w:highlight w:val="none"/>
              </w:rPr>
            </w:pPr>
            <w:r>
              <w:rPr>
                <w:rFonts w:hint="eastAsia" w:hAnsi="宋体"/>
                <w:color w:val="auto"/>
                <w:szCs w:val="21"/>
                <w:highlight w:val="none"/>
              </w:rPr>
              <w:t>评标方法</w:t>
            </w:r>
          </w:p>
        </w:tc>
        <w:tc>
          <w:tcPr>
            <w:tcW w:w="6840" w:type="dxa"/>
            <w:vAlign w:val="center"/>
          </w:tcPr>
          <w:p w14:paraId="6AF0B714">
            <w:pPr>
              <w:pStyle w:val="14"/>
              <w:snapToGrid w:val="0"/>
              <w:spacing w:line="360" w:lineRule="auto"/>
              <w:ind w:left="2"/>
              <w:rPr>
                <w:rFonts w:hAnsi="宋体"/>
                <w:color w:val="auto"/>
                <w:szCs w:val="21"/>
                <w:highlight w:val="none"/>
              </w:rPr>
            </w:pPr>
            <w:r>
              <w:rPr>
                <w:rFonts w:hint="eastAsia" w:hAnsi="宋体"/>
                <w:b/>
                <w:color w:val="auto"/>
                <w:szCs w:val="21"/>
                <w:highlight w:val="none"/>
              </w:rPr>
              <w:t>综合评分法</w:t>
            </w:r>
            <w:r>
              <w:rPr>
                <w:rFonts w:hint="eastAsia" w:hAnsi="宋体"/>
                <w:color w:val="auto"/>
                <w:szCs w:val="21"/>
                <w:highlight w:val="none"/>
              </w:rPr>
              <w:t>（详见第四章）</w:t>
            </w:r>
          </w:p>
        </w:tc>
      </w:tr>
      <w:tr w14:paraId="43B4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6" w:type="dxa"/>
            <w:vAlign w:val="center"/>
          </w:tcPr>
          <w:p w14:paraId="0E1B6578">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20</w:t>
            </w:r>
          </w:p>
        </w:tc>
        <w:tc>
          <w:tcPr>
            <w:tcW w:w="654" w:type="dxa"/>
            <w:vAlign w:val="center"/>
          </w:tcPr>
          <w:p w14:paraId="4E610EC0">
            <w:pPr>
              <w:pStyle w:val="14"/>
              <w:snapToGrid w:val="0"/>
              <w:spacing w:line="360" w:lineRule="auto"/>
              <w:ind w:left="1037" w:hanging="1037" w:hangingChars="494"/>
              <w:jc w:val="center"/>
              <w:rPr>
                <w:rFonts w:hAnsi="宋体"/>
                <w:color w:val="auto"/>
                <w:szCs w:val="21"/>
                <w:highlight w:val="none"/>
              </w:rPr>
            </w:pPr>
            <w:r>
              <w:rPr>
                <w:rFonts w:hint="eastAsia" w:hAnsi="宋体"/>
                <w:color w:val="auto"/>
                <w:szCs w:val="21"/>
                <w:highlight w:val="none"/>
              </w:rPr>
              <w:t>31.1</w:t>
            </w:r>
          </w:p>
        </w:tc>
        <w:tc>
          <w:tcPr>
            <w:tcW w:w="1494" w:type="dxa"/>
            <w:vAlign w:val="center"/>
          </w:tcPr>
          <w:p w14:paraId="65164569">
            <w:pPr>
              <w:pStyle w:val="47"/>
              <w:snapToGrid w:val="0"/>
              <w:spacing w:line="360" w:lineRule="auto"/>
              <w:jc w:val="center"/>
              <w:rPr>
                <w:rFonts w:hAnsi="宋体"/>
                <w:color w:val="auto"/>
                <w:szCs w:val="21"/>
                <w:highlight w:val="none"/>
              </w:rPr>
            </w:pPr>
            <w:r>
              <w:rPr>
                <w:rFonts w:hint="eastAsia" w:hAnsi="宋体"/>
                <w:bCs/>
                <w:color w:val="auto"/>
                <w:szCs w:val="21"/>
                <w:highlight w:val="none"/>
              </w:rPr>
              <w:t>履约保证金</w:t>
            </w:r>
          </w:p>
        </w:tc>
        <w:tc>
          <w:tcPr>
            <w:tcW w:w="6840" w:type="dxa"/>
            <w:vAlign w:val="center"/>
          </w:tcPr>
          <w:p w14:paraId="38075045">
            <w:pPr>
              <w:pStyle w:val="47"/>
              <w:snapToGrid w:val="0"/>
              <w:spacing w:line="360" w:lineRule="auto"/>
              <w:rPr>
                <w:rFonts w:hAnsi="宋体"/>
                <w:color w:val="auto"/>
                <w:szCs w:val="21"/>
                <w:highlight w:val="none"/>
              </w:rPr>
            </w:pPr>
            <w:r>
              <w:rPr>
                <w:rFonts w:hint="eastAsia" w:hAnsi="宋体"/>
                <w:color w:val="auto"/>
                <w:szCs w:val="21"/>
                <w:highlight w:val="none"/>
              </w:rPr>
              <w:t>不设定</w:t>
            </w:r>
          </w:p>
        </w:tc>
      </w:tr>
      <w:tr w14:paraId="0A5D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36" w:type="dxa"/>
            <w:vAlign w:val="center"/>
          </w:tcPr>
          <w:p w14:paraId="2E73C81E">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21</w:t>
            </w:r>
          </w:p>
        </w:tc>
        <w:tc>
          <w:tcPr>
            <w:tcW w:w="654" w:type="dxa"/>
            <w:vAlign w:val="center"/>
          </w:tcPr>
          <w:p w14:paraId="31755E1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32.1</w:t>
            </w:r>
          </w:p>
        </w:tc>
        <w:tc>
          <w:tcPr>
            <w:tcW w:w="1494" w:type="dxa"/>
            <w:vAlign w:val="center"/>
          </w:tcPr>
          <w:p w14:paraId="1391D935">
            <w:pPr>
              <w:pStyle w:val="47"/>
              <w:snapToGrid w:val="0"/>
              <w:spacing w:line="360" w:lineRule="auto"/>
              <w:jc w:val="center"/>
              <w:rPr>
                <w:rFonts w:hAnsi="宋体"/>
                <w:bCs/>
                <w:color w:val="auto"/>
                <w:szCs w:val="21"/>
                <w:highlight w:val="none"/>
              </w:rPr>
            </w:pPr>
            <w:r>
              <w:rPr>
                <w:rFonts w:hint="eastAsia" w:hAnsi="宋体"/>
                <w:color w:val="auto"/>
                <w:highlight w:val="none"/>
              </w:rPr>
              <w:t>政府采购合同签订</w:t>
            </w:r>
          </w:p>
        </w:tc>
        <w:tc>
          <w:tcPr>
            <w:tcW w:w="6840" w:type="dxa"/>
            <w:vAlign w:val="center"/>
          </w:tcPr>
          <w:p w14:paraId="512D29AA">
            <w:pPr>
              <w:pStyle w:val="14"/>
              <w:spacing w:line="360" w:lineRule="auto"/>
              <w:rPr>
                <w:rFonts w:hAnsi="宋体"/>
                <w:color w:val="auto"/>
                <w:szCs w:val="21"/>
                <w:highlight w:val="none"/>
              </w:rPr>
            </w:pPr>
            <w:r>
              <w:rPr>
                <w:rFonts w:hint="eastAsia" w:hAnsi="宋体"/>
                <w:color w:val="auto"/>
                <w:szCs w:val="21"/>
                <w:highlight w:val="none"/>
              </w:rPr>
              <w:t>自成交通知书发出之日起15日内签订合同。</w:t>
            </w:r>
          </w:p>
        </w:tc>
      </w:tr>
      <w:tr w14:paraId="761B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36" w:type="dxa"/>
            <w:vAlign w:val="center"/>
          </w:tcPr>
          <w:p w14:paraId="0EDB0A56">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22</w:t>
            </w:r>
          </w:p>
        </w:tc>
        <w:tc>
          <w:tcPr>
            <w:tcW w:w="654" w:type="dxa"/>
            <w:vAlign w:val="center"/>
          </w:tcPr>
          <w:p w14:paraId="7338176A">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35.1</w:t>
            </w:r>
          </w:p>
        </w:tc>
        <w:tc>
          <w:tcPr>
            <w:tcW w:w="1494" w:type="dxa"/>
            <w:vAlign w:val="center"/>
          </w:tcPr>
          <w:p w14:paraId="5FE2A741">
            <w:pPr>
              <w:pStyle w:val="47"/>
              <w:snapToGrid w:val="0"/>
              <w:spacing w:line="360" w:lineRule="auto"/>
              <w:jc w:val="center"/>
              <w:rPr>
                <w:rFonts w:hAnsi="宋体"/>
                <w:color w:val="auto"/>
                <w:highlight w:val="none"/>
              </w:rPr>
            </w:pPr>
            <w:r>
              <w:rPr>
                <w:rFonts w:hint="eastAsia" w:hAnsi="宋体"/>
                <w:color w:val="auto"/>
                <w:szCs w:val="21"/>
                <w:highlight w:val="none"/>
              </w:rPr>
              <w:t>服务收费</w:t>
            </w:r>
          </w:p>
        </w:tc>
        <w:tc>
          <w:tcPr>
            <w:tcW w:w="6840" w:type="dxa"/>
            <w:vAlign w:val="center"/>
          </w:tcPr>
          <w:p w14:paraId="7D283E15">
            <w:pPr>
              <w:pStyle w:val="47"/>
              <w:spacing w:line="360" w:lineRule="auto"/>
              <w:ind w:left="315" w:hanging="315" w:hangingChars="150"/>
              <w:rPr>
                <w:rFonts w:hAnsi="宋体"/>
                <w:color w:val="auto"/>
                <w:szCs w:val="21"/>
                <w:highlight w:val="none"/>
              </w:rPr>
            </w:pPr>
            <w:r>
              <w:rPr>
                <w:rFonts w:hint="eastAsia" w:hAnsi="宋体"/>
                <w:color w:val="auto"/>
                <w:szCs w:val="21"/>
                <w:highlight w:val="none"/>
              </w:rPr>
              <w:t>1、代理</w:t>
            </w:r>
            <w:r>
              <w:rPr>
                <w:rFonts w:hint="eastAsia" w:hAnsi="宋体" w:cs="宋体"/>
                <w:bCs/>
                <w:color w:val="auto"/>
                <w:szCs w:val="21"/>
                <w:highlight w:val="none"/>
              </w:rPr>
              <w:t>服务费</w:t>
            </w:r>
            <w:r>
              <w:rPr>
                <w:rFonts w:hint="eastAsia" w:hAnsi="宋体"/>
                <w:color w:val="auto"/>
                <w:szCs w:val="21"/>
                <w:highlight w:val="none"/>
              </w:rPr>
              <w:t>支付方式：由</w:t>
            </w:r>
            <w:r>
              <w:rPr>
                <w:rFonts w:hint="eastAsia" w:hAnsi="宋体"/>
                <w:color w:val="auto"/>
                <w:szCs w:val="21"/>
                <w:highlight w:val="none"/>
                <w:u w:val="single"/>
              </w:rPr>
              <w:t>成交供应商</w:t>
            </w:r>
            <w:r>
              <w:rPr>
                <w:rFonts w:hint="eastAsia" w:hAnsi="宋体"/>
                <w:color w:val="auto"/>
                <w:szCs w:val="21"/>
                <w:highlight w:val="none"/>
              </w:rPr>
              <w:t>一次性向采购代理机构支付。</w:t>
            </w:r>
          </w:p>
          <w:p w14:paraId="077FB066">
            <w:pPr>
              <w:pStyle w:val="47"/>
              <w:spacing w:line="360" w:lineRule="auto"/>
              <w:ind w:left="315" w:hanging="315" w:hangingChars="150"/>
              <w:rPr>
                <w:rFonts w:hAnsi="宋体"/>
                <w:color w:val="auto"/>
                <w:szCs w:val="21"/>
                <w:highlight w:val="none"/>
              </w:rPr>
            </w:pPr>
            <w:r>
              <w:rPr>
                <w:rFonts w:hint="eastAsia" w:hAnsi="宋体"/>
                <w:color w:val="auto"/>
                <w:szCs w:val="21"/>
                <w:highlight w:val="none"/>
              </w:rPr>
              <w:t>2、收取标准：按本项目</w:t>
            </w:r>
          </w:p>
          <w:tbl>
            <w:tblPr>
              <w:tblStyle w:val="29"/>
              <w:tblW w:w="36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3494"/>
            </w:tblGrid>
            <w:tr w14:paraId="76A7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pct"/>
                  <w:tcBorders>
                    <w:top w:val="single" w:color="auto" w:sz="4" w:space="0"/>
                    <w:left w:val="single" w:color="auto" w:sz="4" w:space="0"/>
                    <w:bottom w:val="single" w:color="auto" w:sz="4" w:space="0"/>
                    <w:right w:val="single" w:color="auto" w:sz="4" w:space="0"/>
                  </w:tcBorders>
                  <w:vAlign w:val="center"/>
                </w:tcPr>
                <w:p w14:paraId="18180EA9">
                  <w:pPr>
                    <w:pStyle w:val="47"/>
                    <w:snapToGrid w:val="0"/>
                    <w:spacing w:line="360" w:lineRule="auto"/>
                    <w:jc w:val="center"/>
                    <w:rPr>
                      <w:rFonts w:hAnsi="宋体"/>
                      <w:b/>
                      <w:color w:val="auto"/>
                      <w:szCs w:val="21"/>
                      <w:highlight w:val="none"/>
                    </w:rPr>
                  </w:pPr>
                  <w:r>
                    <w:rPr>
                      <w:rFonts w:hAnsi="宋体"/>
                      <w:b/>
                      <w:color w:val="auto"/>
                      <w:szCs w:val="21"/>
                      <w:highlight w:val="none"/>
                    </w:rPr>
                    <w:t>标</w:t>
                  </w:r>
                  <w:r>
                    <w:rPr>
                      <w:rFonts w:hint="eastAsia" w:hAnsi="宋体"/>
                      <w:b/>
                      <w:color w:val="auto"/>
                      <w:szCs w:val="21"/>
                      <w:highlight w:val="none"/>
                    </w:rPr>
                    <w:t>项号</w:t>
                  </w:r>
                </w:p>
              </w:tc>
              <w:tc>
                <w:tcPr>
                  <w:tcW w:w="3582" w:type="pct"/>
                  <w:tcBorders>
                    <w:top w:val="single" w:color="auto" w:sz="4" w:space="0"/>
                    <w:left w:val="single" w:color="auto" w:sz="4" w:space="0"/>
                    <w:bottom w:val="single" w:color="auto" w:sz="4" w:space="0"/>
                    <w:right w:val="single" w:color="auto" w:sz="4" w:space="0"/>
                  </w:tcBorders>
                  <w:vAlign w:val="center"/>
                </w:tcPr>
                <w:p w14:paraId="743B19A7">
                  <w:pPr>
                    <w:pStyle w:val="47"/>
                    <w:snapToGrid w:val="0"/>
                    <w:spacing w:line="360" w:lineRule="auto"/>
                    <w:jc w:val="center"/>
                    <w:rPr>
                      <w:rFonts w:hAnsi="宋体"/>
                      <w:b/>
                      <w:color w:val="auto"/>
                      <w:szCs w:val="21"/>
                      <w:highlight w:val="none"/>
                    </w:rPr>
                  </w:pPr>
                  <w:r>
                    <w:rPr>
                      <w:rFonts w:hint="eastAsia" w:hAnsi="宋体"/>
                      <w:b/>
                      <w:color w:val="auto"/>
                      <w:szCs w:val="21"/>
                      <w:highlight w:val="none"/>
                    </w:rPr>
                    <w:t>金额（人民币，元）</w:t>
                  </w:r>
                </w:p>
              </w:tc>
            </w:tr>
            <w:tr w14:paraId="1D44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pct"/>
                  <w:tcBorders>
                    <w:top w:val="single" w:color="auto" w:sz="4" w:space="0"/>
                    <w:left w:val="single" w:color="auto" w:sz="4" w:space="0"/>
                    <w:bottom w:val="single" w:color="auto" w:sz="4" w:space="0"/>
                    <w:right w:val="single" w:color="auto" w:sz="4" w:space="0"/>
                  </w:tcBorders>
                  <w:vAlign w:val="center"/>
                </w:tcPr>
                <w:p w14:paraId="751639B1">
                  <w:pPr>
                    <w:pStyle w:val="47"/>
                    <w:spacing w:line="360" w:lineRule="auto"/>
                    <w:jc w:val="center"/>
                    <w:rPr>
                      <w:rFonts w:hAnsi="宋体"/>
                      <w:b/>
                      <w:color w:val="auto"/>
                      <w:szCs w:val="21"/>
                      <w:highlight w:val="none"/>
                    </w:rPr>
                  </w:pPr>
                  <w:r>
                    <w:rPr>
                      <w:rFonts w:hint="eastAsia" w:hAnsi="宋体"/>
                      <w:b/>
                      <w:color w:val="auto"/>
                      <w:szCs w:val="21"/>
                      <w:highlight w:val="none"/>
                    </w:rPr>
                    <w:t>分标1</w:t>
                  </w:r>
                </w:p>
              </w:tc>
              <w:tc>
                <w:tcPr>
                  <w:tcW w:w="3582" w:type="pct"/>
                  <w:tcBorders>
                    <w:top w:val="single" w:color="auto" w:sz="4" w:space="0"/>
                    <w:left w:val="single" w:color="auto" w:sz="4" w:space="0"/>
                    <w:bottom w:val="single" w:color="auto" w:sz="4" w:space="0"/>
                    <w:right w:val="single" w:color="auto" w:sz="4" w:space="0"/>
                  </w:tcBorders>
                  <w:vAlign w:val="center"/>
                </w:tcPr>
                <w:p w14:paraId="0D698050">
                  <w:pPr>
                    <w:pStyle w:val="47"/>
                    <w:spacing w:line="360" w:lineRule="auto"/>
                    <w:jc w:val="center"/>
                    <w:rPr>
                      <w:rFonts w:hAnsi="宋体"/>
                      <w:b/>
                      <w:color w:val="auto"/>
                      <w:szCs w:val="21"/>
                      <w:highlight w:val="none"/>
                    </w:rPr>
                  </w:pPr>
                  <w:r>
                    <w:rPr>
                      <w:rFonts w:hint="eastAsia" w:hAnsi="宋体"/>
                      <w:b/>
                      <w:color w:val="auto"/>
                      <w:szCs w:val="21"/>
                      <w:highlight w:val="none"/>
                    </w:rPr>
                    <w:t>8478.00</w:t>
                  </w:r>
                </w:p>
              </w:tc>
            </w:tr>
            <w:tr w14:paraId="45B0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pct"/>
                  <w:tcBorders>
                    <w:top w:val="single" w:color="auto" w:sz="4" w:space="0"/>
                    <w:left w:val="single" w:color="auto" w:sz="4" w:space="0"/>
                    <w:bottom w:val="single" w:color="auto" w:sz="4" w:space="0"/>
                    <w:right w:val="single" w:color="auto" w:sz="4" w:space="0"/>
                  </w:tcBorders>
                  <w:vAlign w:val="center"/>
                </w:tcPr>
                <w:p w14:paraId="3B6C50BA">
                  <w:pPr>
                    <w:pStyle w:val="47"/>
                    <w:spacing w:line="360" w:lineRule="auto"/>
                    <w:jc w:val="center"/>
                    <w:rPr>
                      <w:rFonts w:hAnsi="宋体"/>
                      <w:b/>
                      <w:color w:val="auto"/>
                      <w:szCs w:val="21"/>
                      <w:highlight w:val="none"/>
                    </w:rPr>
                  </w:pPr>
                  <w:r>
                    <w:rPr>
                      <w:rFonts w:hint="eastAsia" w:hAnsi="宋体"/>
                      <w:b/>
                      <w:color w:val="auto"/>
                      <w:szCs w:val="21"/>
                      <w:highlight w:val="none"/>
                    </w:rPr>
                    <w:t>分标2</w:t>
                  </w:r>
                </w:p>
              </w:tc>
              <w:tc>
                <w:tcPr>
                  <w:tcW w:w="3582" w:type="pct"/>
                  <w:tcBorders>
                    <w:top w:val="single" w:color="auto" w:sz="4" w:space="0"/>
                    <w:left w:val="single" w:color="auto" w:sz="4" w:space="0"/>
                    <w:bottom w:val="single" w:color="auto" w:sz="4" w:space="0"/>
                    <w:right w:val="single" w:color="auto" w:sz="4" w:space="0"/>
                  </w:tcBorders>
                  <w:vAlign w:val="center"/>
                </w:tcPr>
                <w:p w14:paraId="6D3E8E43">
                  <w:pPr>
                    <w:pStyle w:val="47"/>
                    <w:spacing w:line="360" w:lineRule="auto"/>
                    <w:jc w:val="center"/>
                    <w:rPr>
                      <w:rFonts w:hAnsi="宋体"/>
                      <w:b/>
                      <w:color w:val="auto"/>
                      <w:szCs w:val="21"/>
                      <w:highlight w:val="none"/>
                    </w:rPr>
                  </w:pPr>
                  <w:r>
                    <w:rPr>
                      <w:rFonts w:hint="eastAsia" w:hAnsi="宋体"/>
                      <w:b/>
                      <w:color w:val="auto"/>
                      <w:szCs w:val="21"/>
                      <w:highlight w:val="none"/>
                    </w:rPr>
                    <w:t>9900.00</w:t>
                  </w:r>
                </w:p>
              </w:tc>
            </w:tr>
          </w:tbl>
          <w:p w14:paraId="3C7F543E">
            <w:pPr>
              <w:pStyle w:val="47"/>
              <w:spacing w:line="360" w:lineRule="auto"/>
              <w:rPr>
                <w:rFonts w:hAnsi="宋体"/>
                <w:color w:val="auto"/>
                <w:szCs w:val="21"/>
                <w:highlight w:val="none"/>
              </w:rPr>
            </w:pPr>
            <w:r>
              <w:rPr>
                <w:rFonts w:hint="eastAsia" w:hAnsi="宋体"/>
                <w:color w:val="auto"/>
                <w:szCs w:val="21"/>
                <w:highlight w:val="none"/>
              </w:rPr>
              <w:t>3、上述款项，转入以下银行账户：</w:t>
            </w:r>
          </w:p>
          <w:p w14:paraId="36BE8F72">
            <w:pPr>
              <w:pStyle w:val="47"/>
              <w:snapToGrid w:val="0"/>
              <w:spacing w:line="360" w:lineRule="exact"/>
              <w:ind w:firstLine="315" w:firstLineChars="150"/>
              <w:rPr>
                <w:rFonts w:hAnsi="宋体"/>
                <w:color w:val="auto"/>
                <w:szCs w:val="21"/>
                <w:highlight w:val="none"/>
              </w:rPr>
            </w:pPr>
            <w:r>
              <w:rPr>
                <w:rFonts w:hint="eastAsia" w:hAnsi="宋体"/>
                <w:color w:val="auto"/>
                <w:szCs w:val="21"/>
                <w:highlight w:val="none"/>
              </w:rPr>
              <w:t>开户名称：广西建基项目管理顾问有限公司梧州分公司</w:t>
            </w:r>
          </w:p>
          <w:p w14:paraId="2932F9CA">
            <w:pPr>
              <w:pStyle w:val="47"/>
              <w:snapToGrid w:val="0"/>
              <w:spacing w:line="360" w:lineRule="exact"/>
              <w:ind w:firstLine="315" w:firstLineChars="150"/>
              <w:rPr>
                <w:rFonts w:hAnsi="宋体"/>
                <w:color w:val="auto"/>
                <w:szCs w:val="21"/>
                <w:highlight w:val="none"/>
              </w:rPr>
            </w:pPr>
            <w:r>
              <w:rPr>
                <w:rFonts w:hint="eastAsia" w:hAnsi="宋体"/>
                <w:color w:val="auto"/>
                <w:szCs w:val="21"/>
                <w:highlight w:val="none"/>
              </w:rPr>
              <w:t>开户银行：中国建设银行股份有限公司梧州新兴三路支行</w:t>
            </w:r>
          </w:p>
          <w:p w14:paraId="36D856C1">
            <w:pPr>
              <w:pStyle w:val="47"/>
              <w:spacing w:line="360" w:lineRule="auto"/>
              <w:ind w:left="1430" w:leftChars="150" w:hanging="1115" w:hangingChars="531"/>
              <w:rPr>
                <w:rFonts w:hAnsi="宋体"/>
                <w:color w:val="auto"/>
                <w:szCs w:val="21"/>
                <w:highlight w:val="none"/>
              </w:rPr>
            </w:pPr>
            <w:r>
              <w:rPr>
                <w:rFonts w:hint="eastAsia" w:hAnsi="宋体"/>
                <w:color w:val="auto"/>
                <w:szCs w:val="21"/>
                <w:highlight w:val="none"/>
              </w:rPr>
              <w:t>银行账号：4505 0164 8655 0000 1159</w:t>
            </w:r>
          </w:p>
        </w:tc>
      </w:tr>
      <w:tr w14:paraId="1C7C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536" w:type="dxa"/>
            <w:vAlign w:val="center"/>
          </w:tcPr>
          <w:p w14:paraId="60D726AF">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23</w:t>
            </w:r>
          </w:p>
        </w:tc>
        <w:tc>
          <w:tcPr>
            <w:tcW w:w="654" w:type="dxa"/>
            <w:vAlign w:val="center"/>
          </w:tcPr>
          <w:p w14:paraId="120DDE24">
            <w:pPr>
              <w:snapToGrid w:val="0"/>
              <w:spacing w:line="360" w:lineRule="auto"/>
              <w:jc w:val="center"/>
              <w:rPr>
                <w:rFonts w:ascii="宋体" w:hAnsi="宋体"/>
                <w:color w:val="auto"/>
                <w:szCs w:val="21"/>
                <w:highlight w:val="none"/>
              </w:rPr>
            </w:pPr>
            <w:r>
              <w:rPr>
                <w:rFonts w:ascii="宋体" w:hAnsi="宋体"/>
                <w:color w:val="auto"/>
                <w:szCs w:val="21"/>
                <w:highlight w:val="none"/>
              </w:rPr>
              <w:t>38.1</w:t>
            </w:r>
          </w:p>
        </w:tc>
        <w:tc>
          <w:tcPr>
            <w:tcW w:w="1494" w:type="dxa"/>
            <w:vAlign w:val="center"/>
          </w:tcPr>
          <w:p w14:paraId="03FD97D5">
            <w:pPr>
              <w:pStyle w:val="47"/>
              <w:snapToGrid w:val="0"/>
              <w:spacing w:line="360" w:lineRule="auto"/>
              <w:jc w:val="center"/>
              <w:rPr>
                <w:rFonts w:hAnsi="宋体"/>
                <w:color w:val="auto"/>
                <w:szCs w:val="21"/>
                <w:highlight w:val="none"/>
              </w:rPr>
            </w:pPr>
            <w:r>
              <w:rPr>
                <w:rFonts w:hint="eastAsia" w:hAnsi="宋体"/>
                <w:color w:val="auto"/>
                <w:szCs w:val="21"/>
                <w:highlight w:val="none"/>
              </w:rPr>
              <w:t>补充事宜</w:t>
            </w:r>
          </w:p>
        </w:tc>
        <w:tc>
          <w:tcPr>
            <w:tcW w:w="6840" w:type="dxa"/>
            <w:vAlign w:val="center"/>
          </w:tcPr>
          <w:p w14:paraId="77B05F23">
            <w:pPr>
              <w:pStyle w:val="47"/>
              <w:spacing w:line="360" w:lineRule="auto"/>
              <w:rPr>
                <w:rFonts w:hAnsi="宋体"/>
                <w:color w:val="auto"/>
                <w:szCs w:val="21"/>
                <w:highlight w:val="none"/>
              </w:rPr>
            </w:pPr>
            <w:r>
              <w:rPr>
                <w:rFonts w:hint="eastAsia" w:hAnsi="宋体"/>
                <w:b/>
                <w:bCs/>
                <w:color w:val="auto"/>
                <w:szCs w:val="21"/>
                <w:highlight w:val="none"/>
              </w:rPr>
              <w:t>1.根据《金融业企业划型标准规定》通知（银发[2015]309号），本项目分标1、分标2对应的所属行业均为：保险业</w:t>
            </w:r>
          </w:p>
          <w:p w14:paraId="799937E0">
            <w:pPr>
              <w:pStyle w:val="47"/>
              <w:spacing w:line="360" w:lineRule="auto"/>
              <w:rPr>
                <w:rFonts w:hAnsi="宋体"/>
                <w:color w:val="auto"/>
                <w:szCs w:val="21"/>
                <w:highlight w:val="none"/>
              </w:rPr>
            </w:pPr>
            <w:r>
              <w:rPr>
                <w:rFonts w:hint="eastAsia" w:hAnsi="宋体"/>
                <w:color w:val="auto"/>
                <w:szCs w:val="21"/>
                <w:highlight w:val="none"/>
              </w:rPr>
              <w:t>2.本项目竞争性磋商文件所称的“以上”、“以下”、“内”、“以内”，包括本数；所称的“不足”，</w:t>
            </w:r>
            <w:bookmarkStart w:id="64" w:name="OLE_LINK22"/>
            <w:bookmarkStart w:id="65" w:name="OLE_LINK21"/>
            <w:r>
              <w:rPr>
                <w:rFonts w:hint="eastAsia" w:hAnsi="宋体"/>
                <w:color w:val="auto"/>
                <w:szCs w:val="21"/>
                <w:highlight w:val="none"/>
              </w:rPr>
              <w:t>不包括本数</w:t>
            </w:r>
            <w:bookmarkEnd w:id="64"/>
            <w:bookmarkEnd w:id="65"/>
            <w:r>
              <w:rPr>
                <w:rFonts w:hint="eastAsia" w:hAnsi="宋体"/>
                <w:color w:val="auto"/>
                <w:szCs w:val="21"/>
                <w:highlight w:val="none"/>
              </w:rPr>
              <w:t>。</w:t>
            </w:r>
          </w:p>
        </w:tc>
      </w:tr>
    </w:tbl>
    <w:p w14:paraId="5586DB61">
      <w:pPr>
        <w:pStyle w:val="47"/>
        <w:spacing w:line="200" w:lineRule="exact"/>
        <w:rPr>
          <w:rFonts w:hAnsi="宋体"/>
          <w:color w:val="auto"/>
          <w:highlight w:val="none"/>
        </w:rPr>
      </w:pPr>
      <w:r>
        <w:rPr>
          <w:rFonts w:hAnsi="宋体"/>
          <w:color w:val="auto"/>
          <w:highlight w:val="none"/>
        </w:rPr>
        <w:br w:type="page"/>
      </w:r>
    </w:p>
    <w:p w14:paraId="3A139F70">
      <w:pPr>
        <w:spacing w:line="400" w:lineRule="exact"/>
        <w:ind w:firstLine="420"/>
        <w:rPr>
          <w:rFonts w:ascii="宋体" w:hAnsi="宋体"/>
          <w:color w:val="auto"/>
          <w:szCs w:val="21"/>
          <w:highlight w:val="none"/>
        </w:rPr>
      </w:pPr>
    </w:p>
    <w:p w14:paraId="25D8DE37">
      <w:pPr>
        <w:pStyle w:val="14"/>
        <w:spacing w:line="400" w:lineRule="exact"/>
        <w:jc w:val="center"/>
        <w:rPr>
          <w:rFonts w:hAnsi="宋体"/>
          <w:b/>
          <w:color w:val="auto"/>
          <w:sz w:val="32"/>
          <w:highlight w:val="none"/>
        </w:rPr>
      </w:pPr>
      <w:r>
        <w:rPr>
          <w:rFonts w:hint="eastAsia" w:hAnsi="宋体"/>
          <w:b/>
          <w:color w:val="auto"/>
          <w:sz w:val="32"/>
          <w:highlight w:val="none"/>
        </w:rPr>
        <w:t>供应商须知正文</w:t>
      </w:r>
    </w:p>
    <w:p w14:paraId="56305F43">
      <w:pPr>
        <w:spacing w:line="400" w:lineRule="exact"/>
        <w:ind w:firstLine="420"/>
        <w:rPr>
          <w:rFonts w:ascii="宋体" w:hAnsi="宋体"/>
          <w:color w:val="auto"/>
          <w:szCs w:val="21"/>
          <w:highlight w:val="none"/>
        </w:rPr>
      </w:pPr>
    </w:p>
    <w:p w14:paraId="1FF14A32">
      <w:pPr>
        <w:pStyle w:val="2"/>
        <w:spacing w:line="400" w:lineRule="exact"/>
        <w:jc w:val="center"/>
        <w:rPr>
          <w:rFonts w:ascii="宋体" w:hAnsi="宋体"/>
          <w:color w:val="auto"/>
          <w:highlight w:val="none"/>
        </w:rPr>
      </w:pPr>
      <w:bookmarkStart w:id="66" w:name="_Toc206525681"/>
      <w:bookmarkStart w:id="67" w:name="_Toc185702548"/>
      <w:bookmarkStart w:id="68" w:name="_Toc207770834"/>
      <w:bookmarkStart w:id="69" w:name="_Toc239839862"/>
      <w:bookmarkStart w:id="70" w:name="_Toc16068266"/>
      <w:bookmarkStart w:id="71" w:name="_Toc230578056"/>
      <w:bookmarkStart w:id="72" w:name="_Toc64706757"/>
      <w:r>
        <w:rPr>
          <w:rFonts w:hint="eastAsia" w:ascii="宋体" w:hAnsi="宋体"/>
          <w:color w:val="auto"/>
          <w:highlight w:val="none"/>
        </w:rPr>
        <w:t>一   总则</w:t>
      </w:r>
      <w:bookmarkEnd w:id="66"/>
      <w:bookmarkEnd w:id="67"/>
      <w:bookmarkEnd w:id="68"/>
      <w:bookmarkEnd w:id="69"/>
      <w:bookmarkEnd w:id="70"/>
      <w:bookmarkEnd w:id="71"/>
      <w:bookmarkEnd w:id="72"/>
    </w:p>
    <w:p w14:paraId="58060327">
      <w:pPr>
        <w:pStyle w:val="3"/>
        <w:spacing w:beforeLines="50" w:after="0" w:line="400" w:lineRule="exact"/>
        <w:rPr>
          <w:rFonts w:ascii="宋体" w:hAnsi="宋体" w:eastAsia="宋体"/>
          <w:color w:val="auto"/>
          <w:sz w:val="21"/>
          <w:szCs w:val="21"/>
          <w:highlight w:val="none"/>
        </w:rPr>
      </w:pPr>
      <w:bookmarkStart w:id="73" w:name="_Toc185702549"/>
      <w:bookmarkStart w:id="74" w:name="_Toc206525682"/>
      <w:bookmarkStart w:id="75" w:name="_Toc230578057"/>
      <w:bookmarkStart w:id="76" w:name="_Toc239839863"/>
      <w:bookmarkStart w:id="77" w:name="_Toc207770835"/>
      <w:bookmarkStart w:id="78" w:name="_Toc16068267"/>
      <w:r>
        <w:rPr>
          <w:rFonts w:hint="eastAsia" w:ascii="宋体" w:hAnsi="宋体" w:eastAsia="宋体"/>
          <w:color w:val="auto"/>
          <w:sz w:val="21"/>
          <w:szCs w:val="21"/>
          <w:highlight w:val="none"/>
        </w:rPr>
        <w:t>1</w:t>
      </w:r>
      <w:bookmarkEnd w:id="73"/>
      <w:bookmarkEnd w:id="74"/>
      <w:bookmarkEnd w:id="75"/>
      <w:bookmarkEnd w:id="76"/>
      <w:bookmarkEnd w:id="77"/>
      <w:r>
        <w:rPr>
          <w:rFonts w:hint="eastAsia" w:ascii="宋体" w:hAnsi="宋体" w:eastAsia="宋体"/>
          <w:color w:val="auto"/>
          <w:sz w:val="21"/>
          <w:szCs w:val="21"/>
          <w:highlight w:val="none"/>
        </w:rPr>
        <w:t>．适用范围</w:t>
      </w:r>
      <w:bookmarkEnd w:id="78"/>
    </w:p>
    <w:p w14:paraId="7AE5E1A0">
      <w:pPr>
        <w:pStyle w:val="14"/>
        <w:spacing w:line="400" w:lineRule="exact"/>
        <w:ind w:left="420" w:hanging="420" w:hangingChars="200"/>
        <w:rPr>
          <w:rFonts w:hAnsi="宋体"/>
          <w:color w:val="auto"/>
          <w:szCs w:val="21"/>
          <w:highlight w:val="none"/>
        </w:rPr>
      </w:pPr>
      <w:bookmarkStart w:id="79" w:name="_Toc207770836"/>
      <w:bookmarkStart w:id="80" w:name="_Toc239839864"/>
      <w:bookmarkStart w:id="81" w:name="_Toc230578058"/>
      <w:bookmarkStart w:id="82" w:name="_Toc185702550"/>
      <w:bookmarkStart w:id="83" w:name="_Toc206525683"/>
      <w:r>
        <w:rPr>
          <w:rFonts w:hint="eastAsia" w:hAnsi="宋体"/>
          <w:color w:val="auto"/>
          <w:szCs w:val="21"/>
          <w:highlight w:val="none"/>
        </w:rPr>
        <w:t>1.1项目名称及编号：见本章</w:t>
      </w:r>
      <w:r>
        <w:rPr>
          <w:rFonts w:hint="eastAsia" w:hAnsi="宋体"/>
          <w:color w:val="auto"/>
          <w:highlight w:val="none"/>
        </w:rPr>
        <w:t>“供应商须知前附表”</w:t>
      </w:r>
      <w:r>
        <w:rPr>
          <w:rFonts w:hint="eastAsia" w:hAnsi="宋体"/>
          <w:color w:val="auto"/>
          <w:szCs w:val="21"/>
          <w:highlight w:val="none"/>
        </w:rPr>
        <w:t>第1项。</w:t>
      </w:r>
    </w:p>
    <w:p w14:paraId="3506158C">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1.2本竞争性磋商文件（以下简称磋商文件</w:t>
      </w:r>
      <w:r>
        <w:rPr>
          <w:rFonts w:hint="eastAsia" w:hAnsi="宋体"/>
          <w:color w:val="auto"/>
          <w:highlight w:val="none"/>
        </w:rPr>
        <w:t>或采购文件</w:t>
      </w:r>
      <w:r>
        <w:rPr>
          <w:rFonts w:hint="eastAsia" w:hAnsi="宋体"/>
          <w:color w:val="auto"/>
          <w:szCs w:val="21"/>
          <w:highlight w:val="none"/>
        </w:rPr>
        <w:t>）适用于本项目的磋商、评审、合同履约、验收、付款等行为（法律、法规另有规定的，从其规定）。</w:t>
      </w:r>
    </w:p>
    <w:p w14:paraId="0BDADC8C">
      <w:pPr>
        <w:pStyle w:val="3"/>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2．定义</w:t>
      </w:r>
    </w:p>
    <w:p w14:paraId="576BE2CF">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2.1采购人：是指依法进行政府采购的国家机关、事业单位、团体组织，见本章</w:t>
      </w:r>
      <w:r>
        <w:rPr>
          <w:rFonts w:hint="eastAsia" w:hAnsi="宋体"/>
          <w:color w:val="auto"/>
          <w:highlight w:val="none"/>
        </w:rPr>
        <w:t>“供应商须知前附表”</w:t>
      </w:r>
      <w:r>
        <w:rPr>
          <w:rFonts w:hint="eastAsia" w:hAnsi="宋体"/>
          <w:color w:val="auto"/>
          <w:szCs w:val="21"/>
          <w:highlight w:val="none"/>
        </w:rPr>
        <w:t>第2项。</w:t>
      </w:r>
    </w:p>
    <w:p w14:paraId="3832E5FE">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2.2采购代理机构：是指采购人委托办理政府采购事宜的组织方，见本章</w:t>
      </w:r>
      <w:r>
        <w:rPr>
          <w:rFonts w:hint="eastAsia" w:hAnsi="宋体"/>
          <w:color w:val="auto"/>
          <w:highlight w:val="none"/>
        </w:rPr>
        <w:t>“供应商须知前附表”</w:t>
      </w:r>
      <w:r>
        <w:rPr>
          <w:rFonts w:hint="eastAsia" w:hAnsi="宋体"/>
          <w:color w:val="auto"/>
          <w:szCs w:val="21"/>
          <w:highlight w:val="none"/>
        </w:rPr>
        <w:t>第3项。</w:t>
      </w:r>
    </w:p>
    <w:p w14:paraId="18523903">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2.3监督管理部门：见本章</w:t>
      </w:r>
      <w:r>
        <w:rPr>
          <w:rFonts w:hint="eastAsia" w:hAnsi="宋体"/>
          <w:color w:val="auto"/>
          <w:highlight w:val="none"/>
        </w:rPr>
        <w:t>“供应商须知前附表”</w:t>
      </w:r>
      <w:r>
        <w:rPr>
          <w:rFonts w:hint="eastAsia" w:hAnsi="宋体"/>
          <w:color w:val="auto"/>
          <w:szCs w:val="21"/>
          <w:highlight w:val="none"/>
        </w:rPr>
        <w:t>第4项。</w:t>
      </w:r>
    </w:p>
    <w:p w14:paraId="1F28AC7D">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2.4供应商（也称“申请人”）：系指向采购人提供货物、工程或者服务的法人、其他组织或者自然人。按竞争性磋商公告要求获取磋商文件称为“潜在供应商”；提交响应文件并参加磋商称为“磋商供应商”；经法定程序确定成交的供应商称为“成交供应商”。</w:t>
      </w:r>
    </w:p>
    <w:p w14:paraId="7FC3159F">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2.5联合体：指两个以上的自然人、法人或者其他组织组成一个联合体，以一个供应商的身份共同参加政府采购。</w:t>
      </w:r>
    </w:p>
    <w:p w14:paraId="25E26514">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2.6货物：是指供应商生产或组织符合磋商文件要求的货物等。货物必须是合法生产、合法来源的符合国家有关标准要求的货物，并满足磋商文件规定的规格、参数、质量、价格、有效期、售后服务等要求。</w:t>
      </w:r>
    </w:p>
    <w:p w14:paraId="2C85E305">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2.7服务：是指除货物和工程以外的其他政府采购对象，其中包括：供应商须承担的运输、安装、技术支持、培训、类似附加服务以及磋商文件规定的其它服务。</w:t>
      </w:r>
    </w:p>
    <w:p w14:paraId="6F6AE551">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2.8响应文件：是指供应商根据磋商文件要求，编制包含报价、技术和服务等所有内容的实质性响应文件。</w:t>
      </w:r>
    </w:p>
    <w:bookmarkEnd w:id="79"/>
    <w:bookmarkEnd w:id="80"/>
    <w:bookmarkEnd w:id="81"/>
    <w:bookmarkEnd w:id="82"/>
    <w:bookmarkEnd w:id="83"/>
    <w:p w14:paraId="60AC4E3E">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2.9</w:t>
      </w:r>
      <w:r>
        <w:rPr>
          <w:rFonts w:hAnsi="宋体"/>
          <w:color w:val="auto"/>
          <w:szCs w:val="21"/>
          <w:highlight w:val="none"/>
        </w:rPr>
        <w:t>本</w:t>
      </w:r>
      <w:r>
        <w:rPr>
          <w:rFonts w:hint="eastAsia" w:hAnsi="宋体"/>
          <w:color w:val="auto"/>
          <w:szCs w:val="21"/>
          <w:highlight w:val="none"/>
        </w:rPr>
        <w:t>文件</w:t>
      </w:r>
      <w:r>
        <w:rPr>
          <w:rFonts w:hAnsi="宋体"/>
          <w:color w:val="auto"/>
          <w:szCs w:val="21"/>
          <w:highlight w:val="none"/>
        </w:rPr>
        <w:t>中的“法定代表人”若无特别说明，当供应商是企业的，是指企业法人营业执照上的法定代表人；当供应商是事业单位的，是指事业单位法人证书上的法定代表人；当供应商是社会团体、民办非企业</w:t>
      </w:r>
      <w:r>
        <w:rPr>
          <w:rFonts w:hint="eastAsia" w:hAnsi="宋体"/>
          <w:color w:val="auto"/>
          <w:szCs w:val="21"/>
          <w:highlight w:val="none"/>
        </w:rPr>
        <w:t>、其他组织</w:t>
      </w:r>
      <w:r>
        <w:rPr>
          <w:rFonts w:hAnsi="宋体"/>
          <w:color w:val="auto"/>
          <w:szCs w:val="21"/>
          <w:highlight w:val="none"/>
        </w:rPr>
        <w:t>的，是指</w:t>
      </w:r>
      <w:r>
        <w:rPr>
          <w:rFonts w:hint="eastAsia" w:hAnsi="宋体"/>
          <w:color w:val="auto"/>
          <w:szCs w:val="21"/>
          <w:highlight w:val="none"/>
        </w:rPr>
        <w:t>其他组织营业执照或者执业许可证等证照上的负责人</w:t>
      </w:r>
      <w:r>
        <w:rPr>
          <w:rFonts w:hAnsi="宋体"/>
          <w:color w:val="auto"/>
          <w:szCs w:val="21"/>
          <w:highlight w:val="none"/>
        </w:rPr>
        <w:t>；当供应商是个体工商户的，是指个体工商户营业执照上的经营者；当供应商是自然人的，是指参与</w:t>
      </w:r>
      <w:r>
        <w:rPr>
          <w:rFonts w:hint="eastAsia" w:hAnsi="宋体"/>
          <w:color w:val="auto"/>
          <w:szCs w:val="21"/>
          <w:highlight w:val="none"/>
        </w:rPr>
        <w:t>投标</w:t>
      </w:r>
      <w:r>
        <w:rPr>
          <w:rFonts w:hAnsi="宋体"/>
          <w:color w:val="auto"/>
          <w:szCs w:val="21"/>
          <w:highlight w:val="none"/>
        </w:rPr>
        <w:t>的自然人本人</w:t>
      </w:r>
      <w:r>
        <w:rPr>
          <w:rFonts w:hint="eastAsia" w:hAnsi="宋体"/>
          <w:color w:val="auto"/>
          <w:szCs w:val="21"/>
          <w:highlight w:val="none"/>
        </w:rPr>
        <w:t>，且应具备独立承担民事责任能力，自然人应当为年满18岁以上成年人（十六周岁以上的未成年人，以自己的劳动收入为主要生活来源的，视为完全民事行为能力人）</w:t>
      </w:r>
      <w:r>
        <w:rPr>
          <w:rFonts w:hAnsi="宋体"/>
          <w:color w:val="auto"/>
          <w:szCs w:val="21"/>
          <w:highlight w:val="none"/>
        </w:rPr>
        <w:t>。</w:t>
      </w:r>
    </w:p>
    <w:p w14:paraId="6F003CAE">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2.10</w:t>
      </w:r>
      <w:r>
        <w:rPr>
          <w:rFonts w:hint="eastAsia" w:hAnsi="宋体" w:cs="宋体"/>
          <w:color w:val="auto"/>
          <w:szCs w:val="21"/>
          <w:highlight w:val="none"/>
        </w:rPr>
        <w:t>本文件中描述供应商的“公章”是指根据我国对公章的管理规定，用供应商（自然人除外）法定主体行为名称制作的印章，除本文件有特殊规定外，供应商的财务章、部门章、分公司章【</w:t>
      </w:r>
      <w:r>
        <w:rPr>
          <w:rFonts w:hint="eastAsia" w:hAnsi="宋体"/>
          <w:color w:val="auto"/>
          <w:highlight w:val="none"/>
        </w:rPr>
        <w:t>本项目允许下属分公司（分支机构）</w:t>
      </w:r>
      <w:r>
        <w:rPr>
          <w:rFonts w:hint="eastAsia" w:hAnsi="宋体" w:cs="宋体"/>
          <w:color w:val="auto"/>
          <w:szCs w:val="21"/>
          <w:highlight w:val="none"/>
        </w:rPr>
        <w:t>参加</w:t>
      </w:r>
      <w:r>
        <w:rPr>
          <w:rFonts w:hint="eastAsia" w:hAnsi="宋体"/>
          <w:color w:val="auto"/>
          <w:highlight w:val="none"/>
        </w:rPr>
        <w:t>政府采购活动</w:t>
      </w:r>
      <w:r>
        <w:rPr>
          <w:rFonts w:hint="eastAsia" w:hAnsi="宋体" w:cs="宋体"/>
          <w:color w:val="auto"/>
          <w:szCs w:val="21"/>
          <w:highlight w:val="none"/>
        </w:rPr>
        <w:t>的除外】、工会章、合同章、投标专用章、业务专用章及银行的转账章、现金收讫章、现金付讫章等其它形式印章均不能代替公章。</w:t>
      </w:r>
    </w:p>
    <w:p w14:paraId="4B89368C">
      <w:pPr>
        <w:pStyle w:val="14"/>
        <w:spacing w:line="400" w:lineRule="exact"/>
        <w:ind w:left="420" w:hanging="420" w:hangingChars="200"/>
        <w:rPr>
          <w:rFonts w:hAnsi="宋体" w:cs="宋体"/>
          <w:color w:val="auto"/>
          <w:szCs w:val="21"/>
          <w:highlight w:val="none"/>
        </w:rPr>
      </w:pPr>
      <w:r>
        <w:rPr>
          <w:rFonts w:hint="eastAsia" w:hAnsi="宋体"/>
          <w:color w:val="auto"/>
          <w:szCs w:val="21"/>
          <w:highlight w:val="none"/>
        </w:rPr>
        <w:t>2.11</w:t>
      </w:r>
      <w:r>
        <w:rPr>
          <w:rFonts w:hint="eastAsia" w:hAnsi="宋体" w:cs="宋体"/>
          <w:color w:val="auto"/>
          <w:szCs w:val="21"/>
          <w:highlight w:val="none"/>
        </w:rPr>
        <w:t>本文件中描述供应商代表的“签字（签名）”是指供应商的</w:t>
      </w:r>
      <w:r>
        <w:rPr>
          <w:rFonts w:hint="eastAsia" w:hAnsi="宋体"/>
          <w:color w:val="auto"/>
          <w:highlight w:val="none"/>
        </w:rPr>
        <w:t>法定代表人（或其授权代表）</w:t>
      </w:r>
      <w:r>
        <w:rPr>
          <w:rFonts w:hint="eastAsia" w:hAnsi="宋体"/>
          <w:color w:val="auto"/>
          <w:szCs w:val="21"/>
          <w:highlight w:val="none"/>
        </w:rPr>
        <w:t>亲自在文件规定签署处亲笔写上个人的名字的行为</w:t>
      </w:r>
      <w:r>
        <w:rPr>
          <w:rFonts w:hint="eastAsia" w:hAnsi="宋体" w:cs="宋体"/>
          <w:color w:val="auto"/>
          <w:szCs w:val="21"/>
          <w:highlight w:val="none"/>
        </w:rPr>
        <w:t>，私章、签字章、印鉴、影印等其它形式均不能代替亲笔签字。“电子签章”、“电子签名”，是指经“</w:t>
      </w:r>
      <w:r>
        <w:rPr>
          <w:rFonts w:hint="eastAsia" w:hAnsi="宋体" w:cs="仿宋_GB2312"/>
          <w:color w:val="auto"/>
          <w:kern w:val="0"/>
          <w:sz w:val="24"/>
          <w:highlight w:val="none"/>
        </w:rPr>
        <w:t>广西政府采购云平台</w:t>
      </w:r>
      <w:r>
        <w:rPr>
          <w:rFonts w:hint="eastAsia" w:hAnsi="宋体" w:cs="宋体"/>
          <w:color w:val="auto"/>
          <w:szCs w:val="21"/>
          <w:highlight w:val="none"/>
        </w:rPr>
        <w:t>”认可的CA认证的电子签名数据为表现形式的印章，可用于签署电子响应文件，电子印章与实物印章具有同等法律效力，不因其采用电子化表现形式而否定其法律效力。</w:t>
      </w:r>
    </w:p>
    <w:p w14:paraId="02BB0546">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2.12本文件中描述的“复印件”，是指原件的影印件或原件的扫描件，如颁发机构颁发的证件或证明材料已实行电子化的，可提供电子文件。</w:t>
      </w:r>
    </w:p>
    <w:p w14:paraId="10AA5F14">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2.13本章标注“</w:t>
      </w:r>
      <w:r>
        <w:rPr>
          <w:rFonts w:hint="eastAsia" w:hAnsi="宋体"/>
          <w:bCs/>
          <w:color w:val="auto"/>
          <w:highlight w:val="none"/>
        </w:rPr>
        <w:t>▲</w:t>
      </w:r>
      <w:r>
        <w:rPr>
          <w:rFonts w:hint="eastAsia" w:hAnsi="宋体"/>
          <w:color w:val="auto"/>
          <w:szCs w:val="21"/>
          <w:highlight w:val="none"/>
        </w:rPr>
        <w:t>”的条款或要求系指实质性条款或实质性要求。</w:t>
      </w:r>
    </w:p>
    <w:p w14:paraId="63142A8D">
      <w:pPr>
        <w:pStyle w:val="3"/>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3．采购项目需要落实的政府采购政策</w:t>
      </w:r>
      <w:r>
        <w:rPr>
          <w:rFonts w:ascii="宋体" w:hAnsi="宋体" w:eastAsia="宋体"/>
          <w:color w:val="auto"/>
          <w:sz w:val="21"/>
          <w:szCs w:val="21"/>
          <w:highlight w:val="none"/>
        </w:rPr>
        <w:t>（包括但不限于下列具体政策要求）</w:t>
      </w:r>
    </w:p>
    <w:p w14:paraId="043E7A27">
      <w:pPr>
        <w:pStyle w:val="14"/>
        <w:spacing w:line="400" w:lineRule="exact"/>
        <w:ind w:left="422" w:hanging="422" w:hangingChars="200"/>
        <w:rPr>
          <w:rFonts w:hAnsi="宋体"/>
          <w:b/>
          <w:color w:val="auto"/>
          <w:szCs w:val="21"/>
          <w:highlight w:val="none"/>
        </w:rPr>
      </w:pPr>
      <w:r>
        <w:rPr>
          <w:rFonts w:hint="eastAsia" w:hAnsi="宋体"/>
          <w:b/>
          <w:color w:val="auto"/>
          <w:szCs w:val="21"/>
          <w:highlight w:val="none"/>
        </w:rPr>
        <w:t>3.1支持绿色发展、节能环保</w:t>
      </w:r>
    </w:p>
    <w:p w14:paraId="4B6FC473">
      <w:pPr>
        <w:pStyle w:val="14"/>
        <w:spacing w:line="400" w:lineRule="exact"/>
        <w:ind w:left="630" w:hanging="630" w:hangingChars="300"/>
        <w:rPr>
          <w:rFonts w:hAnsi="宋体"/>
          <w:color w:val="auto"/>
          <w:szCs w:val="21"/>
          <w:highlight w:val="none"/>
        </w:rPr>
      </w:pPr>
      <w:r>
        <w:rPr>
          <w:rFonts w:hint="eastAsia" w:hAnsi="宋体"/>
          <w:color w:val="auto"/>
          <w:szCs w:val="21"/>
          <w:highlight w:val="none"/>
        </w:rPr>
        <w:t>3.1.1政府采购节能产品、环境标志产品的相关规定依据《关于调整优化节能产品、环境标志产品政府采购执行机制的通知》（</w:t>
      </w:r>
      <w:bookmarkStart w:id="84" w:name="OLE_LINK24"/>
      <w:bookmarkStart w:id="85" w:name="OLE_LINK23"/>
      <w:r>
        <w:rPr>
          <w:rFonts w:hint="eastAsia" w:hAnsi="宋体"/>
          <w:color w:val="auto"/>
          <w:szCs w:val="21"/>
          <w:highlight w:val="none"/>
        </w:rPr>
        <w:t>财库〔2019〕9号</w:t>
      </w:r>
      <w:bookmarkEnd w:id="84"/>
      <w:bookmarkEnd w:id="85"/>
      <w:r>
        <w:rPr>
          <w:rFonts w:hint="eastAsia" w:hAnsi="宋体"/>
          <w:color w:val="auto"/>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p w14:paraId="5717AD3B">
      <w:pPr>
        <w:pStyle w:val="14"/>
        <w:spacing w:line="400" w:lineRule="exact"/>
        <w:ind w:left="630" w:hanging="630" w:hangingChars="300"/>
        <w:rPr>
          <w:rFonts w:hAnsi="宋体"/>
          <w:color w:val="auto"/>
          <w:szCs w:val="21"/>
          <w:highlight w:val="none"/>
        </w:rPr>
      </w:pPr>
      <w:r>
        <w:rPr>
          <w:rFonts w:hint="eastAsia" w:hAnsi="宋体"/>
          <w:color w:val="auto"/>
          <w:szCs w:val="21"/>
          <w:highlight w:val="none"/>
        </w:rPr>
        <w:t>3.1.2</w:t>
      </w:r>
      <w:r>
        <w:rPr>
          <w:rFonts w:hint="eastAsia" w:hAnsi="宋体"/>
          <w:bCs/>
          <w:color w:val="auto"/>
          <w:highlight w:val="none"/>
        </w:rPr>
        <w:t>▲</w:t>
      </w:r>
      <w:r>
        <w:rPr>
          <w:rFonts w:hint="eastAsia" w:hAnsi="宋体"/>
          <w:color w:val="auto"/>
          <w:szCs w:val="21"/>
          <w:highlight w:val="none"/>
        </w:rPr>
        <w:t>采购人拟采购的产品属于政府强制采购的节能产品品目清单范围的，供应商未按磋商文件要求提供国家确定的认证机构出具的、处于有效期之内的节能产品认证证书或规定网站证书查询截图，</w:t>
      </w:r>
      <w:r>
        <w:rPr>
          <w:rFonts w:hint="eastAsia" w:hAnsi="宋体"/>
          <w:b/>
          <w:color w:val="auto"/>
          <w:szCs w:val="21"/>
          <w:highlight w:val="none"/>
        </w:rPr>
        <w:t>响应无效</w:t>
      </w:r>
      <w:r>
        <w:rPr>
          <w:rFonts w:hint="eastAsia" w:hAnsi="宋体"/>
          <w:color w:val="auto"/>
          <w:szCs w:val="21"/>
          <w:highlight w:val="none"/>
        </w:rPr>
        <w:t>。</w:t>
      </w:r>
    </w:p>
    <w:p w14:paraId="1F425238">
      <w:pPr>
        <w:pStyle w:val="14"/>
        <w:spacing w:line="400" w:lineRule="exact"/>
        <w:ind w:left="630" w:hanging="630" w:hangingChars="300"/>
        <w:rPr>
          <w:rFonts w:hAnsi="宋体"/>
          <w:color w:val="auto"/>
          <w:szCs w:val="21"/>
          <w:highlight w:val="none"/>
        </w:rPr>
      </w:pPr>
      <w:r>
        <w:rPr>
          <w:rFonts w:hint="eastAsia" w:hAnsi="宋体"/>
          <w:color w:val="auto"/>
          <w:szCs w:val="21"/>
          <w:highlight w:val="none"/>
        </w:rPr>
        <w:t>3.1.3非政府强制采购的节能产品或环境标志产品，依据品目清单和认证证书实施政府优先采购。优先采购的具体规定见第四章《评标方法和评标标准》（如涉及）。</w:t>
      </w:r>
    </w:p>
    <w:p w14:paraId="0B659B1F">
      <w:pPr>
        <w:pStyle w:val="14"/>
        <w:spacing w:line="400" w:lineRule="exact"/>
        <w:ind w:left="422" w:hanging="422" w:hangingChars="200"/>
        <w:rPr>
          <w:rFonts w:hAnsi="宋体"/>
          <w:b/>
          <w:color w:val="auto"/>
          <w:szCs w:val="21"/>
          <w:highlight w:val="none"/>
        </w:rPr>
      </w:pPr>
      <w:r>
        <w:rPr>
          <w:rFonts w:hint="eastAsia" w:hAnsi="宋体"/>
          <w:b/>
          <w:color w:val="auto"/>
          <w:szCs w:val="21"/>
          <w:highlight w:val="none"/>
        </w:rPr>
        <w:t>3.2支持中小企业发展、支持</w:t>
      </w:r>
      <w:r>
        <w:rPr>
          <w:rFonts w:hAnsi="宋体"/>
          <w:b/>
          <w:color w:val="auto"/>
          <w:szCs w:val="21"/>
          <w:highlight w:val="none"/>
        </w:rPr>
        <w:t>监狱企业及残疾人福利性单位</w:t>
      </w:r>
    </w:p>
    <w:p w14:paraId="1D0F19EB">
      <w:pPr>
        <w:pStyle w:val="14"/>
        <w:spacing w:line="400" w:lineRule="exact"/>
        <w:ind w:left="632" w:hanging="632" w:hangingChars="300"/>
        <w:rPr>
          <w:rFonts w:hAnsi="宋体"/>
          <w:b/>
          <w:color w:val="auto"/>
          <w:szCs w:val="21"/>
          <w:highlight w:val="none"/>
        </w:rPr>
      </w:pPr>
      <w:r>
        <w:rPr>
          <w:rFonts w:hint="eastAsia" w:hAnsi="宋体"/>
          <w:b/>
          <w:color w:val="auto"/>
          <w:szCs w:val="21"/>
          <w:highlight w:val="none"/>
        </w:rPr>
        <w:t>3.2.1</w:t>
      </w:r>
      <w:r>
        <w:rPr>
          <w:rFonts w:hAnsi="宋体"/>
          <w:b/>
          <w:color w:val="auto"/>
          <w:szCs w:val="21"/>
          <w:highlight w:val="none"/>
        </w:rPr>
        <w:t>中小企业：</w:t>
      </w:r>
    </w:p>
    <w:p w14:paraId="5A5825D3">
      <w:pPr>
        <w:pStyle w:val="14"/>
        <w:spacing w:line="400" w:lineRule="exact"/>
        <w:ind w:left="525" w:hanging="525" w:hangingChars="250"/>
        <w:rPr>
          <w:rFonts w:hAnsi="宋体"/>
          <w:color w:val="auto"/>
          <w:szCs w:val="21"/>
          <w:highlight w:val="none"/>
        </w:rPr>
      </w:pPr>
      <w:r>
        <w:rPr>
          <w:rFonts w:hAnsi="宋体"/>
          <w:color w:val="auto"/>
          <w:szCs w:val="21"/>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w:t>
      </w:r>
      <w:r>
        <w:rPr>
          <w:rFonts w:hAnsi="宋体"/>
          <w:color w:val="auto"/>
          <w:spacing w:val="-6"/>
          <w:szCs w:val="21"/>
          <w:highlight w:val="none"/>
        </w:rPr>
        <w:t>（财库〔2020〕46号）、《关于印发中小企业划型标准规定的通知》（工信部联企业〔2011〕300号）</w:t>
      </w:r>
      <w:r>
        <w:rPr>
          <w:rFonts w:hint="eastAsia" w:hAnsi="宋体"/>
          <w:color w:val="auto"/>
          <w:spacing w:val="-6"/>
          <w:szCs w:val="21"/>
          <w:highlight w:val="none"/>
        </w:rPr>
        <w:t>等</w:t>
      </w:r>
      <w:r>
        <w:rPr>
          <w:rFonts w:hAnsi="宋体"/>
          <w:color w:val="auto"/>
          <w:spacing w:val="-6"/>
          <w:szCs w:val="21"/>
          <w:highlight w:val="none"/>
        </w:rPr>
        <w:t>。</w:t>
      </w:r>
    </w:p>
    <w:p w14:paraId="528432EF">
      <w:pPr>
        <w:pStyle w:val="14"/>
        <w:spacing w:line="400" w:lineRule="exact"/>
        <w:ind w:left="420" w:hanging="420" w:hangingChars="200"/>
        <w:rPr>
          <w:rFonts w:hAnsi="宋体"/>
          <w:color w:val="auto"/>
          <w:szCs w:val="21"/>
          <w:highlight w:val="none"/>
        </w:rPr>
      </w:pPr>
      <w:r>
        <w:rPr>
          <w:rFonts w:hAnsi="宋体"/>
          <w:color w:val="auto"/>
          <w:szCs w:val="21"/>
          <w:highlight w:val="none"/>
        </w:rPr>
        <w:t>（</w:t>
      </w:r>
      <w:r>
        <w:rPr>
          <w:rFonts w:hint="eastAsia" w:hAnsi="宋体"/>
          <w:color w:val="auto"/>
          <w:szCs w:val="21"/>
          <w:highlight w:val="none"/>
        </w:rPr>
        <w:t>2</w:t>
      </w:r>
      <w:r>
        <w:rPr>
          <w:rFonts w:hAnsi="宋体"/>
          <w:color w:val="auto"/>
          <w:szCs w:val="21"/>
          <w:highlight w:val="none"/>
        </w:rPr>
        <w:t>）供应商提供的货物、工程或者服务符合下列情形的，享受中小企业扶持政策：</w:t>
      </w:r>
    </w:p>
    <w:p w14:paraId="7E45507E">
      <w:pPr>
        <w:pStyle w:val="14"/>
        <w:spacing w:line="400" w:lineRule="exact"/>
        <w:ind w:left="840" w:leftChars="250" w:hanging="315" w:hangingChars="150"/>
        <w:rPr>
          <w:rFonts w:hAnsi="宋体"/>
          <w:color w:val="auto"/>
          <w:szCs w:val="21"/>
          <w:highlight w:val="none"/>
        </w:rPr>
      </w:pPr>
      <w:r>
        <w:rPr>
          <w:rFonts w:hint="eastAsia" w:hAnsi="宋体"/>
          <w:color w:val="auto"/>
          <w:szCs w:val="21"/>
          <w:highlight w:val="none"/>
        </w:rPr>
        <w:t xml:space="preserve">① </w:t>
      </w:r>
      <w:r>
        <w:rPr>
          <w:rFonts w:hAnsi="宋体"/>
          <w:color w:val="auto"/>
          <w:szCs w:val="21"/>
          <w:highlight w:val="none"/>
        </w:rPr>
        <w:t>在货物采购项目中，货物由中小企业制造，即货物由中小企业生产且使用该中小企业商号或者注册商标；</w:t>
      </w:r>
    </w:p>
    <w:p w14:paraId="0C375316">
      <w:pPr>
        <w:pStyle w:val="14"/>
        <w:spacing w:line="400" w:lineRule="exact"/>
        <w:ind w:left="735" w:leftChars="250" w:hanging="210" w:hangingChars="100"/>
        <w:rPr>
          <w:rFonts w:hAnsi="宋体"/>
          <w:color w:val="auto"/>
          <w:szCs w:val="21"/>
          <w:highlight w:val="none"/>
        </w:rPr>
      </w:pPr>
      <w:r>
        <w:rPr>
          <w:rFonts w:hint="eastAsia" w:hAnsi="宋体"/>
          <w:color w:val="auto"/>
          <w:szCs w:val="21"/>
          <w:highlight w:val="none"/>
        </w:rPr>
        <w:t xml:space="preserve">② </w:t>
      </w:r>
      <w:r>
        <w:rPr>
          <w:rFonts w:hAnsi="宋体"/>
          <w:color w:val="auto"/>
          <w:szCs w:val="21"/>
          <w:highlight w:val="none"/>
        </w:rPr>
        <w:t>在工程采购项目中，工程由中小企业承建，即工程施工单位为中小企业；</w:t>
      </w:r>
    </w:p>
    <w:p w14:paraId="49438262">
      <w:pPr>
        <w:pStyle w:val="14"/>
        <w:spacing w:line="400" w:lineRule="exact"/>
        <w:ind w:left="840" w:leftChars="250" w:hanging="315" w:hangingChars="150"/>
        <w:rPr>
          <w:rFonts w:hAnsi="宋体"/>
          <w:color w:val="auto"/>
          <w:szCs w:val="21"/>
          <w:highlight w:val="none"/>
        </w:rPr>
      </w:pPr>
      <w:r>
        <w:rPr>
          <w:rFonts w:hint="eastAsia" w:hAnsi="宋体"/>
          <w:color w:val="auto"/>
          <w:szCs w:val="21"/>
          <w:highlight w:val="none"/>
        </w:rPr>
        <w:t xml:space="preserve">③ </w:t>
      </w:r>
      <w:r>
        <w:rPr>
          <w:rFonts w:hAnsi="宋体"/>
          <w:color w:val="auto"/>
          <w:szCs w:val="21"/>
          <w:highlight w:val="none"/>
        </w:rPr>
        <w:t>在服务采购项目中，服务由中小企业承接，即提供服务的人员为中小企业依照《中华人民共和国劳动</w:t>
      </w:r>
      <w:r>
        <w:rPr>
          <w:rFonts w:hint="eastAsia" w:hAnsi="宋体"/>
          <w:color w:val="auto"/>
          <w:szCs w:val="21"/>
          <w:highlight w:val="none"/>
        </w:rPr>
        <w:t>合同法</w:t>
      </w:r>
      <w:r>
        <w:rPr>
          <w:rFonts w:hAnsi="宋体"/>
          <w:color w:val="auto"/>
          <w:szCs w:val="21"/>
          <w:highlight w:val="none"/>
        </w:rPr>
        <w:t>》订立劳动合同的从业人员。</w:t>
      </w:r>
    </w:p>
    <w:p w14:paraId="27A45D42">
      <w:pPr>
        <w:pStyle w:val="14"/>
        <w:spacing w:line="400" w:lineRule="exact"/>
        <w:ind w:left="525" w:hanging="525" w:hangingChars="250"/>
        <w:rPr>
          <w:rFonts w:hAnsi="宋体"/>
          <w:color w:val="auto"/>
          <w:szCs w:val="21"/>
          <w:highlight w:val="none"/>
        </w:rPr>
      </w:pPr>
      <w:r>
        <w:rPr>
          <w:rFonts w:hAnsi="宋体"/>
          <w:color w:val="auto"/>
          <w:szCs w:val="21"/>
          <w:highlight w:val="none"/>
        </w:rPr>
        <w:t>（</w:t>
      </w:r>
      <w:r>
        <w:rPr>
          <w:rFonts w:hint="eastAsia" w:hAnsi="宋体"/>
          <w:color w:val="auto"/>
          <w:szCs w:val="21"/>
          <w:highlight w:val="none"/>
        </w:rPr>
        <w:t>3</w:t>
      </w:r>
      <w:r>
        <w:rPr>
          <w:rFonts w:hAnsi="宋体"/>
          <w:color w:val="auto"/>
          <w:szCs w:val="21"/>
          <w:highlight w:val="none"/>
        </w:rPr>
        <w:t>）在货物采购项目中，供应商提供的货物既有中小企业制造货物，也有大型企业制造货物的，不享受中小企业扶持政策。</w:t>
      </w:r>
    </w:p>
    <w:p w14:paraId="1F8B9CA8">
      <w:pPr>
        <w:pStyle w:val="14"/>
        <w:spacing w:line="400" w:lineRule="exact"/>
        <w:ind w:left="525" w:hanging="525" w:hangingChars="250"/>
        <w:rPr>
          <w:rFonts w:hAnsi="宋体"/>
          <w:color w:val="auto"/>
          <w:szCs w:val="21"/>
          <w:highlight w:val="none"/>
        </w:rPr>
      </w:pPr>
      <w:r>
        <w:rPr>
          <w:rFonts w:hAnsi="宋体"/>
          <w:color w:val="auto"/>
          <w:szCs w:val="21"/>
          <w:highlight w:val="none"/>
        </w:rPr>
        <w:t>（</w:t>
      </w:r>
      <w:r>
        <w:rPr>
          <w:rFonts w:hint="eastAsia" w:hAnsi="宋体"/>
          <w:color w:val="auto"/>
          <w:szCs w:val="21"/>
          <w:highlight w:val="none"/>
        </w:rPr>
        <w:t>4</w:t>
      </w:r>
      <w:r>
        <w:rPr>
          <w:rFonts w:hAnsi="宋体"/>
          <w:color w:val="auto"/>
          <w:szCs w:val="21"/>
          <w:highlight w:val="none"/>
        </w:rPr>
        <w:t>）以联合体形式参加政府采购活动，联合体各方均为中小企业的，联合体视同中小企业。其中，联合体各方均为小微企业的，联合体视同小微企业。</w:t>
      </w:r>
    </w:p>
    <w:p w14:paraId="711D1FB2">
      <w:pPr>
        <w:pStyle w:val="14"/>
        <w:spacing w:line="400" w:lineRule="exact"/>
        <w:ind w:left="632" w:hanging="632" w:hangingChars="300"/>
        <w:rPr>
          <w:rFonts w:hAnsi="宋体"/>
          <w:color w:val="auto"/>
          <w:szCs w:val="21"/>
          <w:highlight w:val="none"/>
        </w:rPr>
      </w:pPr>
      <w:r>
        <w:rPr>
          <w:rFonts w:hint="eastAsia" w:hAnsi="宋体"/>
          <w:b/>
          <w:color w:val="auto"/>
          <w:szCs w:val="21"/>
          <w:highlight w:val="none"/>
        </w:rPr>
        <w:t>3.2.2</w:t>
      </w:r>
      <w:r>
        <w:rPr>
          <w:rFonts w:hAnsi="宋体"/>
          <w:b/>
          <w:color w:val="auto"/>
          <w:szCs w:val="21"/>
          <w:highlight w:val="none"/>
        </w:rPr>
        <w:t>监狱企业：</w:t>
      </w:r>
      <w:r>
        <w:rPr>
          <w:rFonts w:hint="eastAsia" w:hAnsi="宋体"/>
          <w:color w:val="auto"/>
          <w:szCs w:val="21"/>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02E380A7">
      <w:pPr>
        <w:pStyle w:val="14"/>
        <w:spacing w:line="400" w:lineRule="exact"/>
        <w:ind w:left="632" w:hanging="632" w:hangingChars="300"/>
        <w:rPr>
          <w:rFonts w:hAnsi="宋体"/>
          <w:color w:val="auto"/>
          <w:szCs w:val="21"/>
          <w:highlight w:val="none"/>
        </w:rPr>
      </w:pPr>
      <w:r>
        <w:rPr>
          <w:rFonts w:hint="eastAsia" w:hAnsi="宋体"/>
          <w:b/>
          <w:color w:val="auto"/>
          <w:szCs w:val="21"/>
          <w:highlight w:val="none"/>
        </w:rPr>
        <w:t>3.2.3</w:t>
      </w:r>
      <w:r>
        <w:rPr>
          <w:rFonts w:hAnsi="宋体"/>
          <w:b/>
          <w:color w:val="auto"/>
          <w:szCs w:val="21"/>
          <w:highlight w:val="none"/>
        </w:rPr>
        <w:t>残疾人福利单位：</w:t>
      </w:r>
      <w:r>
        <w:rPr>
          <w:rFonts w:hint="eastAsia" w:hAnsi="宋体"/>
          <w:color w:val="auto"/>
          <w:szCs w:val="21"/>
          <w:highlight w:val="none"/>
        </w:rPr>
        <w:t>符合《关于促进残疾人就业政府采购政策的通知》（财库〔2017〕141号）规定的条件并提供《残疾人福利性单位声明函》的残疾人福利性单位视同小型、微型企业</w:t>
      </w:r>
      <w:r>
        <w:rPr>
          <w:rFonts w:hAnsi="宋体"/>
          <w:color w:val="auto"/>
          <w:szCs w:val="21"/>
          <w:highlight w:val="none"/>
        </w:rPr>
        <w:t>。</w:t>
      </w:r>
    </w:p>
    <w:p w14:paraId="3697DE47">
      <w:pPr>
        <w:pStyle w:val="14"/>
        <w:spacing w:line="400" w:lineRule="exact"/>
        <w:ind w:left="632" w:hanging="632" w:hangingChars="300"/>
        <w:rPr>
          <w:rFonts w:hAnsi="宋体"/>
          <w:color w:val="auto"/>
          <w:szCs w:val="21"/>
          <w:highlight w:val="none"/>
        </w:rPr>
      </w:pPr>
      <w:r>
        <w:rPr>
          <w:rFonts w:hint="eastAsia" w:hAnsi="宋体"/>
          <w:b/>
          <w:color w:val="auto"/>
          <w:szCs w:val="21"/>
          <w:highlight w:val="none"/>
        </w:rPr>
        <w:t>3.2.4</w:t>
      </w:r>
      <w:r>
        <w:rPr>
          <w:rFonts w:hAnsi="宋体"/>
          <w:b/>
          <w:color w:val="auto"/>
          <w:szCs w:val="21"/>
          <w:highlight w:val="none"/>
        </w:rPr>
        <w:t>中小企业预留采购份额</w:t>
      </w:r>
      <w:r>
        <w:rPr>
          <w:rFonts w:hint="eastAsia" w:hAnsi="宋体"/>
          <w:b/>
          <w:color w:val="auto"/>
          <w:szCs w:val="21"/>
          <w:highlight w:val="none"/>
        </w:rPr>
        <w:t>：</w:t>
      </w:r>
      <w:r>
        <w:rPr>
          <w:rFonts w:hAnsi="宋体"/>
          <w:color w:val="auto"/>
          <w:szCs w:val="21"/>
          <w:highlight w:val="none"/>
        </w:rPr>
        <w:t>本项目</w:t>
      </w:r>
      <w:r>
        <w:rPr>
          <w:rFonts w:hint="eastAsia" w:hAnsi="宋体"/>
          <w:color w:val="auto"/>
          <w:szCs w:val="21"/>
          <w:highlight w:val="none"/>
        </w:rPr>
        <w:t>不</w:t>
      </w:r>
      <w:r>
        <w:rPr>
          <w:rFonts w:hAnsi="宋体"/>
          <w:color w:val="auto"/>
          <w:szCs w:val="21"/>
          <w:highlight w:val="none"/>
        </w:rPr>
        <w:t>专门面向中小企业预留采购份额。</w:t>
      </w:r>
    </w:p>
    <w:p w14:paraId="4FC059F7">
      <w:pPr>
        <w:pStyle w:val="14"/>
        <w:spacing w:line="400" w:lineRule="exact"/>
        <w:ind w:left="632" w:hanging="632" w:hangingChars="300"/>
        <w:rPr>
          <w:rFonts w:hAnsi="宋体"/>
          <w:color w:val="auto"/>
          <w:szCs w:val="21"/>
          <w:highlight w:val="none"/>
        </w:rPr>
      </w:pPr>
      <w:r>
        <w:rPr>
          <w:rFonts w:hint="eastAsia" w:hAnsi="宋体"/>
          <w:b/>
          <w:color w:val="auto"/>
          <w:szCs w:val="21"/>
          <w:highlight w:val="none"/>
        </w:rPr>
        <w:t>3.2.5</w:t>
      </w:r>
      <w:r>
        <w:rPr>
          <w:rFonts w:hAnsi="宋体"/>
          <w:b/>
          <w:color w:val="auto"/>
          <w:szCs w:val="21"/>
          <w:highlight w:val="none"/>
        </w:rPr>
        <w:t>采购标的所属行业</w:t>
      </w:r>
      <w:r>
        <w:rPr>
          <w:rFonts w:hint="eastAsia" w:hAnsi="宋体"/>
          <w:b/>
          <w:color w:val="auto"/>
          <w:szCs w:val="21"/>
          <w:highlight w:val="none"/>
        </w:rPr>
        <w:t>：</w:t>
      </w:r>
      <w:r>
        <w:rPr>
          <w:rFonts w:hAnsi="宋体"/>
          <w:color w:val="auto"/>
          <w:szCs w:val="21"/>
          <w:highlight w:val="none"/>
        </w:rPr>
        <w:t>见</w:t>
      </w:r>
      <w:r>
        <w:rPr>
          <w:rFonts w:hint="eastAsia" w:hAnsi="宋体"/>
          <w:color w:val="auto"/>
          <w:szCs w:val="21"/>
          <w:highlight w:val="none"/>
        </w:rPr>
        <w:t>“供应商须知前附表”</w:t>
      </w:r>
      <w:r>
        <w:rPr>
          <w:rFonts w:hAnsi="宋体"/>
          <w:color w:val="auto"/>
          <w:szCs w:val="21"/>
          <w:highlight w:val="none"/>
        </w:rPr>
        <w:t>。</w:t>
      </w:r>
    </w:p>
    <w:p w14:paraId="5110CF67">
      <w:pPr>
        <w:pStyle w:val="14"/>
        <w:spacing w:line="400" w:lineRule="exact"/>
        <w:ind w:left="632" w:hanging="632" w:hangingChars="300"/>
        <w:rPr>
          <w:rFonts w:hAnsi="宋体"/>
          <w:color w:val="auto"/>
          <w:szCs w:val="21"/>
          <w:highlight w:val="none"/>
        </w:rPr>
      </w:pPr>
      <w:r>
        <w:rPr>
          <w:rFonts w:hint="eastAsia" w:hAnsi="宋体"/>
          <w:b/>
          <w:color w:val="auto"/>
          <w:szCs w:val="21"/>
          <w:highlight w:val="none"/>
        </w:rPr>
        <w:t>3.2.6</w:t>
      </w:r>
      <w:r>
        <w:rPr>
          <w:rFonts w:hAnsi="宋体"/>
          <w:b/>
          <w:color w:val="auto"/>
          <w:szCs w:val="21"/>
          <w:highlight w:val="none"/>
        </w:rPr>
        <w:t>小微企业价格评审优惠的政策调整：</w:t>
      </w:r>
      <w:r>
        <w:rPr>
          <w:rFonts w:hAnsi="宋体"/>
          <w:color w:val="auto"/>
          <w:szCs w:val="21"/>
          <w:highlight w:val="none"/>
        </w:rPr>
        <w:t>见第四章《评标方法和评标标准》。</w:t>
      </w:r>
    </w:p>
    <w:p w14:paraId="160A7D86">
      <w:pPr>
        <w:pStyle w:val="14"/>
        <w:spacing w:line="400" w:lineRule="exact"/>
        <w:ind w:left="630" w:hanging="630" w:hangingChars="300"/>
        <w:rPr>
          <w:rFonts w:hAnsi="宋体"/>
          <w:color w:val="auto"/>
          <w:szCs w:val="21"/>
          <w:highlight w:val="none"/>
        </w:rPr>
      </w:pPr>
      <w:r>
        <w:rPr>
          <w:rFonts w:hint="eastAsia" w:hAnsi="宋体"/>
          <w:color w:val="auto"/>
          <w:szCs w:val="21"/>
          <w:highlight w:val="none"/>
        </w:rPr>
        <w:t>3.2.7本项目若为专门面向中小企业采购项目或供应商可享受中小企业扶持政策的供应商应按磋商文件要求提供</w:t>
      </w:r>
      <w:r>
        <w:rPr>
          <w:rFonts w:hint="eastAsia" w:hAnsi="宋体"/>
          <w:bCs/>
          <w:color w:val="auto"/>
          <w:szCs w:val="21"/>
          <w:highlight w:val="none"/>
        </w:rPr>
        <w:t>《中小企业声明函》原件或</w:t>
      </w:r>
      <w:r>
        <w:rPr>
          <w:rFonts w:hint="eastAsia" w:hAnsi="宋体"/>
          <w:color w:val="auto"/>
          <w:szCs w:val="21"/>
          <w:highlight w:val="none"/>
        </w:rPr>
        <w:t>《残疾人福利性单位声明函》原件或监狱企业证明文件复印件，供应商提供的声明函或证明文件与实际情况不符的，不享受中小企业扶持政策。声明或证明文件内容不实的，属于提供虚假材料谋取中标、成交的，依法承担法律责任。</w:t>
      </w:r>
    </w:p>
    <w:p w14:paraId="2DC7B076">
      <w:pPr>
        <w:pStyle w:val="2"/>
        <w:rPr>
          <w:rFonts w:hAnsi="宋体"/>
          <w:color w:val="auto"/>
          <w:szCs w:val="21"/>
          <w:highlight w:val="none"/>
        </w:rPr>
      </w:pPr>
      <w:r>
        <w:rPr>
          <w:rFonts w:hint="eastAsia" w:hAnsi="宋体"/>
          <w:color w:val="auto"/>
          <w:szCs w:val="21"/>
          <w:highlight w:val="none"/>
        </w:rPr>
        <w:t>3.3支持</w:t>
      </w:r>
      <w:r>
        <w:rPr>
          <w:rFonts w:hint="eastAsia" w:ascii="宋体" w:hAnsi="宋体" w:cs="宋体"/>
          <w:color w:val="auto"/>
          <w:szCs w:val="21"/>
          <w:highlight w:val="none"/>
        </w:rPr>
        <w:t>本国产品</w:t>
      </w:r>
    </w:p>
    <w:p w14:paraId="7F776FED">
      <w:pPr>
        <w:pStyle w:val="2"/>
        <w:rPr>
          <w:color w:val="auto"/>
          <w:highlight w:val="none"/>
        </w:rPr>
      </w:pPr>
      <w:r>
        <w:rPr>
          <w:rFonts w:hint="eastAsia" w:ascii="宋体" w:hAnsi="宋体" w:cs="宋体"/>
          <w:color w:val="auto"/>
          <w:szCs w:val="21"/>
          <w:highlight w:val="none"/>
        </w:rPr>
        <w:t>3.3.1国务院办公厅关于在政府采购中实施本国产品标准及相关政策的通知（国办发〔2025〕34号）</w:t>
      </w:r>
    </w:p>
    <w:p w14:paraId="7367C9D6">
      <w:pPr>
        <w:pStyle w:val="3"/>
        <w:spacing w:beforeLines="50" w:after="0" w:line="400" w:lineRule="exact"/>
        <w:rPr>
          <w:rFonts w:ascii="宋体" w:hAnsi="宋体" w:eastAsia="宋体"/>
          <w:color w:val="auto"/>
          <w:sz w:val="21"/>
          <w:szCs w:val="21"/>
          <w:highlight w:val="none"/>
        </w:rPr>
      </w:pPr>
      <w:bookmarkStart w:id="86" w:name="_Toc16068270"/>
      <w:bookmarkStart w:id="87" w:name="_Toc16068268"/>
      <w:r>
        <w:rPr>
          <w:rFonts w:ascii="宋体" w:hAnsi="宋体" w:eastAsia="宋体"/>
          <w:color w:val="auto"/>
          <w:sz w:val="21"/>
          <w:szCs w:val="21"/>
          <w:highlight w:val="none"/>
        </w:rPr>
        <w:t>4</w:t>
      </w:r>
      <w:r>
        <w:rPr>
          <w:rFonts w:hint="eastAsia" w:ascii="宋体" w:hAnsi="宋体" w:eastAsia="宋体"/>
          <w:color w:val="auto"/>
          <w:sz w:val="21"/>
          <w:szCs w:val="21"/>
          <w:highlight w:val="none"/>
        </w:rPr>
        <w:t>．特别说明</w:t>
      </w:r>
      <w:bookmarkEnd w:id="86"/>
    </w:p>
    <w:p w14:paraId="006C6A13">
      <w:pPr>
        <w:pStyle w:val="14"/>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.1关于分公司投标</w:t>
      </w:r>
    </w:p>
    <w:p w14:paraId="2FF532B1">
      <w:pPr>
        <w:pStyle w:val="14"/>
        <w:spacing w:line="400" w:lineRule="exact"/>
        <w:ind w:left="420" w:leftChars="200"/>
        <w:rPr>
          <w:rFonts w:hAnsi="宋体"/>
          <w:color w:val="auto"/>
          <w:highlight w:val="none"/>
        </w:rPr>
      </w:pPr>
      <w:r>
        <w:rPr>
          <w:rFonts w:hint="eastAsia" w:hAnsi="宋体"/>
          <w:color w:val="auto"/>
          <w:highlight w:val="none"/>
        </w:rPr>
        <w:t>银行、保险、石油石化、电力、电信等特殊行业的分公司或分支机构可参与本项目政府采购活动。除银行、保险、石油石化、电力、电信等特殊行业外，法人的分支机构不能以分支机构的身份参加本项目的政府采购活动，只能以法人身份参加。</w:t>
      </w:r>
    </w:p>
    <w:p w14:paraId="799C30D9">
      <w:pPr>
        <w:pStyle w:val="14"/>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.2关于知识产权</w:t>
      </w:r>
    </w:p>
    <w:p w14:paraId="775D626D">
      <w:pPr>
        <w:pStyle w:val="14"/>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2.1供应商必须保证，采购人在中华人民共和国境内使用投标货物、资料、技术、服务或其任何一部分时，享有不受限制的无偿使用权，如有第三方向采购人提出侵犯其专利权、商标权或其它知识产权的主张，该责任应由供应商承担。</w:t>
      </w:r>
    </w:p>
    <w:p w14:paraId="765B75F1">
      <w:pPr>
        <w:pStyle w:val="14"/>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.2.2磋商报价应包含所有应向所有权人支付的专利权、商标权或其它知识产权的一切相关费用。</w:t>
      </w:r>
    </w:p>
    <w:p w14:paraId="7A926FD1">
      <w:pPr>
        <w:pStyle w:val="14"/>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.2.3系统软件、通用软件必须是具有在中国境内的合法使用权或版权的正版软件，涉及到第三方提出侵权或知识产权的起诉及支付版税等费用由供应商承担所有责任及费用。</w:t>
      </w:r>
    </w:p>
    <w:p w14:paraId="5FDBC8AF">
      <w:pPr>
        <w:pStyle w:val="14"/>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.3供应商的风险</w:t>
      </w:r>
    </w:p>
    <w:p w14:paraId="20B2E4C2">
      <w:pPr>
        <w:pStyle w:val="14"/>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.3.1供应商应详细阅读磋商文件中的全部内容和要求，按照磋商文件的要求提交响应文件，没有按照磋商文件要求提供响应文件和资料导致的风险由供应商承担，并对所提供的全部资料的真实性承担法律责任。</w:t>
      </w:r>
    </w:p>
    <w:p w14:paraId="0D35F21A">
      <w:pPr>
        <w:pStyle w:val="14"/>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.3.2无论因何种原因导致本次采购活动终止致供应商损失的，相关责任人均不承担任何责任。</w:t>
      </w:r>
    </w:p>
    <w:p w14:paraId="7E3263B3">
      <w:pPr>
        <w:pStyle w:val="14"/>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3.3供应商在政府采购活动中提供虚假材料的，其响应文件将被拒绝而作为无效处理。如成交后发现的，供应商须依照《中华人民共和国民法典》、《中华人民共和国消费者权益保护法》之规定赔偿采购人，且民事赔偿并不免除违法供应商的行政与刑事责任。采购人同时将相关情况上报政府采购监督管理部门。</w:t>
      </w:r>
    </w:p>
    <w:p w14:paraId="7D1C8499">
      <w:pPr>
        <w:pStyle w:val="14"/>
        <w:spacing w:line="400" w:lineRule="exact"/>
        <w:ind w:left="420" w:hanging="420" w:hangingChars="200"/>
        <w:rPr>
          <w:rFonts w:hAnsi="宋体"/>
          <w:color w:val="auto"/>
          <w:highlight w:val="none"/>
        </w:rPr>
      </w:pPr>
      <w:r>
        <w:rPr>
          <w:rFonts w:hAnsi="宋体"/>
          <w:color w:val="auto"/>
          <w:highlight w:val="none"/>
        </w:rPr>
        <w:t>4.4</w:t>
      </w:r>
      <w:r>
        <w:rPr>
          <w:rFonts w:hint="eastAsia" w:hAnsi="宋体"/>
          <w:color w:val="auto"/>
          <w:highlight w:val="none"/>
        </w:rPr>
        <w:t>如果磋商文件要求提供供应商或应标产品厂商的资格、信誉、业绩与企业认证等材料的，资格、信誉、荣誉、业绩与企业认证等必须为供应商或应标产品厂商所拥有或自身获得。</w:t>
      </w:r>
    </w:p>
    <w:p w14:paraId="03513F54">
      <w:pPr>
        <w:pStyle w:val="14"/>
        <w:spacing w:line="400" w:lineRule="exact"/>
        <w:ind w:left="420" w:hanging="420" w:hangingChars="200"/>
        <w:rPr>
          <w:rFonts w:hAnsi="宋体"/>
          <w:color w:val="auto"/>
          <w:szCs w:val="21"/>
          <w:highlight w:val="none"/>
        </w:rPr>
      </w:pPr>
      <w:bookmarkStart w:id="88" w:name="_Toc185702551"/>
      <w:bookmarkStart w:id="89" w:name="_Toc207770837"/>
      <w:bookmarkStart w:id="90" w:name="_Toc239839865"/>
      <w:bookmarkStart w:id="91" w:name="OLE_LINK4"/>
      <w:bookmarkStart w:id="92" w:name="_Toc230578059"/>
      <w:bookmarkStart w:id="93" w:name="_Toc206525684"/>
      <w:bookmarkStart w:id="94" w:name="_Toc16068269"/>
      <w:r>
        <w:rPr>
          <w:rFonts w:hAnsi="宋体"/>
          <w:color w:val="auto"/>
          <w:highlight w:val="none"/>
        </w:rPr>
        <w:t>4</w:t>
      </w:r>
      <w:r>
        <w:rPr>
          <w:rFonts w:hint="eastAsia" w:hAnsi="宋体"/>
          <w:color w:val="auto"/>
          <w:highlight w:val="none"/>
        </w:rPr>
        <w:t>.5</w:t>
      </w:r>
      <w:bookmarkEnd w:id="88"/>
      <w:bookmarkEnd w:id="89"/>
      <w:bookmarkEnd w:id="90"/>
      <w:bookmarkEnd w:id="91"/>
      <w:bookmarkEnd w:id="92"/>
      <w:bookmarkEnd w:id="93"/>
      <w:bookmarkEnd w:id="94"/>
      <w:r>
        <w:rPr>
          <w:rFonts w:hint="eastAsia" w:hAnsi="宋体"/>
          <w:color w:val="auto"/>
          <w:highlight w:val="none"/>
        </w:rPr>
        <w:t>供应商应自行承担所有与准备和参加</w:t>
      </w:r>
      <w:r>
        <w:rPr>
          <w:rFonts w:hint="eastAsia" w:hAnsi="宋体"/>
          <w:color w:val="auto"/>
          <w:kern w:val="0"/>
          <w:szCs w:val="21"/>
          <w:highlight w:val="none"/>
        </w:rPr>
        <w:t>磋商</w:t>
      </w:r>
      <w:r>
        <w:rPr>
          <w:rFonts w:hint="eastAsia" w:hAnsi="宋体"/>
          <w:color w:val="auto"/>
          <w:highlight w:val="none"/>
        </w:rPr>
        <w:t>有关的费用。不论</w:t>
      </w:r>
      <w:r>
        <w:rPr>
          <w:rFonts w:hint="eastAsia" w:hAnsi="宋体"/>
          <w:color w:val="auto"/>
          <w:kern w:val="0"/>
          <w:szCs w:val="21"/>
          <w:highlight w:val="none"/>
        </w:rPr>
        <w:t>磋商</w:t>
      </w:r>
      <w:r>
        <w:rPr>
          <w:rFonts w:hint="eastAsia" w:hAnsi="宋体"/>
          <w:color w:val="auto"/>
          <w:highlight w:val="none"/>
        </w:rPr>
        <w:t>结果如何</w:t>
      </w:r>
      <w:r>
        <w:rPr>
          <w:rFonts w:hAnsi="宋体"/>
          <w:color w:val="auto"/>
          <w:szCs w:val="21"/>
          <w:highlight w:val="none"/>
        </w:rPr>
        <w:t>，</w:t>
      </w:r>
      <w:r>
        <w:rPr>
          <w:rFonts w:hAnsi="宋体"/>
          <w:color w:val="auto"/>
          <w:highlight w:val="none"/>
        </w:rPr>
        <w:t>采购人或采购代理机构在任何情况下均无承担这些费用的义务和责任</w:t>
      </w:r>
      <w:r>
        <w:rPr>
          <w:rFonts w:hAnsi="宋体"/>
          <w:color w:val="auto"/>
          <w:szCs w:val="21"/>
          <w:highlight w:val="none"/>
        </w:rPr>
        <w:t>。</w:t>
      </w:r>
    </w:p>
    <w:p w14:paraId="25C7146F">
      <w:pPr>
        <w:pStyle w:val="14"/>
        <w:spacing w:line="400" w:lineRule="exact"/>
        <w:ind w:left="420" w:hanging="420" w:hangingChars="200"/>
        <w:rPr>
          <w:rFonts w:hAnsi="宋体"/>
          <w:color w:val="auto"/>
          <w:highlight w:val="none"/>
        </w:rPr>
      </w:pPr>
      <w:r>
        <w:rPr>
          <w:rFonts w:hint="eastAsia" w:hAnsi="宋体"/>
          <w:color w:val="auto"/>
          <w:highlight w:val="none"/>
        </w:rPr>
        <w:t>4.6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F465FE">
      <w:pPr>
        <w:pStyle w:val="14"/>
        <w:spacing w:line="400" w:lineRule="exact"/>
        <w:ind w:left="420" w:leftChars="200"/>
        <w:rPr>
          <w:rFonts w:hAnsi="宋体"/>
          <w:color w:val="auto"/>
          <w:highlight w:val="none"/>
        </w:rPr>
      </w:pPr>
      <w:r>
        <w:rPr>
          <w:rFonts w:hint="eastAsia" w:hAnsi="宋体"/>
          <w:color w:val="auto"/>
          <w:highlight w:val="none"/>
        </w:rPr>
        <w:t>产品在中国境内生产的组件成本占比应当达到规定比例，计算公式为：</w:t>
      </w:r>
    </w:p>
    <w:p w14:paraId="5EE38914">
      <w:pPr>
        <w:pStyle w:val="6"/>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fldChar w:fldCharType="begin"/>
      </w:r>
      <w:r>
        <w:rPr>
          <w:rFonts w:hint="eastAsia" w:ascii="宋体" w:hAnsi="宋体"/>
          <w:b w:val="0"/>
          <w:color w:val="auto"/>
          <w:sz w:val="21"/>
          <w:szCs w:val="21"/>
          <w:highlight w:val="none"/>
        </w:rPr>
        <w:instrText xml:space="preserve"> INCLUDEPICTURE "https://www.gov.cn/zhengce/content/202509/W020250930645245947614.png" \* MERGEFORMATINET </w:instrText>
      </w:r>
      <w:r>
        <w:rPr>
          <w:rFonts w:hint="eastAsia" w:ascii="宋体" w:hAnsi="宋体"/>
          <w:b w:val="0"/>
          <w:color w:val="auto"/>
          <w:sz w:val="21"/>
          <w:szCs w:val="21"/>
          <w:highlight w:val="none"/>
        </w:rPr>
        <w:fldChar w:fldCharType="separate"/>
      </w:r>
      <w:r>
        <w:rPr>
          <w:rFonts w:hint="eastAsia" w:ascii="宋体" w:hAnsi="宋体"/>
          <w:b w:val="0"/>
          <w:color w:val="auto"/>
          <w:sz w:val="21"/>
          <w:szCs w:val="21"/>
          <w:highlight w:val="none"/>
        </w:rPr>
        <w:drawing>
          <wp:inline distT="0" distB="0" distL="114300" distR="114300">
            <wp:extent cx="4827905" cy="762635"/>
            <wp:effectExtent l="0" t="0" r="1079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r:link="rId10" cstate="print"/>
                    <a:stretch>
                      <a:fillRect/>
                    </a:stretch>
                  </pic:blipFill>
                  <pic:spPr>
                    <a:xfrm>
                      <a:off x="0" y="0"/>
                      <a:ext cx="4827905" cy="762635"/>
                    </a:xfrm>
                    <a:prstGeom prst="rect">
                      <a:avLst/>
                    </a:prstGeom>
                    <a:noFill/>
                    <a:ln>
                      <a:noFill/>
                    </a:ln>
                  </pic:spPr>
                </pic:pic>
              </a:graphicData>
            </a:graphic>
          </wp:inline>
        </w:drawing>
      </w:r>
      <w:r>
        <w:rPr>
          <w:rFonts w:hint="eastAsia" w:ascii="宋体" w:hAnsi="宋体"/>
          <w:b w:val="0"/>
          <w:color w:val="auto"/>
          <w:sz w:val="21"/>
          <w:szCs w:val="21"/>
          <w:highlight w:val="none"/>
        </w:rPr>
        <w:fldChar w:fldCharType="end"/>
      </w:r>
    </w:p>
    <w:p w14:paraId="0DBCABE8">
      <w:pPr>
        <w:pStyle w:val="6"/>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0FA90DD">
      <w:pPr>
        <w:pStyle w:val="6"/>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政府采购活动中既有本国产品又有非本国产品参与竞争的，依法对本国产品给予价格评审优惠，对本国产品的报价给予20%的价格扣除，用扣除后的价格参与评审。</w:t>
      </w:r>
    </w:p>
    <w:p w14:paraId="1D0D97A8">
      <w:pPr>
        <w:pStyle w:val="6"/>
        <w:keepNext w:val="0"/>
        <w:keepLines w:val="0"/>
        <w:spacing w:before="0" w:after="0" w:line="360" w:lineRule="auto"/>
        <w:ind w:firstLine="367" w:firstLineChars="175"/>
        <w:rPr>
          <w:b w:val="0"/>
          <w:bCs/>
          <w:color w:val="auto"/>
          <w:highlight w:val="none"/>
        </w:rPr>
      </w:pPr>
      <w:r>
        <w:rPr>
          <w:rFonts w:hint="eastAsia" w:ascii="宋体" w:hAnsi="宋体"/>
          <w:b w:val="0"/>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21DC7B6">
      <w:pPr>
        <w:pStyle w:val="3"/>
        <w:spacing w:beforeLines="50" w:after="0" w:line="400" w:lineRule="exact"/>
        <w:rPr>
          <w:rFonts w:ascii="宋体" w:hAnsi="宋体" w:eastAsia="宋体"/>
          <w:color w:val="auto"/>
          <w:sz w:val="21"/>
          <w:szCs w:val="21"/>
          <w:highlight w:val="none"/>
        </w:rPr>
      </w:pPr>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5</w:t>
      </w:r>
      <w:r>
        <w:rPr>
          <w:rFonts w:hint="eastAsia" w:ascii="宋体" w:hAnsi="宋体" w:eastAsia="宋体"/>
          <w:color w:val="auto"/>
          <w:sz w:val="21"/>
          <w:szCs w:val="21"/>
          <w:highlight w:val="none"/>
        </w:rPr>
        <w:t>．合格的磋商供应商</w:t>
      </w:r>
      <w:bookmarkEnd w:id="87"/>
    </w:p>
    <w:p w14:paraId="76C2B054">
      <w:pPr>
        <w:pStyle w:val="14"/>
        <w:spacing w:line="400" w:lineRule="exact"/>
        <w:ind w:left="420" w:hanging="420" w:hangingChars="200"/>
        <w:rPr>
          <w:rFonts w:hAnsi="宋体" w:cs="宋体"/>
          <w:color w:val="auto"/>
          <w:highlight w:val="none"/>
        </w:rPr>
      </w:pPr>
      <w:r>
        <w:rPr>
          <w:rFonts w:hAnsi="宋体"/>
          <w:color w:val="auto"/>
          <w:highlight w:val="none"/>
        </w:rPr>
        <w:t>5</w:t>
      </w:r>
      <w:r>
        <w:rPr>
          <w:rFonts w:hint="eastAsia" w:hAnsi="宋体"/>
          <w:color w:val="auto"/>
          <w:highlight w:val="none"/>
        </w:rPr>
        <w:t>.1磋商供应商资格要求：见本章“供应商须知前附表”第5项</w:t>
      </w:r>
      <w:r>
        <w:rPr>
          <w:rFonts w:hint="eastAsia" w:hAnsi="宋体" w:cs="宋体"/>
          <w:color w:val="auto"/>
          <w:highlight w:val="none"/>
        </w:rPr>
        <w:t>。</w:t>
      </w:r>
    </w:p>
    <w:p w14:paraId="4BDD9B78">
      <w:pPr>
        <w:pStyle w:val="14"/>
        <w:spacing w:line="400" w:lineRule="exact"/>
        <w:ind w:left="420" w:hanging="420" w:hangingChars="200"/>
        <w:rPr>
          <w:rFonts w:hAnsi="宋体"/>
          <w:color w:val="auto"/>
          <w:highlight w:val="none"/>
        </w:rPr>
      </w:pPr>
      <w:r>
        <w:rPr>
          <w:rFonts w:hAnsi="宋体" w:cs="宋体"/>
          <w:color w:val="auto"/>
          <w:highlight w:val="none"/>
        </w:rPr>
        <w:t>5</w:t>
      </w:r>
      <w:r>
        <w:rPr>
          <w:rFonts w:hint="eastAsia" w:hAnsi="宋体" w:cs="宋体"/>
          <w:color w:val="auto"/>
          <w:highlight w:val="none"/>
        </w:rPr>
        <w:t>.2本项目是否接受联合体：见本章“供应商须知前附表”第6项。</w:t>
      </w:r>
      <w:r>
        <w:rPr>
          <w:rFonts w:hint="eastAsia" w:hAnsi="宋体"/>
          <w:color w:val="auto"/>
          <w:highlight w:val="none"/>
        </w:rPr>
        <w:t>如接受联合体磋商，</w:t>
      </w:r>
      <w:r>
        <w:rPr>
          <w:rFonts w:hint="eastAsia" w:hAnsi="宋体"/>
          <w:color w:val="auto"/>
          <w:szCs w:val="21"/>
          <w:highlight w:val="none"/>
          <w:shd w:val="clear" w:color="auto" w:fill="FFFFFF" w:themeFill="background1"/>
        </w:rPr>
        <w:t>磋商文件中相应联合体的条款才适用。</w:t>
      </w:r>
    </w:p>
    <w:p w14:paraId="727C8AF9">
      <w:pPr>
        <w:pStyle w:val="3"/>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6</w:t>
      </w:r>
      <w:r>
        <w:rPr>
          <w:rFonts w:hint="eastAsia" w:ascii="宋体" w:hAnsi="宋体" w:eastAsia="宋体"/>
          <w:color w:val="auto"/>
          <w:sz w:val="21"/>
          <w:szCs w:val="21"/>
          <w:highlight w:val="none"/>
        </w:rPr>
        <w:t>.转包、分包</w:t>
      </w:r>
    </w:p>
    <w:p w14:paraId="568B74D3">
      <w:pPr>
        <w:pStyle w:val="14"/>
        <w:spacing w:line="400" w:lineRule="exact"/>
        <w:ind w:left="630" w:hanging="630" w:hangingChars="300"/>
        <w:rPr>
          <w:rFonts w:hAnsi="宋体"/>
          <w:b/>
          <w:color w:val="auto"/>
          <w:highlight w:val="none"/>
        </w:rPr>
      </w:pPr>
      <w:r>
        <w:rPr>
          <w:rFonts w:hAnsi="宋体"/>
          <w:color w:val="auto"/>
          <w:highlight w:val="none"/>
        </w:rPr>
        <w:t>6</w:t>
      </w:r>
      <w:r>
        <w:rPr>
          <w:rFonts w:hint="eastAsia" w:hAnsi="宋体"/>
          <w:color w:val="auto"/>
          <w:highlight w:val="none"/>
        </w:rPr>
        <w:t>.1转包：政府采购合同不能转包，成交供应商不得将政府采购合同转让。</w:t>
      </w:r>
    </w:p>
    <w:p w14:paraId="5A90B388">
      <w:pPr>
        <w:pStyle w:val="14"/>
        <w:spacing w:line="40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.2分包：</w:t>
      </w:r>
      <w:r>
        <w:rPr>
          <w:rFonts w:hAnsi="宋体"/>
          <w:color w:val="auto"/>
          <w:highlight w:val="none"/>
        </w:rPr>
        <w:t>本项目的非主体、非关键性工作是否允许分包，见</w:t>
      </w:r>
      <w:r>
        <w:rPr>
          <w:rFonts w:hint="eastAsia" w:hAnsi="宋体"/>
          <w:color w:val="auto"/>
          <w:highlight w:val="none"/>
        </w:rPr>
        <w:t>第三章《采购需求》</w:t>
      </w:r>
      <w:r>
        <w:rPr>
          <w:rFonts w:hAnsi="宋体"/>
          <w:color w:val="auto"/>
          <w:highlight w:val="none"/>
        </w:rPr>
        <w:t>。</w:t>
      </w:r>
      <w:r>
        <w:rPr>
          <w:rFonts w:hint="eastAsia" w:hAnsi="宋体" w:cs="宋体"/>
          <w:color w:val="auto"/>
          <w:highlight w:val="none"/>
        </w:rPr>
        <w:t>采购人允许采用分包方式履行合同的</w:t>
      </w:r>
      <w:r>
        <w:rPr>
          <w:rFonts w:hint="eastAsia" w:hAnsi="宋体"/>
          <w:color w:val="auto"/>
          <w:highlight w:val="none"/>
        </w:rPr>
        <w:t>，成交供应商可以依法在成交后将成交项目的非主体、非关键性工作采取分包方式履行合同。</w:t>
      </w:r>
      <w:r>
        <w:rPr>
          <w:rFonts w:hAnsi="宋体"/>
          <w:color w:val="auto"/>
          <w:highlight w:val="none"/>
        </w:rPr>
        <w:t>政府采购合同分包履行的，应当在</w:t>
      </w:r>
      <w:r>
        <w:rPr>
          <w:rFonts w:hint="eastAsia" w:hAnsi="宋体"/>
          <w:color w:val="auto"/>
          <w:highlight w:val="none"/>
        </w:rPr>
        <w:t>响应</w:t>
      </w:r>
      <w:r>
        <w:rPr>
          <w:rFonts w:hAnsi="宋体"/>
          <w:color w:val="auto"/>
          <w:highlight w:val="none"/>
        </w:rPr>
        <w:t>文件中载明分包承担主体，分包承担主体应当具备相应资质条件且不得再次分包，否则</w:t>
      </w:r>
      <w:r>
        <w:rPr>
          <w:rFonts w:hint="eastAsia" w:hAnsi="宋体"/>
          <w:b/>
          <w:color w:val="auto"/>
          <w:highlight w:val="none"/>
        </w:rPr>
        <w:t>响应</w:t>
      </w:r>
      <w:r>
        <w:rPr>
          <w:rFonts w:hAnsi="宋体"/>
          <w:b/>
          <w:color w:val="auto"/>
          <w:highlight w:val="none"/>
        </w:rPr>
        <w:t>无效</w:t>
      </w:r>
      <w:r>
        <w:rPr>
          <w:rFonts w:hAnsi="宋体"/>
          <w:color w:val="auto"/>
          <w:highlight w:val="none"/>
        </w:rPr>
        <w:t>。</w:t>
      </w:r>
      <w:r>
        <w:rPr>
          <w:rFonts w:hint="eastAsia" w:hAnsi="宋体"/>
          <w:color w:val="auto"/>
          <w:highlight w:val="none"/>
        </w:rPr>
        <w:t>成交供应商</w:t>
      </w:r>
      <w:r>
        <w:rPr>
          <w:rFonts w:hAnsi="宋体"/>
          <w:color w:val="auto"/>
          <w:highlight w:val="none"/>
        </w:rPr>
        <w:t>就采购项目和分包项目向采购人负责，分包供应商就分包项目承担责任。</w:t>
      </w:r>
    </w:p>
    <w:p w14:paraId="709C5877">
      <w:pPr>
        <w:pStyle w:val="3"/>
        <w:spacing w:beforeLines="50" w:after="0" w:line="400" w:lineRule="exact"/>
        <w:rPr>
          <w:rFonts w:ascii="宋体" w:hAnsi="宋体" w:eastAsia="宋体"/>
          <w:color w:val="auto"/>
          <w:sz w:val="21"/>
          <w:szCs w:val="21"/>
          <w:highlight w:val="none"/>
        </w:rPr>
      </w:pPr>
      <w:bookmarkStart w:id="95" w:name="_Toc16068271"/>
      <w:r>
        <w:rPr>
          <w:rFonts w:ascii="宋体" w:hAnsi="宋体" w:eastAsia="宋体"/>
          <w:color w:val="auto"/>
          <w:sz w:val="21"/>
          <w:szCs w:val="21"/>
          <w:highlight w:val="none"/>
        </w:rPr>
        <w:t>7</w:t>
      </w:r>
      <w:r>
        <w:rPr>
          <w:rFonts w:hint="eastAsia" w:ascii="宋体" w:hAnsi="宋体" w:eastAsia="宋体"/>
          <w:color w:val="auto"/>
          <w:sz w:val="21"/>
          <w:szCs w:val="21"/>
          <w:highlight w:val="none"/>
        </w:rPr>
        <w:t>．询问、质疑、投诉</w:t>
      </w:r>
      <w:bookmarkEnd w:id="95"/>
    </w:p>
    <w:p w14:paraId="268CFD27">
      <w:pPr>
        <w:pStyle w:val="14"/>
        <w:spacing w:line="400" w:lineRule="exact"/>
        <w:ind w:left="420" w:hanging="420" w:hangingChars="200"/>
        <w:rPr>
          <w:rFonts w:hAnsi="宋体"/>
          <w:color w:val="auto"/>
          <w:highlight w:val="none"/>
        </w:rPr>
      </w:pPr>
      <w:r>
        <w:rPr>
          <w:rFonts w:hAnsi="宋体"/>
          <w:color w:val="auto"/>
          <w:highlight w:val="none"/>
        </w:rPr>
        <w:t>7</w:t>
      </w:r>
      <w:r>
        <w:rPr>
          <w:rFonts w:hint="eastAsia" w:hAnsi="宋体"/>
          <w:color w:val="auto"/>
          <w:highlight w:val="none"/>
        </w:rPr>
        <w:t>.1询问</w:t>
      </w:r>
    </w:p>
    <w:p w14:paraId="762BD832">
      <w:pPr>
        <w:pStyle w:val="14"/>
        <w:spacing w:line="400" w:lineRule="exact"/>
        <w:ind w:left="420" w:hanging="420" w:hangingChars="200"/>
        <w:rPr>
          <w:rFonts w:hAnsi="宋体"/>
          <w:color w:val="auto"/>
          <w:szCs w:val="21"/>
          <w:highlight w:val="none"/>
        </w:rPr>
      </w:pPr>
      <w:r>
        <w:rPr>
          <w:rFonts w:hAnsi="宋体"/>
          <w:color w:val="auto"/>
          <w:highlight w:val="none"/>
        </w:rPr>
        <w:t>7</w:t>
      </w:r>
      <w:r>
        <w:rPr>
          <w:rFonts w:hint="eastAsia" w:hAnsi="宋体"/>
          <w:color w:val="auto"/>
          <w:highlight w:val="none"/>
        </w:rPr>
        <w:t>.1.1</w:t>
      </w:r>
      <w:r>
        <w:rPr>
          <w:rFonts w:hint="eastAsia" w:hAnsi="宋体"/>
          <w:color w:val="auto"/>
          <w:szCs w:val="21"/>
          <w:highlight w:val="none"/>
        </w:rPr>
        <w:t>供应商对政府采购活动事项有疑问的，可依法提出询问，</w:t>
      </w:r>
      <w:r>
        <w:rPr>
          <w:rFonts w:hint="eastAsia" w:hAnsi="宋体"/>
          <w:color w:val="auto"/>
          <w:highlight w:val="none"/>
        </w:rPr>
        <w:t>应在</w:t>
      </w:r>
      <w:r>
        <w:rPr>
          <w:rFonts w:hint="eastAsia" w:hAnsi="宋体"/>
          <w:color w:val="auto"/>
          <w:spacing w:val="-2"/>
          <w:highlight w:val="none"/>
        </w:rPr>
        <w:t>提交首次响应文件截止日期5日前</w:t>
      </w:r>
      <w:r>
        <w:rPr>
          <w:rFonts w:hint="eastAsia" w:hAnsi="宋体"/>
          <w:color w:val="auto"/>
          <w:highlight w:val="none"/>
        </w:rPr>
        <w:t>的正常工作时间以书面形式</w:t>
      </w:r>
      <w:r>
        <w:rPr>
          <w:rFonts w:hAnsi="宋体" w:cs="宋体"/>
          <w:color w:val="auto"/>
          <w:kern w:val="0"/>
          <w:szCs w:val="21"/>
          <w:highlight w:val="none"/>
        </w:rPr>
        <w:t>向采购人</w:t>
      </w:r>
      <w:r>
        <w:rPr>
          <w:rFonts w:hint="eastAsia" w:hAnsi="宋体" w:cs="宋体"/>
          <w:color w:val="auto"/>
          <w:kern w:val="0"/>
          <w:szCs w:val="21"/>
          <w:highlight w:val="none"/>
        </w:rPr>
        <w:t>或采购代理机构</w:t>
      </w:r>
      <w:r>
        <w:rPr>
          <w:rFonts w:hAnsi="宋体" w:cs="宋体"/>
          <w:color w:val="auto"/>
          <w:kern w:val="0"/>
          <w:szCs w:val="21"/>
          <w:highlight w:val="none"/>
        </w:rPr>
        <w:t>提出</w:t>
      </w:r>
      <w:r>
        <w:rPr>
          <w:rFonts w:hint="eastAsia" w:hAnsi="宋体" w:cs="宋体"/>
          <w:color w:val="auto"/>
          <w:kern w:val="0"/>
          <w:szCs w:val="21"/>
          <w:highlight w:val="none"/>
        </w:rPr>
        <w:t>。</w:t>
      </w:r>
      <w:r>
        <w:rPr>
          <w:rFonts w:hAnsi="宋体" w:cs="宋体"/>
          <w:color w:val="auto"/>
          <w:kern w:val="0"/>
          <w:szCs w:val="21"/>
          <w:highlight w:val="none"/>
        </w:rPr>
        <w:t>采购人或采购代理机构</w:t>
      </w:r>
      <w:r>
        <w:rPr>
          <w:rFonts w:hint="eastAsia" w:hAnsi="宋体" w:cs="宋体"/>
          <w:color w:val="auto"/>
          <w:kern w:val="0"/>
          <w:szCs w:val="21"/>
          <w:highlight w:val="none"/>
        </w:rPr>
        <w:t>应当</w:t>
      </w:r>
      <w:r>
        <w:rPr>
          <w:rFonts w:hAnsi="宋体" w:cs="宋体"/>
          <w:color w:val="auto"/>
          <w:kern w:val="0"/>
          <w:szCs w:val="21"/>
          <w:highlight w:val="none"/>
        </w:rPr>
        <w:t>在3个工作日内对供应商依法提出的询问作出答复，但答复的内容不得涉及商业秘密</w:t>
      </w:r>
      <w:r>
        <w:rPr>
          <w:rFonts w:hint="eastAsia" w:hAnsi="宋体" w:cs="宋体"/>
          <w:color w:val="auto"/>
          <w:kern w:val="0"/>
          <w:szCs w:val="21"/>
          <w:highlight w:val="none"/>
        </w:rPr>
        <w:t>。供应商提出的询问超出采购人对采购代理机构委托授权范围的，采购代理机构应当告知供应商向采购人提出。</w:t>
      </w:r>
    </w:p>
    <w:p w14:paraId="4DD9164C">
      <w:pPr>
        <w:pStyle w:val="14"/>
        <w:spacing w:line="400" w:lineRule="exact"/>
        <w:ind w:left="420" w:hanging="420" w:hangingChars="2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.2质疑</w:t>
      </w:r>
    </w:p>
    <w:p w14:paraId="6EC67490">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2.1提出质疑的供应商应当是参与所质疑项目采购活动的供应商。潜在供应商已依法获取其可质疑的采购文件的，可以对采购文件提出质疑。</w:t>
      </w:r>
    </w:p>
    <w:p w14:paraId="6C79722C">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.2.2供应商认为采购文件、采购过程、中标或者成交结果使自己的权益受到损害的，可以在知道或者应知其权益受到损害之日起</w:t>
      </w:r>
      <w:r>
        <w:rPr>
          <w:rFonts w:hAnsi="宋体"/>
          <w:color w:val="auto"/>
          <w:szCs w:val="21"/>
          <w:highlight w:val="none"/>
        </w:rPr>
        <w:t>7</w:t>
      </w:r>
      <w:r>
        <w:rPr>
          <w:rFonts w:hint="eastAsia" w:hAnsi="宋体"/>
          <w:color w:val="auto"/>
          <w:szCs w:val="21"/>
          <w:highlight w:val="none"/>
        </w:rPr>
        <w:t>个工作日内，以书面形式向采购人、采购代理机构提出质疑，否则，采购人或者采购代理机构不予受理：</w:t>
      </w:r>
    </w:p>
    <w:p w14:paraId="6C959856">
      <w:pPr>
        <w:pStyle w:val="14"/>
        <w:spacing w:line="400" w:lineRule="exact"/>
        <w:ind w:left="828" w:leftChars="300" w:right="-84" w:rightChars="-40" w:hanging="198" w:hangingChars="100"/>
        <w:rPr>
          <w:rFonts w:hAnsi="宋体"/>
          <w:bCs/>
          <w:color w:val="auto"/>
          <w:spacing w:val="-6"/>
          <w:szCs w:val="21"/>
          <w:highlight w:val="none"/>
        </w:rPr>
      </w:pPr>
      <w:r>
        <w:rPr>
          <w:rFonts w:hint="eastAsia" w:hAnsi="宋体"/>
          <w:bCs/>
          <w:color w:val="auto"/>
          <w:spacing w:val="-6"/>
          <w:szCs w:val="21"/>
          <w:highlight w:val="none"/>
        </w:rPr>
        <w:t>①对采购文件提出质疑的，质疑期限为供应商获得采购文件之日或者采购公告期限届满之日起计算。</w:t>
      </w:r>
    </w:p>
    <w:p w14:paraId="267D93B2">
      <w:pPr>
        <w:pStyle w:val="14"/>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②对采购过程提出质疑的，质疑期限为各采购程序环节结束之日起计算。</w:t>
      </w:r>
    </w:p>
    <w:p w14:paraId="04E7C1A1">
      <w:pPr>
        <w:pStyle w:val="14"/>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③对采购结果提出质疑的，质疑期限自采购结果公告期限届满之日起计算。</w:t>
      </w:r>
    </w:p>
    <w:p w14:paraId="58F74D22">
      <w:pPr>
        <w:pStyle w:val="14"/>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④对同一采购程序环节的质疑，供应商须一次性提出。</w:t>
      </w:r>
    </w:p>
    <w:p w14:paraId="0EE2E0E8">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.2.3供应商必须在法定质疑期内一次性提出针对同一采购程序环节的质疑。</w:t>
      </w:r>
    </w:p>
    <w:p w14:paraId="3D1C8349">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.2.4供应商提出质疑应当提交质疑函和必要的证明材料。质疑函须使用财政部制定的《政府采购供应商质疑函范本》（可在《中国政府采购网》下载）。</w:t>
      </w:r>
    </w:p>
    <w:p w14:paraId="7917C9C0">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.2.5采购人、采购代理机构</w:t>
      </w:r>
      <w:r>
        <w:rPr>
          <w:rFonts w:hAnsi="宋体"/>
          <w:color w:val="auto"/>
          <w:szCs w:val="21"/>
          <w:highlight w:val="none"/>
        </w:rPr>
        <w:t>只接受纸质材料形式的质疑，不接受电子送达的质疑材料，即不接受以传真、电子邮件、移动通信等即时收悉的特定系统作为送达媒介的质疑材料。</w:t>
      </w:r>
    </w:p>
    <w:p w14:paraId="24270B48">
      <w:pPr>
        <w:pStyle w:val="14"/>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.2.6采购人、采购代理机构</w:t>
      </w:r>
      <w:r>
        <w:rPr>
          <w:rFonts w:hAnsi="宋体"/>
          <w:color w:val="auto"/>
          <w:szCs w:val="21"/>
          <w:highlight w:val="none"/>
        </w:rPr>
        <w:t>在收到</w:t>
      </w:r>
      <w:r>
        <w:rPr>
          <w:rFonts w:hint="eastAsia" w:hAnsi="宋体"/>
          <w:color w:val="auto"/>
          <w:szCs w:val="21"/>
          <w:highlight w:val="none"/>
        </w:rPr>
        <w:t>供应商</w:t>
      </w:r>
      <w:r>
        <w:rPr>
          <w:rFonts w:hAnsi="宋体"/>
          <w:color w:val="auto"/>
          <w:szCs w:val="21"/>
          <w:highlight w:val="none"/>
        </w:rPr>
        <w:t>的质疑</w:t>
      </w:r>
      <w:r>
        <w:rPr>
          <w:rFonts w:hint="eastAsia" w:hAnsi="宋体"/>
          <w:color w:val="auto"/>
          <w:szCs w:val="21"/>
          <w:highlight w:val="none"/>
        </w:rPr>
        <w:t>函</w:t>
      </w:r>
      <w:r>
        <w:rPr>
          <w:rFonts w:hAnsi="宋体"/>
          <w:color w:val="auto"/>
          <w:szCs w:val="21"/>
          <w:highlight w:val="none"/>
        </w:rPr>
        <w:t>后</w:t>
      </w:r>
      <w:r>
        <w:rPr>
          <w:rFonts w:hint="eastAsia" w:hAnsi="宋体"/>
          <w:color w:val="auto"/>
          <w:szCs w:val="21"/>
          <w:highlight w:val="none"/>
        </w:rPr>
        <w:t>7</w:t>
      </w:r>
      <w:r>
        <w:rPr>
          <w:rFonts w:hAnsi="宋体"/>
          <w:color w:val="auto"/>
          <w:szCs w:val="21"/>
          <w:highlight w:val="none"/>
        </w:rPr>
        <w:t>个工作日内作出答复，并以书面形式通知质疑供应商和其他有关供应商</w:t>
      </w:r>
      <w:r>
        <w:rPr>
          <w:rFonts w:hint="eastAsia" w:hAnsi="宋体"/>
          <w:color w:val="auto"/>
          <w:szCs w:val="21"/>
          <w:highlight w:val="none"/>
        </w:rPr>
        <w:t>。</w:t>
      </w:r>
      <w:r>
        <w:rPr>
          <w:rFonts w:hAnsi="宋体"/>
          <w:color w:val="auto"/>
          <w:szCs w:val="21"/>
          <w:highlight w:val="none"/>
        </w:rPr>
        <w:t>但答复的内容不得涉及商业秘密。</w:t>
      </w:r>
    </w:p>
    <w:p w14:paraId="0E280D21">
      <w:pPr>
        <w:pStyle w:val="14"/>
        <w:spacing w:line="400" w:lineRule="exact"/>
        <w:ind w:left="420" w:hanging="420" w:hangingChars="200"/>
        <w:rPr>
          <w:rFonts w:hAnsi="宋体"/>
          <w:color w:val="auto"/>
          <w:highlight w:val="none"/>
        </w:rPr>
      </w:pPr>
      <w:r>
        <w:rPr>
          <w:rFonts w:hAnsi="宋体"/>
          <w:color w:val="auto"/>
          <w:szCs w:val="21"/>
          <w:highlight w:val="none"/>
        </w:rPr>
        <w:t>7</w:t>
      </w:r>
      <w:r>
        <w:rPr>
          <w:rFonts w:hint="eastAsia" w:hAnsi="宋体"/>
          <w:color w:val="auto"/>
          <w:highlight w:val="none"/>
        </w:rPr>
        <w:t>.3投诉</w:t>
      </w:r>
    </w:p>
    <w:p w14:paraId="0FBBDBA4">
      <w:pPr>
        <w:pStyle w:val="14"/>
        <w:spacing w:line="400" w:lineRule="exact"/>
        <w:ind w:left="630" w:hanging="630" w:hangingChars="300"/>
        <w:rPr>
          <w:rFonts w:hAnsi="宋体" w:cs="宋体"/>
          <w:color w:val="auto"/>
          <w:kern w:val="0"/>
          <w:szCs w:val="21"/>
          <w:highlight w:val="none"/>
        </w:rPr>
      </w:pPr>
      <w:r>
        <w:rPr>
          <w:rFonts w:hAnsi="宋体"/>
          <w:color w:val="auto"/>
          <w:szCs w:val="21"/>
          <w:highlight w:val="none"/>
        </w:rPr>
        <w:t>7</w:t>
      </w:r>
      <w:r>
        <w:rPr>
          <w:rFonts w:hint="eastAsia" w:hAnsi="宋体"/>
          <w:color w:val="auto"/>
          <w:highlight w:val="none"/>
        </w:rPr>
        <w:t>.3.1</w:t>
      </w:r>
      <w:r>
        <w:rPr>
          <w:rFonts w:hint="eastAsia" w:hAnsi="宋体" w:cs="宋体"/>
          <w:color w:val="auto"/>
          <w:kern w:val="0"/>
          <w:szCs w:val="21"/>
          <w:highlight w:val="none"/>
        </w:rPr>
        <w:t>质疑供应商对采购人、采购代理机构的答复不满意，或者采购人、</w:t>
      </w:r>
      <w:r>
        <w:rPr>
          <w:rFonts w:hint="eastAsia" w:hAnsi="宋体"/>
          <w:color w:val="auto"/>
          <w:szCs w:val="21"/>
          <w:highlight w:val="none"/>
        </w:rPr>
        <w:t>采购代理机构未在规定时间内作出答复的</w:t>
      </w:r>
      <w:r>
        <w:rPr>
          <w:rFonts w:hint="eastAsia" w:hAnsi="宋体" w:cs="宋体"/>
          <w:color w:val="auto"/>
          <w:kern w:val="0"/>
          <w:szCs w:val="21"/>
          <w:highlight w:val="none"/>
        </w:rPr>
        <w:t>，可以在答复期满后</w:t>
      </w:r>
      <w:r>
        <w:rPr>
          <w:rFonts w:hAnsi="宋体" w:cs="宋体"/>
          <w:color w:val="auto"/>
          <w:kern w:val="0"/>
          <w:szCs w:val="21"/>
          <w:highlight w:val="none"/>
        </w:rPr>
        <w:t>15</w:t>
      </w:r>
      <w:r>
        <w:rPr>
          <w:rFonts w:hint="eastAsia" w:hAnsi="宋体" w:cs="宋体"/>
          <w:color w:val="auto"/>
          <w:kern w:val="0"/>
          <w:szCs w:val="21"/>
          <w:highlight w:val="none"/>
        </w:rPr>
        <w:t>个工作日内向</w:t>
      </w:r>
      <w:r>
        <w:rPr>
          <w:rFonts w:hint="eastAsia" w:hAnsi="宋体"/>
          <w:color w:val="auto"/>
          <w:highlight w:val="none"/>
        </w:rPr>
        <w:t>本级财政部门</w:t>
      </w:r>
      <w:r>
        <w:rPr>
          <w:rFonts w:hint="eastAsia" w:hAnsi="宋体" w:cs="宋体"/>
          <w:color w:val="auto"/>
          <w:kern w:val="0"/>
          <w:szCs w:val="21"/>
          <w:highlight w:val="none"/>
        </w:rPr>
        <w:t>提起投诉。</w:t>
      </w:r>
    </w:p>
    <w:p w14:paraId="77A01A30">
      <w:pPr>
        <w:pStyle w:val="14"/>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.3.2供应商投诉的事项不得超出已质疑事项的范围，基于质疑答复内容提出的投诉事项除外。</w:t>
      </w:r>
    </w:p>
    <w:p w14:paraId="2DF8F806">
      <w:pPr>
        <w:pStyle w:val="14"/>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.3.3供应商投诉应当有明确的请求和必要的证明材料。</w:t>
      </w:r>
      <w:r>
        <w:rPr>
          <w:rFonts w:hint="eastAsia" w:hAnsi="宋体"/>
          <w:color w:val="auto"/>
          <w:szCs w:val="21"/>
          <w:highlight w:val="none"/>
        </w:rPr>
        <w:t>投诉书须使用财政部制定的《政府采购供应商投诉书范本》（可在《中国政府采购网》下载）。</w:t>
      </w:r>
    </w:p>
    <w:p w14:paraId="6939F60A">
      <w:pPr>
        <w:pStyle w:val="14"/>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.3.4以联合体形式参加政府采购活动的，其投诉应当由组成联合体的所有供应商共同提出。</w:t>
      </w:r>
    </w:p>
    <w:p w14:paraId="02C413B8">
      <w:pPr>
        <w:pStyle w:val="14"/>
        <w:spacing w:line="400" w:lineRule="exact"/>
        <w:ind w:left="420" w:hanging="420" w:hangingChars="200"/>
        <w:rPr>
          <w:rFonts w:hAnsi="宋体"/>
          <w:color w:val="auto"/>
          <w:highlight w:val="none"/>
        </w:rPr>
      </w:pPr>
      <w:r>
        <w:rPr>
          <w:rFonts w:hAnsi="宋体"/>
          <w:color w:val="auto"/>
          <w:szCs w:val="21"/>
          <w:highlight w:val="none"/>
        </w:rPr>
        <w:t>7</w:t>
      </w:r>
      <w:r>
        <w:rPr>
          <w:rFonts w:hint="eastAsia" w:hAnsi="宋体"/>
          <w:color w:val="auto"/>
          <w:highlight w:val="none"/>
        </w:rPr>
        <w:t>.4接收询问或质疑的联系部门、联系电话和通讯地址：见本章“供应商须知前附表”第3项。</w:t>
      </w:r>
    </w:p>
    <w:p w14:paraId="15FA91B7">
      <w:pPr>
        <w:pStyle w:val="3"/>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8</w:t>
      </w:r>
      <w:r>
        <w:rPr>
          <w:rFonts w:hint="eastAsia" w:ascii="宋体" w:hAnsi="宋体" w:eastAsia="宋体"/>
          <w:color w:val="auto"/>
          <w:sz w:val="21"/>
          <w:szCs w:val="21"/>
          <w:highlight w:val="none"/>
        </w:rPr>
        <w:t>.电子交易平台</w:t>
      </w:r>
    </w:p>
    <w:p w14:paraId="1F1A9309">
      <w:pPr>
        <w:pStyle w:val="14"/>
        <w:spacing w:line="400" w:lineRule="exact"/>
        <w:ind w:left="420" w:hanging="420" w:hangingChars="200"/>
        <w:rPr>
          <w:rFonts w:hAnsi="宋体" w:cs="宋体"/>
          <w:color w:val="auto"/>
          <w:szCs w:val="21"/>
          <w:highlight w:val="none"/>
        </w:rPr>
      </w:pPr>
      <w:r>
        <w:rPr>
          <w:rFonts w:hAnsi="宋体"/>
          <w:color w:val="auto"/>
          <w:szCs w:val="21"/>
          <w:highlight w:val="none"/>
        </w:rPr>
        <w:t>8</w:t>
      </w:r>
      <w:r>
        <w:rPr>
          <w:rFonts w:hint="eastAsia" w:hAnsi="宋体"/>
          <w:color w:val="auto"/>
          <w:szCs w:val="21"/>
          <w:highlight w:val="none"/>
        </w:rPr>
        <w:t>.1</w:t>
      </w:r>
      <w:r>
        <w:rPr>
          <w:rFonts w:hint="eastAsia" w:hAnsi="宋体" w:cs="宋体"/>
          <w:color w:val="auto"/>
          <w:szCs w:val="21"/>
          <w:highlight w:val="none"/>
        </w:rPr>
        <w:t>“电子交易平台”是指以数据电文形式在线完成采购活动的信息平台，</w:t>
      </w:r>
      <w:r>
        <w:rPr>
          <w:rFonts w:hint="eastAsia" w:hAnsi="宋体"/>
          <w:color w:val="auto"/>
          <w:szCs w:val="21"/>
          <w:highlight w:val="none"/>
        </w:rPr>
        <w:t>本磋商文件中是指本项目政府采购活动所依托的“广西政府采购云平台”https://www.gcy.zfcg.gxzf.gov.cn/电子标系统，</w:t>
      </w:r>
      <w:r>
        <w:rPr>
          <w:rFonts w:hint="eastAsia" w:hAnsi="宋体" w:cs="宋体"/>
          <w:color w:val="auto"/>
          <w:szCs w:val="21"/>
          <w:highlight w:val="none"/>
        </w:rPr>
        <w:t>也称“政采云平台”或“政采云”，下同）。</w:t>
      </w:r>
    </w:p>
    <w:p w14:paraId="02B795DB">
      <w:pPr>
        <w:pStyle w:val="14"/>
        <w:spacing w:line="400" w:lineRule="exact"/>
        <w:ind w:left="420" w:hanging="420" w:hangingChars="200"/>
        <w:rPr>
          <w:rFonts w:hAnsi="宋体"/>
          <w:color w:val="auto"/>
          <w:szCs w:val="21"/>
          <w:highlight w:val="none"/>
        </w:rPr>
      </w:pPr>
      <w:r>
        <w:rPr>
          <w:rFonts w:hAnsi="宋体"/>
          <w:color w:val="auto"/>
          <w:highlight w:val="none"/>
        </w:rPr>
        <w:t>8.</w:t>
      </w:r>
      <w:r>
        <w:rPr>
          <w:rFonts w:hint="eastAsia" w:hAnsi="宋体"/>
          <w:color w:val="auto"/>
          <w:highlight w:val="none"/>
        </w:rPr>
        <w:t>2供应商应</w:t>
      </w:r>
      <w:r>
        <w:rPr>
          <w:rFonts w:hint="eastAsia" w:hAnsi="宋体"/>
          <w:color w:val="auto"/>
          <w:szCs w:val="21"/>
          <w:highlight w:val="none"/>
        </w:rPr>
        <w:t>注册入驻“</w:t>
      </w:r>
      <w:r>
        <w:rPr>
          <w:rFonts w:hint="eastAsia" w:hAnsi="宋体" w:cs="仿宋_GB2312"/>
          <w:color w:val="auto"/>
          <w:kern w:val="0"/>
          <w:sz w:val="24"/>
          <w:highlight w:val="none"/>
        </w:rPr>
        <w:t>广西政府采购云平台</w:t>
      </w:r>
      <w:r>
        <w:rPr>
          <w:rFonts w:hint="eastAsia" w:hAnsi="宋体"/>
          <w:color w:val="auto"/>
          <w:szCs w:val="21"/>
          <w:highlight w:val="none"/>
        </w:rPr>
        <w:t>”成为正式供应商，并办理CA锁，否则在项目</w:t>
      </w:r>
      <w:r>
        <w:rPr>
          <w:rFonts w:hAnsi="宋体"/>
          <w:color w:val="auto"/>
          <w:szCs w:val="21"/>
          <w:highlight w:val="none"/>
        </w:rPr>
        <w:t>投标（响应）</w:t>
      </w:r>
      <w:r>
        <w:rPr>
          <w:rFonts w:hint="eastAsia" w:hAnsi="宋体"/>
          <w:color w:val="auto"/>
          <w:szCs w:val="21"/>
          <w:highlight w:val="none"/>
        </w:rPr>
        <w:t>时，无法对</w:t>
      </w:r>
      <w:r>
        <w:rPr>
          <w:rFonts w:hAnsi="宋体"/>
          <w:color w:val="auto"/>
          <w:szCs w:val="21"/>
          <w:highlight w:val="none"/>
        </w:rPr>
        <w:t>投标（响应）</w:t>
      </w:r>
      <w:r>
        <w:rPr>
          <w:rFonts w:hint="eastAsia" w:hAnsi="宋体"/>
          <w:color w:val="auto"/>
          <w:szCs w:val="21"/>
          <w:highlight w:val="none"/>
        </w:rPr>
        <w:t>文件进行</w:t>
      </w:r>
      <w:r>
        <w:rPr>
          <w:rFonts w:hAnsi="宋体"/>
          <w:color w:val="auto"/>
          <w:szCs w:val="21"/>
          <w:highlight w:val="none"/>
        </w:rPr>
        <w:t>“</w:t>
      </w:r>
      <w:r>
        <w:rPr>
          <w:rFonts w:hint="eastAsia" w:hAnsi="宋体"/>
          <w:color w:val="auto"/>
          <w:szCs w:val="21"/>
          <w:highlight w:val="none"/>
        </w:rPr>
        <w:t>CA电子签章</w:t>
      </w:r>
      <w:r>
        <w:rPr>
          <w:rFonts w:hAnsi="宋体"/>
          <w:color w:val="auto"/>
          <w:szCs w:val="21"/>
          <w:highlight w:val="none"/>
        </w:rPr>
        <w:t>”</w:t>
      </w:r>
      <w:r>
        <w:rPr>
          <w:rFonts w:hint="eastAsia" w:hAnsi="宋体"/>
          <w:color w:val="auto"/>
          <w:szCs w:val="21"/>
          <w:highlight w:val="none"/>
        </w:rPr>
        <w:t>。</w:t>
      </w:r>
    </w:p>
    <w:p w14:paraId="535CA5B3">
      <w:pPr>
        <w:pStyle w:val="14"/>
        <w:spacing w:line="400" w:lineRule="exact"/>
        <w:ind w:left="420" w:hanging="420" w:hangingChars="200"/>
        <w:rPr>
          <w:rFonts w:hAnsi="宋体" w:cs="宋体"/>
          <w:color w:val="auto"/>
          <w:szCs w:val="21"/>
          <w:highlight w:val="none"/>
        </w:rPr>
      </w:pPr>
      <w:r>
        <w:rPr>
          <w:rFonts w:hAnsi="宋体"/>
          <w:color w:val="auto"/>
          <w:highlight w:val="none"/>
        </w:rPr>
        <w:t>8.</w:t>
      </w:r>
      <w:r>
        <w:rPr>
          <w:rFonts w:hint="eastAsia" w:hAnsi="宋体"/>
          <w:color w:val="auto"/>
          <w:highlight w:val="none"/>
        </w:rPr>
        <w:t>3</w:t>
      </w:r>
      <w:r>
        <w:rPr>
          <w:rFonts w:hAnsi="宋体"/>
          <w:color w:val="auto"/>
          <w:szCs w:val="21"/>
          <w:highlight w:val="none"/>
        </w:rPr>
        <w:t>供应商只需通过互联网访问和数字证书（</w:t>
      </w:r>
      <w:r>
        <w:rPr>
          <w:rFonts w:hint="eastAsia" w:hAnsi="宋体"/>
          <w:color w:val="auto"/>
          <w:szCs w:val="21"/>
          <w:highlight w:val="none"/>
        </w:rPr>
        <w:t>即</w:t>
      </w:r>
      <w:r>
        <w:rPr>
          <w:rFonts w:hAnsi="宋体"/>
          <w:color w:val="auto"/>
          <w:szCs w:val="21"/>
          <w:highlight w:val="none"/>
        </w:rPr>
        <w:t>CA）即可参与开标；投标（响应）文件由系统在线解密</w:t>
      </w:r>
      <w:r>
        <w:rPr>
          <w:rFonts w:hint="eastAsia" w:hAnsi="宋体"/>
          <w:color w:val="auto"/>
          <w:szCs w:val="21"/>
          <w:highlight w:val="none"/>
        </w:rPr>
        <w:t>。供应商在开标前，提前登录“</w:t>
      </w:r>
      <w:r>
        <w:rPr>
          <w:rFonts w:hint="eastAsia" w:hAnsi="宋体" w:cs="仿宋_GB2312"/>
          <w:color w:val="auto"/>
          <w:kern w:val="0"/>
          <w:sz w:val="24"/>
          <w:highlight w:val="none"/>
        </w:rPr>
        <w:t>广西政府采购云平台</w:t>
      </w:r>
      <w:r>
        <w:rPr>
          <w:rFonts w:hint="eastAsia" w:hAnsi="宋体"/>
          <w:color w:val="auto"/>
          <w:szCs w:val="21"/>
          <w:highlight w:val="none"/>
        </w:rPr>
        <w:t>”做好准备，并确保设备正常。供应商应随时关注项目开标评标进度，如在开标评标过程中有询标澄清，应在规定的时间内对电子询标函进行澄清回复。</w:t>
      </w:r>
      <w:r>
        <w:rPr>
          <w:rFonts w:hAnsi="宋体"/>
          <w:color w:val="auto"/>
          <w:szCs w:val="21"/>
          <w:highlight w:val="none"/>
        </w:rPr>
        <w:t>如遇</w:t>
      </w:r>
      <w:r>
        <w:rPr>
          <w:rFonts w:hint="eastAsia" w:hAnsi="宋体"/>
          <w:color w:val="auto"/>
          <w:szCs w:val="21"/>
          <w:highlight w:val="none"/>
        </w:rPr>
        <w:t>“</w:t>
      </w:r>
      <w:r>
        <w:rPr>
          <w:rFonts w:hint="eastAsia" w:hAnsi="宋体" w:cs="仿宋_GB2312"/>
          <w:color w:val="auto"/>
          <w:kern w:val="0"/>
          <w:sz w:val="24"/>
          <w:highlight w:val="none"/>
        </w:rPr>
        <w:t>广西政府采购云平台</w:t>
      </w:r>
      <w:r>
        <w:rPr>
          <w:rFonts w:hint="eastAsia" w:hAnsi="宋体"/>
          <w:color w:val="auto"/>
          <w:szCs w:val="21"/>
          <w:highlight w:val="none"/>
        </w:rPr>
        <w:t>”系统对</w:t>
      </w:r>
      <w:r>
        <w:rPr>
          <w:rFonts w:hAnsi="宋体"/>
          <w:color w:val="auto"/>
          <w:szCs w:val="21"/>
          <w:highlight w:val="none"/>
        </w:rPr>
        <w:t>开标或评审程序调整的，按调整后程序执行。</w:t>
      </w:r>
    </w:p>
    <w:p w14:paraId="16BF59CA">
      <w:pPr>
        <w:pStyle w:val="14"/>
        <w:spacing w:line="40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4采购过程中出现以下情形，导致电子交易平台无法正常运行，或者无法保证电子交易的公平、</w:t>
      </w:r>
      <w:r>
        <w:rPr>
          <w:rFonts w:hint="eastAsia" w:hAnsi="宋体"/>
          <w:color w:val="auto"/>
          <w:szCs w:val="21"/>
          <w:highlight w:val="none"/>
        </w:rPr>
        <w:t>公正和安全时</w:t>
      </w:r>
      <w:r>
        <w:rPr>
          <w:rFonts w:hint="eastAsia" w:hAnsi="宋体"/>
          <w:color w:val="auto"/>
          <w:highlight w:val="none"/>
        </w:rPr>
        <w:t>，采购机构可中止电子交易活动：</w:t>
      </w:r>
    </w:p>
    <w:p w14:paraId="7A3131EA">
      <w:pPr>
        <w:pStyle w:val="14"/>
        <w:spacing w:line="400" w:lineRule="exact"/>
        <w:ind w:left="567" w:leftChars="270"/>
        <w:rPr>
          <w:rFonts w:hAnsi="宋体"/>
          <w:color w:val="auto"/>
          <w:highlight w:val="none"/>
        </w:rPr>
      </w:pPr>
      <w:r>
        <w:rPr>
          <w:rFonts w:hint="eastAsia" w:hAnsi="宋体"/>
          <w:color w:val="auto"/>
          <w:highlight w:val="none"/>
        </w:rPr>
        <w:t>① 电子交易平台发生故障而无法登录访问的；</w:t>
      </w:r>
    </w:p>
    <w:p w14:paraId="3D508072">
      <w:pPr>
        <w:pStyle w:val="14"/>
        <w:spacing w:line="400" w:lineRule="exact"/>
        <w:ind w:left="567" w:leftChars="270"/>
        <w:rPr>
          <w:rFonts w:hAnsi="宋体"/>
          <w:color w:val="auto"/>
          <w:highlight w:val="none"/>
        </w:rPr>
      </w:pPr>
      <w:r>
        <w:rPr>
          <w:rFonts w:hint="eastAsia" w:hAnsi="宋体"/>
          <w:color w:val="auto"/>
          <w:highlight w:val="none"/>
        </w:rPr>
        <w:t>② 电子交易平台应用或数据库出现错误，不能进行正常操作的；</w:t>
      </w:r>
    </w:p>
    <w:p w14:paraId="131CF316">
      <w:pPr>
        <w:pStyle w:val="14"/>
        <w:spacing w:line="400" w:lineRule="exact"/>
        <w:ind w:left="567" w:leftChars="270"/>
        <w:rPr>
          <w:rFonts w:hAnsi="宋体"/>
          <w:color w:val="auto"/>
          <w:highlight w:val="none"/>
        </w:rPr>
      </w:pPr>
      <w:r>
        <w:rPr>
          <w:rFonts w:hint="eastAsia" w:hAnsi="宋体"/>
          <w:color w:val="auto"/>
          <w:highlight w:val="none"/>
        </w:rPr>
        <w:t>③ 电子交易平台发现严重安全漏洞，有潜在泄密危险的；</w:t>
      </w:r>
    </w:p>
    <w:p w14:paraId="20EC5044">
      <w:pPr>
        <w:pStyle w:val="14"/>
        <w:spacing w:line="400" w:lineRule="exact"/>
        <w:ind w:left="567" w:leftChars="270"/>
        <w:rPr>
          <w:rFonts w:hAnsi="宋体"/>
          <w:color w:val="auto"/>
          <w:highlight w:val="none"/>
        </w:rPr>
      </w:pPr>
      <w:r>
        <w:rPr>
          <w:rFonts w:hint="eastAsia" w:hAnsi="宋体"/>
          <w:color w:val="auto"/>
          <w:highlight w:val="none"/>
        </w:rPr>
        <w:t>④ 病毒发作导致不能进行正常操作的；</w:t>
      </w:r>
    </w:p>
    <w:p w14:paraId="2EFC1DD8">
      <w:pPr>
        <w:pStyle w:val="14"/>
        <w:spacing w:line="400" w:lineRule="exact"/>
        <w:ind w:left="567" w:leftChars="270"/>
        <w:rPr>
          <w:rFonts w:hAnsi="宋体"/>
          <w:color w:val="auto"/>
          <w:highlight w:val="none"/>
        </w:rPr>
      </w:pPr>
      <w:r>
        <w:rPr>
          <w:rFonts w:hint="eastAsia" w:hAnsi="宋体"/>
          <w:color w:val="auto"/>
          <w:highlight w:val="none"/>
        </w:rPr>
        <w:t>⑤ 其他无法保证电子交易的公平、公正和安全的情况。</w:t>
      </w:r>
    </w:p>
    <w:p w14:paraId="60E8F7B4">
      <w:pPr>
        <w:pStyle w:val="14"/>
        <w:spacing w:line="400" w:lineRule="exact"/>
        <w:ind w:firstLine="420" w:firstLineChars="200"/>
        <w:rPr>
          <w:rFonts w:hAnsi="宋体"/>
          <w:color w:val="auto"/>
          <w:highlight w:val="none"/>
        </w:rPr>
      </w:pP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BD2226C">
      <w:pPr>
        <w:pStyle w:val="14"/>
        <w:spacing w:line="400" w:lineRule="exact"/>
        <w:ind w:firstLine="420"/>
        <w:rPr>
          <w:rFonts w:hAnsi="宋体"/>
          <w:color w:val="auto"/>
          <w:highlight w:val="none"/>
        </w:rPr>
      </w:pPr>
    </w:p>
    <w:p w14:paraId="58EC461B">
      <w:pPr>
        <w:pStyle w:val="2"/>
        <w:spacing w:line="400" w:lineRule="exact"/>
        <w:jc w:val="center"/>
        <w:rPr>
          <w:rFonts w:ascii="宋体" w:hAnsi="宋体"/>
          <w:color w:val="auto"/>
          <w:highlight w:val="none"/>
        </w:rPr>
      </w:pPr>
      <w:bookmarkStart w:id="96" w:name="_Toc16068272"/>
      <w:bookmarkStart w:id="97" w:name="_Toc64706758"/>
      <w:r>
        <w:rPr>
          <w:rFonts w:hint="eastAsia" w:ascii="宋体" w:hAnsi="宋体"/>
          <w:color w:val="auto"/>
          <w:highlight w:val="none"/>
        </w:rPr>
        <w:t>二   磋商文件</w:t>
      </w:r>
      <w:bookmarkEnd w:id="96"/>
      <w:bookmarkEnd w:id="97"/>
    </w:p>
    <w:p w14:paraId="21461438">
      <w:pPr>
        <w:pStyle w:val="3"/>
        <w:spacing w:beforeLines="50" w:after="0" w:line="400" w:lineRule="exact"/>
        <w:rPr>
          <w:rFonts w:ascii="宋体" w:hAnsi="宋体" w:eastAsia="宋体"/>
          <w:color w:val="auto"/>
          <w:sz w:val="21"/>
          <w:szCs w:val="21"/>
          <w:highlight w:val="none"/>
        </w:rPr>
      </w:pPr>
      <w:bookmarkStart w:id="98" w:name="_Toc185702553"/>
      <w:bookmarkStart w:id="99" w:name="_Toc16068273"/>
      <w:bookmarkStart w:id="100" w:name="_Toc239839867"/>
      <w:bookmarkStart w:id="101" w:name="_Toc230578061"/>
      <w:bookmarkStart w:id="102" w:name="_Toc206525686"/>
      <w:bookmarkStart w:id="103" w:name="_Toc207770839"/>
      <w:r>
        <w:rPr>
          <w:rFonts w:ascii="宋体" w:hAnsi="宋体" w:eastAsia="宋体"/>
          <w:color w:val="auto"/>
          <w:sz w:val="21"/>
          <w:szCs w:val="21"/>
          <w:highlight w:val="none"/>
        </w:rPr>
        <w:t>9</w:t>
      </w:r>
      <w:r>
        <w:rPr>
          <w:rFonts w:hint="eastAsia" w:ascii="宋体" w:hAnsi="宋体" w:eastAsia="宋体"/>
          <w:color w:val="auto"/>
          <w:sz w:val="21"/>
          <w:szCs w:val="21"/>
          <w:highlight w:val="none"/>
        </w:rPr>
        <w:t>．磋商文件的构成</w:t>
      </w:r>
      <w:bookmarkEnd w:id="98"/>
      <w:bookmarkEnd w:id="99"/>
      <w:bookmarkEnd w:id="100"/>
      <w:bookmarkEnd w:id="101"/>
      <w:bookmarkEnd w:id="102"/>
      <w:bookmarkEnd w:id="103"/>
    </w:p>
    <w:p w14:paraId="762FB088">
      <w:pPr>
        <w:pStyle w:val="14"/>
        <w:spacing w:line="400" w:lineRule="exact"/>
        <w:ind w:left="420" w:hanging="420" w:hangingChars="200"/>
        <w:rPr>
          <w:rFonts w:hAnsi="宋体"/>
          <w:color w:val="auto"/>
          <w:highlight w:val="none"/>
        </w:rPr>
      </w:pPr>
      <w:r>
        <w:rPr>
          <w:rFonts w:hAnsi="宋体"/>
          <w:color w:val="auto"/>
          <w:highlight w:val="none"/>
        </w:rPr>
        <w:t>9</w:t>
      </w:r>
      <w:r>
        <w:rPr>
          <w:rFonts w:hint="eastAsia" w:hAnsi="宋体"/>
          <w:color w:val="auto"/>
          <w:highlight w:val="none"/>
        </w:rPr>
        <w:t>.1磋商文件</w:t>
      </w:r>
      <w:r>
        <w:rPr>
          <w:rFonts w:hint="eastAsia" w:hAnsi="宋体" w:cs="宋体"/>
          <w:color w:val="auto"/>
          <w:highlight w:val="none"/>
        </w:rPr>
        <w:t>由下列</w:t>
      </w:r>
      <w:r>
        <w:rPr>
          <w:rFonts w:hint="eastAsia" w:hAnsi="宋体"/>
          <w:color w:val="auto"/>
          <w:highlight w:val="none"/>
        </w:rPr>
        <w:t>文件</w:t>
      </w:r>
      <w:r>
        <w:rPr>
          <w:rFonts w:hint="eastAsia" w:hAnsi="宋体" w:cs="宋体"/>
          <w:color w:val="auto"/>
          <w:highlight w:val="none"/>
        </w:rPr>
        <w:t>以及在采购过程中发出的更改、澄清、修改和补充等文件组成</w:t>
      </w:r>
      <w:r>
        <w:rPr>
          <w:rFonts w:hint="eastAsia" w:hAnsi="宋体"/>
          <w:color w:val="auto"/>
          <w:highlight w:val="none"/>
        </w:rPr>
        <w:t>：</w:t>
      </w:r>
    </w:p>
    <w:p w14:paraId="4CBDAB7E">
      <w:pPr>
        <w:pStyle w:val="14"/>
        <w:spacing w:line="400" w:lineRule="exact"/>
        <w:ind w:firstLine="426"/>
        <w:rPr>
          <w:rFonts w:hAnsi="宋体"/>
          <w:color w:val="auto"/>
          <w:highlight w:val="none"/>
        </w:rPr>
      </w:pPr>
      <w:r>
        <w:rPr>
          <w:rFonts w:hint="eastAsia" w:hAnsi="宋体"/>
          <w:color w:val="auto"/>
          <w:highlight w:val="none"/>
        </w:rPr>
        <w:t>第一章  竞争性磋商公告</w:t>
      </w:r>
    </w:p>
    <w:p w14:paraId="1591EC9C">
      <w:pPr>
        <w:pStyle w:val="14"/>
        <w:spacing w:line="400" w:lineRule="exact"/>
        <w:ind w:firstLine="426"/>
        <w:rPr>
          <w:rFonts w:hAnsi="宋体"/>
          <w:color w:val="auto"/>
          <w:highlight w:val="none"/>
        </w:rPr>
      </w:pPr>
      <w:r>
        <w:rPr>
          <w:rFonts w:hint="eastAsia" w:hAnsi="宋体"/>
          <w:color w:val="auto"/>
          <w:highlight w:val="none"/>
        </w:rPr>
        <w:t>第二章  供应商须知</w:t>
      </w:r>
    </w:p>
    <w:p w14:paraId="04DE235D">
      <w:pPr>
        <w:pStyle w:val="14"/>
        <w:spacing w:line="400" w:lineRule="exact"/>
        <w:ind w:firstLine="420"/>
        <w:rPr>
          <w:rFonts w:hAnsi="宋体"/>
          <w:color w:val="auto"/>
          <w:highlight w:val="none"/>
        </w:rPr>
      </w:pPr>
      <w:r>
        <w:rPr>
          <w:rFonts w:hint="eastAsia" w:hAnsi="宋体"/>
          <w:color w:val="auto"/>
          <w:highlight w:val="none"/>
        </w:rPr>
        <w:t>第三章  采购需求</w:t>
      </w:r>
    </w:p>
    <w:p w14:paraId="127792C5">
      <w:pPr>
        <w:pStyle w:val="14"/>
        <w:spacing w:line="400" w:lineRule="exact"/>
        <w:ind w:firstLine="420"/>
        <w:rPr>
          <w:rFonts w:hAnsi="宋体"/>
          <w:color w:val="auto"/>
          <w:highlight w:val="none"/>
        </w:rPr>
      </w:pPr>
      <w:r>
        <w:rPr>
          <w:rFonts w:hint="eastAsia" w:hAnsi="宋体"/>
          <w:color w:val="auto"/>
          <w:highlight w:val="none"/>
        </w:rPr>
        <w:t>第四章  评标方法及评标标准</w:t>
      </w:r>
    </w:p>
    <w:p w14:paraId="31F953A1">
      <w:pPr>
        <w:pStyle w:val="14"/>
        <w:spacing w:line="400" w:lineRule="exact"/>
        <w:ind w:firstLine="420"/>
        <w:rPr>
          <w:rFonts w:hAnsi="宋体"/>
          <w:color w:val="auto"/>
          <w:highlight w:val="none"/>
        </w:rPr>
      </w:pPr>
      <w:r>
        <w:rPr>
          <w:rFonts w:hint="eastAsia" w:hAnsi="宋体"/>
          <w:color w:val="auto"/>
          <w:highlight w:val="none"/>
        </w:rPr>
        <w:t>第五章  拟签订的合同文本（格式）</w:t>
      </w:r>
    </w:p>
    <w:p w14:paraId="60449365">
      <w:pPr>
        <w:pStyle w:val="14"/>
        <w:spacing w:line="400" w:lineRule="exact"/>
        <w:ind w:firstLine="420"/>
        <w:rPr>
          <w:rFonts w:hAnsi="宋体"/>
          <w:color w:val="auto"/>
          <w:highlight w:val="none"/>
        </w:rPr>
      </w:pPr>
      <w:r>
        <w:rPr>
          <w:rFonts w:hint="eastAsia" w:hAnsi="宋体"/>
          <w:color w:val="auto"/>
          <w:highlight w:val="none"/>
        </w:rPr>
        <w:t>第六章  响应文件（部分格式）</w:t>
      </w:r>
    </w:p>
    <w:p w14:paraId="74EEA9DD">
      <w:pPr>
        <w:pStyle w:val="14"/>
        <w:spacing w:line="400" w:lineRule="exact"/>
        <w:ind w:firstLine="420"/>
        <w:rPr>
          <w:rFonts w:hAnsi="宋体"/>
          <w:color w:val="auto"/>
          <w:highlight w:val="none"/>
        </w:rPr>
      </w:pPr>
      <w:r>
        <w:rPr>
          <w:rFonts w:hint="eastAsia" w:hAnsi="宋体"/>
          <w:color w:val="auto"/>
          <w:highlight w:val="none"/>
        </w:rPr>
        <w:t>第七章  附件</w:t>
      </w:r>
    </w:p>
    <w:p w14:paraId="5AD98FE2">
      <w:pPr>
        <w:pStyle w:val="3"/>
        <w:spacing w:beforeLines="50" w:after="0" w:line="400" w:lineRule="exact"/>
        <w:rPr>
          <w:rFonts w:ascii="宋体" w:hAnsi="宋体" w:eastAsia="宋体"/>
          <w:color w:val="auto"/>
          <w:sz w:val="21"/>
          <w:szCs w:val="21"/>
          <w:highlight w:val="none"/>
        </w:rPr>
      </w:pPr>
      <w:bookmarkStart w:id="104" w:name="_Toc207770840"/>
      <w:bookmarkStart w:id="105" w:name="_Toc230578062"/>
      <w:bookmarkStart w:id="106" w:name="_Toc206525687"/>
      <w:bookmarkStart w:id="107" w:name="_Toc185702554"/>
      <w:bookmarkStart w:id="108" w:name="_Toc239839868"/>
      <w:bookmarkStart w:id="109" w:name="_Toc16068274"/>
      <w:r>
        <w:rPr>
          <w:rFonts w:ascii="宋体" w:hAnsi="宋体" w:eastAsia="宋体"/>
          <w:color w:val="auto"/>
          <w:sz w:val="21"/>
          <w:szCs w:val="21"/>
          <w:highlight w:val="none"/>
        </w:rPr>
        <w:t>10</w:t>
      </w:r>
      <w:r>
        <w:rPr>
          <w:rFonts w:hint="eastAsia" w:ascii="宋体" w:hAnsi="宋体" w:eastAsia="宋体"/>
          <w:color w:val="auto"/>
          <w:sz w:val="21"/>
          <w:szCs w:val="21"/>
          <w:highlight w:val="none"/>
        </w:rPr>
        <w:t>．磋商文件的澄清和修改</w:t>
      </w:r>
      <w:bookmarkEnd w:id="104"/>
      <w:bookmarkEnd w:id="105"/>
      <w:bookmarkEnd w:id="106"/>
      <w:bookmarkEnd w:id="107"/>
      <w:bookmarkEnd w:id="108"/>
      <w:bookmarkEnd w:id="109"/>
    </w:p>
    <w:p w14:paraId="446E8956">
      <w:pPr>
        <w:pStyle w:val="14"/>
        <w:spacing w:line="400" w:lineRule="exact"/>
        <w:ind w:left="420" w:hanging="420" w:hangingChars="200"/>
        <w:rPr>
          <w:rFonts w:hAnsi="宋体"/>
          <w:color w:val="auto"/>
          <w:spacing w:val="-2"/>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.1</w:t>
      </w:r>
      <w:r>
        <w:rPr>
          <w:rFonts w:hint="eastAsia" w:hAnsi="宋体"/>
          <w:color w:val="auto"/>
          <w:spacing w:val="-2"/>
          <w:highlight w:val="none"/>
        </w:rPr>
        <w:t>提交首次响应文件截止之日前，采购人、采购代理机构可以对已发出的磋商文件进行必要的澄清或者修改，</w:t>
      </w:r>
      <w:r>
        <w:rPr>
          <w:rFonts w:hint="eastAsia" w:hAnsi="宋体"/>
          <w:color w:val="auto"/>
          <w:highlight w:val="none"/>
        </w:rPr>
        <w:t>澄清或者修改的内容作为磋商文件的组成部分。</w:t>
      </w:r>
      <w:r>
        <w:rPr>
          <w:rFonts w:hint="eastAsia" w:hAnsi="宋体"/>
          <w:color w:val="auto"/>
          <w:spacing w:val="-2"/>
          <w:highlight w:val="none"/>
        </w:rPr>
        <w:t>澄清或者修改的内容可能影响响应文件编制的，在提交首次响应文件截止之日3个工作日前发布更正公告；不足3个工作日的，顺延提交首次响应文件截止时间。</w:t>
      </w:r>
    </w:p>
    <w:p w14:paraId="0010115F">
      <w:pPr>
        <w:pStyle w:val="14"/>
        <w:spacing w:line="400" w:lineRule="exact"/>
        <w:ind w:left="420" w:hanging="420" w:hangingChars="200"/>
        <w:rPr>
          <w:rFonts w:hAnsi="宋体"/>
          <w:color w:val="auto"/>
          <w:highlight w:val="none"/>
        </w:rPr>
      </w:pPr>
      <w:r>
        <w:rPr>
          <w:rFonts w:hAnsi="宋体"/>
          <w:color w:val="auto"/>
          <w:highlight w:val="none"/>
        </w:rPr>
        <w:t>10.</w:t>
      </w:r>
      <w:r>
        <w:rPr>
          <w:rFonts w:hint="eastAsia" w:hAnsi="宋体"/>
          <w:color w:val="auto"/>
          <w:highlight w:val="none"/>
        </w:rPr>
        <w:t>2采购人、采购代理机构可视具体情况延长响应文件</w:t>
      </w:r>
      <w:r>
        <w:rPr>
          <w:rFonts w:hint="eastAsia" w:hAnsi="宋体"/>
          <w:color w:val="auto"/>
          <w:szCs w:val="21"/>
          <w:highlight w:val="none"/>
        </w:rPr>
        <w:t>提交</w:t>
      </w:r>
      <w:r>
        <w:rPr>
          <w:rFonts w:hint="eastAsia" w:hAnsi="宋体"/>
          <w:color w:val="auto"/>
          <w:highlight w:val="none"/>
        </w:rPr>
        <w:t>截止时间和</w:t>
      </w:r>
      <w:r>
        <w:rPr>
          <w:rFonts w:hint="eastAsia" w:hAnsi="宋体"/>
          <w:color w:val="auto"/>
          <w:kern w:val="0"/>
          <w:szCs w:val="21"/>
          <w:highlight w:val="none"/>
        </w:rPr>
        <w:t>磋商</w:t>
      </w:r>
      <w:r>
        <w:rPr>
          <w:rFonts w:hint="eastAsia" w:hAnsi="宋体"/>
          <w:color w:val="auto"/>
          <w:highlight w:val="none"/>
        </w:rPr>
        <w:t>时间的，在提交首次响应文件截止时间两日前发布变更公告。</w:t>
      </w:r>
    </w:p>
    <w:p w14:paraId="7192CB58">
      <w:pPr>
        <w:pStyle w:val="14"/>
        <w:spacing w:line="400" w:lineRule="exact"/>
        <w:ind w:left="420" w:hanging="420" w:hangingChars="200"/>
        <w:rPr>
          <w:rFonts w:hAnsi="宋体"/>
          <w:color w:val="auto"/>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.3所有与本项目相关的澄清、修改、补遗的内容作为磋商文件的组成部分。本项目所有通知将在原公告发布媒体上发布，一经在网站发布，视同已通知所有</w:t>
      </w:r>
      <w:r>
        <w:rPr>
          <w:rFonts w:hint="eastAsia" w:hAnsi="宋体"/>
          <w:color w:val="auto"/>
          <w:szCs w:val="21"/>
          <w:highlight w:val="none"/>
        </w:rPr>
        <w:t>磋商文件</w:t>
      </w:r>
      <w:r>
        <w:rPr>
          <w:rFonts w:hint="eastAsia" w:hAnsi="宋体"/>
          <w:color w:val="auto"/>
          <w:highlight w:val="none"/>
        </w:rPr>
        <w:t>的收受人，不再采用其它方式传达相关信息，供应商未及时关注公告发布媒体上的相关信息或因供应商提供的联系信息有误而导致的一切后果自行承担。</w:t>
      </w:r>
    </w:p>
    <w:p w14:paraId="6727BA9F">
      <w:pPr>
        <w:pStyle w:val="14"/>
        <w:spacing w:line="400" w:lineRule="exact"/>
        <w:ind w:firstLine="420"/>
        <w:rPr>
          <w:rFonts w:hAnsi="宋体"/>
          <w:color w:val="auto"/>
          <w:highlight w:val="none"/>
        </w:rPr>
      </w:pPr>
    </w:p>
    <w:p w14:paraId="6B5BF100">
      <w:pPr>
        <w:pStyle w:val="2"/>
        <w:spacing w:line="400" w:lineRule="exact"/>
        <w:jc w:val="center"/>
        <w:rPr>
          <w:rFonts w:ascii="宋体" w:hAnsi="宋体"/>
          <w:color w:val="auto"/>
          <w:highlight w:val="none"/>
        </w:rPr>
      </w:pPr>
      <w:bookmarkStart w:id="110" w:name="_Toc64706759"/>
      <w:bookmarkStart w:id="111" w:name="_Toc16068275"/>
      <w:bookmarkStart w:id="112" w:name="_Toc185702555"/>
      <w:bookmarkStart w:id="113" w:name="_Toc239839869"/>
      <w:bookmarkStart w:id="114" w:name="_Toc207770841"/>
      <w:bookmarkStart w:id="115" w:name="_Toc230578063"/>
      <w:bookmarkStart w:id="116" w:name="_Toc206525688"/>
      <w:r>
        <w:rPr>
          <w:rFonts w:hint="eastAsia" w:ascii="宋体" w:hAnsi="宋体"/>
          <w:color w:val="auto"/>
          <w:highlight w:val="none"/>
        </w:rPr>
        <w:t>三   响应文件的编制</w:t>
      </w:r>
      <w:bookmarkEnd w:id="110"/>
      <w:bookmarkEnd w:id="111"/>
      <w:bookmarkEnd w:id="112"/>
      <w:bookmarkEnd w:id="113"/>
      <w:bookmarkEnd w:id="114"/>
      <w:bookmarkEnd w:id="115"/>
      <w:bookmarkEnd w:id="116"/>
    </w:p>
    <w:p w14:paraId="26182875">
      <w:pPr>
        <w:pStyle w:val="3"/>
        <w:spacing w:beforeLines="50" w:after="0" w:line="400" w:lineRule="exact"/>
        <w:rPr>
          <w:rFonts w:ascii="宋体" w:hAnsi="宋体" w:eastAsia="宋体"/>
          <w:color w:val="auto"/>
          <w:sz w:val="21"/>
          <w:szCs w:val="21"/>
          <w:highlight w:val="none"/>
        </w:rPr>
      </w:pPr>
      <w:bookmarkStart w:id="117" w:name="_Toc230578064"/>
      <w:bookmarkStart w:id="118" w:name="_Toc207770842"/>
      <w:bookmarkStart w:id="119" w:name="_Toc206525689"/>
      <w:bookmarkStart w:id="120" w:name="_Toc185702556"/>
      <w:bookmarkStart w:id="121" w:name="_Toc239839870"/>
      <w:bookmarkStart w:id="122" w:name="_Toc16068276"/>
      <w:r>
        <w:rPr>
          <w:rFonts w:hint="eastAsia" w:ascii="宋体" w:hAnsi="宋体" w:eastAsia="宋体"/>
          <w:color w:val="auto"/>
          <w:sz w:val="21"/>
          <w:szCs w:val="21"/>
          <w:highlight w:val="none"/>
        </w:rPr>
        <w:t>1</w:t>
      </w:r>
      <w:r>
        <w:rPr>
          <w:rFonts w:ascii="宋体" w:hAnsi="宋体" w:eastAsia="宋体"/>
          <w:color w:val="auto"/>
          <w:sz w:val="21"/>
          <w:szCs w:val="21"/>
          <w:highlight w:val="none"/>
        </w:rPr>
        <w:t>1</w:t>
      </w:r>
      <w:r>
        <w:rPr>
          <w:rFonts w:hint="eastAsia" w:ascii="宋体" w:hAnsi="宋体" w:eastAsia="宋体"/>
          <w:color w:val="auto"/>
          <w:sz w:val="21"/>
          <w:szCs w:val="21"/>
          <w:highlight w:val="none"/>
        </w:rPr>
        <w:t>．响应文件编</w:t>
      </w:r>
      <w:bookmarkEnd w:id="117"/>
      <w:bookmarkEnd w:id="118"/>
      <w:bookmarkEnd w:id="119"/>
      <w:bookmarkEnd w:id="120"/>
      <w:bookmarkEnd w:id="121"/>
      <w:r>
        <w:rPr>
          <w:rFonts w:hint="eastAsia" w:ascii="宋体" w:hAnsi="宋体" w:eastAsia="宋体"/>
          <w:color w:val="auto"/>
          <w:sz w:val="21"/>
          <w:szCs w:val="21"/>
          <w:highlight w:val="none"/>
        </w:rPr>
        <w:t>制</w:t>
      </w:r>
      <w:bookmarkEnd w:id="122"/>
      <w:r>
        <w:rPr>
          <w:rFonts w:hint="eastAsia" w:ascii="宋体" w:hAnsi="宋体" w:eastAsia="宋体"/>
          <w:color w:val="auto"/>
          <w:sz w:val="21"/>
          <w:szCs w:val="21"/>
          <w:highlight w:val="none"/>
        </w:rPr>
        <w:t>原则</w:t>
      </w:r>
    </w:p>
    <w:p w14:paraId="092FE874">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.1供应商应当按照磋商文件的要求编制响应文件，并对其提交的响应文件的真实性、合法性承担法律责任。供应商须无条件接受采购人及政府采购监督管理部门等对其中任何资料进行核实的要求。</w:t>
      </w:r>
    </w:p>
    <w:p w14:paraId="1C70A496">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.2供应商应认真阅读、并充分理解磋商文件的全部内容（包括所有的澄清、修改内容、重要事项、格式、条款和技术规范、参数及要求等）</w:t>
      </w:r>
      <w:r>
        <w:rPr>
          <w:rFonts w:hAnsi="宋体"/>
          <w:color w:val="auto"/>
          <w:szCs w:val="21"/>
          <w:highlight w:val="none"/>
        </w:rPr>
        <w:t>，承诺并履行</w:t>
      </w:r>
      <w:r>
        <w:rPr>
          <w:rFonts w:hint="eastAsia" w:hAnsi="宋体"/>
          <w:color w:val="auto"/>
          <w:szCs w:val="21"/>
          <w:highlight w:val="none"/>
        </w:rPr>
        <w:t>磋商文件</w:t>
      </w:r>
      <w:r>
        <w:rPr>
          <w:rFonts w:hAnsi="宋体"/>
          <w:color w:val="auto"/>
          <w:szCs w:val="21"/>
          <w:highlight w:val="none"/>
        </w:rPr>
        <w:t>中各项条款规定及要求</w:t>
      </w:r>
      <w:r>
        <w:rPr>
          <w:rFonts w:hint="eastAsia" w:hAnsi="宋体"/>
          <w:color w:val="auto"/>
          <w:szCs w:val="21"/>
          <w:highlight w:val="none"/>
        </w:rPr>
        <w:t>。供应商未按照磋商文件要求提交响应文件，或者没有对磋商文件提出的实质性要求和条件作出响应，是供应商的风险，有可能导致其磋商被拒绝或被视为无效响应文件。</w:t>
      </w:r>
    </w:p>
    <w:p w14:paraId="6B0FB00B">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.3供应商对磋商文件提出的实质性要求和条件作出响应是指供应商必须对磋商文件中涉及磋商项目的价格、技术要求、数量、售后服务及其它要求、合同主要条款等内容作出满足或者优于原要求和条件的承诺。</w:t>
      </w:r>
    </w:p>
    <w:p w14:paraId="28D4D357">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4</w:t>
      </w:r>
      <w:r>
        <w:rPr>
          <w:rFonts w:hAnsi="宋体"/>
          <w:color w:val="auto"/>
          <w:szCs w:val="21"/>
          <w:highlight w:val="none"/>
        </w:rPr>
        <w:t>如因供应商只填写和提供了</w:t>
      </w:r>
      <w:r>
        <w:rPr>
          <w:rFonts w:hint="eastAsia" w:hAnsi="宋体"/>
          <w:color w:val="auto"/>
          <w:szCs w:val="21"/>
          <w:highlight w:val="none"/>
        </w:rPr>
        <w:t>磋商文件</w:t>
      </w:r>
      <w:r>
        <w:rPr>
          <w:rFonts w:hAnsi="宋体"/>
          <w:color w:val="auto"/>
          <w:szCs w:val="21"/>
          <w:highlight w:val="none"/>
        </w:rPr>
        <w:t>要求的部分内容和附件，而给评审造成困难，其可能导致的结果责任由磋商供应商自行承担。</w:t>
      </w:r>
    </w:p>
    <w:p w14:paraId="628A2336">
      <w:pPr>
        <w:pStyle w:val="3"/>
        <w:spacing w:beforeLines="50" w:after="0" w:line="400" w:lineRule="exact"/>
        <w:rPr>
          <w:rFonts w:ascii="宋体" w:hAnsi="宋体" w:eastAsia="宋体"/>
          <w:color w:val="auto"/>
          <w:sz w:val="21"/>
          <w:szCs w:val="21"/>
          <w:highlight w:val="none"/>
        </w:rPr>
      </w:pPr>
      <w:bookmarkStart w:id="123" w:name="_Toc185702557"/>
      <w:bookmarkStart w:id="124" w:name="_Toc230578065"/>
      <w:bookmarkStart w:id="125" w:name="_Toc239839871"/>
      <w:bookmarkStart w:id="126" w:name="_Toc206525690"/>
      <w:bookmarkStart w:id="127" w:name="_Toc16068277"/>
      <w:bookmarkStart w:id="128" w:name="_Toc207770843"/>
      <w:r>
        <w:rPr>
          <w:rFonts w:hint="eastAsia" w:ascii="宋体" w:hAnsi="宋体" w:eastAsia="宋体"/>
          <w:color w:val="auto"/>
          <w:sz w:val="21"/>
          <w:szCs w:val="21"/>
          <w:highlight w:val="none"/>
        </w:rPr>
        <w:t>1</w:t>
      </w:r>
      <w:r>
        <w:rPr>
          <w:rFonts w:ascii="宋体" w:hAnsi="宋体" w:eastAsia="宋体"/>
          <w:color w:val="auto"/>
          <w:sz w:val="21"/>
          <w:szCs w:val="21"/>
          <w:highlight w:val="none"/>
        </w:rPr>
        <w:t>2</w:t>
      </w:r>
      <w:r>
        <w:rPr>
          <w:rFonts w:hint="eastAsia" w:ascii="宋体" w:hAnsi="宋体" w:eastAsia="宋体"/>
          <w:color w:val="auto"/>
          <w:sz w:val="21"/>
          <w:szCs w:val="21"/>
          <w:highlight w:val="none"/>
        </w:rPr>
        <w:t>．响应文件的</w:t>
      </w:r>
      <w:bookmarkEnd w:id="123"/>
      <w:bookmarkEnd w:id="124"/>
      <w:bookmarkEnd w:id="125"/>
      <w:bookmarkEnd w:id="126"/>
      <w:bookmarkEnd w:id="127"/>
      <w:bookmarkEnd w:id="128"/>
      <w:r>
        <w:rPr>
          <w:rFonts w:hint="eastAsia" w:ascii="宋体" w:hAnsi="宋体" w:eastAsia="宋体"/>
          <w:color w:val="auto"/>
          <w:sz w:val="21"/>
          <w:szCs w:val="21"/>
          <w:highlight w:val="none"/>
        </w:rPr>
        <w:t>语言及计量</w:t>
      </w:r>
    </w:p>
    <w:p w14:paraId="24230740">
      <w:pPr>
        <w:pStyle w:val="14"/>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2</w:t>
      </w:r>
      <w:r>
        <w:rPr>
          <w:rFonts w:hint="eastAsia" w:hAnsi="宋体"/>
          <w:color w:val="auto"/>
          <w:szCs w:val="21"/>
          <w:highlight w:val="none"/>
        </w:rPr>
        <w:t>.1磋商语言，除专用术语外，响应文件以及与采购人或者采购代理机构来往函电均应使用中文汉语书写，除签名、盖章、专用名称等特殊情形外，以中文汉语以外的文字表述的响应文件视同未提供。</w:t>
      </w:r>
      <w:r>
        <w:rPr>
          <w:rFonts w:hint="eastAsia" w:hAnsi="宋体"/>
          <w:color w:val="auto"/>
          <w:highlight w:val="none"/>
        </w:rPr>
        <w:t>供应商</w:t>
      </w:r>
      <w:r>
        <w:rPr>
          <w:rFonts w:hAnsi="宋体"/>
          <w:color w:val="auto"/>
          <w:szCs w:val="21"/>
          <w:highlight w:val="none"/>
        </w:rPr>
        <w:t>提交的支持</w:t>
      </w:r>
      <w:r>
        <w:rPr>
          <w:rFonts w:hint="eastAsia" w:hAnsi="宋体"/>
          <w:color w:val="auto"/>
          <w:szCs w:val="21"/>
          <w:highlight w:val="none"/>
        </w:rPr>
        <w:t>资料</w:t>
      </w:r>
      <w:r>
        <w:rPr>
          <w:rFonts w:hAnsi="宋体"/>
          <w:color w:val="auto"/>
          <w:szCs w:val="21"/>
          <w:highlight w:val="none"/>
        </w:rPr>
        <w:t>和</w:t>
      </w:r>
      <w:r>
        <w:rPr>
          <w:rFonts w:hint="eastAsia" w:hAnsi="宋体"/>
          <w:color w:val="auto"/>
          <w:szCs w:val="21"/>
          <w:highlight w:val="none"/>
        </w:rPr>
        <w:t>已</w:t>
      </w:r>
      <w:r>
        <w:rPr>
          <w:rFonts w:hAnsi="宋体"/>
          <w:color w:val="auto"/>
          <w:szCs w:val="21"/>
          <w:highlight w:val="none"/>
        </w:rPr>
        <w:t>印刷的文献可以使用</w:t>
      </w:r>
      <w:r>
        <w:rPr>
          <w:rFonts w:hint="eastAsia" w:hAnsi="宋体"/>
          <w:color w:val="auto"/>
          <w:szCs w:val="21"/>
          <w:highlight w:val="none"/>
        </w:rPr>
        <w:t>外文</w:t>
      </w:r>
      <w:r>
        <w:rPr>
          <w:rFonts w:hAnsi="宋体"/>
          <w:color w:val="auto"/>
          <w:szCs w:val="21"/>
          <w:highlight w:val="none"/>
        </w:rPr>
        <w:t>，但相应内容</w:t>
      </w:r>
      <w:r>
        <w:rPr>
          <w:rFonts w:hint="eastAsia" w:hAnsi="宋体"/>
          <w:color w:val="auto"/>
          <w:szCs w:val="21"/>
          <w:highlight w:val="none"/>
        </w:rPr>
        <w:t>应附</w:t>
      </w:r>
      <w:r>
        <w:rPr>
          <w:rFonts w:hAnsi="宋体"/>
          <w:color w:val="auto"/>
          <w:szCs w:val="21"/>
          <w:highlight w:val="none"/>
        </w:rPr>
        <w:t>有中文翻译本，在解释</w:t>
      </w:r>
      <w:r>
        <w:rPr>
          <w:rFonts w:hint="eastAsia" w:hAnsi="宋体"/>
          <w:color w:val="auto"/>
          <w:szCs w:val="21"/>
          <w:highlight w:val="none"/>
        </w:rPr>
        <w:t>响应</w:t>
      </w:r>
      <w:r>
        <w:rPr>
          <w:rFonts w:hAnsi="宋体"/>
          <w:color w:val="auto"/>
          <w:szCs w:val="21"/>
          <w:highlight w:val="none"/>
        </w:rPr>
        <w:t>文件时以</w:t>
      </w:r>
      <w:r>
        <w:rPr>
          <w:rFonts w:hint="eastAsia" w:hAnsi="宋体"/>
          <w:color w:val="auto"/>
          <w:szCs w:val="21"/>
          <w:highlight w:val="none"/>
        </w:rPr>
        <w:t>中文</w:t>
      </w:r>
      <w:r>
        <w:rPr>
          <w:rFonts w:hAnsi="宋体"/>
          <w:color w:val="auto"/>
          <w:szCs w:val="21"/>
          <w:highlight w:val="none"/>
        </w:rPr>
        <w:t>翻译本为准。</w:t>
      </w:r>
      <w:r>
        <w:rPr>
          <w:rFonts w:hint="eastAsia" w:hAnsi="宋体"/>
          <w:color w:val="auto"/>
          <w:szCs w:val="21"/>
          <w:highlight w:val="none"/>
        </w:rPr>
        <w:t>未附中文翻译本或翻译本中文内容明显与外文内容不一致的，其不利后果由供应商自行承担。</w:t>
      </w:r>
    </w:p>
    <w:p w14:paraId="3B24139F">
      <w:pPr>
        <w:pStyle w:val="14"/>
        <w:spacing w:line="400" w:lineRule="exact"/>
        <w:ind w:left="420" w:hanging="420" w:hangingChars="200"/>
        <w:rPr>
          <w:rFonts w:hAnsi="宋体"/>
          <w:color w:val="auto"/>
          <w:highlight w:val="none"/>
        </w:rPr>
      </w:pPr>
      <w:r>
        <w:rPr>
          <w:rFonts w:hint="eastAsia" w:hAnsi="宋体"/>
          <w:color w:val="auto"/>
          <w:highlight w:val="none"/>
        </w:rPr>
        <w:t>1</w:t>
      </w:r>
      <w:r>
        <w:rPr>
          <w:rFonts w:hAnsi="宋体"/>
          <w:color w:val="auto"/>
          <w:highlight w:val="none"/>
        </w:rPr>
        <w:t>2</w:t>
      </w:r>
      <w:r>
        <w:rPr>
          <w:rFonts w:hint="eastAsia" w:hAnsi="宋体"/>
          <w:color w:val="auto"/>
          <w:highlight w:val="none"/>
        </w:rPr>
        <w:t>.2磋商计量单位，磋商文件已有明确规定的，使用磋商文件规定的计量单位；磋商文件没有规定的，应采用中华人民共和国法定的度、量、衡标准</w:t>
      </w:r>
      <w:r>
        <w:rPr>
          <w:rFonts w:hAnsi="宋体"/>
          <w:color w:val="auto"/>
          <w:highlight w:val="none"/>
        </w:rPr>
        <w:t>计量单位</w:t>
      </w:r>
      <w:r>
        <w:rPr>
          <w:rFonts w:hint="eastAsia" w:hAnsi="宋体"/>
          <w:color w:val="auto"/>
          <w:highlight w:val="none"/>
        </w:rPr>
        <w:t>（货币单位：人民币元），否则视同未响应。</w:t>
      </w:r>
    </w:p>
    <w:p w14:paraId="4028C2EB">
      <w:pPr>
        <w:pStyle w:val="3"/>
        <w:spacing w:beforeLines="50" w:after="0" w:line="400" w:lineRule="exact"/>
        <w:rPr>
          <w:rFonts w:ascii="宋体" w:hAnsi="宋体" w:eastAsia="宋体"/>
          <w:color w:val="auto"/>
          <w:sz w:val="21"/>
          <w:szCs w:val="21"/>
          <w:highlight w:val="none"/>
        </w:rPr>
      </w:pPr>
      <w:bookmarkStart w:id="129" w:name="_Toc185702558"/>
      <w:bookmarkStart w:id="130" w:name="_Toc230578066"/>
      <w:bookmarkStart w:id="131" w:name="_Toc239839872"/>
      <w:bookmarkStart w:id="132" w:name="_Toc207770844"/>
      <w:bookmarkStart w:id="133" w:name="_Toc206525691"/>
      <w:bookmarkStart w:id="134" w:name="_Toc16068278"/>
      <w:r>
        <w:rPr>
          <w:rFonts w:hint="eastAsia" w:ascii="宋体" w:hAnsi="宋体" w:eastAsia="宋体"/>
          <w:color w:val="auto"/>
          <w:sz w:val="21"/>
          <w:szCs w:val="21"/>
          <w:highlight w:val="none"/>
        </w:rPr>
        <w:t>1</w:t>
      </w:r>
      <w:r>
        <w:rPr>
          <w:rFonts w:ascii="宋体" w:hAnsi="宋体" w:eastAsia="宋体"/>
          <w:color w:val="auto"/>
          <w:sz w:val="21"/>
          <w:szCs w:val="21"/>
          <w:highlight w:val="none"/>
        </w:rPr>
        <w:t>3</w:t>
      </w:r>
      <w:r>
        <w:rPr>
          <w:rFonts w:hint="eastAsia" w:ascii="宋体" w:hAnsi="宋体" w:eastAsia="宋体"/>
          <w:color w:val="auto"/>
          <w:sz w:val="21"/>
          <w:szCs w:val="21"/>
          <w:highlight w:val="none"/>
        </w:rPr>
        <w:t>．响应文件的</w:t>
      </w:r>
      <w:bookmarkEnd w:id="129"/>
      <w:bookmarkEnd w:id="130"/>
      <w:bookmarkEnd w:id="131"/>
      <w:bookmarkEnd w:id="132"/>
      <w:bookmarkEnd w:id="133"/>
      <w:r>
        <w:rPr>
          <w:rFonts w:hint="eastAsia" w:ascii="宋体" w:hAnsi="宋体" w:eastAsia="宋体"/>
          <w:color w:val="auto"/>
          <w:sz w:val="21"/>
          <w:szCs w:val="21"/>
          <w:highlight w:val="none"/>
        </w:rPr>
        <w:t>组成</w:t>
      </w:r>
      <w:bookmarkEnd w:id="134"/>
    </w:p>
    <w:p w14:paraId="6A334CE2">
      <w:pPr>
        <w:pStyle w:val="14"/>
        <w:spacing w:line="400" w:lineRule="exact"/>
        <w:ind w:left="525" w:hanging="525" w:hangingChars="250"/>
        <w:rPr>
          <w:rFonts w:hAnsi="宋体"/>
          <w:color w:val="auto"/>
          <w:spacing w:val="-2"/>
          <w:szCs w:val="21"/>
          <w:highlight w:val="none"/>
        </w:rPr>
      </w:pPr>
      <w:r>
        <w:rPr>
          <w:rFonts w:hint="eastAsia" w:hAnsi="宋体"/>
          <w:bCs/>
          <w:color w:val="auto"/>
          <w:highlight w:val="none"/>
        </w:rPr>
        <w:t>▲</w:t>
      </w:r>
      <w:r>
        <w:rPr>
          <w:rFonts w:hint="eastAsia" w:hAnsi="宋体"/>
          <w:b/>
          <w:color w:val="auto"/>
          <w:spacing w:val="-2"/>
          <w:szCs w:val="21"/>
          <w:highlight w:val="none"/>
        </w:rPr>
        <w:t>1</w:t>
      </w:r>
      <w:r>
        <w:rPr>
          <w:rFonts w:hAnsi="宋体"/>
          <w:b/>
          <w:color w:val="auto"/>
          <w:spacing w:val="-2"/>
          <w:szCs w:val="21"/>
          <w:highlight w:val="none"/>
        </w:rPr>
        <w:t>3</w:t>
      </w:r>
      <w:r>
        <w:rPr>
          <w:rFonts w:hint="eastAsia" w:hAnsi="宋体"/>
          <w:b/>
          <w:color w:val="auto"/>
          <w:spacing w:val="-2"/>
          <w:szCs w:val="21"/>
          <w:highlight w:val="none"/>
        </w:rPr>
        <w:t>.1本项目所称响应文件系指电子响应文件。响应文件须按照磋商文件和电子交易平台的要求制作、加密并提交。本项目（各采购包）电子响应文件</w:t>
      </w:r>
      <w:r>
        <w:rPr>
          <w:rFonts w:hint="eastAsia" w:hAnsi="宋体"/>
          <w:b/>
          <w:color w:val="auto"/>
          <w:szCs w:val="21"/>
          <w:highlight w:val="none"/>
        </w:rPr>
        <w:t>由《资格资信证明文件》、《报价文件》、《商务技术文件》组成，部分格式见第六章。应提交的有关文件如未特别注明为复印件的，须提供原件。</w:t>
      </w:r>
      <w:r>
        <w:rPr>
          <w:rFonts w:hint="eastAsia" w:hAnsi="宋体"/>
          <w:b/>
          <w:color w:val="auto"/>
          <w:highlight w:val="none"/>
        </w:rPr>
        <w:t>要求必须提供的文件圴必须提供且加盖供应商CA电子签章，否则响应文件无效。</w:t>
      </w:r>
    </w:p>
    <w:p w14:paraId="6A64A13E">
      <w:pPr>
        <w:pStyle w:val="14"/>
        <w:spacing w:line="400" w:lineRule="exact"/>
        <w:rPr>
          <w:rFonts w:hAnsi="宋体"/>
          <w:color w:val="auto"/>
          <w:highlight w:val="none"/>
        </w:rPr>
      </w:pPr>
      <w:r>
        <w:rPr>
          <w:rFonts w:hint="eastAsia" w:hAnsi="宋体"/>
          <w:b/>
          <w:color w:val="auto"/>
          <w:highlight w:val="none"/>
        </w:rPr>
        <w:t>《资格资信证明文件》（以下第1～7项文件均必须提供）</w:t>
      </w:r>
    </w:p>
    <w:p w14:paraId="2146AA5B">
      <w:pPr>
        <w:pStyle w:val="14"/>
        <w:spacing w:line="400" w:lineRule="exact"/>
        <w:ind w:left="712" w:leftChars="200" w:hanging="292" w:hangingChars="142"/>
        <w:rPr>
          <w:rFonts w:hAnsi="宋体"/>
          <w:bCs/>
          <w:color w:val="auto"/>
          <w:spacing w:val="-2"/>
          <w:highlight w:val="none"/>
        </w:rPr>
      </w:pPr>
      <w:r>
        <w:rPr>
          <w:rFonts w:hint="eastAsia" w:hAnsi="宋体"/>
          <w:bCs/>
          <w:color w:val="auto"/>
          <w:spacing w:val="-2"/>
          <w:highlight w:val="none"/>
        </w:rPr>
        <w:t>1、</w:t>
      </w:r>
      <w:r>
        <w:rPr>
          <w:rFonts w:hint="eastAsia" w:hAnsi="宋体"/>
          <w:color w:val="auto"/>
          <w:szCs w:val="21"/>
          <w:highlight w:val="none"/>
        </w:rPr>
        <w:t>具备《中华人民共和国政府采购法》第二十二条规定的承诺书（格式附后）</w:t>
      </w:r>
    </w:p>
    <w:p w14:paraId="443009B7">
      <w:pPr>
        <w:pStyle w:val="14"/>
        <w:spacing w:line="400" w:lineRule="exact"/>
        <w:ind w:left="718" w:leftChars="200" w:hanging="298" w:hangingChars="142"/>
        <w:rPr>
          <w:rFonts w:hAnsi="宋体"/>
          <w:bCs/>
          <w:color w:val="auto"/>
          <w:highlight w:val="none"/>
        </w:rPr>
      </w:pPr>
      <w:r>
        <w:rPr>
          <w:rFonts w:hint="eastAsia" w:hAnsi="宋体"/>
          <w:bCs/>
          <w:color w:val="auto"/>
          <w:highlight w:val="none"/>
        </w:rPr>
        <w:t>2、</w:t>
      </w:r>
      <w:bookmarkStart w:id="135" w:name="OLE_LINK13"/>
      <w:bookmarkStart w:id="136" w:name="OLE_LINK14"/>
      <w:r>
        <w:rPr>
          <w:rFonts w:hint="eastAsia" w:hAnsi="宋体"/>
          <w:bCs/>
          <w:color w:val="auto"/>
          <w:highlight w:val="none"/>
        </w:rPr>
        <w:t>供应商</w:t>
      </w:r>
      <w:r>
        <w:rPr>
          <w:rFonts w:hint="eastAsia" w:hAnsi="宋体"/>
          <w:color w:val="auto"/>
          <w:highlight w:val="none"/>
        </w:rPr>
        <w:t>主体</w:t>
      </w:r>
      <w:r>
        <w:rPr>
          <w:rFonts w:hint="eastAsia" w:hAnsi="宋体"/>
          <w:color w:val="auto"/>
          <w:kern w:val="0"/>
          <w:szCs w:val="21"/>
          <w:highlight w:val="none"/>
        </w:rPr>
        <w:t>资格证明</w:t>
      </w:r>
      <w:r>
        <w:rPr>
          <w:rFonts w:hint="eastAsia" w:hAnsi="宋体"/>
          <w:bCs/>
          <w:color w:val="auto"/>
          <w:highlight w:val="none"/>
        </w:rPr>
        <w:t>复印件【如为企业，提供在工商部门核发的有效营业执照正本或副本</w:t>
      </w:r>
      <w:r>
        <w:rPr>
          <w:rFonts w:hint="eastAsia" w:hAnsi="宋体"/>
          <w:color w:val="auto"/>
          <w:highlight w:val="none"/>
        </w:rPr>
        <w:t>复印件</w:t>
      </w:r>
      <w:r>
        <w:rPr>
          <w:rFonts w:hint="eastAsia" w:hAnsi="宋体"/>
          <w:bCs/>
          <w:color w:val="auto"/>
          <w:highlight w:val="none"/>
        </w:rPr>
        <w:t>；如是事业单位，提供有效的事业单位法人证书；如非企业专业服务机构的，提供有效的执业许可证等证明文件复印件。</w:t>
      </w:r>
      <w:r>
        <w:rPr>
          <w:rFonts w:hint="eastAsia" w:hAnsi="宋体"/>
          <w:color w:val="auto"/>
          <w:highlight w:val="none"/>
        </w:rPr>
        <w:t>】</w:t>
      </w:r>
    </w:p>
    <w:bookmarkEnd w:id="135"/>
    <w:bookmarkEnd w:id="136"/>
    <w:p w14:paraId="1C631CB4">
      <w:pPr>
        <w:pStyle w:val="14"/>
        <w:spacing w:line="360" w:lineRule="exact"/>
        <w:ind w:left="718" w:leftChars="200" w:hanging="298" w:hangingChars="142"/>
        <w:rPr>
          <w:rFonts w:hAnsi="宋体"/>
          <w:bCs/>
          <w:color w:val="auto"/>
          <w:spacing w:val="10"/>
          <w:highlight w:val="none"/>
        </w:rPr>
      </w:pPr>
      <w:r>
        <w:rPr>
          <w:rFonts w:hint="eastAsia" w:hAnsi="宋体"/>
          <w:bCs/>
          <w:color w:val="auto"/>
          <w:highlight w:val="none"/>
        </w:rPr>
        <w:t>3、</w:t>
      </w:r>
      <w:r>
        <w:rPr>
          <w:rFonts w:hint="eastAsia" w:hAnsi="宋体"/>
          <w:bCs/>
          <w:color w:val="auto"/>
          <w:szCs w:val="21"/>
          <w:highlight w:val="none"/>
        </w:rPr>
        <w:t>供</w:t>
      </w:r>
      <w:r>
        <w:rPr>
          <w:rFonts w:hint="eastAsia" w:hAnsi="宋体"/>
          <w:bCs/>
          <w:color w:val="auto"/>
          <w:highlight w:val="none"/>
        </w:rPr>
        <w:t>应商财务状况报告</w:t>
      </w:r>
      <w:r>
        <w:rPr>
          <w:rFonts w:hint="eastAsia" w:hAnsi="宋体"/>
          <w:bCs/>
          <w:color w:val="auto"/>
          <w:spacing w:val="10"/>
          <w:highlight w:val="none"/>
        </w:rPr>
        <w:t>【提供经审计的2025年度财务报告；或提供自磋商截止时间前一年内供应商基本户开</w:t>
      </w:r>
      <w:r>
        <w:rPr>
          <w:rFonts w:hint="eastAsia" w:hAnsi="宋体" w:cs="宋体"/>
          <w:color w:val="auto"/>
          <w:szCs w:val="21"/>
          <w:highlight w:val="none"/>
        </w:rPr>
        <w:t>户银行出具的资信证明；如成立不足一年的，提供成立之月起的月度财务报表（须含但不限于利润表、</w:t>
      </w:r>
      <w:r>
        <w:rPr>
          <w:rFonts w:hAnsi="宋体" w:cs="宋体"/>
          <w:color w:val="auto"/>
          <w:szCs w:val="21"/>
          <w:highlight w:val="none"/>
        </w:rPr>
        <w:t>资产负债表</w:t>
      </w:r>
      <w:r>
        <w:rPr>
          <w:rFonts w:hint="eastAsia" w:hAnsi="宋体" w:cs="宋体"/>
          <w:color w:val="auto"/>
          <w:szCs w:val="21"/>
          <w:highlight w:val="none"/>
        </w:rPr>
        <w:t>或收入支出表）；以上须</w:t>
      </w:r>
      <w:r>
        <w:rPr>
          <w:rFonts w:hint="eastAsia" w:hAnsi="宋体"/>
          <w:bCs/>
          <w:color w:val="auto"/>
          <w:spacing w:val="10"/>
          <w:highlight w:val="none"/>
        </w:rPr>
        <w:t>提供扫描件或其他电子文件。】</w:t>
      </w:r>
    </w:p>
    <w:p w14:paraId="45B4AA9F">
      <w:pPr>
        <w:pStyle w:val="14"/>
        <w:spacing w:line="400" w:lineRule="exact"/>
        <w:ind w:left="718" w:leftChars="200" w:hanging="298" w:hangingChars="142"/>
        <w:rPr>
          <w:rFonts w:hAnsi="宋体" w:cs="宋体"/>
          <w:color w:val="auto"/>
          <w:szCs w:val="21"/>
          <w:highlight w:val="none"/>
        </w:rPr>
      </w:pPr>
      <w:r>
        <w:rPr>
          <w:rFonts w:hint="eastAsia" w:hAnsi="宋体"/>
          <w:color w:val="auto"/>
          <w:szCs w:val="21"/>
          <w:highlight w:val="none"/>
        </w:rPr>
        <w:t>4、</w:t>
      </w:r>
      <w:r>
        <w:rPr>
          <w:rFonts w:hint="eastAsia"/>
          <w:color w:val="auto"/>
          <w:szCs w:val="21"/>
          <w:highlight w:val="none"/>
        </w:rPr>
        <w:t>供应商依法缴纳税收的相关材料（</w:t>
      </w:r>
      <w:r>
        <w:rPr>
          <w:rFonts w:hint="eastAsia"/>
          <w:color w:val="auto"/>
          <w:szCs w:val="21"/>
          <w:highlight w:val="none"/>
          <w:u w:val="single"/>
        </w:rPr>
        <w:t>2026</w:t>
      </w:r>
      <w:r>
        <w:rPr>
          <w:rFonts w:hint="eastAsia"/>
          <w:color w:val="auto"/>
          <w:szCs w:val="21"/>
          <w:highlight w:val="none"/>
        </w:rPr>
        <w:t>年</w:t>
      </w:r>
      <w:r>
        <w:rPr>
          <w:rFonts w:hint="eastAsia"/>
          <w:color w:val="auto"/>
          <w:szCs w:val="21"/>
          <w:highlight w:val="none"/>
          <w:u w:val="single"/>
        </w:rPr>
        <w:t>1</w:t>
      </w:r>
      <w:r>
        <w:rPr>
          <w:rFonts w:hint="eastAsia"/>
          <w:color w:val="auto"/>
          <w:szCs w:val="21"/>
          <w:highlight w:val="none"/>
        </w:rPr>
        <w:t>月至响应文件提交截止时间前</w:t>
      </w:r>
      <w:r>
        <w:rPr>
          <w:rFonts w:hint="eastAsia"/>
          <w:color w:val="auto"/>
          <w:highlight w:val="none"/>
        </w:rPr>
        <w:t>任意</w:t>
      </w:r>
      <w:r>
        <w:rPr>
          <w:rFonts w:hint="eastAsia"/>
          <w:color w:val="auto"/>
          <w:szCs w:val="21"/>
          <w:highlight w:val="none"/>
          <w:u w:val="single"/>
        </w:rPr>
        <w:t>1</w:t>
      </w:r>
      <w:r>
        <w:rPr>
          <w:rFonts w:hint="eastAsia"/>
          <w:color w:val="auto"/>
          <w:szCs w:val="21"/>
          <w:highlight w:val="none"/>
        </w:rPr>
        <w:t>个月</w:t>
      </w:r>
      <w:r>
        <w:rPr>
          <w:rFonts w:hAnsi="宋体" w:cs="宋体"/>
          <w:color w:val="auto"/>
          <w:szCs w:val="21"/>
          <w:highlight w:val="none"/>
        </w:rPr>
        <w:t>的依法缴纳税收的凭据复印件；依法免税的，必须提供相应文件证明其依法免税。从成立之日起到响应文件提交截止时间止不足要求月数的，只需提供从成立之日起的依法缴纳税收相应证明文件）；</w:t>
      </w:r>
    </w:p>
    <w:p w14:paraId="677CFD38">
      <w:pPr>
        <w:pStyle w:val="14"/>
        <w:spacing w:line="400" w:lineRule="exact"/>
        <w:ind w:left="718" w:leftChars="200" w:hanging="298" w:hangingChars="142"/>
        <w:rPr>
          <w:rFonts w:hAnsi="宋体"/>
          <w:bCs/>
          <w:color w:val="auto"/>
          <w:szCs w:val="21"/>
          <w:highlight w:val="none"/>
        </w:rPr>
      </w:pPr>
      <w:r>
        <w:rPr>
          <w:rFonts w:hint="eastAsia" w:hAnsi="宋体"/>
          <w:color w:val="auto"/>
          <w:szCs w:val="21"/>
          <w:highlight w:val="none"/>
        </w:rPr>
        <w:t>5、</w:t>
      </w:r>
      <w:r>
        <w:rPr>
          <w:rFonts w:hint="eastAsia" w:hAnsi="宋体"/>
          <w:bCs/>
          <w:color w:val="auto"/>
          <w:szCs w:val="21"/>
          <w:highlight w:val="none"/>
        </w:rPr>
        <w:t>供应商依法缴纳社会保障资金（</w:t>
      </w:r>
      <w:r>
        <w:rPr>
          <w:rFonts w:hint="eastAsia" w:hAnsi="宋体" w:cs="宋体"/>
          <w:b/>
          <w:color w:val="auto"/>
          <w:szCs w:val="21"/>
          <w:highlight w:val="none"/>
        </w:rPr>
        <w:t>必须包含社会统筹的</w:t>
      </w:r>
      <w:r>
        <w:rPr>
          <w:rFonts w:ascii="PingFang SC" w:hAnsi="PingFang SC" w:eastAsia="PingFang SC" w:cs="PingFang SC"/>
          <w:color w:val="auto"/>
          <w:szCs w:val="21"/>
          <w:highlight w:val="none"/>
          <w:shd w:val="clear" w:color="auto" w:fill="F7F8FA"/>
        </w:rPr>
        <w:t>养老保险、医疗保险、失业保险、工伤保险、生育保险</w:t>
      </w:r>
      <w:r>
        <w:rPr>
          <w:rFonts w:hint="eastAsia" w:hAnsi="宋体"/>
          <w:bCs/>
          <w:color w:val="auto"/>
          <w:szCs w:val="21"/>
          <w:highlight w:val="none"/>
        </w:rPr>
        <w:t>）的相关材料[</w:t>
      </w:r>
      <w:r>
        <w:rPr>
          <w:rFonts w:hint="eastAsia"/>
          <w:color w:val="auto"/>
          <w:szCs w:val="21"/>
          <w:highlight w:val="none"/>
          <w:u w:val="single"/>
        </w:rPr>
        <w:t>2026</w:t>
      </w:r>
      <w:r>
        <w:rPr>
          <w:rFonts w:hint="eastAsia"/>
          <w:color w:val="auto"/>
          <w:szCs w:val="21"/>
          <w:highlight w:val="none"/>
        </w:rPr>
        <w:t>年</w:t>
      </w:r>
      <w:r>
        <w:rPr>
          <w:rFonts w:hint="eastAsia"/>
          <w:color w:val="auto"/>
          <w:szCs w:val="21"/>
          <w:highlight w:val="none"/>
          <w:u w:val="single"/>
        </w:rPr>
        <w:t>1</w:t>
      </w:r>
      <w:r>
        <w:rPr>
          <w:rFonts w:hint="eastAsia"/>
          <w:color w:val="auto"/>
          <w:szCs w:val="21"/>
          <w:highlight w:val="none"/>
        </w:rPr>
        <w:t>月</w:t>
      </w:r>
      <w:r>
        <w:rPr>
          <w:color w:val="auto"/>
          <w:spacing w:val="8"/>
          <w:szCs w:val="21"/>
          <w:highlight w:val="none"/>
        </w:rPr>
        <w:t>至响应文件</w:t>
      </w:r>
      <w:r>
        <w:rPr>
          <w:rFonts w:hint="eastAsia"/>
          <w:color w:val="auto"/>
          <w:spacing w:val="8"/>
          <w:szCs w:val="21"/>
          <w:highlight w:val="none"/>
        </w:rPr>
        <w:t>提交</w:t>
      </w:r>
      <w:r>
        <w:rPr>
          <w:color w:val="auto"/>
          <w:spacing w:val="8"/>
          <w:szCs w:val="21"/>
          <w:highlight w:val="none"/>
        </w:rPr>
        <w:t>截止时间前</w:t>
      </w:r>
      <w:r>
        <w:rPr>
          <w:rFonts w:hint="eastAsia"/>
          <w:color w:val="auto"/>
          <w:highlight w:val="none"/>
        </w:rPr>
        <w:t>任意</w:t>
      </w:r>
      <w:r>
        <w:rPr>
          <w:rFonts w:hint="eastAsia"/>
          <w:color w:val="auto"/>
          <w:spacing w:val="7"/>
          <w:szCs w:val="21"/>
          <w:highlight w:val="none"/>
          <w:u w:val="single"/>
        </w:rPr>
        <w:t>1</w:t>
      </w:r>
      <w:r>
        <w:rPr>
          <w:color w:val="auto"/>
          <w:spacing w:val="7"/>
          <w:szCs w:val="21"/>
          <w:highlight w:val="none"/>
        </w:rPr>
        <w:t>个月</w:t>
      </w:r>
      <w:r>
        <w:rPr>
          <w:rFonts w:hAnsi="宋体" w:cs="宋体"/>
          <w:color w:val="auto"/>
          <w:szCs w:val="21"/>
          <w:highlight w:val="none"/>
        </w:rPr>
        <w:t>的依法缴纳社会保障资金的缴费凭证（如：专用收据、社会保险缴纳清单或者社保部门的证明等）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500CB149">
      <w:pPr>
        <w:spacing w:line="400" w:lineRule="exact"/>
        <w:ind w:firstLine="420" w:firstLineChars="200"/>
        <w:contextualSpacing/>
        <w:jc w:val="left"/>
        <w:rPr>
          <w:rFonts w:ascii="宋体" w:hAnsi="宋体"/>
          <w:color w:val="auto"/>
          <w:highlight w:val="none"/>
        </w:rPr>
      </w:pPr>
      <w:r>
        <w:rPr>
          <w:rFonts w:hint="eastAsia" w:ascii="宋体" w:hAnsi="宋体"/>
          <w:color w:val="auto"/>
          <w:highlight w:val="none"/>
        </w:rPr>
        <w:t>6、供应商直接控股、管理关系信息表；</w:t>
      </w:r>
    </w:p>
    <w:p w14:paraId="28E64860">
      <w:pPr>
        <w:pStyle w:val="14"/>
        <w:spacing w:line="400" w:lineRule="exact"/>
        <w:ind w:firstLine="420"/>
        <w:rPr>
          <w:rFonts w:hAnsi="宋体"/>
          <w:bCs/>
          <w:color w:val="auto"/>
          <w:highlight w:val="none"/>
        </w:rPr>
      </w:pPr>
      <w:r>
        <w:rPr>
          <w:rFonts w:hint="eastAsia" w:hAnsi="宋体"/>
          <w:color w:val="auto"/>
          <w:highlight w:val="none"/>
        </w:rPr>
        <w:t>7、</w:t>
      </w:r>
      <w:r>
        <w:rPr>
          <w:rFonts w:hAnsi="宋体"/>
          <w:bCs/>
          <w:color w:val="auto"/>
          <w:highlight w:val="none"/>
        </w:rPr>
        <w:t>供应商有效的《经营保险业务许可证》</w:t>
      </w:r>
      <w:r>
        <w:rPr>
          <w:rFonts w:hint="eastAsia" w:hAnsi="宋体"/>
          <w:bCs/>
          <w:color w:val="auto"/>
          <w:highlight w:val="none"/>
        </w:rPr>
        <w:t>扫描件。</w:t>
      </w:r>
    </w:p>
    <w:p w14:paraId="5059EC0C">
      <w:pPr>
        <w:pStyle w:val="14"/>
        <w:spacing w:line="400" w:lineRule="exact"/>
        <w:rPr>
          <w:rFonts w:hAnsi="宋体"/>
          <w:color w:val="auto"/>
          <w:highlight w:val="none"/>
        </w:rPr>
      </w:pPr>
      <w:r>
        <w:rPr>
          <w:rFonts w:hint="eastAsia" w:hAnsi="宋体"/>
          <w:b/>
          <w:color w:val="auto"/>
          <w:highlight w:val="none"/>
        </w:rPr>
        <w:t>《报价文件》</w:t>
      </w:r>
    </w:p>
    <w:p w14:paraId="1F59F075">
      <w:pPr>
        <w:pStyle w:val="14"/>
        <w:spacing w:line="400" w:lineRule="exact"/>
        <w:ind w:firstLine="420" w:firstLineChars="200"/>
        <w:rPr>
          <w:rFonts w:hAnsi="宋体"/>
          <w:color w:val="auto"/>
          <w:highlight w:val="none"/>
        </w:rPr>
      </w:pPr>
      <w:r>
        <w:rPr>
          <w:rFonts w:hint="eastAsia" w:hAnsi="宋体"/>
          <w:color w:val="auto"/>
          <w:highlight w:val="none"/>
        </w:rPr>
        <w:t>1、磋商报价表</w:t>
      </w:r>
      <w:r>
        <w:rPr>
          <w:rFonts w:hint="eastAsia" w:hAnsi="宋体"/>
          <w:b/>
          <w:color w:val="auto"/>
          <w:highlight w:val="none"/>
        </w:rPr>
        <w:t>（必须提供）</w:t>
      </w:r>
    </w:p>
    <w:p w14:paraId="489372BB">
      <w:pPr>
        <w:pStyle w:val="14"/>
        <w:spacing w:line="400" w:lineRule="exact"/>
        <w:ind w:left="718" w:leftChars="200" w:hanging="298" w:hangingChars="142"/>
        <w:rPr>
          <w:rFonts w:hAnsi="宋体"/>
          <w:color w:val="auto"/>
          <w:highlight w:val="none"/>
        </w:rPr>
      </w:pPr>
      <w:r>
        <w:rPr>
          <w:rFonts w:hint="eastAsia" w:hAnsi="宋体"/>
          <w:color w:val="auto"/>
          <w:szCs w:val="21"/>
          <w:highlight w:val="none"/>
        </w:rPr>
        <w:t>2、供应商</w:t>
      </w:r>
      <w:r>
        <w:rPr>
          <w:rFonts w:hAnsi="宋体" w:cs="Arial"/>
          <w:color w:val="auto"/>
          <w:szCs w:val="21"/>
          <w:highlight w:val="none"/>
        </w:rPr>
        <w:t>符合政府采购政策</w:t>
      </w:r>
      <w:r>
        <w:rPr>
          <w:rFonts w:hint="eastAsia" w:hAnsi="宋体" w:cs="Arial"/>
          <w:color w:val="auto"/>
          <w:szCs w:val="21"/>
          <w:highlight w:val="none"/>
        </w:rPr>
        <w:t>价格</w:t>
      </w:r>
      <w:r>
        <w:rPr>
          <w:rFonts w:hAnsi="宋体" w:cs="Arial"/>
          <w:color w:val="auto"/>
          <w:szCs w:val="21"/>
          <w:highlight w:val="none"/>
        </w:rPr>
        <w:t>扣除</w:t>
      </w:r>
      <w:r>
        <w:rPr>
          <w:rFonts w:hint="eastAsia" w:hAnsi="宋体" w:cs="Arial"/>
          <w:color w:val="auto"/>
          <w:szCs w:val="21"/>
          <w:highlight w:val="none"/>
        </w:rPr>
        <w:t>或加分条件</w:t>
      </w:r>
      <w:r>
        <w:rPr>
          <w:rFonts w:hAnsi="宋体" w:cs="Arial"/>
          <w:color w:val="auto"/>
          <w:szCs w:val="21"/>
          <w:highlight w:val="none"/>
        </w:rPr>
        <w:t>证明材料</w:t>
      </w:r>
      <w:r>
        <w:rPr>
          <w:rFonts w:hint="eastAsia" w:hAnsi="宋体"/>
          <w:color w:val="auto"/>
          <w:szCs w:val="21"/>
          <w:highlight w:val="none"/>
        </w:rPr>
        <w:t>（如中小企业、监狱企业、残疾人福利性单位等声明文件或相关证明文件复印件，由</w:t>
      </w:r>
      <w:r>
        <w:rPr>
          <w:rFonts w:hint="eastAsia" w:hAnsi="宋体"/>
          <w:bCs/>
          <w:color w:val="auto"/>
          <w:szCs w:val="21"/>
          <w:highlight w:val="none"/>
        </w:rPr>
        <w:t>供应商</w:t>
      </w:r>
      <w:r>
        <w:rPr>
          <w:rFonts w:hint="eastAsia" w:hAnsi="宋体"/>
          <w:color w:val="auto"/>
          <w:szCs w:val="21"/>
          <w:highlight w:val="none"/>
        </w:rPr>
        <w:t>根据自己实际情况</w:t>
      </w:r>
      <w:r>
        <w:rPr>
          <w:rFonts w:hint="eastAsia" w:hAnsi="宋体"/>
          <w:bCs/>
          <w:color w:val="auto"/>
          <w:highlight w:val="none"/>
        </w:rPr>
        <w:t>自行提供</w:t>
      </w:r>
      <w:r>
        <w:rPr>
          <w:rFonts w:hint="eastAsia" w:hAnsi="宋体"/>
          <w:color w:val="auto"/>
          <w:szCs w:val="21"/>
          <w:highlight w:val="none"/>
        </w:rPr>
        <w:t>。）</w:t>
      </w:r>
    </w:p>
    <w:p w14:paraId="2ACD0ED7">
      <w:pPr>
        <w:pStyle w:val="14"/>
        <w:spacing w:line="400" w:lineRule="exact"/>
        <w:rPr>
          <w:rFonts w:hAnsi="宋体"/>
          <w:color w:val="auto"/>
          <w:highlight w:val="none"/>
        </w:rPr>
      </w:pPr>
      <w:r>
        <w:rPr>
          <w:rFonts w:hint="eastAsia" w:hAnsi="宋体"/>
          <w:b/>
          <w:color w:val="auto"/>
          <w:highlight w:val="none"/>
        </w:rPr>
        <w:t>《商务技术文件》（以下1～7项均必须提供，第8～10项自行提供）</w:t>
      </w:r>
    </w:p>
    <w:p w14:paraId="67B0CE5D">
      <w:pPr>
        <w:pStyle w:val="14"/>
        <w:spacing w:line="400" w:lineRule="exact"/>
        <w:ind w:left="840" w:leftChars="200" w:hanging="420" w:hangingChars="200"/>
        <w:rPr>
          <w:rFonts w:hAnsi="宋体" w:cs="宋体"/>
          <w:color w:val="auto"/>
          <w:szCs w:val="21"/>
          <w:highlight w:val="none"/>
        </w:rPr>
      </w:pPr>
      <w:r>
        <w:rPr>
          <w:rFonts w:hint="eastAsia" w:hAnsi="宋体" w:cs="宋体"/>
          <w:color w:val="auto"/>
          <w:szCs w:val="21"/>
          <w:highlight w:val="none"/>
        </w:rPr>
        <w:t>1、</w:t>
      </w:r>
      <w:r>
        <w:rPr>
          <w:rFonts w:hint="eastAsia" w:hAnsi="宋体"/>
          <w:color w:val="auto"/>
          <w:highlight w:val="none"/>
        </w:rPr>
        <w:t>供应商参加本项目</w:t>
      </w:r>
      <w:bookmarkStart w:id="137" w:name="OLE_LINK32"/>
      <w:bookmarkStart w:id="138" w:name="OLE_LINK33"/>
      <w:r>
        <w:rPr>
          <w:rFonts w:hint="eastAsia" w:hAnsi="宋体"/>
          <w:color w:val="auto"/>
          <w:highlight w:val="none"/>
        </w:rPr>
        <w:t>无围标串标行为</w:t>
      </w:r>
      <w:bookmarkEnd w:id="137"/>
      <w:bookmarkEnd w:id="138"/>
      <w:r>
        <w:rPr>
          <w:rFonts w:hint="eastAsia" w:hAnsi="宋体"/>
          <w:color w:val="auto"/>
          <w:highlight w:val="none"/>
        </w:rPr>
        <w:t>的承诺函（格式后附）</w:t>
      </w:r>
      <w:r>
        <w:rPr>
          <w:rFonts w:hint="eastAsia" w:hAnsi="宋体" w:cs="宋体"/>
          <w:color w:val="auto"/>
          <w:szCs w:val="21"/>
          <w:highlight w:val="none"/>
        </w:rPr>
        <w:t>；</w:t>
      </w:r>
    </w:p>
    <w:p w14:paraId="53F8935E">
      <w:pPr>
        <w:pStyle w:val="14"/>
        <w:spacing w:line="400" w:lineRule="exact"/>
        <w:ind w:left="718" w:leftChars="200" w:hanging="298" w:hangingChars="142"/>
        <w:rPr>
          <w:rFonts w:hAnsi="宋体"/>
          <w:color w:val="auto"/>
          <w:highlight w:val="none"/>
        </w:rPr>
      </w:pPr>
      <w:r>
        <w:rPr>
          <w:rFonts w:hint="eastAsia" w:hAnsi="宋体"/>
          <w:color w:val="auto"/>
          <w:highlight w:val="none"/>
        </w:rPr>
        <w:t>2、磋商响应函</w:t>
      </w:r>
    </w:p>
    <w:p w14:paraId="3CAA105D">
      <w:pPr>
        <w:pStyle w:val="14"/>
        <w:spacing w:line="400" w:lineRule="exact"/>
        <w:ind w:left="712" w:leftChars="200" w:hanging="292" w:hangingChars="142"/>
        <w:rPr>
          <w:rFonts w:hAnsi="宋体"/>
          <w:color w:val="auto"/>
          <w:spacing w:val="-2"/>
          <w:highlight w:val="none"/>
        </w:rPr>
      </w:pPr>
      <w:r>
        <w:rPr>
          <w:rFonts w:hint="eastAsia" w:hAnsi="宋体"/>
          <w:bCs/>
          <w:color w:val="auto"/>
          <w:spacing w:val="-2"/>
          <w:highlight w:val="none"/>
        </w:rPr>
        <w:t>3、法定代表人身份证明书（并附第二代身份证正面、背面复印件。如是法人或其它组织，应</w:t>
      </w:r>
      <w:r>
        <w:rPr>
          <w:rFonts w:hint="eastAsia" w:hAnsi="宋体"/>
          <w:color w:val="auto"/>
          <w:spacing w:val="-2"/>
          <w:highlight w:val="none"/>
        </w:rPr>
        <w:t>与供应商主体</w:t>
      </w:r>
      <w:r>
        <w:rPr>
          <w:rFonts w:hint="eastAsia" w:hAnsi="宋体"/>
          <w:color w:val="auto"/>
          <w:spacing w:val="-2"/>
          <w:kern w:val="0"/>
          <w:szCs w:val="21"/>
          <w:highlight w:val="none"/>
        </w:rPr>
        <w:t>资格证明</w:t>
      </w:r>
      <w:r>
        <w:rPr>
          <w:rFonts w:hint="eastAsia" w:hAnsi="宋体"/>
          <w:color w:val="auto"/>
          <w:spacing w:val="-2"/>
          <w:highlight w:val="none"/>
        </w:rPr>
        <w:t>中的法定代表人相符）。</w:t>
      </w:r>
    </w:p>
    <w:p w14:paraId="3107A09F">
      <w:pPr>
        <w:pStyle w:val="14"/>
        <w:spacing w:line="400" w:lineRule="exact"/>
        <w:ind w:left="718" w:leftChars="200" w:hanging="298" w:hangingChars="142"/>
        <w:rPr>
          <w:rFonts w:hAnsi="宋体"/>
          <w:color w:val="auto"/>
          <w:spacing w:val="-2"/>
          <w:highlight w:val="none"/>
        </w:rPr>
      </w:pPr>
      <w:r>
        <w:rPr>
          <w:rFonts w:hint="eastAsia" w:hAnsi="宋体"/>
          <w:color w:val="auto"/>
          <w:highlight w:val="none"/>
        </w:rPr>
        <w:t>4、法定</w:t>
      </w:r>
      <w:r>
        <w:rPr>
          <w:rFonts w:hint="eastAsia" w:hAnsi="宋体"/>
          <w:bCs/>
          <w:color w:val="auto"/>
          <w:highlight w:val="none"/>
        </w:rPr>
        <w:t>代表人授权委托书（并附法定代表人授权代表第二代身份证正面、背面复印件；</w:t>
      </w:r>
      <w:r>
        <w:rPr>
          <w:rFonts w:hint="eastAsia" w:hAnsi="宋体"/>
          <w:bCs/>
          <w:color w:val="auto"/>
          <w:highlight w:val="none"/>
          <w:u w:val="single"/>
        </w:rPr>
        <w:t>如法定代表人授权代表参加政府采购活动并签署文件和处理相关事务的，此授权书必须提供</w:t>
      </w:r>
      <w:r>
        <w:rPr>
          <w:rFonts w:hint="eastAsia" w:hAnsi="宋体"/>
          <w:color w:val="auto"/>
          <w:spacing w:val="-2"/>
          <w:highlight w:val="none"/>
          <w:u w:val="single"/>
        </w:rPr>
        <w:t>。</w:t>
      </w:r>
      <w:r>
        <w:rPr>
          <w:rFonts w:hint="eastAsia" w:hAnsi="宋体"/>
          <w:color w:val="auto"/>
          <w:highlight w:val="none"/>
        </w:rPr>
        <w:t>）</w:t>
      </w:r>
    </w:p>
    <w:p w14:paraId="6EC55795">
      <w:pPr>
        <w:pStyle w:val="14"/>
        <w:spacing w:line="400" w:lineRule="exact"/>
        <w:ind w:left="718" w:leftChars="200" w:hanging="298" w:hangingChars="142"/>
        <w:rPr>
          <w:rFonts w:hAnsi="宋体"/>
          <w:bCs/>
          <w:color w:val="auto"/>
          <w:highlight w:val="none"/>
        </w:rPr>
      </w:pPr>
      <w:r>
        <w:rPr>
          <w:rFonts w:hint="eastAsia" w:hAnsi="宋体"/>
          <w:bCs/>
          <w:color w:val="auto"/>
          <w:highlight w:val="none"/>
        </w:rPr>
        <w:t>5、获取磋商文件记录（</w:t>
      </w:r>
      <w:r>
        <w:rPr>
          <w:rFonts w:hint="eastAsia" w:hAnsi="宋体"/>
          <w:color w:val="auto"/>
          <w:szCs w:val="21"/>
          <w:highlight w:val="none"/>
        </w:rPr>
        <w:t>附“广西政府采购云平台”申请获取并下载磋商文件</w:t>
      </w:r>
      <w:r>
        <w:rPr>
          <w:rFonts w:hint="eastAsia" w:hAnsi="宋体"/>
          <w:bCs/>
          <w:color w:val="auto"/>
          <w:highlight w:val="none"/>
        </w:rPr>
        <w:t>截图</w:t>
      </w:r>
      <w:r>
        <w:rPr>
          <w:rFonts w:hint="eastAsia" w:hAnsi="宋体"/>
          <w:color w:val="auto"/>
          <w:highlight w:val="none"/>
        </w:rPr>
        <w:t>）</w:t>
      </w:r>
    </w:p>
    <w:p w14:paraId="7D6579DF">
      <w:pPr>
        <w:pStyle w:val="14"/>
        <w:spacing w:line="400" w:lineRule="exact"/>
        <w:ind w:firstLine="420" w:firstLineChars="200"/>
        <w:rPr>
          <w:rFonts w:hAnsi="宋体"/>
          <w:color w:val="auto"/>
          <w:highlight w:val="none"/>
        </w:rPr>
      </w:pPr>
      <w:r>
        <w:rPr>
          <w:rFonts w:hint="eastAsia" w:hAnsi="宋体"/>
          <w:color w:val="auto"/>
          <w:highlight w:val="none"/>
        </w:rPr>
        <w:t>6、商务条款响应/偏离表</w:t>
      </w:r>
    </w:p>
    <w:p w14:paraId="0A30FA02">
      <w:pPr>
        <w:pStyle w:val="14"/>
        <w:spacing w:line="400" w:lineRule="exact"/>
        <w:ind w:left="718" w:leftChars="200" w:hanging="298" w:hangingChars="142"/>
        <w:rPr>
          <w:rFonts w:hAnsi="宋体"/>
          <w:color w:val="auto"/>
          <w:highlight w:val="none"/>
        </w:rPr>
      </w:pPr>
      <w:r>
        <w:rPr>
          <w:rFonts w:hint="eastAsia" w:hAnsi="宋体"/>
          <w:color w:val="auto"/>
          <w:highlight w:val="none"/>
        </w:rPr>
        <w:t>7、服务要求响应/偏离表</w:t>
      </w:r>
    </w:p>
    <w:p w14:paraId="2DF4AB92">
      <w:pPr>
        <w:pStyle w:val="14"/>
        <w:spacing w:line="400" w:lineRule="exact"/>
        <w:ind w:left="718" w:leftChars="200" w:hanging="298" w:hangingChars="142"/>
        <w:rPr>
          <w:rFonts w:hAnsi="宋体"/>
          <w:color w:val="auto"/>
          <w:highlight w:val="none"/>
        </w:rPr>
      </w:pPr>
      <w:r>
        <w:rPr>
          <w:rFonts w:hint="eastAsia" w:hAnsi="宋体"/>
          <w:color w:val="auto"/>
          <w:highlight w:val="none"/>
        </w:rPr>
        <w:t>8、项目技术方案（根据第三章、第四章内容自行编写，格式自拟）</w:t>
      </w:r>
    </w:p>
    <w:p w14:paraId="4A46282F">
      <w:pPr>
        <w:pStyle w:val="14"/>
        <w:spacing w:line="400" w:lineRule="exact"/>
        <w:ind w:left="718" w:leftChars="200" w:hanging="298" w:hangingChars="142"/>
        <w:rPr>
          <w:rFonts w:hAnsi="宋体"/>
          <w:b/>
          <w:color w:val="auto"/>
          <w:highlight w:val="none"/>
        </w:rPr>
      </w:pPr>
      <w:r>
        <w:rPr>
          <w:rFonts w:hint="eastAsia" w:hAnsi="宋体"/>
          <w:bCs/>
          <w:color w:val="auto"/>
          <w:highlight w:val="none"/>
        </w:rPr>
        <w:t>9、拟派本项目服务人员一览表（</w:t>
      </w:r>
      <w:r>
        <w:rPr>
          <w:rFonts w:hint="eastAsia" w:hAnsi="宋体"/>
          <w:bCs/>
          <w:color w:val="auto"/>
          <w:szCs w:val="21"/>
          <w:highlight w:val="none"/>
        </w:rPr>
        <w:t>供应商可</w:t>
      </w:r>
      <w:r>
        <w:rPr>
          <w:rFonts w:hint="eastAsia" w:hAnsi="宋体"/>
          <w:color w:val="auto"/>
          <w:szCs w:val="21"/>
          <w:highlight w:val="none"/>
        </w:rPr>
        <w:t>根据自身实际情况</w:t>
      </w:r>
      <w:r>
        <w:rPr>
          <w:rFonts w:hint="eastAsia" w:hAnsi="宋体"/>
          <w:bCs/>
          <w:color w:val="auto"/>
          <w:highlight w:val="none"/>
        </w:rPr>
        <w:t>提供）</w:t>
      </w:r>
    </w:p>
    <w:p w14:paraId="0808AFD5">
      <w:pPr>
        <w:pStyle w:val="14"/>
        <w:spacing w:line="400" w:lineRule="exact"/>
        <w:ind w:left="718" w:leftChars="200" w:hanging="298" w:hangingChars="142"/>
        <w:rPr>
          <w:rFonts w:hAnsi="宋体"/>
          <w:color w:val="auto"/>
          <w:szCs w:val="21"/>
          <w:highlight w:val="none"/>
        </w:rPr>
      </w:pPr>
      <w:r>
        <w:rPr>
          <w:rFonts w:hint="eastAsia" w:hAnsi="宋体"/>
          <w:color w:val="auto"/>
          <w:highlight w:val="none"/>
        </w:rPr>
        <w:t>10、</w:t>
      </w:r>
      <w:r>
        <w:rPr>
          <w:rFonts w:hint="eastAsia" w:hAnsi="宋体"/>
          <w:bCs/>
          <w:color w:val="auto"/>
          <w:szCs w:val="21"/>
          <w:highlight w:val="none"/>
        </w:rPr>
        <w:t>供应商</w:t>
      </w:r>
      <w:r>
        <w:rPr>
          <w:rFonts w:hint="eastAsia" w:hAnsi="宋体"/>
          <w:bCs/>
          <w:color w:val="auto"/>
          <w:highlight w:val="none"/>
        </w:rPr>
        <w:t>认为</w:t>
      </w:r>
      <w:r>
        <w:rPr>
          <w:rFonts w:hint="eastAsia" w:hAnsi="宋体"/>
          <w:color w:val="auto"/>
          <w:szCs w:val="21"/>
          <w:highlight w:val="none"/>
        </w:rPr>
        <w:t>必要</w:t>
      </w:r>
      <w:r>
        <w:rPr>
          <w:rFonts w:hint="eastAsia" w:hAnsi="宋体"/>
          <w:bCs/>
          <w:color w:val="auto"/>
          <w:highlight w:val="none"/>
        </w:rPr>
        <w:t>提供</w:t>
      </w:r>
      <w:r>
        <w:rPr>
          <w:rFonts w:hint="eastAsia" w:hAnsi="宋体"/>
          <w:color w:val="auto"/>
          <w:szCs w:val="21"/>
          <w:highlight w:val="none"/>
        </w:rPr>
        <w:t>的或声明或文件资料</w:t>
      </w:r>
      <w:r>
        <w:rPr>
          <w:rFonts w:hint="eastAsia" w:hAnsi="宋体"/>
          <w:color w:val="auto"/>
          <w:highlight w:val="none"/>
        </w:rPr>
        <w:t>（如针对本项目所提供的服务的主要内容和承诺的详细说明、相关的资料等，</w:t>
      </w:r>
      <w:r>
        <w:rPr>
          <w:rFonts w:hint="eastAsia" w:hAnsi="宋体"/>
          <w:bCs/>
          <w:color w:val="auto"/>
          <w:szCs w:val="21"/>
          <w:highlight w:val="none"/>
        </w:rPr>
        <w:t>供应商可</w:t>
      </w:r>
      <w:r>
        <w:rPr>
          <w:rFonts w:hint="eastAsia" w:hAnsi="宋体"/>
          <w:color w:val="auto"/>
          <w:szCs w:val="21"/>
          <w:highlight w:val="none"/>
        </w:rPr>
        <w:t>根据自身实际情况</w:t>
      </w:r>
      <w:r>
        <w:rPr>
          <w:rFonts w:hint="eastAsia" w:hAnsi="宋体"/>
          <w:bCs/>
          <w:color w:val="auto"/>
          <w:highlight w:val="none"/>
        </w:rPr>
        <w:t>提供</w:t>
      </w:r>
      <w:r>
        <w:rPr>
          <w:rFonts w:hint="eastAsia" w:hAnsi="宋体"/>
          <w:color w:val="auto"/>
          <w:szCs w:val="21"/>
          <w:highlight w:val="none"/>
        </w:rPr>
        <w:t>。）</w:t>
      </w:r>
    </w:p>
    <w:p w14:paraId="66EDAEB4">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① 简介、业绩、信誉、荣誉证书等及有效证明文件复印件</w:t>
      </w:r>
    </w:p>
    <w:p w14:paraId="661B6712">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② 质量管理体系等认证证书复印件</w:t>
      </w:r>
    </w:p>
    <w:p w14:paraId="0DF8941F">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 xml:space="preserve">③ </w:t>
      </w:r>
      <w:r>
        <w:rPr>
          <w:rFonts w:hint="eastAsia" w:ascii="宋体" w:hAnsi="宋体"/>
          <w:color w:val="auto"/>
          <w:highlight w:val="none"/>
        </w:rPr>
        <w:t>与评分相关的声明函或证明文件等</w:t>
      </w:r>
    </w:p>
    <w:p w14:paraId="7815208C">
      <w:pPr>
        <w:pStyle w:val="3"/>
        <w:spacing w:beforeLines="50" w:after="0" w:line="400" w:lineRule="exact"/>
        <w:rPr>
          <w:rFonts w:ascii="宋体" w:hAnsi="宋体" w:eastAsia="宋体"/>
          <w:color w:val="auto"/>
          <w:sz w:val="21"/>
          <w:szCs w:val="21"/>
          <w:highlight w:val="none"/>
        </w:rPr>
      </w:pPr>
      <w:bookmarkStart w:id="139" w:name="_Toc230578073"/>
      <w:bookmarkStart w:id="140" w:name="_Toc185702565"/>
      <w:bookmarkStart w:id="141" w:name="_Toc509140349"/>
      <w:bookmarkStart w:id="142" w:name="_Toc206525698"/>
      <w:bookmarkStart w:id="143" w:name="_Toc486196152"/>
      <w:bookmarkStart w:id="144" w:name="_Toc16068279"/>
      <w:bookmarkStart w:id="145" w:name="_Toc207770851"/>
      <w:bookmarkStart w:id="146" w:name="_Toc239839879"/>
      <w:bookmarkStart w:id="147" w:name="_Toc230578068"/>
      <w:bookmarkStart w:id="148" w:name="_Toc239839874"/>
      <w:bookmarkStart w:id="149" w:name="_Toc207770846"/>
      <w:bookmarkStart w:id="150" w:name="_Toc206525693"/>
      <w:bookmarkStart w:id="151" w:name="_Toc185702560"/>
      <w:bookmarkStart w:id="152" w:name="_Toc486196150"/>
      <w:bookmarkStart w:id="153" w:name="_Toc185702574"/>
      <w:bookmarkStart w:id="154" w:name="_Toc206525707"/>
      <w:bookmarkStart w:id="155" w:name="_Toc230578082"/>
      <w:bookmarkStart w:id="156" w:name="_Toc207770860"/>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14</w:t>
      </w:r>
      <w:r>
        <w:rPr>
          <w:rFonts w:hint="eastAsia" w:ascii="宋体" w:hAnsi="宋体" w:eastAsia="宋体"/>
          <w:color w:val="auto"/>
          <w:sz w:val="21"/>
          <w:szCs w:val="21"/>
          <w:highlight w:val="none"/>
        </w:rPr>
        <w:t>．</w:t>
      </w:r>
      <w:bookmarkEnd w:id="139"/>
      <w:bookmarkEnd w:id="140"/>
      <w:bookmarkEnd w:id="141"/>
      <w:bookmarkEnd w:id="142"/>
      <w:bookmarkEnd w:id="143"/>
      <w:bookmarkEnd w:id="144"/>
      <w:bookmarkEnd w:id="145"/>
      <w:bookmarkEnd w:id="146"/>
      <w:r>
        <w:rPr>
          <w:rFonts w:hint="eastAsia" w:ascii="宋体" w:hAnsi="宋体" w:eastAsia="宋体"/>
          <w:color w:val="auto"/>
          <w:sz w:val="21"/>
          <w:szCs w:val="21"/>
          <w:highlight w:val="none"/>
        </w:rPr>
        <w:t>响应文件制作</w:t>
      </w:r>
    </w:p>
    <w:p w14:paraId="131D3E6A">
      <w:pPr>
        <w:pStyle w:val="14"/>
        <w:spacing w:line="400" w:lineRule="exact"/>
        <w:ind w:left="525" w:hanging="525" w:hangingChars="250"/>
        <w:rPr>
          <w:rFonts w:hAnsi="宋体"/>
          <w:color w:val="auto"/>
          <w:highlight w:val="none"/>
        </w:rPr>
      </w:pPr>
      <w:r>
        <w:rPr>
          <w:rFonts w:hAnsi="宋体"/>
          <w:color w:val="auto"/>
          <w:highlight w:val="none"/>
        </w:rPr>
        <w:t>14</w:t>
      </w:r>
      <w:r>
        <w:rPr>
          <w:rFonts w:hint="eastAsia" w:hAnsi="宋体"/>
          <w:color w:val="auto"/>
          <w:highlight w:val="none"/>
        </w:rPr>
        <w:t>.1响应文件份数：</w:t>
      </w:r>
      <w:bookmarkStart w:id="157" w:name="OLE_LINK11"/>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第7项</w:t>
      </w:r>
      <w:bookmarkEnd w:id="157"/>
      <w:r>
        <w:rPr>
          <w:rFonts w:hint="eastAsia" w:hAnsi="宋体"/>
          <w:color w:val="auto"/>
          <w:highlight w:val="none"/>
        </w:rPr>
        <w:t>。</w:t>
      </w:r>
    </w:p>
    <w:p w14:paraId="2850E343">
      <w:pPr>
        <w:pStyle w:val="14"/>
        <w:spacing w:line="400" w:lineRule="exact"/>
        <w:ind w:left="525" w:hanging="525" w:hangingChars="250"/>
        <w:rPr>
          <w:rFonts w:hAnsi="宋体"/>
          <w:color w:val="auto"/>
          <w:szCs w:val="21"/>
          <w:highlight w:val="none"/>
        </w:rPr>
      </w:pPr>
      <w:r>
        <w:rPr>
          <w:rFonts w:hAnsi="宋体"/>
          <w:color w:val="auto"/>
          <w:szCs w:val="21"/>
          <w:highlight w:val="none"/>
        </w:rPr>
        <w:t>14</w:t>
      </w:r>
      <w:r>
        <w:rPr>
          <w:rFonts w:hint="eastAsia" w:hAnsi="宋体"/>
          <w:color w:val="auto"/>
          <w:szCs w:val="21"/>
          <w:highlight w:val="none"/>
        </w:rPr>
        <w:t>.2响应文件制作方式：</w:t>
      </w:r>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第8项</w:t>
      </w:r>
      <w:r>
        <w:rPr>
          <w:rFonts w:hint="eastAsia" w:hAnsi="宋体"/>
          <w:color w:val="auto"/>
          <w:highlight w:val="none"/>
        </w:rPr>
        <w:t>。</w:t>
      </w:r>
    </w:p>
    <w:p w14:paraId="17CCDDD8">
      <w:pPr>
        <w:pStyle w:val="14"/>
        <w:spacing w:line="400" w:lineRule="exact"/>
        <w:ind w:left="525" w:hanging="525" w:hangingChars="250"/>
        <w:rPr>
          <w:rFonts w:hAnsi="宋体"/>
          <w:color w:val="auto"/>
          <w:spacing w:val="-4"/>
          <w:szCs w:val="21"/>
          <w:highlight w:val="none"/>
        </w:rPr>
      </w:pPr>
      <w:r>
        <w:rPr>
          <w:rFonts w:hAnsi="宋体"/>
          <w:color w:val="auto"/>
          <w:szCs w:val="21"/>
          <w:highlight w:val="none"/>
        </w:rPr>
        <w:t>14</w:t>
      </w:r>
      <w:r>
        <w:rPr>
          <w:rFonts w:hint="eastAsia" w:hAnsi="宋体"/>
          <w:color w:val="auto"/>
          <w:szCs w:val="21"/>
          <w:highlight w:val="none"/>
        </w:rPr>
        <w:t>.3响应文件</w:t>
      </w:r>
      <w:r>
        <w:rPr>
          <w:rFonts w:hint="eastAsia" w:hAnsi="宋体"/>
          <w:color w:val="auto"/>
          <w:spacing w:val="-4"/>
          <w:szCs w:val="21"/>
          <w:highlight w:val="none"/>
        </w:rPr>
        <w:t>签字及盖章要求：</w:t>
      </w:r>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第9项。</w:t>
      </w:r>
    </w:p>
    <w:p w14:paraId="426A95B1">
      <w:pPr>
        <w:pStyle w:val="14"/>
        <w:spacing w:line="400" w:lineRule="exact"/>
        <w:ind w:left="505" w:hanging="505" w:hangingChars="250"/>
        <w:rPr>
          <w:rFonts w:hAnsi="宋体"/>
          <w:color w:val="auto"/>
          <w:spacing w:val="-4"/>
          <w:highlight w:val="none"/>
        </w:rPr>
      </w:pPr>
      <w:r>
        <w:rPr>
          <w:rFonts w:hAnsi="宋体"/>
          <w:color w:val="auto"/>
          <w:spacing w:val="-4"/>
          <w:highlight w:val="none"/>
        </w:rPr>
        <w:t>14</w:t>
      </w:r>
      <w:r>
        <w:rPr>
          <w:rFonts w:hint="eastAsia" w:hAnsi="宋体"/>
          <w:color w:val="auto"/>
          <w:spacing w:val="-4"/>
          <w:highlight w:val="none"/>
        </w:rPr>
        <w:t>.4</w:t>
      </w:r>
      <w:r>
        <w:rPr>
          <w:rFonts w:hint="eastAsia" w:hAnsi="宋体"/>
          <w:color w:val="auto"/>
          <w:spacing w:val="-4"/>
          <w:szCs w:val="21"/>
          <w:highlight w:val="none"/>
        </w:rPr>
        <w:t>供应商</w:t>
      </w:r>
      <w:r>
        <w:rPr>
          <w:rFonts w:hint="eastAsia" w:hAnsi="宋体"/>
          <w:color w:val="auto"/>
          <w:spacing w:val="-4"/>
          <w:highlight w:val="none"/>
        </w:rPr>
        <w:t>应按本磋商文件规定的格式和顺序编制响应文件，自编目录并标注页码，响应文件内容不完整、编排混乱导致响应文件被误读、漏读或者查找不到相关内容的，由此引发的后果由供应商承担。</w:t>
      </w:r>
    </w:p>
    <w:p w14:paraId="1539F8CD">
      <w:pPr>
        <w:pStyle w:val="14"/>
        <w:spacing w:line="400" w:lineRule="exact"/>
        <w:ind w:left="525" w:hanging="525" w:hangingChars="250"/>
        <w:rPr>
          <w:rFonts w:hAnsi="宋体"/>
          <w:color w:val="auto"/>
          <w:highlight w:val="none"/>
        </w:rPr>
      </w:pPr>
      <w:r>
        <w:rPr>
          <w:rFonts w:hAnsi="宋体"/>
          <w:color w:val="auto"/>
          <w:highlight w:val="none"/>
        </w:rPr>
        <w:t>14</w:t>
      </w:r>
      <w:r>
        <w:rPr>
          <w:rFonts w:hint="eastAsia" w:hAnsi="宋体"/>
          <w:color w:val="auto"/>
          <w:highlight w:val="none"/>
        </w:rPr>
        <w:t>.5未按要求填写的响应文件将可能被磋商小组认定为</w:t>
      </w:r>
      <w:r>
        <w:rPr>
          <w:rFonts w:hint="eastAsia" w:hAnsi="宋体"/>
          <w:b/>
          <w:color w:val="auto"/>
          <w:highlight w:val="none"/>
        </w:rPr>
        <w:t>无效响应文件</w:t>
      </w:r>
      <w:r>
        <w:rPr>
          <w:rFonts w:hint="eastAsia" w:hAnsi="宋体"/>
          <w:color w:val="auto"/>
          <w:highlight w:val="none"/>
        </w:rPr>
        <w:t>。</w:t>
      </w:r>
    </w:p>
    <w:p w14:paraId="05D77377">
      <w:pPr>
        <w:pStyle w:val="3"/>
        <w:spacing w:beforeLines="50" w:after="0" w:line="400" w:lineRule="exact"/>
        <w:rPr>
          <w:rFonts w:ascii="宋体" w:hAnsi="宋体" w:eastAsia="宋体"/>
          <w:color w:val="auto"/>
          <w:sz w:val="21"/>
          <w:szCs w:val="21"/>
          <w:highlight w:val="none"/>
        </w:rPr>
      </w:pPr>
      <w:bookmarkStart w:id="158" w:name="_Toc16068280"/>
      <w:bookmarkStart w:id="159" w:name="_Toc509140350"/>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15</w:t>
      </w:r>
      <w:r>
        <w:rPr>
          <w:rFonts w:hint="eastAsia" w:ascii="宋体" w:hAnsi="宋体" w:eastAsia="宋体"/>
          <w:color w:val="auto"/>
          <w:sz w:val="21"/>
          <w:szCs w:val="21"/>
          <w:highlight w:val="none"/>
        </w:rPr>
        <w:t>．磋商报价</w:t>
      </w:r>
      <w:bookmarkEnd w:id="147"/>
      <w:bookmarkEnd w:id="148"/>
      <w:bookmarkEnd w:id="149"/>
      <w:bookmarkEnd w:id="150"/>
      <w:bookmarkEnd w:id="151"/>
      <w:bookmarkEnd w:id="152"/>
      <w:bookmarkEnd w:id="158"/>
      <w:bookmarkEnd w:id="159"/>
    </w:p>
    <w:p w14:paraId="7AECFC9F">
      <w:pPr>
        <w:pStyle w:val="14"/>
        <w:spacing w:line="400" w:lineRule="exact"/>
        <w:ind w:left="525" w:hanging="525" w:hangingChars="250"/>
        <w:rPr>
          <w:rFonts w:hAnsi="宋体"/>
          <w:color w:val="auto"/>
          <w:highlight w:val="none"/>
        </w:rPr>
      </w:pPr>
      <w:bookmarkStart w:id="160" w:name="_Toc239839875"/>
      <w:bookmarkStart w:id="161" w:name="_Toc207770847"/>
      <w:bookmarkStart w:id="162" w:name="_Toc185702561"/>
      <w:bookmarkStart w:id="163" w:name="_Toc206525694"/>
      <w:bookmarkStart w:id="164" w:name="_Toc230578069"/>
      <w:r>
        <w:rPr>
          <w:rFonts w:hint="eastAsia" w:hAnsi="宋体"/>
          <w:color w:val="auto"/>
          <w:highlight w:val="none"/>
        </w:rPr>
        <w:t>1</w:t>
      </w:r>
      <w:r>
        <w:rPr>
          <w:rFonts w:hAnsi="宋体"/>
          <w:color w:val="auto"/>
          <w:highlight w:val="none"/>
        </w:rPr>
        <w:t>5</w:t>
      </w:r>
      <w:r>
        <w:rPr>
          <w:rFonts w:hint="eastAsia" w:hAnsi="宋体"/>
          <w:color w:val="auto"/>
          <w:highlight w:val="none"/>
        </w:rPr>
        <w:t>.1供应商的磋商报价应包括磋商文件第三章的内容、责任范围以及合同条款规定的价格。</w:t>
      </w:r>
      <w:r>
        <w:rPr>
          <w:rFonts w:hAnsi="宋体" w:cs="Arial"/>
          <w:color w:val="auto"/>
          <w:kern w:val="1"/>
          <w:szCs w:val="21"/>
          <w:highlight w:val="none"/>
        </w:rPr>
        <w:t>在合同实施时，采购人将不予支付</w:t>
      </w:r>
      <w:r>
        <w:rPr>
          <w:rFonts w:hint="eastAsia" w:hAnsi="宋体" w:cs="Arial"/>
          <w:color w:val="auto"/>
          <w:kern w:val="1"/>
          <w:szCs w:val="21"/>
          <w:highlight w:val="none"/>
        </w:rPr>
        <w:t>成交供应商</w:t>
      </w:r>
      <w:r>
        <w:rPr>
          <w:rFonts w:hAnsi="宋体" w:cs="Arial"/>
          <w:color w:val="auto"/>
          <w:kern w:val="1"/>
          <w:szCs w:val="21"/>
          <w:highlight w:val="none"/>
        </w:rPr>
        <w:t>没有列入的项目费用，并认为此项目的费用已包括在总报价中</w:t>
      </w:r>
      <w:r>
        <w:rPr>
          <w:rFonts w:hint="eastAsia" w:hAnsi="宋体"/>
          <w:color w:val="auto"/>
          <w:highlight w:val="none"/>
        </w:rPr>
        <w:t>。</w:t>
      </w:r>
    </w:p>
    <w:p w14:paraId="18849E83">
      <w:pPr>
        <w:pStyle w:val="14"/>
        <w:spacing w:line="400" w:lineRule="exact"/>
        <w:ind w:left="525" w:hanging="525" w:hangingChars="250"/>
        <w:rPr>
          <w:rFonts w:hAnsi="宋体"/>
          <w:color w:val="auto"/>
          <w:highlight w:val="none"/>
        </w:rPr>
      </w:pPr>
      <w:r>
        <w:rPr>
          <w:rFonts w:hAnsi="宋体"/>
          <w:color w:val="auto"/>
          <w:highlight w:val="none"/>
        </w:rPr>
        <w:t>15</w:t>
      </w:r>
      <w:r>
        <w:rPr>
          <w:rFonts w:hint="eastAsia" w:hAnsi="宋体"/>
          <w:color w:val="auto"/>
          <w:highlight w:val="none"/>
        </w:rPr>
        <w:t>.2磋商报价是本项目全部实施完毕并经有关部门验收合格后的含税价，在合同执行过程中固定不变。</w:t>
      </w:r>
    </w:p>
    <w:p w14:paraId="73CB1133">
      <w:pPr>
        <w:pStyle w:val="14"/>
        <w:spacing w:line="400" w:lineRule="exact"/>
        <w:ind w:left="505" w:hanging="505" w:hangingChars="250"/>
        <w:rPr>
          <w:rFonts w:hAnsi="宋体"/>
          <w:color w:val="auto"/>
          <w:spacing w:val="-4"/>
          <w:highlight w:val="none"/>
        </w:rPr>
      </w:pPr>
      <w:r>
        <w:rPr>
          <w:rFonts w:hAnsi="宋体"/>
          <w:color w:val="auto"/>
          <w:spacing w:val="-4"/>
          <w:highlight w:val="none"/>
        </w:rPr>
        <w:t>15</w:t>
      </w:r>
      <w:r>
        <w:rPr>
          <w:rFonts w:hint="eastAsia" w:hAnsi="宋体"/>
          <w:color w:val="auto"/>
          <w:spacing w:val="-4"/>
          <w:highlight w:val="none"/>
        </w:rPr>
        <w:t>.3供应商应按《磋商报价表》确定的格式报出分项价格。如有《磋商报价表》，填写时应响应下列要求：</w:t>
      </w:r>
    </w:p>
    <w:p w14:paraId="6B6B27DA">
      <w:pPr>
        <w:pStyle w:val="14"/>
        <w:spacing w:line="400" w:lineRule="exact"/>
        <w:ind w:left="825" w:leftChars="233" w:hanging="336" w:hangingChars="160"/>
        <w:rPr>
          <w:rFonts w:hAnsi="宋体"/>
          <w:color w:val="auto"/>
          <w:highlight w:val="none"/>
        </w:rPr>
      </w:pPr>
      <w:r>
        <w:rPr>
          <w:rFonts w:hint="eastAsia" w:hAnsi="宋体"/>
          <w:color w:val="auto"/>
          <w:highlight w:val="none"/>
        </w:rPr>
        <w:t>① 对于报价免费的项目必须标明“免费”；</w:t>
      </w:r>
    </w:p>
    <w:p w14:paraId="042D374A">
      <w:pPr>
        <w:pStyle w:val="14"/>
        <w:spacing w:line="400" w:lineRule="exact"/>
        <w:ind w:left="825" w:leftChars="233" w:hanging="336" w:hangingChars="160"/>
        <w:rPr>
          <w:rFonts w:hAnsi="宋体"/>
          <w:color w:val="auto"/>
          <w:highlight w:val="none"/>
        </w:rPr>
      </w:pPr>
      <w:r>
        <w:rPr>
          <w:rFonts w:hint="eastAsia" w:hAnsi="宋体"/>
          <w:color w:val="auto"/>
          <w:highlight w:val="none"/>
        </w:rPr>
        <w:t>② 所有根据合同或其它原因应由供应商支付的税款和其它应交纳的费用都要包括在供应商提交的价格中；</w:t>
      </w:r>
    </w:p>
    <w:p w14:paraId="0DA147DC">
      <w:pPr>
        <w:pStyle w:val="14"/>
        <w:spacing w:line="400" w:lineRule="exact"/>
        <w:ind w:left="825" w:leftChars="233" w:hanging="336" w:hangingChars="160"/>
        <w:rPr>
          <w:rFonts w:hAnsi="宋体"/>
          <w:color w:val="auto"/>
          <w:highlight w:val="none"/>
        </w:rPr>
      </w:pPr>
      <w:r>
        <w:rPr>
          <w:rFonts w:hint="eastAsia" w:hAnsi="宋体"/>
          <w:color w:val="auto"/>
          <w:highlight w:val="none"/>
        </w:rPr>
        <w:t xml:space="preserve">③ </w:t>
      </w:r>
      <w:r>
        <w:rPr>
          <w:rFonts w:hint="eastAsia" w:hAnsi="宋体" w:cs="宋体"/>
          <w:color w:val="auto"/>
          <w:kern w:val="0"/>
          <w:szCs w:val="21"/>
          <w:highlight w:val="none"/>
        </w:rPr>
        <w:t>报价</w:t>
      </w:r>
      <w:r>
        <w:rPr>
          <w:rFonts w:hint="eastAsia" w:hAnsi="宋体"/>
          <w:color w:val="auto"/>
          <w:highlight w:val="none"/>
        </w:rPr>
        <w:t>包括：（1）服务的价格，包括第三章的内容、责任范围以及合同条款规定的价格等其他费用；（2）必要的保险费用和各项税金。</w:t>
      </w:r>
    </w:p>
    <w:p w14:paraId="1F894544">
      <w:pPr>
        <w:pStyle w:val="14"/>
        <w:spacing w:line="400" w:lineRule="exact"/>
        <w:ind w:left="525" w:hanging="525" w:hangingChars="250"/>
        <w:rPr>
          <w:rFonts w:hAnsi="宋体"/>
          <w:color w:val="auto"/>
          <w:highlight w:val="none"/>
        </w:rPr>
      </w:pPr>
      <w:r>
        <w:rPr>
          <w:rFonts w:hAnsi="宋体"/>
          <w:color w:val="auto"/>
          <w:highlight w:val="none"/>
        </w:rPr>
        <w:t>15</w:t>
      </w:r>
      <w:r>
        <w:rPr>
          <w:rFonts w:hint="eastAsia" w:hAnsi="宋体"/>
          <w:color w:val="auto"/>
          <w:highlight w:val="none"/>
        </w:rPr>
        <w:t>.4本项目不接受有任何选择的报价，每一项分项内容只允许有一个报价，任何有选择的或有条件的报价或包含价格调整要求的报价或有漏项的报价，将被认为是非实质性响应而作为无效响应文件处理。</w:t>
      </w:r>
    </w:p>
    <w:bookmarkEnd w:id="160"/>
    <w:bookmarkEnd w:id="161"/>
    <w:bookmarkEnd w:id="162"/>
    <w:bookmarkEnd w:id="163"/>
    <w:bookmarkEnd w:id="164"/>
    <w:p w14:paraId="1CEE7338">
      <w:pPr>
        <w:pStyle w:val="3"/>
        <w:spacing w:beforeLines="50" w:after="0" w:line="400" w:lineRule="exact"/>
        <w:rPr>
          <w:rFonts w:ascii="宋体" w:hAnsi="宋体" w:eastAsia="宋体"/>
          <w:color w:val="auto"/>
          <w:sz w:val="21"/>
          <w:szCs w:val="21"/>
          <w:highlight w:val="none"/>
        </w:rPr>
      </w:pPr>
      <w:bookmarkStart w:id="165" w:name="_Toc16068281"/>
      <w:bookmarkStart w:id="166" w:name="_Toc230578072"/>
      <w:bookmarkStart w:id="167" w:name="_Toc206525697"/>
      <w:bookmarkStart w:id="168" w:name="_Toc486196151"/>
      <w:bookmarkStart w:id="169" w:name="_Toc207770850"/>
      <w:bookmarkStart w:id="170" w:name="_Toc239839878"/>
      <w:bookmarkStart w:id="171" w:name="_Toc185702564"/>
      <w:bookmarkStart w:id="172" w:name="_Toc509140351"/>
      <w:r>
        <w:rPr>
          <w:rFonts w:hint="eastAsia" w:ascii="宋体" w:hAnsi="宋体" w:eastAsia="宋体"/>
          <w:color w:val="auto"/>
          <w:sz w:val="21"/>
          <w:szCs w:val="21"/>
          <w:highlight w:val="none"/>
        </w:rPr>
        <w:t>1</w:t>
      </w:r>
      <w:r>
        <w:rPr>
          <w:rFonts w:ascii="宋体" w:hAnsi="宋体" w:eastAsia="宋体"/>
          <w:color w:val="auto"/>
          <w:sz w:val="21"/>
          <w:szCs w:val="21"/>
          <w:highlight w:val="none"/>
        </w:rPr>
        <w:t>6</w:t>
      </w:r>
      <w:r>
        <w:rPr>
          <w:rFonts w:hint="eastAsia" w:ascii="宋体" w:hAnsi="宋体" w:eastAsia="宋体"/>
          <w:color w:val="auto"/>
          <w:sz w:val="21"/>
          <w:szCs w:val="21"/>
          <w:highlight w:val="none"/>
        </w:rPr>
        <w:t>．磋商有效期</w:t>
      </w:r>
      <w:bookmarkEnd w:id="165"/>
      <w:bookmarkEnd w:id="166"/>
      <w:bookmarkEnd w:id="167"/>
      <w:bookmarkEnd w:id="168"/>
      <w:bookmarkEnd w:id="169"/>
      <w:bookmarkEnd w:id="170"/>
      <w:bookmarkEnd w:id="171"/>
      <w:bookmarkEnd w:id="172"/>
    </w:p>
    <w:p w14:paraId="683286AE">
      <w:pPr>
        <w:pStyle w:val="14"/>
        <w:spacing w:line="400" w:lineRule="exact"/>
        <w:ind w:left="525" w:hanging="525" w:hangingChars="250"/>
        <w:rPr>
          <w:rFonts w:hAnsi="宋体"/>
          <w:color w:val="auto"/>
          <w:highlight w:val="none"/>
        </w:rPr>
      </w:pPr>
      <w:r>
        <w:rPr>
          <w:rFonts w:hint="eastAsia" w:hAnsi="宋体"/>
          <w:bCs/>
          <w:color w:val="auto"/>
          <w:szCs w:val="21"/>
          <w:highlight w:val="none"/>
        </w:rPr>
        <w:t>▲</w:t>
      </w:r>
      <w:r>
        <w:rPr>
          <w:rFonts w:hint="eastAsia" w:hAnsi="宋体"/>
          <w:color w:val="auto"/>
          <w:highlight w:val="none"/>
        </w:rPr>
        <w:t>1</w:t>
      </w:r>
      <w:r>
        <w:rPr>
          <w:rFonts w:hAnsi="宋体"/>
          <w:color w:val="auto"/>
          <w:highlight w:val="none"/>
        </w:rPr>
        <w:t>6</w:t>
      </w:r>
      <w:r>
        <w:rPr>
          <w:rFonts w:hint="eastAsia" w:hAnsi="宋体"/>
          <w:color w:val="auto"/>
          <w:highlight w:val="none"/>
        </w:rPr>
        <w:t>.1磋商有效期：见本章“供应商须知前附表”</w:t>
      </w:r>
      <w:r>
        <w:rPr>
          <w:rFonts w:hint="eastAsia" w:hAnsi="宋体"/>
          <w:color w:val="auto"/>
          <w:szCs w:val="21"/>
          <w:highlight w:val="none"/>
        </w:rPr>
        <w:t>第11项</w:t>
      </w:r>
      <w:r>
        <w:rPr>
          <w:rFonts w:hint="eastAsia" w:hAnsi="宋体"/>
          <w:color w:val="auto"/>
          <w:highlight w:val="none"/>
        </w:rPr>
        <w:t>。磋商有效期从提交响应文件的截止之日起算。响应文件中承诺的磋商有效期应当不少于磋商文件中载明的磋商有效期，否则视为无效响应。</w:t>
      </w:r>
    </w:p>
    <w:p w14:paraId="48B226DB">
      <w:pPr>
        <w:pStyle w:val="14"/>
        <w:spacing w:line="400" w:lineRule="exact"/>
        <w:ind w:left="525" w:hanging="525" w:hangingChars="250"/>
        <w:rPr>
          <w:rFonts w:hAnsi="宋体"/>
          <w:color w:val="auto"/>
          <w:highlight w:val="none"/>
        </w:rPr>
      </w:pPr>
      <w:r>
        <w:rPr>
          <w:rFonts w:hint="eastAsia" w:hAnsi="宋体"/>
          <w:color w:val="auto"/>
          <w:highlight w:val="none"/>
        </w:rPr>
        <w:t>1</w:t>
      </w:r>
      <w:r>
        <w:rPr>
          <w:rFonts w:hAnsi="宋体"/>
          <w:color w:val="auto"/>
          <w:highlight w:val="none"/>
        </w:rPr>
        <w:t>6</w:t>
      </w:r>
      <w:r>
        <w:rPr>
          <w:rFonts w:hint="eastAsia" w:hAnsi="宋体"/>
          <w:color w:val="auto"/>
          <w:highlight w:val="none"/>
        </w:rPr>
        <w:t>.2在特殊情况下，采购人或采购代理机构可于磋商有效期满之前</w:t>
      </w:r>
      <w:r>
        <w:rPr>
          <w:rFonts w:hint="eastAsia" w:hAnsi="宋体" w:cs="宋体"/>
          <w:color w:val="auto"/>
          <w:highlight w:val="none"/>
        </w:rPr>
        <w:t>要求供应商同意延长有效期，要求与答复均应以书面形式。供应商可以拒绝上述要求而其磋商保证金不被没收，</w:t>
      </w:r>
      <w:r>
        <w:rPr>
          <w:rFonts w:hint="eastAsia" w:hAnsi="宋体"/>
          <w:color w:val="auto"/>
          <w:highlight w:val="none"/>
        </w:rPr>
        <w:t>不同意延期的供应商的磋商保证金将在成交通知书发出后5个工作日内无息退还。</w:t>
      </w:r>
      <w:r>
        <w:rPr>
          <w:rFonts w:hint="eastAsia" w:hAnsi="宋体" w:cs="宋体"/>
          <w:color w:val="auto"/>
          <w:highlight w:val="none"/>
        </w:rPr>
        <w:t>同意延期的供应商根据原截止期应负之权利及责任相应也延至新的截止期，但</w:t>
      </w:r>
      <w:r>
        <w:rPr>
          <w:rFonts w:hint="eastAsia" w:hAnsi="宋体"/>
          <w:color w:val="auto"/>
          <w:highlight w:val="none"/>
        </w:rPr>
        <w:t>不能要求对原响应文件（经磋商小组确认有效且没有超出响应文件的范围或改变</w:t>
      </w:r>
      <w:r>
        <w:rPr>
          <w:rFonts w:hint="eastAsia" w:hAnsi="宋体"/>
          <w:color w:val="auto"/>
          <w:kern w:val="0"/>
          <w:szCs w:val="21"/>
          <w:highlight w:val="none"/>
        </w:rPr>
        <w:t>磋商</w:t>
      </w:r>
      <w:r>
        <w:rPr>
          <w:rFonts w:hint="eastAsia" w:hAnsi="宋体"/>
          <w:color w:val="auto"/>
          <w:highlight w:val="none"/>
        </w:rPr>
        <w:t>的实质内容的澄清或说明作为响应文件的组成部分）作任何改变，并同意在延长的磋商有效期内遵循本响应文件，在延长的磋商有效期满之前继续具有约束力</w:t>
      </w:r>
      <w:r>
        <w:rPr>
          <w:rFonts w:hint="eastAsia" w:hAnsi="宋体" w:cs="宋体"/>
          <w:color w:val="auto"/>
          <w:highlight w:val="none"/>
        </w:rPr>
        <w:t>。</w:t>
      </w:r>
    </w:p>
    <w:p w14:paraId="37C1F108">
      <w:pPr>
        <w:pStyle w:val="3"/>
        <w:spacing w:beforeLines="50" w:after="0" w:line="400" w:lineRule="exact"/>
        <w:rPr>
          <w:rFonts w:ascii="宋体" w:hAnsi="宋体" w:eastAsia="宋体"/>
          <w:color w:val="auto"/>
          <w:sz w:val="21"/>
          <w:szCs w:val="21"/>
          <w:highlight w:val="none"/>
        </w:rPr>
      </w:pPr>
      <w:bookmarkStart w:id="173" w:name="_Toc230578074"/>
      <w:bookmarkStart w:id="174" w:name="_Toc16068282"/>
      <w:bookmarkStart w:id="175" w:name="_Toc239839880"/>
      <w:bookmarkStart w:id="176" w:name="_Toc486196153"/>
      <w:bookmarkStart w:id="177" w:name="_Toc207770852"/>
      <w:bookmarkStart w:id="178" w:name="_Toc206525699"/>
      <w:bookmarkStart w:id="179" w:name="_Toc509140352"/>
      <w:bookmarkStart w:id="180" w:name="_Toc185702566"/>
      <w:r>
        <w:rPr>
          <w:rFonts w:ascii="宋体" w:hAnsi="宋体" w:eastAsia="宋体"/>
          <w:color w:val="auto"/>
          <w:sz w:val="21"/>
          <w:szCs w:val="21"/>
          <w:highlight w:val="none"/>
        </w:rPr>
        <w:t>17</w:t>
      </w:r>
      <w:r>
        <w:rPr>
          <w:rFonts w:hint="eastAsia" w:ascii="宋体" w:hAnsi="宋体" w:eastAsia="宋体"/>
          <w:color w:val="auto"/>
          <w:sz w:val="21"/>
          <w:szCs w:val="21"/>
          <w:highlight w:val="none"/>
        </w:rPr>
        <w:t>．磋商保证金</w:t>
      </w:r>
      <w:bookmarkEnd w:id="173"/>
      <w:bookmarkEnd w:id="174"/>
      <w:bookmarkEnd w:id="175"/>
      <w:bookmarkEnd w:id="176"/>
      <w:bookmarkEnd w:id="177"/>
      <w:bookmarkEnd w:id="178"/>
      <w:bookmarkEnd w:id="179"/>
      <w:bookmarkEnd w:id="180"/>
    </w:p>
    <w:p w14:paraId="0D4E3A9E">
      <w:pPr>
        <w:pStyle w:val="14"/>
        <w:spacing w:line="400" w:lineRule="exact"/>
        <w:ind w:left="525" w:hanging="525" w:hangingChars="250"/>
        <w:rPr>
          <w:rFonts w:hAnsi="宋体"/>
          <w:color w:val="auto"/>
          <w:spacing w:val="-4"/>
          <w:highlight w:val="none"/>
        </w:rPr>
      </w:pPr>
      <w:r>
        <w:rPr>
          <w:rFonts w:hint="eastAsia" w:hAnsi="宋体"/>
          <w:bCs/>
          <w:color w:val="auto"/>
          <w:szCs w:val="21"/>
          <w:highlight w:val="none"/>
        </w:rPr>
        <w:t>▲</w:t>
      </w:r>
      <w:r>
        <w:rPr>
          <w:rFonts w:hAnsi="宋体"/>
          <w:color w:val="auto"/>
          <w:spacing w:val="-4"/>
          <w:highlight w:val="none"/>
        </w:rPr>
        <w:t>17</w:t>
      </w:r>
      <w:r>
        <w:rPr>
          <w:rFonts w:hint="eastAsia" w:hAnsi="宋体"/>
          <w:color w:val="auto"/>
          <w:spacing w:val="-4"/>
          <w:highlight w:val="none"/>
        </w:rPr>
        <w:t>.1</w:t>
      </w:r>
      <w:bookmarkStart w:id="181" w:name="OLE_LINK20"/>
      <w:r>
        <w:rPr>
          <w:rFonts w:hint="eastAsia" w:hAnsi="宋体"/>
          <w:color w:val="auto"/>
          <w:spacing w:val="-4"/>
          <w:highlight w:val="none"/>
        </w:rPr>
        <w:t>磋商保证金金额及提交要求：</w:t>
      </w:r>
      <w:bookmarkEnd w:id="181"/>
      <w:r>
        <w:rPr>
          <w:rFonts w:hint="eastAsia" w:hAnsi="宋体"/>
          <w:color w:val="auto"/>
          <w:szCs w:val="21"/>
          <w:highlight w:val="none"/>
        </w:rPr>
        <w:t>见本章</w:t>
      </w:r>
      <w:r>
        <w:rPr>
          <w:rFonts w:hint="eastAsia" w:hAnsi="宋体"/>
          <w:color w:val="auto"/>
          <w:highlight w:val="none"/>
        </w:rPr>
        <w:t>“供应商须知前附表”</w:t>
      </w:r>
      <w:r>
        <w:rPr>
          <w:rFonts w:hint="eastAsia" w:hAnsi="宋体"/>
          <w:color w:val="auto"/>
          <w:spacing w:val="-4"/>
          <w:highlight w:val="none"/>
        </w:rPr>
        <w:t>第12项。</w:t>
      </w:r>
      <w:r>
        <w:rPr>
          <w:rFonts w:hint="eastAsia" w:hAnsi="宋体"/>
          <w:color w:val="auto"/>
          <w:szCs w:val="21"/>
          <w:highlight w:val="none"/>
        </w:rPr>
        <w:t>磋商保证金作为响应文件的组成部分</w:t>
      </w:r>
      <w:r>
        <w:rPr>
          <w:rFonts w:hint="eastAsia" w:hAnsi="宋体"/>
          <w:color w:val="auto"/>
          <w:highlight w:val="none"/>
        </w:rPr>
        <w:t>。</w:t>
      </w:r>
    </w:p>
    <w:p w14:paraId="4283133D">
      <w:pPr>
        <w:pStyle w:val="14"/>
        <w:spacing w:line="400" w:lineRule="exact"/>
        <w:ind w:left="475" w:hanging="474" w:hangingChars="226"/>
        <w:rPr>
          <w:rFonts w:hAnsi="宋体"/>
          <w:color w:val="auto"/>
          <w:highlight w:val="none"/>
        </w:rPr>
      </w:pPr>
      <w:r>
        <w:rPr>
          <w:rFonts w:hAnsi="宋体"/>
          <w:color w:val="auto"/>
          <w:highlight w:val="none"/>
        </w:rPr>
        <w:t>17</w:t>
      </w:r>
      <w:r>
        <w:rPr>
          <w:rFonts w:hint="eastAsia" w:hAnsi="宋体"/>
          <w:color w:val="auto"/>
          <w:highlight w:val="none"/>
        </w:rPr>
        <w:t>.2</w:t>
      </w:r>
      <w:r>
        <w:rPr>
          <w:rFonts w:hAnsi="宋体"/>
          <w:color w:val="auto"/>
          <w:highlight w:val="none"/>
        </w:rPr>
        <w:t>采购人、采购代理机构将及时退还</w:t>
      </w:r>
      <w:r>
        <w:rPr>
          <w:rFonts w:hint="eastAsia" w:hAnsi="宋体"/>
          <w:color w:val="auto"/>
          <w:highlight w:val="none"/>
        </w:rPr>
        <w:t>供应商</w:t>
      </w:r>
      <w:r>
        <w:rPr>
          <w:rFonts w:hAnsi="宋体"/>
          <w:color w:val="auto"/>
          <w:highlight w:val="none"/>
        </w:rPr>
        <w:t>的</w:t>
      </w:r>
      <w:r>
        <w:rPr>
          <w:rFonts w:hint="eastAsia" w:hAnsi="宋体"/>
          <w:color w:val="auto"/>
          <w:highlight w:val="none"/>
        </w:rPr>
        <w:t>磋商</w:t>
      </w:r>
      <w:r>
        <w:rPr>
          <w:rFonts w:hAnsi="宋体"/>
          <w:color w:val="auto"/>
          <w:highlight w:val="none"/>
        </w:rPr>
        <w:t>保证金，采用银行保函、担保机构担保函等形式</w:t>
      </w:r>
      <w:r>
        <w:rPr>
          <w:rFonts w:hint="eastAsia" w:hAnsi="宋体"/>
          <w:color w:val="auto"/>
          <w:szCs w:val="21"/>
          <w:highlight w:val="none"/>
        </w:rPr>
        <w:t>提交</w:t>
      </w:r>
      <w:r>
        <w:rPr>
          <w:rFonts w:hAnsi="宋体"/>
          <w:color w:val="auto"/>
          <w:highlight w:val="none"/>
        </w:rPr>
        <w:t>的</w:t>
      </w:r>
      <w:r>
        <w:rPr>
          <w:rFonts w:hint="eastAsia" w:hAnsi="宋体"/>
          <w:color w:val="auto"/>
          <w:highlight w:val="none"/>
        </w:rPr>
        <w:t>磋商</w:t>
      </w:r>
      <w:r>
        <w:rPr>
          <w:rFonts w:hAnsi="宋体"/>
          <w:color w:val="auto"/>
          <w:highlight w:val="none"/>
        </w:rPr>
        <w:t>保证金，经供应商同意后采购人、采购代理机构可以不再退还</w:t>
      </w:r>
      <w:r>
        <w:rPr>
          <w:rFonts w:hint="eastAsia" w:hAnsi="宋体"/>
          <w:color w:val="auto"/>
          <w:highlight w:val="none"/>
        </w:rPr>
        <w:t>。采购人、采购代理机构逾期退还磋商保证金的，除应当退还保证金本金外，还应当按中国人民银行同期贷款基准利率上浮20%后的利率支付超期资金占用费，</w:t>
      </w:r>
      <w:r>
        <w:rPr>
          <w:rFonts w:hAnsi="宋体"/>
          <w:color w:val="auto"/>
          <w:highlight w:val="none"/>
        </w:rPr>
        <w:t>但因</w:t>
      </w:r>
      <w:r>
        <w:rPr>
          <w:rFonts w:hint="eastAsia" w:hAnsi="宋体"/>
          <w:color w:val="auto"/>
          <w:highlight w:val="none"/>
        </w:rPr>
        <w:t>供应商</w:t>
      </w:r>
      <w:r>
        <w:rPr>
          <w:rFonts w:hAnsi="宋体"/>
          <w:color w:val="auto"/>
          <w:highlight w:val="none"/>
        </w:rPr>
        <w:t>自身原因导致无法及时退还的除外：</w:t>
      </w:r>
    </w:p>
    <w:p w14:paraId="1B809359">
      <w:pPr>
        <w:pStyle w:val="14"/>
        <w:spacing w:line="400" w:lineRule="exact"/>
        <w:ind w:firstLine="420"/>
        <w:rPr>
          <w:rFonts w:hAnsi="宋体"/>
          <w:color w:val="auto"/>
          <w:highlight w:val="none"/>
        </w:rPr>
      </w:pPr>
      <w:r>
        <w:rPr>
          <w:rFonts w:hint="eastAsia" w:hAnsi="宋体"/>
          <w:color w:val="auto"/>
          <w:highlight w:val="none"/>
        </w:rPr>
        <w:t>① 供应商在响应</w:t>
      </w:r>
      <w:r>
        <w:rPr>
          <w:rFonts w:hint="eastAsia" w:hAnsi="宋体"/>
          <w:color w:val="auto"/>
          <w:szCs w:val="21"/>
          <w:highlight w:val="none"/>
        </w:rPr>
        <w:t>文件提交</w:t>
      </w:r>
      <w:r>
        <w:rPr>
          <w:rFonts w:hint="eastAsia" w:hAnsi="宋体"/>
          <w:color w:val="auto"/>
          <w:highlight w:val="none"/>
        </w:rPr>
        <w:t>截止时间前撤回已提交的响应文件的，自收到供应商书面撤回通知之日起5个工作日内退还已收取的磋商保证金。</w:t>
      </w:r>
    </w:p>
    <w:p w14:paraId="0469E78A">
      <w:pPr>
        <w:pStyle w:val="14"/>
        <w:spacing w:line="400" w:lineRule="exact"/>
        <w:ind w:firstLine="420"/>
        <w:rPr>
          <w:rFonts w:hAnsi="宋体"/>
          <w:color w:val="auto"/>
          <w:highlight w:val="none"/>
        </w:rPr>
      </w:pPr>
      <w:r>
        <w:rPr>
          <w:rFonts w:hint="eastAsia" w:hAnsi="宋体"/>
          <w:color w:val="auto"/>
          <w:highlight w:val="none"/>
        </w:rPr>
        <w:t>② 未成交供应商的磋商保证金，自成交通知书发出之日起5个工作日内退还。</w:t>
      </w:r>
    </w:p>
    <w:p w14:paraId="532827E2">
      <w:pPr>
        <w:pStyle w:val="14"/>
        <w:spacing w:line="400" w:lineRule="exact"/>
        <w:ind w:firstLine="420"/>
        <w:rPr>
          <w:rFonts w:hAnsi="宋体"/>
          <w:color w:val="auto"/>
          <w:highlight w:val="none"/>
        </w:rPr>
      </w:pPr>
      <w:r>
        <w:rPr>
          <w:rFonts w:hint="eastAsia" w:hAnsi="宋体"/>
          <w:color w:val="auto"/>
          <w:highlight w:val="none"/>
        </w:rPr>
        <w:t>③ 成交供应商的磋商保证金，自采购合同签订之日起5个工作日内退还或者转为成交供应商的履约保证金。</w:t>
      </w:r>
    </w:p>
    <w:p w14:paraId="67DF1A8E">
      <w:pPr>
        <w:pStyle w:val="14"/>
        <w:spacing w:line="400" w:lineRule="exact"/>
        <w:ind w:firstLine="420"/>
        <w:rPr>
          <w:rFonts w:hAnsi="宋体"/>
          <w:color w:val="auto"/>
          <w:spacing w:val="-2"/>
          <w:highlight w:val="none"/>
        </w:rPr>
      </w:pPr>
      <w:r>
        <w:rPr>
          <w:rFonts w:hint="eastAsia" w:hAnsi="宋体"/>
          <w:color w:val="auto"/>
          <w:spacing w:val="-2"/>
          <w:highlight w:val="none"/>
        </w:rPr>
        <w:t xml:space="preserve">④ </w:t>
      </w:r>
      <w:r>
        <w:rPr>
          <w:rFonts w:hAnsi="宋体"/>
          <w:color w:val="auto"/>
          <w:spacing w:val="-2"/>
          <w:highlight w:val="none"/>
        </w:rPr>
        <w:t>终止</w:t>
      </w:r>
      <w:r>
        <w:rPr>
          <w:rFonts w:hint="eastAsia" w:hAnsi="宋体"/>
          <w:color w:val="auto"/>
          <w:spacing w:val="-2"/>
          <w:highlight w:val="none"/>
        </w:rPr>
        <w:t>采购</w:t>
      </w:r>
      <w:r>
        <w:rPr>
          <w:rFonts w:hAnsi="宋体"/>
          <w:color w:val="auto"/>
          <w:spacing w:val="-2"/>
          <w:highlight w:val="none"/>
        </w:rPr>
        <w:t>项目已经收取</w:t>
      </w:r>
      <w:r>
        <w:rPr>
          <w:rFonts w:hint="eastAsia" w:hAnsi="宋体"/>
          <w:color w:val="auto"/>
          <w:spacing w:val="-2"/>
          <w:highlight w:val="none"/>
        </w:rPr>
        <w:t>磋商</w:t>
      </w:r>
      <w:r>
        <w:rPr>
          <w:rFonts w:hAnsi="宋体"/>
          <w:color w:val="auto"/>
          <w:spacing w:val="-2"/>
          <w:highlight w:val="none"/>
        </w:rPr>
        <w:t>保证金的，自终止采购活动后</w:t>
      </w:r>
      <w:r>
        <w:rPr>
          <w:rFonts w:hint="eastAsia" w:hAnsi="宋体"/>
          <w:color w:val="auto"/>
          <w:spacing w:val="-2"/>
          <w:highlight w:val="none"/>
        </w:rPr>
        <w:t>5</w:t>
      </w:r>
      <w:r>
        <w:rPr>
          <w:rFonts w:hAnsi="宋体"/>
          <w:color w:val="auto"/>
          <w:spacing w:val="-2"/>
          <w:highlight w:val="none"/>
        </w:rPr>
        <w:t>个工作日内退还已收取的</w:t>
      </w:r>
      <w:r>
        <w:rPr>
          <w:rFonts w:hint="eastAsia" w:hAnsi="宋体"/>
          <w:color w:val="auto"/>
          <w:spacing w:val="-2"/>
          <w:highlight w:val="none"/>
        </w:rPr>
        <w:t>磋商</w:t>
      </w:r>
      <w:r>
        <w:rPr>
          <w:rFonts w:hAnsi="宋体"/>
          <w:color w:val="auto"/>
          <w:spacing w:val="-2"/>
          <w:highlight w:val="none"/>
        </w:rPr>
        <w:t>保证金。</w:t>
      </w:r>
    </w:p>
    <w:p w14:paraId="5F916CDB">
      <w:pPr>
        <w:pStyle w:val="14"/>
        <w:spacing w:line="400" w:lineRule="exact"/>
        <w:ind w:firstLine="420"/>
        <w:rPr>
          <w:rFonts w:hAnsi="宋体"/>
          <w:color w:val="auto"/>
          <w:highlight w:val="none"/>
        </w:rPr>
      </w:pPr>
      <w:r>
        <w:rPr>
          <w:rFonts w:hint="eastAsia" w:hAnsi="宋体"/>
          <w:color w:val="auto"/>
          <w:highlight w:val="none"/>
        </w:rPr>
        <w:t>⑤ 如有质疑或投诉，</w:t>
      </w:r>
      <w:r>
        <w:rPr>
          <w:rFonts w:hint="eastAsia" w:hAnsi="宋体" w:cs="宋体"/>
          <w:color w:val="auto"/>
          <w:highlight w:val="none"/>
        </w:rPr>
        <w:t>将在质疑和投诉处理完毕后</w:t>
      </w:r>
      <w:r>
        <w:rPr>
          <w:rFonts w:hint="eastAsia" w:hAnsi="宋体"/>
          <w:color w:val="auto"/>
          <w:highlight w:val="none"/>
        </w:rPr>
        <w:t>5</w:t>
      </w:r>
      <w:r>
        <w:rPr>
          <w:rFonts w:hAnsi="宋体"/>
          <w:color w:val="auto"/>
          <w:highlight w:val="none"/>
        </w:rPr>
        <w:t>个工作日内</w:t>
      </w:r>
      <w:r>
        <w:rPr>
          <w:rFonts w:hint="eastAsia" w:hAnsi="宋体" w:cs="宋体"/>
          <w:color w:val="auto"/>
          <w:highlight w:val="none"/>
        </w:rPr>
        <w:t>无息原额退还</w:t>
      </w:r>
      <w:r>
        <w:rPr>
          <w:rFonts w:hint="eastAsia" w:hAnsi="宋体"/>
          <w:color w:val="auto"/>
          <w:highlight w:val="none"/>
        </w:rPr>
        <w:t>磋商保证金</w:t>
      </w:r>
      <w:r>
        <w:rPr>
          <w:rFonts w:hint="eastAsia" w:hAnsi="宋体" w:cs="宋体"/>
          <w:color w:val="auto"/>
          <w:highlight w:val="none"/>
        </w:rPr>
        <w:t>。</w:t>
      </w:r>
    </w:p>
    <w:p w14:paraId="0E142220">
      <w:pPr>
        <w:pStyle w:val="14"/>
        <w:spacing w:line="400" w:lineRule="exact"/>
        <w:ind w:left="475" w:hanging="474" w:hangingChars="226"/>
        <w:rPr>
          <w:rFonts w:hAnsi="宋体"/>
          <w:color w:val="auto"/>
          <w:highlight w:val="none"/>
        </w:rPr>
      </w:pPr>
      <w:r>
        <w:rPr>
          <w:rFonts w:hAnsi="宋体"/>
          <w:color w:val="auto"/>
          <w:highlight w:val="none"/>
        </w:rPr>
        <w:t>17</w:t>
      </w:r>
      <w:r>
        <w:rPr>
          <w:rFonts w:hint="eastAsia" w:hAnsi="宋体"/>
          <w:color w:val="auto"/>
          <w:highlight w:val="none"/>
        </w:rPr>
        <w:t>.3有下列情形之一的，磋商保证金不予退还：</w:t>
      </w:r>
    </w:p>
    <w:p w14:paraId="3A5DCB60">
      <w:pPr>
        <w:pStyle w:val="14"/>
        <w:spacing w:line="400" w:lineRule="exact"/>
        <w:ind w:firstLine="420"/>
        <w:rPr>
          <w:rFonts w:hAnsi="宋体"/>
          <w:color w:val="auto"/>
          <w:highlight w:val="none"/>
        </w:rPr>
      </w:pPr>
      <w:r>
        <w:rPr>
          <w:rFonts w:hint="eastAsia" w:hAnsi="宋体"/>
          <w:color w:val="auto"/>
          <w:highlight w:val="none"/>
        </w:rPr>
        <w:t>① 供应商在提交响应文件截止时间后撤回响应文件的；</w:t>
      </w:r>
    </w:p>
    <w:p w14:paraId="4B90BB37">
      <w:pPr>
        <w:pStyle w:val="14"/>
        <w:spacing w:line="400" w:lineRule="exact"/>
        <w:ind w:firstLine="420"/>
        <w:rPr>
          <w:rFonts w:hAnsi="宋体"/>
          <w:color w:val="auto"/>
          <w:highlight w:val="none"/>
        </w:rPr>
      </w:pPr>
      <w:r>
        <w:rPr>
          <w:rFonts w:hint="eastAsia" w:hAnsi="宋体"/>
          <w:color w:val="auto"/>
          <w:highlight w:val="none"/>
        </w:rPr>
        <w:t>② 供应商在响应文件中提供虚假材料的；</w:t>
      </w:r>
    </w:p>
    <w:p w14:paraId="36360B79">
      <w:pPr>
        <w:pStyle w:val="14"/>
        <w:spacing w:line="400" w:lineRule="exact"/>
        <w:ind w:firstLine="420"/>
        <w:rPr>
          <w:rFonts w:hAnsi="宋体"/>
          <w:color w:val="auto"/>
          <w:highlight w:val="none"/>
        </w:rPr>
      </w:pPr>
      <w:r>
        <w:rPr>
          <w:rFonts w:hint="eastAsia" w:hAnsi="宋体"/>
          <w:color w:val="auto"/>
          <w:highlight w:val="none"/>
        </w:rPr>
        <w:t>③ 除因不可抗力或磋商文件认可的情形以外，成交供应商不与采购人签订合同的；</w:t>
      </w:r>
    </w:p>
    <w:p w14:paraId="20998F55">
      <w:pPr>
        <w:pStyle w:val="14"/>
        <w:spacing w:line="400" w:lineRule="exact"/>
        <w:ind w:firstLine="420"/>
        <w:rPr>
          <w:rFonts w:hAnsi="宋体"/>
          <w:color w:val="auto"/>
          <w:highlight w:val="none"/>
        </w:rPr>
      </w:pPr>
      <w:r>
        <w:rPr>
          <w:rFonts w:hint="eastAsia" w:hAnsi="宋体"/>
          <w:color w:val="auto"/>
          <w:highlight w:val="none"/>
        </w:rPr>
        <w:t>④ 供应商与采购人、其他供应商或者采购代理机构恶意串通的；</w:t>
      </w:r>
    </w:p>
    <w:p w14:paraId="79B6462C">
      <w:pPr>
        <w:pStyle w:val="14"/>
        <w:spacing w:line="400" w:lineRule="exact"/>
        <w:ind w:firstLine="420"/>
        <w:rPr>
          <w:rFonts w:hAnsi="宋体"/>
          <w:color w:val="auto"/>
          <w:highlight w:val="none"/>
        </w:rPr>
      </w:pPr>
      <w:r>
        <w:rPr>
          <w:rFonts w:hint="eastAsia" w:hAnsi="宋体"/>
          <w:color w:val="auto"/>
          <w:highlight w:val="none"/>
        </w:rPr>
        <w:t>⑤ 成交供应商</w:t>
      </w:r>
      <w:r>
        <w:rPr>
          <w:rFonts w:hint="eastAsia" w:hAnsi="宋体" w:cs="宋体"/>
          <w:color w:val="auto"/>
          <w:highlight w:val="none"/>
        </w:rPr>
        <w:t>违反磋商文件规定，将成交项目转让给他人，或未经采购人同意，将成交项目分包给他人的；</w:t>
      </w:r>
    </w:p>
    <w:p w14:paraId="4DE58E40">
      <w:pPr>
        <w:pStyle w:val="14"/>
        <w:spacing w:line="400" w:lineRule="exact"/>
        <w:ind w:firstLine="420"/>
        <w:rPr>
          <w:rFonts w:hAnsi="宋体"/>
          <w:color w:val="auto"/>
          <w:highlight w:val="none"/>
        </w:rPr>
      </w:pPr>
      <w:r>
        <w:rPr>
          <w:rFonts w:hint="eastAsia" w:hAnsi="宋体"/>
          <w:color w:val="auto"/>
          <w:highlight w:val="none"/>
        </w:rPr>
        <w:t>⑥ 法律法规及磋商文件规定的其他情形。</w:t>
      </w:r>
    </w:p>
    <w:p w14:paraId="60DD2801">
      <w:pPr>
        <w:pStyle w:val="3"/>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18</w:t>
      </w:r>
      <w:r>
        <w:rPr>
          <w:rFonts w:hint="eastAsia" w:ascii="宋体" w:hAnsi="宋体" w:eastAsia="宋体"/>
          <w:color w:val="auto"/>
          <w:sz w:val="21"/>
          <w:szCs w:val="21"/>
          <w:highlight w:val="none"/>
        </w:rPr>
        <w:t>．</w:t>
      </w:r>
      <w:r>
        <w:rPr>
          <w:rFonts w:ascii="宋体" w:hAnsi="宋体" w:eastAsia="宋体"/>
          <w:color w:val="auto"/>
          <w:sz w:val="21"/>
          <w:szCs w:val="21"/>
          <w:highlight w:val="none"/>
        </w:rPr>
        <w:t>现场考察、开标前答疑会</w:t>
      </w:r>
    </w:p>
    <w:p w14:paraId="52A830F7">
      <w:pPr>
        <w:pStyle w:val="14"/>
        <w:spacing w:line="400" w:lineRule="exact"/>
        <w:ind w:left="424" w:hanging="424" w:hangingChars="202"/>
        <w:rPr>
          <w:rFonts w:hAnsi="宋体"/>
          <w:color w:val="auto"/>
          <w:szCs w:val="21"/>
          <w:highlight w:val="none"/>
        </w:rPr>
      </w:pPr>
      <w:r>
        <w:rPr>
          <w:rFonts w:hAnsi="宋体"/>
          <w:color w:val="auto"/>
          <w:szCs w:val="21"/>
          <w:highlight w:val="none"/>
        </w:rPr>
        <w:t>18</w:t>
      </w:r>
      <w:r>
        <w:rPr>
          <w:rFonts w:hint="eastAsia" w:hAnsi="宋体"/>
          <w:color w:val="auto"/>
          <w:szCs w:val="21"/>
          <w:highlight w:val="none"/>
        </w:rPr>
        <w:t>.1现场考察、开标前答疑会：是否召开见本章</w:t>
      </w:r>
      <w:r>
        <w:rPr>
          <w:rFonts w:hint="eastAsia" w:hAnsi="宋体"/>
          <w:color w:val="auto"/>
          <w:highlight w:val="none"/>
        </w:rPr>
        <w:t>“供应商须知前附表”第13项、第14项</w:t>
      </w:r>
      <w:r>
        <w:rPr>
          <w:rFonts w:hint="eastAsia" w:hAnsi="宋体"/>
          <w:color w:val="auto"/>
          <w:szCs w:val="21"/>
          <w:highlight w:val="none"/>
        </w:rPr>
        <w:t>，</w:t>
      </w:r>
      <w:r>
        <w:rPr>
          <w:rFonts w:hAnsi="宋体"/>
          <w:color w:val="auto"/>
          <w:szCs w:val="21"/>
          <w:highlight w:val="none"/>
        </w:rPr>
        <w:t>若规定了组织现场考察、召开开标前答疑会，则</w:t>
      </w:r>
      <w:r>
        <w:rPr>
          <w:rFonts w:hint="eastAsia" w:hAnsi="宋体"/>
          <w:color w:val="auto"/>
          <w:szCs w:val="21"/>
          <w:highlight w:val="none"/>
        </w:rPr>
        <w:t>供应商</w:t>
      </w:r>
      <w:r>
        <w:rPr>
          <w:rFonts w:hAnsi="宋体"/>
          <w:color w:val="auto"/>
          <w:szCs w:val="21"/>
          <w:highlight w:val="none"/>
        </w:rPr>
        <w:t>应按要求在规定的时间和地点参加。</w:t>
      </w:r>
    </w:p>
    <w:p w14:paraId="01AC2643">
      <w:pPr>
        <w:pStyle w:val="14"/>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.2</w:t>
      </w:r>
      <w:r>
        <w:rPr>
          <w:rFonts w:hAnsi="宋体"/>
          <w:color w:val="auto"/>
          <w:szCs w:val="21"/>
          <w:highlight w:val="none"/>
        </w:rPr>
        <w:t>由于未参加现场考察或开标前答疑会而导致对项目实际情况不了解，影响</w:t>
      </w:r>
      <w:r>
        <w:rPr>
          <w:rFonts w:hint="eastAsia" w:hAnsi="宋体"/>
          <w:color w:val="auto"/>
          <w:szCs w:val="21"/>
          <w:highlight w:val="none"/>
        </w:rPr>
        <w:t>响应</w:t>
      </w:r>
      <w:r>
        <w:rPr>
          <w:rFonts w:hAnsi="宋体"/>
          <w:color w:val="auto"/>
          <w:szCs w:val="21"/>
          <w:highlight w:val="none"/>
        </w:rPr>
        <w:t>文件编制、</w:t>
      </w:r>
      <w:r>
        <w:rPr>
          <w:rFonts w:hint="eastAsia" w:hAnsi="宋体"/>
          <w:color w:val="auto"/>
          <w:szCs w:val="21"/>
          <w:highlight w:val="none"/>
        </w:rPr>
        <w:t>磋商</w:t>
      </w:r>
      <w:r>
        <w:rPr>
          <w:rFonts w:hAnsi="宋体"/>
          <w:color w:val="auto"/>
          <w:szCs w:val="21"/>
          <w:highlight w:val="none"/>
        </w:rPr>
        <w:t>报价准确性、综合因素响应不全面等问题的，由</w:t>
      </w:r>
      <w:r>
        <w:rPr>
          <w:rFonts w:hint="eastAsia" w:hAnsi="宋体"/>
          <w:color w:val="auto"/>
          <w:szCs w:val="21"/>
          <w:highlight w:val="none"/>
        </w:rPr>
        <w:t>供应商</w:t>
      </w:r>
      <w:r>
        <w:rPr>
          <w:rFonts w:hAnsi="宋体"/>
          <w:color w:val="auto"/>
          <w:szCs w:val="21"/>
          <w:highlight w:val="none"/>
        </w:rPr>
        <w:t>自行承担不利评审后果。</w:t>
      </w:r>
    </w:p>
    <w:p w14:paraId="5942FADD">
      <w:pPr>
        <w:pStyle w:val="14"/>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.3如供应商认为需要现场踏勘的，请自行踏勘。在现场踏勘的过程中，供应商的费用和非采购人的原因所造成的供应商的人身伤亡、财物或其它损失，采购人概不负责。</w:t>
      </w:r>
    </w:p>
    <w:p w14:paraId="1DD5D2D8">
      <w:pPr>
        <w:pStyle w:val="14"/>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.4采购人向供应商提供的有关现场的数据和资料，是采购人现有的能被供应商利用的资料，采购人对供应商作出的任何推论、理解和结论均不负责任。</w:t>
      </w:r>
    </w:p>
    <w:p w14:paraId="07C17CB0">
      <w:pPr>
        <w:pStyle w:val="14"/>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5供应商应对项目现场现状进行充分了解，不能在中标（成交）后再对场地现场提出异议，不能以场地存在瑕疵为由，提出任何形式的增加合同外费用或索赔的要求，或拒绝签署合同书或拒绝履行所约定的各项义务。</w:t>
      </w:r>
    </w:p>
    <w:p w14:paraId="75AECE04">
      <w:pPr>
        <w:pStyle w:val="3"/>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w:t>
      </w:r>
      <w:r>
        <w:rPr>
          <w:rFonts w:ascii="宋体" w:hAnsi="宋体" w:eastAsia="宋体"/>
          <w:color w:val="auto"/>
          <w:sz w:val="21"/>
          <w:szCs w:val="21"/>
          <w:highlight w:val="none"/>
        </w:rPr>
        <w:t>样品</w:t>
      </w:r>
    </w:p>
    <w:p w14:paraId="27192F71">
      <w:pPr>
        <w:pStyle w:val="14"/>
        <w:spacing w:line="400" w:lineRule="exact"/>
        <w:ind w:left="420" w:hanging="420" w:hangingChars="200"/>
        <w:rPr>
          <w:rFonts w:hAnsi="宋体"/>
          <w:color w:val="auto"/>
          <w:szCs w:val="21"/>
          <w:highlight w:val="none"/>
        </w:rPr>
      </w:pPr>
      <w:r>
        <w:rPr>
          <w:rFonts w:hAnsi="宋体"/>
          <w:color w:val="auto"/>
          <w:szCs w:val="21"/>
          <w:highlight w:val="none"/>
        </w:rPr>
        <w:t>19</w:t>
      </w:r>
      <w:r>
        <w:rPr>
          <w:rFonts w:hint="eastAsia" w:hAnsi="宋体"/>
          <w:color w:val="auto"/>
          <w:szCs w:val="21"/>
          <w:highlight w:val="none"/>
        </w:rPr>
        <w:t>.1</w:t>
      </w:r>
      <w:r>
        <w:rPr>
          <w:rFonts w:hAnsi="宋体"/>
          <w:color w:val="auto"/>
          <w:szCs w:val="21"/>
          <w:highlight w:val="none"/>
        </w:rPr>
        <w:t>本项目是否要求</w:t>
      </w:r>
      <w:r>
        <w:rPr>
          <w:rFonts w:hint="eastAsia" w:hAnsi="宋体"/>
          <w:color w:val="auto"/>
          <w:szCs w:val="21"/>
          <w:highlight w:val="none"/>
        </w:rPr>
        <w:t>供应商</w:t>
      </w:r>
      <w:r>
        <w:rPr>
          <w:rFonts w:hAnsi="宋体"/>
          <w:color w:val="auto"/>
          <w:szCs w:val="21"/>
          <w:highlight w:val="none"/>
        </w:rPr>
        <w:t>提供样品，以及样品制作的标准和要求、是否需要随样品提交相关检测报告、样品的</w:t>
      </w:r>
      <w:r>
        <w:rPr>
          <w:rFonts w:hint="eastAsia" w:hAnsi="宋体"/>
          <w:color w:val="auto"/>
          <w:szCs w:val="21"/>
          <w:highlight w:val="none"/>
        </w:rPr>
        <w:t>提</w:t>
      </w:r>
      <w:r>
        <w:rPr>
          <w:rFonts w:hAnsi="宋体"/>
          <w:color w:val="auto"/>
          <w:szCs w:val="21"/>
          <w:highlight w:val="none"/>
        </w:rPr>
        <w:t>交等要求</w:t>
      </w:r>
      <w:r>
        <w:rPr>
          <w:rFonts w:hint="eastAsia" w:hAnsi="宋体"/>
          <w:color w:val="auto"/>
          <w:szCs w:val="21"/>
          <w:highlight w:val="none"/>
        </w:rPr>
        <w:t>：</w:t>
      </w:r>
      <w:r>
        <w:rPr>
          <w:rFonts w:hAnsi="宋体"/>
          <w:color w:val="auto"/>
          <w:szCs w:val="21"/>
          <w:highlight w:val="none"/>
        </w:rPr>
        <w:t>见</w:t>
      </w:r>
      <w:r>
        <w:rPr>
          <w:rFonts w:hint="eastAsia" w:hAnsi="宋体"/>
          <w:color w:val="auto"/>
          <w:szCs w:val="21"/>
          <w:highlight w:val="none"/>
        </w:rPr>
        <w:t>第三章</w:t>
      </w:r>
      <w:r>
        <w:rPr>
          <w:rFonts w:hint="eastAsia" w:hAnsi="宋体"/>
          <w:color w:val="auto"/>
          <w:highlight w:val="none"/>
        </w:rPr>
        <w:t>《采购需求》</w:t>
      </w:r>
      <w:r>
        <w:rPr>
          <w:rFonts w:hint="eastAsia" w:hAnsi="宋体"/>
          <w:color w:val="auto"/>
          <w:szCs w:val="21"/>
          <w:highlight w:val="none"/>
        </w:rPr>
        <w:t>。（如有）</w:t>
      </w:r>
    </w:p>
    <w:p w14:paraId="284CC64F">
      <w:pPr>
        <w:pStyle w:val="14"/>
        <w:spacing w:line="400" w:lineRule="exact"/>
        <w:ind w:left="420" w:hanging="420" w:hangingChars="200"/>
        <w:rPr>
          <w:rFonts w:hAnsi="宋体"/>
          <w:color w:val="auto"/>
          <w:szCs w:val="21"/>
          <w:highlight w:val="none"/>
        </w:rPr>
      </w:pPr>
      <w:r>
        <w:rPr>
          <w:rFonts w:hAnsi="宋体"/>
          <w:color w:val="auto"/>
          <w:szCs w:val="21"/>
          <w:highlight w:val="none"/>
        </w:rPr>
        <w:t>19</w:t>
      </w:r>
      <w:r>
        <w:rPr>
          <w:rFonts w:hint="eastAsia" w:hAnsi="宋体"/>
          <w:color w:val="auto"/>
          <w:szCs w:val="21"/>
          <w:highlight w:val="none"/>
        </w:rPr>
        <w:t>.2</w:t>
      </w:r>
      <w:r>
        <w:rPr>
          <w:rFonts w:hAnsi="宋体"/>
          <w:color w:val="auto"/>
          <w:szCs w:val="21"/>
          <w:highlight w:val="none"/>
        </w:rPr>
        <w:t>样品的评审方法以及评审标准等内容</w:t>
      </w:r>
      <w:r>
        <w:rPr>
          <w:rFonts w:hint="eastAsia" w:hAnsi="宋体"/>
          <w:color w:val="auto"/>
          <w:szCs w:val="21"/>
          <w:highlight w:val="none"/>
        </w:rPr>
        <w:t>：</w:t>
      </w:r>
      <w:r>
        <w:rPr>
          <w:rFonts w:hAnsi="宋体"/>
          <w:color w:val="auto"/>
          <w:szCs w:val="21"/>
          <w:highlight w:val="none"/>
        </w:rPr>
        <w:t>见第四章《评标方法和评标标准》。</w:t>
      </w:r>
      <w:r>
        <w:rPr>
          <w:rFonts w:hint="eastAsia" w:hAnsi="宋体"/>
          <w:color w:val="auto"/>
          <w:szCs w:val="21"/>
          <w:highlight w:val="none"/>
        </w:rPr>
        <w:t>（如有）</w:t>
      </w:r>
    </w:p>
    <w:p w14:paraId="27435332">
      <w:pPr>
        <w:pStyle w:val="3"/>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20</w:t>
      </w:r>
      <w:r>
        <w:rPr>
          <w:rFonts w:hint="eastAsia" w:ascii="宋体" w:hAnsi="宋体" w:eastAsia="宋体"/>
          <w:color w:val="auto"/>
          <w:sz w:val="21"/>
          <w:szCs w:val="21"/>
          <w:highlight w:val="none"/>
        </w:rPr>
        <w:t>．方案讲解演示（产品演示）</w:t>
      </w:r>
    </w:p>
    <w:p w14:paraId="44B181F8">
      <w:pPr>
        <w:pStyle w:val="14"/>
        <w:spacing w:line="400" w:lineRule="exact"/>
        <w:ind w:left="420" w:hanging="420" w:hangingChars="200"/>
        <w:rPr>
          <w:rStyle w:val="36"/>
          <w:rFonts w:hAnsi="宋体"/>
          <w:color w:val="auto"/>
          <w:highlight w:val="none"/>
        </w:rPr>
      </w:pPr>
      <w:r>
        <w:rPr>
          <w:rStyle w:val="36"/>
          <w:rFonts w:hAnsi="宋体"/>
          <w:color w:val="auto"/>
          <w:highlight w:val="none"/>
        </w:rPr>
        <w:t>20</w:t>
      </w:r>
      <w:r>
        <w:rPr>
          <w:rFonts w:hint="eastAsia" w:hAnsi="宋体"/>
          <w:color w:val="auto"/>
          <w:szCs w:val="21"/>
          <w:highlight w:val="none"/>
        </w:rPr>
        <w:t>.1本项目是否组织方案讲解演示（产品演示）：见第三章</w:t>
      </w:r>
      <w:r>
        <w:rPr>
          <w:rFonts w:hint="eastAsia" w:hAnsi="宋体"/>
          <w:color w:val="auto"/>
          <w:highlight w:val="none"/>
        </w:rPr>
        <w:t>《采购需求》</w:t>
      </w:r>
      <w:r>
        <w:rPr>
          <w:rFonts w:hint="eastAsia" w:hAnsi="宋体"/>
          <w:color w:val="auto"/>
          <w:szCs w:val="21"/>
          <w:highlight w:val="none"/>
        </w:rPr>
        <w:t>。（如有）</w:t>
      </w:r>
    </w:p>
    <w:p w14:paraId="34058008">
      <w:pPr>
        <w:pStyle w:val="14"/>
        <w:spacing w:line="400" w:lineRule="exact"/>
        <w:ind w:firstLine="420"/>
        <w:rPr>
          <w:rFonts w:hAnsi="宋体"/>
          <w:color w:val="auto"/>
          <w:highlight w:val="none"/>
        </w:rPr>
      </w:pPr>
    </w:p>
    <w:p w14:paraId="373B8C7C">
      <w:pPr>
        <w:pStyle w:val="2"/>
        <w:spacing w:line="400" w:lineRule="exact"/>
        <w:jc w:val="center"/>
        <w:rPr>
          <w:rFonts w:ascii="宋体" w:hAnsi="宋体"/>
          <w:color w:val="auto"/>
          <w:highlight w:val="none"/>
        </w:rPr>
      </w:pPr>
      <w:bookmarkStart w:id="182" w:name="_Toc230578075"/>
      <w:bookmarkStart w:id="183" w:name="_Toc207770853"/>
      <w:bookmarkStart w:id="184" w:name="_Toc64706760"/>
      <w:bookmarkStart w:id="185" w:name="_Toc16068283"/>
      <w:bookmarkStart w:id="186" w:name="_Toc486196154"/>
      <w:bookmarkStart w:id="187" w:name="_Toc239839881"/>
      <w:bookmarkStart w:id="188" w:name="_Toc509140353"/>
      <w:bookmarkStart w:id="189" w:name="_Toc206525700"/>
      <w:bookmarkStart w:id="190" w:name="_Toc185702567"/>
      <w:r>
        <w:rPr>
          <w:rFonts w:hint="eastAsia" w:ascii="宋体" w:hAnsi="宋体"/>
          <w:color w:val="auto"/>
          <w:highlight w:val="none"/>
        </w:rPr>
        <w:t>四   响应文件的</w:t>
      </w:r>
      <w:bookmarkEnd w:id="182"/>
      <w:bookmarkEnd w:id="183"/>
      <w:bookmarkEnd w:id="184"/>
      <w:bookmarkEnd w:id="185"/>
      <w:bookmarkEnd w:id="186"/>
      <w:bookmarkEnd w:id="187"/>
      <w:bookmarkEnd w:id="188"/>
      <w:bookmarkEnd w:id="189"/>
      <w:bookmarkEnd w:id="190"/>
      <w:r>
        <w:rPr>
          <w:rFonts w:hint="eastAsia" w:ascii="宋体" w:hAnsi="宋体"/>
          <w:color w:val="auto"/>
          <w:szCs w:val="21"/>
          <w:highlight w:val="none"/>
        </w:rPr>
        <w:t>提交</w:t>
      </w:r>
    </w:p>
    <w:p w14:paraId="4AF2D993">
      <w:pPr>
        <w:pStyle w:val="3"/>
        <w:spacing w:beforeLines="50" w:after="0" w:line="400" w:lineRule="exact"/>
        <w:rPr>
          <w:rFonts w:ascii="宋体" w:hAnsi="宋体" w:eastAsia="宋体"/>
          <w:color w:val="auto"/>
          <w:sz w:val="21"/>
          <w:szCs w:val="21"/>
          <w:highlight w:val="none"/>
        </w:rPr>
      </w:pPr>
      <w:bookmarkStart w:id="191" w:name="_Toc207770854"/>
      <w:bookmarkStart w:id="192" w:name="_Toc16068284"/>
      <w:bookmarkStart w:id="193" w:name="_Toc206525701"/>
      <w:bookmarkStart w:id="194" w:name="_Toc185702568"/>
      <w:bookmarkStart w:id="195" w:name="_Toc509140354"/>
      <w:bookmarkStart w:id="196" w:name="_Toc486196155"/>
      <w:bookmarkStart w:id="197" w:name="_Toc239839882"/>
      <w:bookmarkStart w:id="198" w:name="_Toc230578076"/>
      <w:r>
        <w:rPr>
          <w:rFonts w:hint="eastAsia" w:ascii="宋体" w:hAnsi="宋体" w:eastAsia="宋体"/>
          <w:color w:val="auto"/>
          <w:sz w:val="21"/>
          <w:szCs w:val="21"/>
          <w:highlight w:val="none"/>
        </w:rPr>
        <w:t>21．</w:t>
      </w:r>
      <w:bookmarkEnd w:id="191"/>
      <w:bookmarkEnd w:id="192"/>
      <w:bookmarkEnd w:id="193"/>
      <w:bookmarkEnd w:id="194"/>
      <w:bookmarkEnd w:id="195"/>
      <w:bookmarkEnd w:id="196"/>
      <w:bookmarkEnd w:id="197"/>
      <w:bookmarkEnd w:id="198"/>
      <w:r>
        <w:rPr>
          <w:rFonts w:hint="eastAsia" w:ascii="宋体" w:hAnsi="宋体" w:eastAsia="宋体"/>
          <w:color w:val="auto"/>
          <w:sz w:val="21"/>
          <w:szCs w:val="21"/>
          <w:highlight w:val="none"/>
        </w:rPr>
        <w:t>响应文件提交截止时间、地点</w:t>
      </w:r>
    </w:p>
    <w:p w14:paraId="61ED0BE5">
      <w:pPr>
        <w:pStyle w:val="14"/>
        <w:spacing w:line="400" w:lineRule="exact"/>
        <w:ind w:left="525" w:hanging="525" w:hangingChars="250"/>
        <w:rPr>
          <w:rFonts w:hAnsi="宋体"/>
          <w:color w:val="auto"/>
          <w:highlight w:val="none"/>
        </w:rPr>
      </w:pPr>
      <w:bookmarkStart w:id="199" w:name="_Toc16068285"/>
      <w:bookmarkStart w:id="200" w:name="_Toc486196156"/>
      <w:bookmarkStart w:id="201" w:name="_Toc206525702"/>
      <w:bookmarkStart w:id="202" w:name="_Toc207770855"/>
      <w:bookmarkStart w:id="203" w:name="_Toc185702569"/>
      <w:bookmarkStart w:id="204" w:name="_Toc230578077"/>
      <w:bookmarkStart w:id="205" w:name="_Toc239839883"/>
      <w:bookmarkStart w:id="206" w:name="_Toc509140355"/>
      <w:r>
        <w:rPr>
          <w:rFonts w:hint="eastAsia" w:hAnsi="宋体"/>
          <w:color w:val="auto"/>
          <w:highlight w:val="none"/>
        </w:rPr>
        <w:t>21.1</w:t>
      </w:r>
      <w:r>
        <w:rPr>
          <w:rFonts w:hint="eastAsia" w:hAnsi="宋体"/>
          <w:color w:val="auto"/>
          <w:szCs w:val="21"/>
          <w:highlight w:val="none"/>
        </w:rPr>
        <w:t>响应文件提交截止时间</w:t>
      </w:r>
      <w:r>
        <w:rPr>
          <w:rFonts w:hint="eastAsia" w:hAnsi="宋体"/>
          <w:color w:val="auto"/>
          <w:highlight w:val="none"/>
        </w:rPr>
        <w:t>：见本章“供应商须知前附表”第15项。</w:t>
      </w:r>
    </w:p>
    <w:p w14:paraId="2452BC37">
      <w:pPr>
        <w:pStyle w:val="14"/>
        <w:spacing w:line="400" w:lineRule="exact"/>
        <w:ind w:left="475" w:hanging="474" w:hangingChars="226"/>
        <w:rPr>
          <w:rFonts w:hAnsi="宋体"/>
          <w:color w:val="auto"/>
          <w:highlight w:val="none"/>
        </w:rPr>
      </w:pPr>
      <w:r>
        <w:rPr>
          <w:rFonts w:hint="eastAsia" w:hAnsi="宋体"/>
          <w:color w:val="auto"/>
          <w:highlight w:val="none"/>
        </w:rPr>
        <w:t>21.2</w:t>
      </w:r>
      <w:r>
        <w:rPr>
          <w:rFonts w:hint="eastAsia" w:hAnsi="宋体"/>
          <w:color w:val="auto"/>
          <w:szCs w:val="21"/>
          <w:highlight w:val="none"/>
        </w:rPr>
        <w:t>响应文件提交截止地点：</w:t>
      </w:r>
      <w:r>
        <w:rPr>
          <w:rFonts w:hint="eastAsia" w:hAnsi="宋体"/>
          <w:color w:val="auto"/>
          <w:highlight w:val="none"/>
        </w:rPr>
        <w:t>见本章“供应商须知前附表”第15项。</w:t>
      </w:r>
    </w:p>
    <w:p w14:paraId="395A1283">
      <w:pPr>
        <w:pStyle w:val="14"/>
        <w:spacing w:line="400" w:lineRule="exact"/>
        <w:ind w:left="475" w:hanging="474" w:hangingChars="226"/>
        <w:rPr>
          <w:rFonts w:hAnsi="宋体"/>
          <w:color w:val="auto"/>
          <w:highlight w:val="none"/>
        </w:rPr>
      </w:pPr>
      <w:r>
        <w:rPr>
          <w:rFonts w:hint="eastAsia" w:hAnsi="宋体"/>
          <w:color w:val="auto"/>
          <w:highlight w:val="none"/>
        </w:rPr>
        <w:t>21.3属下列情形之一的，采购人、采购代理机构应当拒收供应商的响应文件：</w:t>
      </w:r>
    </w:p>
    <w:p w14:paraId="614F38AD">
      <w:pPr>
        <w:pStyle w:val="14"/>
        <w:spacing w:line="400" w:lineRule="exact"/>
        <w:ind w:firstLine="420"/>
        <w:rPr>
          <w:rFonts w:hAnsi="宋体"/>
          <w:color w:val="auto"/>
          <w:highlight w:val="none"/>
        </w:rPr>
      </w:pPr>
      <w:r>
        <w:rPr>
          <w:rFonts w:hint="eastAsia" w:hAnsi="宋体"/>
          <w:color w:val="auto"/>
          <w:highlight w:val="none"/>
        </w:rPr>
        <w:t>① 响应文件未在规定的</w:t>
      </w:r>
      <w:r>
        <w:rPr>
          <w:rFonts w:hint="eastAsia" w:hAnsi="宋体"/>
          <w:color w:val="auto"/>
          <w:szCs w:val="21"/>
          <w:highlight w:val="none"/>
        </w:rPr>
        <w:t>响应文件提交截止</w:t>
      </w:r>
      <w:r>
        <w:rPr>
          <w:rFonts w:hint="eastAsia" w:hAnsi="宋体"/>
          <w:color w:val="auto"/>
          <w:highlight w:val="none"/>
        </w:rPr>
        <w:t>时间前送达；</w:t>
      </w:r>
    </w:p>
    <w:p w14:paraId="3DDBB37C">
      <w:pPr>
        <w:pStyle w:val="14"/>
        <w:spacing w:line="400" w:lineRule="exact"/>
        <w:ind w:firstLine="420"/>
        <w:rPr>
          <w:rFonts w:hAnsi="宋体"/>
          <w:color w:val="auto"/>
          <w:highlight w:val="none"/>
        </w:rPr>
      </w:pPr>
      <w:r>
        <w:rPr>
          <w:rFonts w:hint="eastAsia" w:hAnsi="宋体"/>
          <w:color w:val="auto"/>
          <w:highlight w:val="none"/>
        </w:rPr>
        <w:t>② 响应文件未送达指定的</w:t>
      </w:r>
      <w:r>
        <w:rPr>
          <w:rFonts w:hint="eastAsia" w:hAnsi="宋体"/>
          <w:color w:val="auto"/>
          <w:szCs w:val="21"/>
          <w:highlight w:val="none"/>
        </w:rPr>
        <w:t>响应文件提交</w:t>
      </w:r>
      <w:r>
        <w:rPr>
          <w:rFonts w:hint="eastAsia" w:hAnsi="宋体"/>
          <w:color w:val="auto"/>
          <w:highlight w:val="none"/>
        </w:rPr>
        <w:t>地点。</w:t>
      </w:r>
    </w:p>
    <w:p w14:paraId="4F0E73AE">
      <w:pPr>
        <w:pStyle w:val="14"/>
        <w:spacing w:line="400" w:lineRule="exact"/>
        <w:ind w:firstLine="420"/>
        <w:rPr>
          <w:rFonts w:hAnsi="宋体"/>
          <w:color w:val="auto"/>
          <w:highlight w:val="none"/>
        </w:rPr>
      </w:pPr>
      <w:r>
        <w:rPr>
          <w:rFonts w:hint="eastAsia" w:hAnsi="宋体"/>
          <w:bCs/>
          <w:color w:val="auto"/>
          <w:szCs w:val="21"/>
          <w:highlight w:val="none"/>
        </w:rPr>
        <w:t xml:space="preserve">③ </w:t>
      </w:r>
      <w:r>
        <w:rPr>
          <w:rFonts w:hAnsi="宋体"/>
          <w:color w:val="auto"/>
          <w:highlight w:val="none"/>
        </w:rPr>
        <w:t>使用电子交易平台</w:t>
      </w:r>
      <w:r>
        <w:rPr>
          <w:rFonts w:hint="eastAsia" w:hAnsi="宋体"/>
          <w:color w:val="auto"/>
          <w:highlight w:val="none"/>
        </w:rPr>
        <w:t>的，</w:t>
      </w:r>
      <w:r>
        <w:rPr>
          <w:rFonts w:hAnsi="宋体"/>
          <w:color w:val="auto"/>
          <w:highlight w:val="none"/>
        </w:rPr>
        <w:t>拒绝接受通过电子交易平台以外任何形式提交的</w:t>
      </w:r>
      <w:r>
        <w:rPr>
          <w:rFonts w:hint="eastAsia" w:hAnsi="宋体"/>
          <w:color w:val="auto"/>
          <w:highlight w:val="none"/>
        </w:rPr>
        <w:t>响应</w:t>
      </w:r>
      <w:r>
        <w:rPr>
          <w:rFonts w:hAnsi="宋体"/>
          <w:color w:val="auto"/>
          <w:highlight w:val="none"/>
        </w:rPr>
        <w:t>文件。</w:t>
      </w:r>
    </w:p>
    <w:bookmarkEnd w:id="199"/>
    <w:bookmarkEnd w:id="200"/>
    <w:bookmarkEnd w:id="201"/>
    <w:bookmarkEnd w:id="202"/>
    <w:bookmarkEnd w:id="203"/>
    <w:bookmarkEnd w:id="204"/>
    <w:bookmarkEnd w:id="205"/>
    <w:bookmarkEnd w:id="206"/>
    <w:p w14:paraId="766BF922">
      <w:pPr>
        <w:pStyle w:val="3"/>
        <w:spacing w:beforeLines="50" w:after="0" w:line="400" w:lineRule="exact"/>
        <w:rPr>
          <w:rFonts w:ascii="宋体" w:hAnsi="宋体" w:eastAsia="宋体"/>
          <w:color w:val="auto"/>
          <w:sz w:val="21"/>
          <w:szCs w:val="21"/>
          <w:highlight w:val="none"/>
        </w:rPr>
      </w:pPr>
      <w:bookmarkStart w:id="207" w:name="_Toc16068286"/>
      <w:bookmarkStart w:id="208" w:name="_Toc147250534"/>
      <w:bookmarkStart w:id="209" w:name="_Toc206525703"/>
      <w:bookmarkStart w:id="210" w:name="_Toc230578078"/>
      <w:bookmarkStart w:id="211" w:name="_Toc509140356"/>
      <w:bookmarkStart w:id="212" w:name="_Toc185702570"/>
      <w:bookmarkStart w:id="213" w:name="_Toc486196157"/>
      <w:bookmarkStart w:id="214" w:name="_Toc147250332"/>
      <w:bookmarkStart w:id="215" w:name="_Toc207770856"/>
      <w:bookmarkStart w:id="216" w:name="_Toc239839884"/>
      <w:bookmarkStart w:id="217" w:name="_Toc147250378"/>
      <w:r>
        <w:rPr>
          <w:rFonts w:hint="eastAsia" w:ascii="宋体" w:hAnsi="宋体" w:eastAsia="宋体"/>
          <w:color w:val="auto"/>
          <w:sz w:val="21"/>
          <w:szCs w:val="21"/>
          <w:highlight w:val="none"/>
        </w:rPr>
        <w:t>22．响应文件的修改和撤回</w:t>
      </w:r>
      <w:bookmarkEnd w:id="207"/>
      <w:bookmarkEnd w:id="208"/>
      <w:bookmarkEnd w:id="209"/>
      <w:bookmarkEnd w:id="210"/>
      <w:bookmarkEnd w:id="211"/>
      <w:bookmarkEnd w:id="212"/>
      <w:bookmarkEnd w:id="213"/>
      <w:bookmarkEnd w:id="214"/>
      <w:bookmarkEnd w:id="215"/>
      <w:bookmarkEnd w:id="216"/>
      <w:bookmarkEnd w:id="217"/>
    </w:p>
    <w:p w14:paraId="7B16016D">
      <w:pPr>
        <w:pStyle w:val="14"/>
        <w:spacing w:line="400" w:lineRule="exact"/>
        <w:ind w:left="475" w:hanging="474" w:hangingChars="226"/>
        <w:rPr>
          <w:rFonts w:hAnsi="宋体" w:cs="Arial"/>
          <w:color w:val="auto"/>
          <w:szCs w:val="21"/>
          <w:highlight w:val="none"/>
        </w:rPr>
      </w:pPr>
      <w:r>
        <w:rPr>
          <w:rFonts w:hint="eastAsia" w:hAnsi="宋体"/>
          <w:color w:val="auto"/>
          <w:highlight w:val="none"/>
        </w:rPr>
        <w:t>22.1</w:t>
      </w:r>
      <w:r>
        <w:rPr>
          <w:rFonts w:hint="eastAsia" w:hAnsi="宋体"/>
          <w:color w:val="auto"/>
          <w:szCs w:val="21"/>
          <w:highlight w:val="none"/>
        </w:rPr>
        <w:t>响应文件提交</w:t>
      </w:r>
      <w:r>
        <w:rPr>
          <w:rFonts w:hint="eastAsia" w:hAnsi="宋体"/>
          <w:color w:val="auto"/>
          <w:highlight w:val="none"/>
        </w:rPr>
        <w:t>截止时间前，供应商</w:t>
      </w:r>
      <w:r>
        <w:rPr>
          <w:rFonts w:hint="eastAsia" w:hAnsi="宋体" w:cs="宋体"/>
          <w:color w:val="auto"/>
          <w:kern w:val="0"/>
          <w:szCs w:val="21"/>
          <w:highlight w:val="none"/>
        </w:rPr>
        <w:t>可以通过电子交易平台对所</w:t>
      </w:r>
      <w:r>
        <w:rPr>
          <w:rFonts w:hint="eastAsia" w:hAnsi="宋体"/>
          <w:color w:val="auto"/>
          <w:szCs w:val="21"/>
          <w:highlight w:val="none"/>
        </w:rPr>
        <w:t>提交</w:t>
      </w:r>
      <w:r>
        <w:rPr>
          <w:rFonts w:hint="eastAsia" w:hAnsi="宋体" w:cs="宋体"/>
          <w:color w:val="auto"/>
          <w:kern w:val="0"/>
          <w:szCs w:val="21"/>
          <w:highlight w:val="none"/>
        </w:rPr>
        <w:t>的电子响应文件进行补充、修改或者撤回。</w:t>
      </w:r>
      <w:r>
        <w:rPr>
          <w:rFonts w:hint="eastAsia" w:hAnsi="宋体"/>
          <w:color w:val="auto"/>
          <w:highlight w:val="none"/>
        </w:rPr>
        <w:t>补充或修改电子响应文件的，应当先撤回原文件，补充、修改后重新</w:t>
      </w:r>
      <w:r>
        <w:rPr>
          <w:rFonts w:hint="eastAsia" w:hAnsi="宋体"/>
          <w:color w:val="auto"/>
          <w:szCs w:val="21"/>
          <w:highlight w:val="none"/>
        </w:rPr>
        <w:t>提交</w:t>
      </w:r>
      <w:r>
        <w:rPr>
          <w:rFonts w:hint="eastAsia" w:hAnsi="宋体"/>
          <w:color w:val="auto"/>
          <w:highlight w:val="none"/>
        </w:rPr>
        <w:t>。供应商对响应文件的补充、修改的内容应当按照磋商文件要求签署、盖章，作为响应文件的组成部分。</w:t>
      </w:r>
      <w:r>
        <w:rPr>
          <w:rFonts w:hint="eastAsia" w:hAnsi="宋体"/>
          <w:color w:val="auto"/>
          <w:szCs w:val="21"/>
          <w:highlight w:val="none"/>
        </w:rPr>
        <w:t>响应文件提交</w:t>
      </w:r>
      <w:r>
        <w:rPr>
          <w:rFonts w:hint="eastAsia" w:hAnsi="宋体"/>
          <w:color w:val="auto"/>
          <w:highlight w:val="none"/>
        </w:rPr>
        <w:t>截止时间前未完成</w:t>
      </w:r>
      <w:r>
        <w:rPr>
          <w:rFonts w:hint="eastAsia" w:hAnsi="宋体"/>
          <w:color w:val="auto"/>
          <w:szCs w:val="21"/>
          <w:highlight w:val="none"/>
        </w:rPr>
        <w:t>提交</w:t>
      </w:r>
      <w:r>
        <w:rPr>
          <w:rFonts w:hint="eastAsia" w:hAnsi="宋体"/>
          <w:color w:val="auto"/>
          <w:highlight w:val="none"/>
        </w:rPr>
        <w:t>的，视为未提供响应文件。</w:t>
      </w:r>
      <w:r>
        <w:rPr>
          <w:rFonts w:hint="eastAsia" w:hAnsi="宋体"/>
          <w:color w:val="auto"/>
          <w:szCs w:val="21"/>
          <w:highlight w:val="none"/>
        </w:rPr>
        <w:t>响应文件提交</w:t>
      </w:r>
      <w:r>
        <w:rPr>
          <w:rFonts w:hAnsi="宋体" w:cs="Arial"/>
          <w:color w:val="auto"/>
          <w:szCs w:val="21"/>
          <w:highlight w:val="none"/>
        </w:rPr>
        <w:t>截止时间后，</w:t>
      </w:r>
      <w:r>
        <w:rPr>
          <w:rFonts w:hint="eastAsia" w:hAnsi="宋体" w:cs="Arial"/>
          <w:color w:val="auto"/>
          <w:szCs w:val="21"/>
          <w:highlight w:val="none"/>
        </w:rPr>
        <w:t>供应商</w:t>
      </w:r>
      <w:r>
        <w:rPr>
          <w:rFonts w:hAnsi="宋体" w:cs="Arial"/>
          <w:color w:val="auto"/>
          <w:szCs w:val="21"/>
          <w:highlight w:val="none"/>
        </w:rPr>
        <w:t>不得撤</w:t>
      </w:r>
      <w:r>
        <w:rPr>
          <w:rFonts w:hint="eastAsia" w:hAnsi="宋体" w:cs="Arial"/>
          <w:color w:val="auto"/>
          <w:szCs w:val="21"/>
          <w:highlight w:val="none"/>
        </w:rPr>
        <w:t>回</w:t>
      </w:r>
      <w:r>
        <w:rPr>
          <w:rFonts w:hAnsi="宋体" w:cs="Arial"/>
          <w:color w:val="auto"/>
          <w:szCs w:val="21"/>
          <w:highlight w:val="none"/>
        </w:rPr>
        <w:t>、修改</w:t>
      </w:r>
      <w:r>
        <w:rPr>
          <w:rFonts w:hint="eastAsia" w:hAnsi="宋体" w:cs="Arial"/>
          <w:color w:val="auto"/>
          <w:szCs w:val="21"/>
          <w:highlight w:val="none"/>
        </w:rPr>
        <w:t>响应</w:t>
      </w:r>
      <w:r>
        <w:rPr>
          <w:rFonts w:hAnsi="宋体" w:cs="Arial"/>
          <w:color w:val="auto"/>
          <w:szCs w:val="21"/>
          <w:highlight w:val="none"/>
        </w:rPr>
        <w:t>文件。</w:t>
      </w:r>
    </w:p>
    <w:p w14:paraId="46247222">
      <w:pPr>
        <w:pStyle w:val="14"/>
        <w:spacing w:line="400" w:lineRule="exact"/>
        <w:ind w:left="475" w:hanging="474" w:hangingChars="226"/>
        <w:rPr>
          <w:rFonts w:hAnsi="宋体"/>
          <w:color w:val="auto"/>
          <w:highlight w:val="none"/>
        </w:rPr>
      </w:pPr>
    </w:p>
    <w:p w14:paraId="1157C266">
      <w:pPr>
        <w:pStyle w:val="2"/>
        <w:spacing w:line="400" w:lineRule="exact"/>
        <w:jc w:val="center"/>
        <w:rPr>
          <w:rFonts w:ascii="宋体" w:hAnsi="宋体"/>
          <w:color w:val="auto"/>
          <w:highlight w:val="none"/>
        </w:rPr>
      </w:pPr>
      <w:bookmarkStart w:id="218" w:name="_Toc16068287"/>
      <w:bookmarkStart w:id="219" w:name="_Toc207770857"/>
      <w:bookmarkStart w:id="220" w:name="_Toc239839885"/>
      <w:bookmarkStart w:id="221" w:name="_Toc64706761"/>
      <w:bookmarkStart w:id="222" w:name="_Toc230578079"/>
      <w:bookmarkStart w:id="223" w:name="_Toc185702571"/>
      <w:bookmarkStart w:id="224" w:name="_Toc206525704"/>
      <w:bookmarkStart w:id="225" w:name="_Toc486196158"/>
      <w:bookmarkStart w:id="226" w:name="_Toc509140357"/>
      <w:r>
        <w:rPr>
          <w:rFonts w:hint="eastAsia" w:ascii="宋体" w:hAnsi="宋体"/>
          <w:color w:val="auto"/>
          <w:highlight w:val="none"/>
        </w:rPr>
        <w:t xml:space="preserve">五   </w:t>
      </w:r>
      <w:bookmarkEnd w:id="218"/>
      <w:bookmarkEnd w:id="219"/>
      <w:bookmarkEnd w:id="220"/>
      <w:bookmarkEnd w:id="221"/>
      <w:bookmarkEnd w:id="222"/>
      <w:bookmarkEnd w:id="223"/>
      <w:bookmarkEnd w:id="224"/>
      <w:bookmarkEnd w:id="225"/>
      <w:bookmarkEnd w:id="226"/>
      <w:bookmarkStart w:id="227" w:name="_Toc16068288"/>
      <w:bookmarkStart w:id="228" w:name="_Toc486196159"/>
      <w:bookmarkStart w:id="229" w:name="_Toc509140358"/>
      <w:r>
        <w:rPr>
          <w:rFonts w:hint="eastAsia" w:ascii="宋体" w:hAnsi="宋体"/>
          <w:color w:val="auto"/>
          <w:highlight w:val="none"/>
        </w:rPr>
        <w:t>响应文件的开启</w:t>
      </w:r>
    </w:p>
    <w:p w14:paraId="5E42425A">
      <w:pPr>
        <w:pStyle w:val="3"/>
        <w:spacing w:beforeLines="50" w:after="0" w:line="400" w:lineRule="exact"/>
        <w:rPr>
          <w:rFonts w:ascii="宋体" w:hAnsi="宋体" w:eastAsia="宋体"/>
          <w:color w:val="auto"/>
          <w:sz w:val="21"/>
          <w:szCs w:val="21"/>
          <w:highlight w:val="none"/>
        </w:rPr>
      </w:pPr>
      <w:bookmarkStart w:id="230" w:name="_Toc16068289"/>
      <w:r>
        <w:rPr>
          <w:rFonts w:hint="eastAsia" w:ascii="宋体" w:hAnsi="宋体" w:eastAsia="宋体"/>
          <w:color w:val="auto"/>
          <w:sz w:val="21"/>
          <w:szCs w:val="21"/>
          <w:highlight w:val="none"/>
        </w:rPr>
        <w:t>23.响应文件开启时间、地点</w:t>
      </w:r>
      <w:bookmarkEnd w:id="230"/>
    </w:p>
    <w:p w14:paraId="7A0284C7">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23.1响应文件开启时间和地点：见本章</w:t>
      </w:r>
      <w:r>
        <w:rPr>
          <w:rFonts w:hint="eastAsia" w:hAnsi="宋体"/>
          <w:color w:val="auto"/>
          <w:highlight w:val="none"/>
        </w:rPr>
        <w:t>“供应商须知前附表”第16项。</w:t>
      </w:r>
    </w:p>
    <w:p w14:paraId="68296C43">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23.2响应文件线上开启：</w:t>
      </w:r>
    </w:p>
    <w:p w14:paraId="2A029AA4">
      <w:pPr>
        <w:pStyle w:val="14"/>
        <w:spacing w:line="400" w:lineRule="exact"/>
        <w:ind w:left="475" w:hanging="474" w:hangingChars="226"/>
        <w:rPr>
          <w:rFonts w:hAnsi="宋体" w:cs="宋体"/>
          <w:color w:val="auto"/>
          <w:szCs w:val="21"/>
          <w:highlight w:val="none"/>
        </w:rPr>
      </w:pPr>
      <w:r>
        <w:rPr>
          <w:rFonts w:hint="eastAsia" w:hAnsi="宋体"/>
          <w:color w:val="auto"/>
          <w:highlight w:val="none"/>
        </w:rPr>
        <w:t>23.3本项目截标开标使用电子交易平台。线上不见面开启响应文件流程：</w:t>
      </w:r>
    </w:p>
    <w:p w14:paraId="6FDCF5CD">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① 供应商应提前登录“</w:t>
      </w:r>
      <w:r>
        <w:rPr>
          <w:rFonts w:hint="eastAsia" w:hAnsi="宋体" w:cs="仿宋_GB2312"/>
          <w:color w:val="auto"/>
          <w:kern w:val="0"/>
          <w:sz w:val="24"/>
          <w:highlight w:val="none"/>
        </w:rPr>
        <w:t>广西政府采购云平台</w:t>
      </w:r>
      <w:r>
        <w:rPr>
          <w:rFonts w:hint="eastAsia" w:hAnsi="宋体"/>
          <w:bCs/>
          <w:color w:val="auto"/>
          <w:szCs w:val="21"/>
          <w:highlight w:val="none"/>
        </w:rPr>
        <w:t>”进入项目开标大厅，系统自动签到，等待采购代理机构开启解密标书。</w:t>
      </w:r>
    </w:p>
    <w:p w14:paraId="6EF157A5">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② 项目到达开标时间，采购代理机构开启解密响应文件。</w:t>
      </w:r>
    </w:p>
    <w:p w14:paraId="702438CC">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③ 供应商应当在接到解密通知后30分钟内对已上传的电子响应文件进行在线解密，因非系统原因导致的解密失败，视为</w:t>
      </w:r>
      <w:r>
        <w:rPr>
          <w:rFonts w:hint="eastAsia" w:hAnsi="宋体"/>
          <w:b/>
          <w:bCs/>
          <w:color w:val="auto"/>
          <w:szCs w:val="21"/>
          <w:highlight w:val="none"/>
        </w:rPr>
        <w:t>响应无效</w:t>
      </w:r>
      <w:r>
        <w:rPr>
          <w:rFonts w:hint="eastAsia" w:hAnsi="宋体"/>
          <w:bCs/>
          <w:color w:val="auto"/>
          <w:szCs w:val="21"/>
          <w:highlight w:val="none"/>
        </w:rPr>
        <w:t>。</w:t>
      </w:r>
    </w:p>
    <w:p w14:paraId="1367776A">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④ 所有供应商在规定的解密时限内解密完成或解密时限结束后，采购代理机构开启响应文件。</w:t>
      </w:r>
    </w:p>
    <w:p w14:paraId="669E93A8">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⑤ 供应商可在线查看开标信息，对开标记录进行签章确认。</w:t>
      </w:r>
    </w:p>
    <w:p w14:paraId="7986BCFB">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⑥ 供应商完成签章，开标结束。</w:t>
      </w:r>
    </w:p>
    <w:p w14:paraId="0C20E4D4">
      <w:pPr>
        <w:pStyle w:val="14"/>
        <w:spacing w:line="400" w:lineRule="exact"/>
        <w:ind w:left="475" w:hanging="474" w:hangingChars="226"/>
        <w:rPr>
          <w:rFonts w:hAnsi="宋体" w:cs="宋体"/>
          <w:color w:val="auto"/>
          <w:kern w:val="0"/>
          <w:szCs w:val="21"/>
          <w:highlight w:val="none"/>
        </w:rPr>
      </w:pPr>
      <w:r>
        <w:rPr>
          <w:rFonts w:hint="eastAsia" w:hAnsi="宋体" w:cs="宋体"/>
          <w:color w:val="auto"/>
          <w:kern w:val="0"/>
          <w:szCs w:val="21"/>
          <w:highlight w:val="none"/>
        </w:rPr>
        <w:t>23.4供应商</w:t>
      </w:r>
      <w:r>
        <w:rPr>
          <w:rFonts w:hAnsi="宋体" w:cs="宋体"/>
          <w:color w:val="auto"/>
          <w:kern w:val="0"/>
          <w:szCs w:val="21"/>
          <w:highlight w:val="none"/>
        </w:rPr>
        <w:t>代表对开标过程和开标记录有疑义，以及认为采购人、采购代理机构相关工作人员有需要回避的情形的，应当场提出询问或者回避申请。采购人、采购代理机构对</w:t>
      </w:r>
      <w:r>
        <w:rPr>
          <w:rFonts w:hint="eastAsia" w:hAnsi="宋体" w:cs="宋体"/>
          <w:color w:val="auto"/>
          <w:kern w:val="0"/>
          <w:szCs w:val="21"/>
          <w:highlight w:val="none"/>
        </w:rPr>
        <w:t>供应商</w:t>
      </w:r>
      <w:r>
        <w:rPr>
          <w:rFonts w:hAnsi="宋体" w:cs="宋体"/>
          <w:color w:val="auto"/>
          <w:kern w:val="0"/>
          <w:szCs w:val="21"/>
          <w:highlight w:val="none"/>
        </w:rPr>
        <w:t>代表提出的询问或者回避申请将及时处理。</w:t>
      </w:r>
    </w:p>
    <w:p w14:paraId="0480C61D">
      <w:pPr>
        <w:pStyle w:val="14"/>
        <w:spacing w:line="400" w:lineRule="exact"/>
        <w:ind w:left="475" w:hanging="474" w:hangingChars="226"/>
        <w:rPr>
          <w:rFonts w:hAnsi="宋体"/>
          <w:color w:val="auto"/>
          <w:highlight w:val="none"/>
        </w:rPr>
      </w:pPr>
      <w:r>
        <w:rPr>
          <w:rFonts w:hint="eastAsia" w:hAnsi="宋体" w:cs="宋体"/>
          <w:color w:val="auto"/>
          <w:kern w:val="0"/>
          <w:szCs w:val="21"/>
          <w:highlight w:val="none"/>
        </w:rPr>
        <w:t>23.5供应商未参加开标大会的，视同认可开标结果，事后不得对采购相关人员、开标过程和开标结果提</w:t>
      </w:r>
      <w:r>
        <w:rPr>
          <w:rFonts w:hint="eastAsia" w:hAnsi="宋体"/>
          <w:color w:val="auto"/>
          <w:highlight w:val="none"/>
        </w:rPr>
        <w:t>出异议，</w:t>
      </w:r>
      <w:r>
        <w:rPr>
          <w:rFonts w:hint="eastAsia" w:hAnsi="宋体" w:cs="宋体"/>
          <w:color w:val="auto"/>
          <w:kern w:val="0"/>
          <w:szCs w:val="21"/>
          <w:highlight w:val="none"/>
        </w:rPr>
        <w:t>同时供应商因未在线参加开标而导致</w:t>
      </w:r>
      <w:r>
        <w:rPr>
          <w:rFonts w:hint="eastAsia" w:hAnsi="宋体"/>
          <w:bCs/>
          <w:color w:val="auto"/>
          <w:szCs w:val="21"/>
          <w:highlight w:val="none"/>
        </w:rPr>
        <w:t>响应</w:t>
      </w:r>
      <w:r>
        <w:rPr>
          <w:rFonts w:hint="eastAsia" w:hAnsi="宋体" w:cs="宋体"/>
          <w:color w:val="auto"/>
          <w:kern w:val="0"/>
          <w:szCs w:val="21"/>
          <w:highlight w:val="none"/>
        </w:rPr>
        <w:t>文件无法按时解密等一切后果由供应商自己承担</w:t>
      </w:r>
      <w:r>
        <w:rPr>
          <w:rFonts w:hint="eastAsia" w:hAnsi="宋体"/>
          <w:color w:val="auto"/>
          <w:highlight w:val="none"/>
        </w:rPr>
        <w:t>。</w:t>
      </w:r>
    </w:p>
    <w:p w14:paraId="6C8D75E0">
      <w:pPr>
        <w:spacing w:line="400" w:lineRule="exact"/>
        <w:rPr>
          <w:rFonts w:ascii="宋体" w:hAnsi="宋体"/>
          <w:color w:val="auto"/>
          <w:highlight w:val="none"/>
        </w:rPr>
      </w:pPr>
    </w:p>
    <w:p w14:paraId="72598292">
      <w:pPr>
        <w:pStyle w:val="2"/>
        <w:spacing w:line="400" w:lineRule="exact"/>
        <w:jc w:val="center"/>
        <w:rPr>
          <w:rFonts w:ascii="宋体" w:hAnsi="宋体"/>
          <w:color w:val="auto"/>
          <w:highlight w:val="none"/>
        </w:rPr>
      </w:pPr>
      <w:r>
        <w:rPr>
          <w:rFonts w:hint="eastAsia" w:ascii="宋体" w:hAnsi="宋体"/>
          <w:color w:val="auto"/>
          <w:highlight w:val="none"/>
        </w:rPr>
        <w:t>六   评审</w:t>
      </w:r>
    </w:p>
    <w:p w14:paraId="5E956380">
      <w:pPr>
        <w:pStyle w:val="3"/>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24．组建磋商小组</w:t>
      </w:r>
      <w:bookmarkEnd w:id="227"/>
    </w:p>
    <w:p w14:paraId="73F1D0B7">
      <w:pPr>
        <w:pStyle w:val="14"/>
        <w:spacing w:line="400" w:lineRule="exact"/>
        <w:ind w:left="525" w:hanging="525" w:hangingChars="250"/>
        <w:rPr>
          <w:rFonts w:hAnsi="宋体"/>
          <w:color w:val="auto"/>
          <w:highlight w:val="none"/>
        </w:rPr>
      </w:pPr>
      <w:r>
        <w:rPr>
          <w:rFonts w:hint="eastAsia" w:hAnsi="宋体"/>
          <w:color w:val="auto"/>
          <w:highlight w:val="none"/>
        </w:rPr>
        <w:t>24.1磋商小组成员人数：见本章“供应商须知前附表”第17项。</w:t>
      </w:r>
    </w:p>
    <w:p w14:paraId="31A9E745">
      <w:pPr>
        <w:pStyle w:val="14"/>
        <w:spacing w:line="400" w:lineRule="exact"/>
        <w:ind w:left="525" w:hanging="525" w:hangingChars="250"/>
        <w:rPr>
          <w:rFonts w:hAnsi="宋体"/>
          <w:color w:val="auto"/>
          <w:highlight w:val="none"/>
        </w:rPr>
      </w:pPr>
      <w:r>
        <w:rPr>
          <w:rFonts w:hint="eastAsia" w:hAnsi="宋体"/>
          <w:color w:val="auto"/>
          <w:highlight w:val="none"/>
        </w:rPr>
        <w:t>24.2采购人和采购代理机构将依法</w:t>
      </w:r>
      <w:r>
        <w:rPr>
          <w:rFonts w:hAnsi="宋体"/>
          <w:color w:val="auto"/>
          <w:highlight w:val="none"/>
        </w:rPr>
        <w:t>组建竞争性</w:t>
      </w:r>
      <w:r>
        <w:rPr>
          <w:rFonts w:hint="eastAsia" w:hAnsi="宋体"/>
          <w:color w:val="auto"/>
          <w:highlight w:val="none"/>
        </w:rPr>
        <w:t>磋商小组</w:t>
      </w:r>
      <w:r>
        <w:rPr>
          <w:rFonts w:hAnsi="宋体"/>
          <w:color w:val="auto"/>
          <w:highlight w:val="none"/>
        </w:rPr>
        <w:t>（以下简称</w:t>
      </w:r>
      <w:r>
        <w:rPr>
          <w:rFonts w:hint="eastAsia" w:hAnsi="宋体"/>
          <w:color w:val="auto"/>
          <w:highlight w:val="none"/>
        </w:rPr>
        <w:t>磋商小组</w:t>
      </w:r>
      <w:r>
        <w:rPr>
          <w:rFonts w:hAnsi="宋体"/>
          <w:color w:val="auto"/>
          <w:highlight w:val="none"/>
        </w:rPr>
        <w:t>）</w:t>
      </w:r>
      <w:r>
        <w:rPr>
          <w:rFonts w:hint="eastAsia" w:hAnsi="宋体"/>
          <w:color w:val="auto"/>
          <w:highlight w:val="none"/>
        </w:rPr>
        <w:t>，磋商小组</w:t>
      </w:r>
      <w:r>
        <w:rPr>
          <w:rFonts w:hAnsi="宋体"/>
          <w:color w:val="auto"/>
          <w:highlight w:val="none"/>
        </w:rPr>
        <w:t>由</w:t>
      </w:r>
      <w:r>
        <w:rPr>
          <w:rFonts w:hint="eastAsia" w:hAnsi="宋体"/>
          <w:color w:val="auto"/>
          <w:highlight w:val="none"/>
        </w:rPr>
        <w:t>采购人代表和在</w:t>
      </w:r>
      <w:r>
        <w:rPr>
          <w:rFonts w:hint="eastAsia" w:hAnsi="宋体"/>
          <w:bCs/>
          <w:color w:val="auto"/>
          <w:highlight w:val="none"/>
        </w:rPr>
        <w:t>政府采购评审专家库中随机抽取</w:t>
      </w:r>
      <w:r>
        <w:rPr>
          <w:rFonts w:hint="eastAsia" w:hAnsi="宋体"/>
          <w:color w:val="auto"/>
          <w:highlight w:val="none"/>
        </w:rPr>
        <w:t>的有关技术、经济等方面的评审专家组成，其中评审专家人数不少于磋商小组成员总</w:t>
      </w:r>
      <w:r>
        <w:rPr>
          <w:rFonts w:hint="eastAsia" w:hAnsi="宋体"/>
          <w:bCs/>
          <w:color w:val="auto"/>
          <w:highlight w:val="none"/>
        </w:rPr>
        <w:t>数的</w:t>
      </w:r>
      <w:r>
        <w:rPr>
          <w:rFonts w:hAnsi="宋体"/>
          <w:bCs/>
          <w:color w:val="auto"/>
          <w:highlight w:val="none"/>
        </w:rPr>
        <w:t>2/3</w:t>
      </w:r>
      <w:r>
        <w:rPr>
          <w:rFonts w:hint="eastAsia" w:hAnsi="宋体"/>
          <w:bCs/>
          <w:color w:val="auto"/>
          <w:highlight w:val="none"/>
        </w:rPr>
        <w:t>。</w:t>
      </w:r>
    </w:p>
    <w:bookmarkEnd w:id="228"/>
    <w:bookmarkEnd w:id="229"/>
    <w:p w14:paraId="15275913">
      <w:pPr>
        <w:pStyle w:val="3"/>
        <w:spacing w:beforeLines="50" w:after="0" w:line="400" w:lineRule="exact"/>
        <w:rPr>
          <w:rFonts w:ascii="宋体" w:hAnsi="宋体" w:eastAsia="宋体"/>
          <w:color w:val="auto"/>
          <w:sz w:val="21"/>
          <w:szCs w:val="21"/>
          <w:highlight w:val="none"/>
        </w:rPr>
      </w:pPr>
      <w:bookmarkStart w:id="231" w:name="_Toc206525706"/>
      <w:bookmarkStart w:id="232" w:name="_Toc239839887"/>
      <w:bookmarkStart w:id="233" w:name="_Toc185702573"/>
      <w:bookmarkStart w:id="234" w:name="_Toc230578081"/>
      <w:bookmarkStart w:id="235" w:name="_Toc207770859"/>
      <w:bookmarkStart w:id="236" w:name="_Toc486196160"/>
      <w:bookmarkStart w:id="237" w:name="_Toc509140360"/>
      <w:bookmarkStart w:id="238" w:name="_Toc16068290"/>
      <w:r>
        <w:rPr>
          <w:rFonts w:hint="eastAsia" w:ascii="宋体" w:hAnsi="宋体" w:eastAsia="宋体"/>
          <w:color w:val="auto"/>
          <w:sz w:val="21"/>
          <w:szCs w:val="21"/>
          <w:highlight w:val="none"/>
        </w:rPr>
        <w:t>25．评</w:t>
      </w:r>
      <w:bookmarkEnd w:id="231"/>
      <w:bookmarkEnd w:id="232"/>
      <w:bookmarkEnd w:id="233"/>
      <w:bookmarkEnd w:id="234"/>
      <w:bookmarkEnd w:id="235"/>
      <w:r>
        <w:rPr>
          <w:rFonts w:hint="eastAsia" w:ascii="宋体" w:hAnsi="宋体" w:eastAsia="宋体"/>
          <w:color w:val="auto"/>
          <w:sz w:val="21"/>
          <w:szCs w:val="21"/>
          <w:highlight w:val="none"/>
        </w:rPr>
        <w:t>审</w:t>
      </w:r>
      <w:bookmarkEnd w:id="236"/>
      <w:bookmarkEnd w:id="237"/>
      <w:r>
        <w:rPr>
          <w:rFonts w:hint="eastAsia" w:ascii="宋体" w:hAnsi="宋体" w:eastAsia="宋体"/>
          <w:color w:val="auto"/>
          <w:sz w:val="21"/>
          <w:szCs w:val="21"/>
          <w:highlight w:val="none"/>
        </w:rPr>
        <w:t>纪律</w:t>
      </w:r>
      <w:bookmarkEnd w:id="238"/>
    </w:p>
    <w:p w14:paraId="4093CBF0">
      <w:pPr>
        <w:pStyle w:val="14"/>
        <w:spacing w:line="400" w:lineRule="exact"/>
        <w:ind w:left="466" w:hanging="465" w:hangingChars="226"/>
        <w:rPr>
          <w:rFonts w:hAnsi="宋体"/>
          <w:color w:val="auto"/>
          <w:szCs w:val="21"/>
          <w:highlight w:val="none"/>
        </w:rPr>
      </w:pPr>
      <w:r>
        <w:rPr>
          <w:rFonts w:hint="eastAsia" w:hAnsi="宋体"/>
          <w:color w:val="auto"/>
          <w:spacing w:val="-2"/>
          <w:szCs w:val="21"/>
          <w:highlight w:val="none"/>
        </w:rPr>
        <w:t>25.</w:t>
      </w:r>
      <w:r>
        <w:rPr>
          <w:rFonts w:hint="eastAsia" w:hAnsi="宋体"/>
          <w:color w:val="auto"/>
          <w:szCs w:val="21"/>
          <w:highlight w:val="none"/>
        </w:rPr>
        <w:t>1采购人、采购代理机构应当按照《中华人民共和国政府采购法》、《中华人民共和国政府采购法实施条例》、《竞争性磋商采购方式管理暂行办法》的规定组织开展评审活动，并采取必要措施，保证评审活动在严格保密的情况下进行。任何单位和个人不得非法干预、影响评审过程和结果。</w:t>
      </w:r>
    </w:p>
    <w:p w14:paraId="1E20C5D9">
      <w:pPr>
        <w:pStyle w:val="14"/>
        <w:spacing w:line="400" w:lineRule="exact"/>
        <w:ind w:left="466" w:hanging="465" w:hangingChars="226"/>
        <w:rPr>
          <w:rFonts w:hAnsi="宋体"/>
          <w:color w:val="auto"/>
          <w:highlight w:val="none"/>
        </w:rPr>
      </w:pPr>
      <w:r>
        <w:rPr>
          <w:rFonts w:hint="eastAsia" w:hAnsi="宋体"/>
          <w:color w:val="auto"/>
          <w:spacing w:val="-2"/>
          <w:szCs w:val="21"/>
          <w:highlight w:val="none"/>
        </w:rPr>
        <w:t>25</w:t>
      </w:r>
      <w:r>
        <w:rPr>
          <w:rFonts w:hint="eastAsia" w:hAnsi="宋体"/>
          <w:color w:val="auto"/>
          <w:highlight w:val="none"/>
        </w:rPr>
        <w:t>.2</w:t>
      </w:r>
      <w:r>
        <w:rPr>
          <w:rFonts w:hint="eastAsia" w:hAnsi="宋体"/>
          <w:color w:val="auto"/>
          <w:szCs w:val="21"/>
          <w:highlight w:val="none"/>
        </w:rPr>
        <w:t>本采购项目采用不公开方式评审，评审的依据为磋商文件和响应文件及</w:t>
      </w:r>
      <w:r>
        <w:rPr>
          <w:rFonts w:hint="eastAsia" w:hAnsi="宋体"/>
          <w:color w:val="auto"/>
          <w:kern w:val="0"/>
          <w:szCs w:val="21"/>
          <w:highlight w:val="none"/>
        </w:rPr>
        <w:t>磋商</w:t>
      </w:r>
      <w:r>
        <w:rPr>
          <w:rFonts w:hint="eastAsia" w:hAnsi="宋体"/>
          <w:color w:val="auto"/>
          <w:szCs w:val="21"/>
          <w:highlight w:val="none"/>
        </w:rPr>
        <w:t>应答文件等。</w:t>
      </w:r>
      <w:r>
        <w:rPr>
          <w:rFonts w:hint="eastAsia" w:hAnsi="宋体"/>
          <w:color w:val="auto"/>
          <w:highlight w:val="none"/>
        </w:rPr>
        <w:t>磋商小组决定响应文件的响应程序只依据响应文件本身的真实无误的内容，而不依据外部证据。</w:t>
      </w:r>
      <w:r>
        <w:rPr>
          <w:rFonts w:hint="eastAsia" w:hAnsi="宋体" w:cs="宋体"/>
          <w:color w:val="auto"/>
          <w:kern w:val="0"/>
          <w:highlight w:val="none"/>
        </w:rPr>
        <w:t>但响应文件有不真实、不正确内容的除外。</w:t>
      </w:r>
    </w:p>
    <w:p w14:paraId="01B5FB0B">
      <w:pPr>
        <w:pStyle w:val="14"/>
        <w:spacing w:line="400" w:lineRule="exact"/>
        <w:ind w:left="466" w:hanging="465" w:hangingChars="226"/>
        <w:rPr>
          <w:rFonts w:hAnsi="宋体"/>
          <w:color w:val="auto"/>
          <w:highlight w:val="none"/>
        </w:rPr>
      </w:pPr>
      <w:r>
        <w:rPr>
          <w:rFonts w:hint="eastAsia" w:hAnsi="宋体"/>
          <w:color w:val="auto"/>
          <w:spacing w:val="-2"/>
          <w:szCs w:val="21"/>
          <w:highlight w:val="none"/>
        </w:rPr>
        <w:t>25.3</w:t>
      </w:r>
      <w:r>
        <w:rPr>
          <w:rFonts w:hint="eastAsia" w:hAnsi="宋体"/>
          <w:color w:val="auto"/>
          <w:highlight w:val="none"/>
        </w:rPr>
        <w:t>磋商小组成员、有关工作人员及其他知情人不得透露对响应文件评审、比较、成交候选供应商的推荐情况以及与评审有关的其他情况。</w:t>
      </w:r>
    </w:p>
    <w:p w14:paraId="5D268CBC">
      <w:pPr>
        <w:pStyle w:val="14"/>
        <w:spacing w:line="400" w:lineRule="exact"/>
        <w:ind w:left="466" w:hanging="465" w:hangingChars="226"/>
        <w:rPr>
          <w:rFonts w:hAnsi="宋体"/>
          <w:color w:val="auto"/>
          <w:spacing w:val="-2"/>
          <w:szCs w:val="21"/>
          <w:highlight w:val="none"/>
        </w:rPr>
      </w:pPr>
      <w:r>
        <w:rPr>
          <w:rFonts w:hint="eastAsia" w:hAnsi="宋体"/>
          <w:color w:val="auto"/>
          <w:spacing w:val="-2"/>
          <w:szCs w:val="21"/>
          <w:highlight w:val="none"/>
        </w:rPr>
        <w:t>25.4在政府采购活动中，采购人员及相关人员与供应商有下列利害关系之一的，应当回避：</w:t>
      </w:r>
    </w:p>
    <w:p w14:paraId="2A4E27DB">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(1) 参加采购活动前3年内与供应商存在劳动关系；</w:t>
      </w:r>
    </w:p>
    <w:p w14:paraId="1309C993">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(2) 参加采购活动前3年内担任供应商的董事、监事；</w:t>
      </w:r>
    </w:p>
    <w:p w14:paraId="56FF2C2A">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(3) 参加采购活动前3年内是供应商的控股股东或者实际控制人；</w:t>
      </w:r>
    </w:p>
    <w:p w14:paraId="20E9AF21">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(4) 与供应商的法定代表人或者负责人有夫妻、直系血亲、三代以内旁系血亲或者近姻亲关系；</w:t>
      </w:r>
    </w:p>
    <w:p w14:paraId="101C8F6F">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(5) 与供应商有其他可能影响政府采购活动公平、公正进行的关系。</w:t>
      </w:r>
    </w:p>
    <w:bookmarkEnd w:id="153"/>
    <w:bookmarkEnd w:id="154"/>
    <w:bookmarkEnd w:id="155"/>
    <w:bookmarkEnd w:id="156"/>
    <w:p w14:paraId="262EC785">
      <w:pPr>
        <w:pStyle w:val="3"/>
        <w:spacing w:beforeLines="50" w:after="0" w:line="400" w:lineRule="exact"/>
        <w:rPr>
          <w:rFonts w:ascii="宋体" w:hAnsi="宋体" w:eastAsia="宋体"/>
          <w:color w:val="auto"/>
          <w:sz w:val="21"/>
          <w:szCs w:val="21"/>
          <w:highlight w:val="none"/>
        </w:rPr>
      </w:pPr>
      <w:bookmarkStart w:id="239" w:name="_Toc185702575"/>
      <w:bookmarkStart w:id="240" w:name="_Toc206525708"/>
      <w:bookmarkStart w:id="241" w:name="_Toc230578083"/>
      <w:bookmarkStart w:id="242" w:name="_Toc16068292"/>
      <w:bookmarkStart w:id="243" w:name="_Toc207770861"/>
      <w:bookmarkStart w:id="244" w:name="_Toc239839889"/>
      <w:r>
        <w:rPr>
          <w:rFonts w:hint="eastAsia" w:ascii="宋体" w:hAnsi="宋体" w:eastAsia="宋体"/>
          <w:color w:val="auto"/>
          <w:sz w:val="21"/>
          <w:szCs w:val="21"/>
          <w:highlight w:val="none"/>
        </w:rPr>
        <w:t>26．磋商、评审方法和评审程序</w:t>
      </w:r>
    </w:p>
    <w:p w14:paraId="49BA5BDA">
      <w:pPr>
        <w:pStyle w:val="14"/>
        <w:spacing w:line="400" w:lineRule="exact"/>
        <w:ind w:left="315" w:hanging="315" w:hangingChars="150"/>
        <w:rPr>
          <w:rFonts w:hAnsi="宋体"/>
          <w:color w:val="auto"/>
          <w:spacing w:val="-4"/>
          <w:szCs w:val="21"/>
          <w:highlight w:val="none"/>
        </w:rPr>
      </w:pPr>
      <w:r>
        <w:rPr>
          <w:rFonts w:hint="eastAsia" w:hAnsi="宋体"/>
          <w:color w:val="auto"/>
          <w:szCs w:val="21"/>
          <w:highlight w:val="none"/>
        </w:rPr>
        <w:t>26.1</w:t>
      </w:r>
      <w:r>
        <w:rPr>
          <w:rFonts w:hint="eastAsia" w:hAnsi="宋体"/>
          <w:color w:val="auto"/>
          <w:highlight w:val="none"/>
        </w:rPr>
        <w:t>磋商时间、地点和方式：见本章“供应商须知前附表”</w:t>
      </w:r>
      <w:r>
        <w:rPr>
          <w:rFonts w:hint="eastAsia" w:hAnsi="宋体"/>
          <w:color w:val="auto"/>
          <w:spacing w:val="-4"/>
          <w:szCs w:val="21"/>
          <w:highlight w:val="none"/>
        </w:rPr>
        <w:t>第18项。</w:t>
      </w:r>
    </w:p>
    <w:p w14:paraId="4D0F3327">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26.2</w:t>
      </w:r>
      <w:r>
        <w:rPr>
          <w:rFonts w:hint="eastAsia" w:hAnsi="宋体"/>
          <w:bCs/>
          <w:color w:val="auto"/>
          <w:highlight w:val="none"/>
        </w:rPr>
        <w:t>评审方法：</w:t>
      </w:r>
      <w:r>
        <w:rPr>
          <w:rFonts w:hint="eastAsia" w:hAnsi="宋体"/>
          <w:color w:val="auto"/>
          <w:highlight w:val="none"/>
        </w:rPr>
        <w:t>见本章“供应商须知前附表”</w:t>
      </w:r>
      <w:r>
        <w:rPr>
          <w:rFonts w:hint="eastAsia" w:hAnsi="宋体"/>
          <w:color w:val="auto"/>
          <w:spacing w:val="-4"/>
          <w:szCs w:val="21"/>
          <w:highlight w:val="none"/>
        </w:rPr>
        <w:t>第19项。</w:t>
      </w:r>
    </w:p>
    <w:p w14:paraId="5A6E75CC">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26.3评审程序和评审标准：见第四章“评标方法及评标标准”</w:t>
      </w:r>
    </w:p>
    <w:bookmarkEnd w:id="239"/>
    <w:bookmarkEnd w:id="240"/>
    <w:bookmarkEnd w:id="241"/>
    <w:bookmarkEnd w:id="242"/>
    <w:bookmarkEnd w:id="243"/>
    <w:bookmarkEnd w:id="244"/>
    <w:p w14:paraId="4B52703B">
      <w:pPr>
        <w:pStyle w:val="14"/>
        <w:spacing w:line="400" w:lineRule="exact"/>
        <w:ind w:left="475" w:hanging="474" w:hangingChars="226"/>
        <w:rPr>
          <w:rFonts w:hAnsi="宋体"/>
          <w:bCs/>
          <w:color w:val="auto"/>
          <w:szCs w:val="21"/>
          <w:highlight w:val="none"/>
        </w:rPr>
      </w:pPr>
    </w:p>
    <w:p w14:paraId="5D3CA388">
      <w:pPr>
        <w:pStyle w:val="2"/>
        <w:spacing w:line="400" w:lineRule="exact"/>
        <w:jc w:val="center"/>
        <w:rPr>
          <w:rFonts w:ascii="宋体" w:hAnsi="宋体"/>
          <w:color w:val="auto"/>
          <w:highlight w:val="none"/>
        </w:rPr>
      </w:pPr>
      <w:bookmarkStart w:id="245" w:name="_Toc16068294"/>
      <w:bookmarkStart w:id="246" w:name="_Toc64706762"/>
      <w:r>
        <w:rPr>
          <w:rFonts w:hint="eastAsia" w:ascii="宋体" w:hAnsi="宋体"/>
          <w:color w:val="auto"/>
          <w:highlight w:val="none"/>
        </w:rPr>
        <w:t>六   确定成交供应商</w:t>
      </w:r>
      <w:bookmarkEnd w:id="245"/>
      <w:bookmarkEnd w:id="246"/>
    </w:p>
    <w:p w14:paraId="520F4D3B">
      <w:pPr>
        <w:pStyle w:val="3"/>
        <w:spacing w:beforeLines="50" w:after="0" w:line="400" w:lineRule="exact"/>
        <w:rPr>
          <w:rFonts w:ascii="宋体" w:hAnsi="宋体" w:eastAsia="宋体"/>
          <w:color w:val="auto"/>
          <w:sz w:val="21"/>
          <w:szCs w:val="21"/>
          <w:highlight w:val="none"/>
        </w:rPr>
      </w:pPr>
      <w:bookmarkStart w:id="247" w:name="_Toc16068295"/>
      <w:r>
        <w:rPr>
          <w:rFonts w:hint="eastAsia" w:ascii="宋体" w:hAnsi="宋体" w:eastAsia="宋体"/>
          <w:color w:val="auto"/>
          <w:sz w:val="21"/>
          <w:szCs w:val="21"/>
          <w:highlight w:val="none"/>
        </w:rPr>
        <w:t>27．确定成交供应商</w:t>
      </w:r>
      <w:bookmarkEnd w:id="247"/>
    </w:p>
    <w:p w14:paraId="36224FB1">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27.1采购代理机构</w:t>
      </w:r>
      <w:r>
        <w:rPr>
          <w:rFonts w:hint="eastAsia" w:hAnsi="宋体"/>
          <w:color w:val="auto"/>
          <w:highlight w:val="none"/>
        </w:rPr>
        <w:t>应当</w:t>
      </w:r>
      <w:r>
        <w:rPr>
          <w:rFonts w:hint="eastAsia" w:hAnsi="宋体"/>
          <w:color w:val="auto"/>
          <w:szCs w:val="21"/>
          <w:highlight w:val="none"/>
        </w:rPr>
        <w:t>在评审结束后2个工作日内将评审报告送采购人确认。</w:t>
      </w:r>
    </w:p>
    <w:p w14:paraId="41211DDC">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27.2采购人应当在收到评审报告5个工作日内，从评审报告提出的成交候选供应商中，按照排序由高到低的原则确定成交供应商。</w:t>
      </w:r>
    </w:p>
    <w:p w14:paraId="7F56C659">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27.3采购人逾期未确定成交供应商且不提出异议的，视为确定评审报告提出的排序第一的供应商为成交供应商。</w:t>
      </w:r>
    </w:p>
    <w:p w14:paraId="1EC320D1">
      <w:pPr>
        <w:pStyle w:val="3"/>
        <w:spacing w:beforeLines="50" w:after="0" w:line="400" w:lineRule="exact"/>
        <w:rPr>
          <w:rFonts w:ascii="宋体" w:hAnsi="宋体" w:eastAsia="宋体"/>
          <w:color w:val="auto"/>
          <w:sz w:val="21"/>
          <w:szCs w:val="21"/>
          <w:highlight w:val="none"/>
        </w:rPr>
      </w:pPr>
      <w:bookmarkStart w:id="248" w:name="_Toc16068296"/>
      <w:r>
        <w:rPr>
          <w:rFonts w:hint="eastAsia" w:ascii="宋体" w:hAnsi="宋体" w:eastAsia="宋体"/>
          <w:color w:val="auto"/>
          <w:sz w:val="21"/>
          <w:szCs w:val="21"/>
          <w:highlight w:val="none"/>
        </w:rPr>
        <w:t>28．结果公告及成交通知</w:t>
      </w:r>
      <w:bookmarkEnd w:id="248"/>
    </w:p>
    <w:p w14:paraId="0837E261">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28.1采购人或采购代理机构应当在成交供应商确定后2个工作日内，在原公告发布媒体上公告成交结果，</w:t>
      </w:r>
      <w:r>
        <w:rPr>
          <w:rFonts w:hint="eastAsia" w:hAnsi="宋体" w:cs="宋体"/>
          <w:color w:val="auto"/>
          <w:kern w:val="0"/>
          <w:szCs w:val="21"/>
          <w:highlight w:val="none"/>
        </w:rPr>
        <w:t>成交公告期限为</w:t>
      </w:r>
      <w:r>
        <w:rPr>
          <w:rFonts w:hAnsi="宋体" w:cs="宋体"/>
          <w:color w:val="auto"/>
          <w:kern w:val="0"/>
          <w:szCs w:val="21"/>
          <w:highlight w:val="none"/>
        </w:rPr>
        <w:t>1</w:t>
      </w:r>
      <w:r>
        <w:rPr>
          <w:rFonts w:hint="eastAsia" w:hAnsi="宋体" w:cs="宋体"/>
          <w:color w:val="auto"/>
          <w:kern w:val="0"/>
          <w:szCs w:val="21"/>
          <w:highlight w:val="none"/>
        </w:rPr>
        <w:t>个工作日，</w:t>
      </w:r>
      <w:r>
        <w:rPr>
          <w:rFonts w:hint="eastAsia" w:hAnsi="宋体"/>
          <w:color w:val="auto"/>
          <w:szCs w:val="21"/>
          <w:highlight w:val="none"/>
        </w:rPr>
        <w:t>同时向成交</w:t>
      </w:r>
      <w:r>
        <w:rPr>
          <w:rFonts w:hint="eastAsia" w:hAnsi="宋体"/>
          <w:color w:val="auto"/>
          <w:highlight w:val="none"/>
        </w:rPr>
        <w:t>供应</w:t>
      </w:r>
      <w:r>
        <w:rPr>
          <w:rFonts w:hint="eastAsia" w:hAnsi="宋体"/>
          <w:color w:val="auto"/>
          <w:szCs w:val="21"/>
          <w:highlight w:val="none"/>
        </w:rPr>
        <w:t>商发出成交通知书。</w:t>
      </w:r>
    </w:p>
    <w:p w14:paraId="03A38CD2">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28.2</w:t>
      </w:r>
      <w:r>
        <w:rPr>
          <w:rFonts w:hint="eastAsia" w:hAnsi="宋体" w:cs="宋体"/>
          <w:color w:val="auto"/>
          <w:kern w:val="0"/>
          <w:szCs w:val="21"/>
          <w:highlight w:val="none"/>
        </w:rPr>
        <w:t>成交通知书发出后，采购人不得违法改变成交结果，成交供应商无正当理由不得放弃成交。</w:t>
      </w:r>
    </w:p>
    <w:p w14:paraId="3F41042A">
      <w:pPr>
        <w:pStyle w:val="14"/>
        <w:spacing w:line="400" w:lineRule="exact"/>
        <w:ind w:left="475" w:hanging="474" w:hangingChars="226"/>
        <w:rPr>
          <w:rFonts w:hAnsi="宋体"/>
          <w:color w:val="auto"/>
          <w:highlight w:val="none"/>
        </w:rPr>
      </w:pPr>
      <w:r>
        <w:rPr>
          <w:rFonts w:hint="eastAsia" w:hAnsi="宋体"/>
          <w:color w:val="auto"/>
          <w:szCs w:val="21"/>
          <w:highlight w:val="none"/>
        </w:rPr>
        <w:t>28.3成交供应商及时至采购代理机构办理成交手续并缴纳相关费用。</w:t>
      </w:r>
    </w:p>
    <w:p w14:paraId="7952D61C">
      <w:pPr>
        <w:pStyle w:val="3"/>
        <w:spacing w:beforeLines="50" w:after="0" w:line="400" w:lineRule="exact"/>
        <w:rPr>
          <w:rFonts w:ascii="宋体" w:hAnsi="宋体" w:eastAsia="宋体"/>
          <w:color w:val="auto"/>
          <w:sz w:val="21"/>
          <w:szCs w:val="21"/>
          <w:highlight w:val="none"/>
        </w:rPr>
      </w:pPr>
      <w:bookmarkStart w:id="249" w:name="_Toc16068293"/>
      <w:r>
        <w:rPr>
          <w:rFonts w:hint="eastAsia" w:ascii="宋体" w:hAnsi="宋体" w:eastAsia="宋体"/>
          <w:color w:val="auto"/>
          <w:sz w:val="21"/>
          <w:szCs w:val="21"/>
          <w:highlight w:val="none"/>
        </w:rPr>
        <w:t>29．废标</w:t>
      </w:r>
    </w:p>
    <w:p w14:paraId="6AC3CB23">
      <w:pPr>
        <w:pStyle w:val="14"/>
        <w:spacing w:line="400" w:lineRule="exact"/>
        <w:ind w:left="475" w:hanging="474" w:hangingChars="226"/>
        <w:rPr>
          <w:rFonts w:hAnsi="宋体"/>
          <w:bCs/>
          <w:color w:val="auto"/>
          <w:highlight w:val="none"/>
        </w:rPr>
      </w:pPr>
      <w:r>
        <w:rPr>
          <w:rFonts w:hint="eastAsia" w:hAnsi="宋体"/>
          <w:color w:val="auto"/>
          <w:highlight w:val="none"/>
        </w:rPr>
        <w:t>29</w:t>
      </w:r>
      <w:r>
        <w:rPr>
          <w:rFonts w:hint="eastAsia" w:hAnsi="宋体"/>
          <w:bCs/>
          <w:color w:val="auto"/>
          <w:highlight w:val="none"/>
        </w:rPr>
        <w:t>.1出现下列情形之一的，采购人或者采购代理机构应当终止竞争性磋商采购活动，发布项目终止公告并说明原因，</w:t>
      </w:r>
      <w:r>
        <w:rPr>
          <w:rFonts w:hint="eastAsia" w:hAnsi="宋体"/>
          <w:color w:val="auto"/>
          <w:highlight w:val="none"/>
        </w:rPr>
        <w:t>重新</w:t>
      </w:r>
      <w:r>
        <w:rPr>
          <w:rFonts w:hint="eastAsia" w:hAnsi="宋体"/>
          <w:bCs/>
          <w:color w:val="auto"/>
          <w:highlight w:val="none"/>
        </w:rPr>
        <w:t>开展采购活动：</w:t>
      </w:r>
    </w:p>
    <w:p w14:paraId="5BBBD802">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① </w:t>
      </w:r>
      <w:r>
        <w:rPr>
          <w:rFonts w:hint="eastAsia" w:ascii="宋体" w:hAnsi="宋体"/>
          <w:bCs/>
          <w:color w:val="auto"/>
          <w:highlight w:val="none"/>
        </w:rPr>
        <w:t>因情况变化，不再符合规定的竞争性磋商采购方式适用情形的；</w:t>
      </w:r>
    </w:p>
    <w:p w14:paraId="14C7087F">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② </w:t>
      </w:r>
      <w:r>
        <w:rPr>
          <w:rFonts w:hint="eastAsia" w:ascii="宋体" w:hAnsi="宋体"/>
          <w:bCs/>
          <w:color w:val="auto"/>
          <w:highlight w:val="none"/>
        </w:rPr>
        <w:t>出现影响</w:t>
      </w:r>
      <w:r>
        <w:rPr>
          <w:rFonts w:hint="eastAsia" w:ascii="宋体" w:hAnsi="宋体"/>
          <w:color w:val="auto"/>
          <w:highlight w:val="none"/>
        </w:rPr>
        <w:t>采购</w:t>
      </w:r>
      <w:r>
        <w:rPr>
          <w:rFonts w:hint="eastAsia" w:ascii="宋体" w:hAnsi="宋体"/>
          <w:bCs/>
          <w:color w:val="auto"/>
          <w:highlight w:val="none"/>
        </w:rPr>
        <w:t>公正的违法、违规行为的；</w:t>
      </w:r>
    </w:p>
    <w:p w14:paraId="7768688A">
      <w:pPr>
        <w:snapToGrid w:val="0"/>
        <w:spacing w:line="400" w:lineRule="exact"/>
        <w:ind w:left="838" w:leftChars="256" w:hanging="300" w:hangingChars="143"/>
        <w:outlineLvl w:val="4"/>
        <w:rPr>
          <w:rFonts w:ascii="宋体" w:hAnsi="宋体"/>
          <w:bCs/>
          <w:color w:val="auto"/>
          <w:highlight w:val="none"/>
        </w:rPr>
      </w:pPr>
      <w:r>
        <w:rPr>
          <w:rFonts w:hint="eastAsia" w:ascii="宋体" w:hAnsi="宋体"/>
          <w:bCs/>
          <w:color w:val="auto"/>
          <w:highlight w:val="none"/>
        </w:rPr>
        <w:t>③ 除第四章第8.5条、第9.4条情形外，在采购过程中符合要求的供应商或者未超过采购预算的供应商不足3家的；</w:t>
      </w:r>
    </w:p>
    <w:p w14:paraId="18A9F847">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④ </w:t>
      </w:r>
      <w:r>
        <w:rPr>
          <w:rFonts w:hint="eastAsia" w:ascii="宋体" w:hAnsi="宋体"/>
          <w:bCs/>
          <w:color w:val="auto"/>
          <w:highlight w:val="none"/>
        </w:rPr>
        <w:t>因重大</w:t>
      </w:r>
      <w:r>
        <w:rPr>
          <w:rFonts w:hint="eastAsia" w:ascii="宋体" w:hAnsi="宋体"/>
          <w:color w:val="auto"/>
          <w:highlight w:val="none"/>
        </w:rPr>
        <w:t>变故</w:t>
      </w:r>
      <w:r>
        <w:rPr>
          <w:rFonts w:hint="eastAsia" w:ascii="宋体" w:hAnsi="宋体"/>
          <w:bCs/>
          <w:color w:val="auto"/>
          <w:highlight w:val="none"/>
        </w:rPr>
        <w:t>，采购任务取消的。</w:t>
      </w:r>
    </w:p>
    <w:p w14:paraId="71042E87">
      <w:pPr>
        <w:pStyle w:val="14"/>
        <w:spacing w:line="400" w:lineRule="exact"/>
        <w:ind w:left="475" w:hanging="474" w:hangingChars="226"/>
        <w:rPr>
          <w:rFonts w:hAnsi="宋体"/>
          <w:bCs/>
          <w:color w:val="auto"/>
          <w:szCs w:val="21"/>
          <w:highlight w:val="none"/>
        </w:rPr>
      </w:pPr>
      <w:r>
        <w:rPr>
          <w:rFonts w:hint="eastAsia" w:hAnsi="宋体"/>
          <w:bCs/>
          <w:color w:val="auto"/>
          <w:highlight w:val="none"/>
        </w:rPr>
        <w:t>29</w:t>
      </w:r>
      <w:r>
        <w:rPr>
          <w:rFonts w:hint="eastAsia" w:hAnsi="宋体"/>
          <w:bCs/>
          <w:color w:val="auto"/>
          <w:szCs w:val="21"/>
          <w:highlight w:val="none"/>
        </w:rPr>
        <w:t>.2废标后，采购人、</w:t>
      </w:r>
      <w:r>
        <w:rPr>
          <w:rFonts w:hint="eastAsia" w:hAnsi="宋体"/>
          <w:color w:val="auto"/>
          <w:szCs w:val="21"/>
          <w:highlight w:val="none"/>
        </w:rPr>
        <w:t>采购代理机构</w:t>
      </w:r>
      <w:r>
        <w:rPr>
          <w:rFonts w:hint="eastAsia" w:hAnsi="宋体"/>
          <w:bCs/>
          <w:color w:val="auto"/>
          <w:szCs w:val="21"/>
          <w:highlight w:val="none"/>
        </w:rPr>
        <w:t>将把废标理由通知所有供应商。</w:t>
      </w:r>
    </w:p>
    <w:p w14:paraId="5A75B5B1">
      <w:pPr>
        <w:pStyle w:val="3"/>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30．响应文件及样品退</w:t>
      </w:r>
      <w:bookmarkEnd w:id="249"/>
      <w:r>
        <w:rPr>
          <w:rFonts w:hint="eastAsia" w:ascii="宋体" w:hAnsi="宋体" w:eastAsia="宋体"/>
          <w:color w:val="auto"/>
          <w:sz w:val="21"/>
          <w:szCs w:val="21"/>
          <w:highlight w:val="none"/>
        </w:rPr>
        <w:t>还</w:t>
      </w:r>
    </w:p>
    <w:p w14:paraId="756B18D1">
      <w:pPr>
        <w:pStyle w:val="14"/>
        <w:spacing w:line="400" w:lineRule="exact"/>
        <w:ind w:left="525" w:hanging="525" w:hangingChars="250"/>
        <w:rPr>
          <w:rFonts w:hAnsi="宋体"/>
          <w:color w:val="auto"/>
          <w:szCs w:val="21"/>
          <w:highlight w:val="none"/>
        </w:rPr>
      </w:pPr>
      <w:r>
        <w:rPr>
          <w:rFonts w:hint="eastAsia" w:hAnsi="宋体"/>
          <w:color w:val="auto"/>
          <w:szCs w:val="21"/>
          <w:highlight w:val="none"/>
        </w:rPr>
        <w:t>30.1响应文件退还：</w:t>
      </w:r>
      <w:r>
        <w:rPr>
          <w:rFonts w:hint="eastAsia" w:hAnsi="宋体"/>
          <w:color w:val="auto"/>
          <w:highlight w:val="none"/>
        </w:rPr>
        <w:t>供应商按磋商文件规定</w:t>
      </w:r>
      <w:r>
        <w:rPr>
          <w:rFonts w:hint="eastAsia" w:hAnsi="宋体"/>
          <w:color w:val="auto"/>
          <w:szCs w:val="21"/>
          <w:highlight w:val="none"/>
        </w:rPr>
        <w:t>提交</w:t>
      </w:r>
      <w:r>
        <w:rPr>
          <w:rFonts w:hint="eastAsia" w:hAnsi="宋体"/>
          <w:color w:val="auto"/>
          <w:highlight w:val="none"/>
        </w:rPr>
        <w:t>的响应文件，</w:t>
      </w:r>
      <w:r>
        <w:rPr>
          <w:rFonts w:hint="eastAsia" w:hAnsi="宋体"/>
          <w:color w:val="auto"/>
          <w:szCs w:val="21"/>
          <w:highlight w:val="none"/>
        </w:rPr>
        <w:t>采购人、采购代理机构将不予</w:t>
      </w:r>
      <w:r>
        <w:rPr>
          <w:rFonts w:hint="eastAsia" w:hAnsi="宋体"/>
          <w:color w:val="auto"/>
          <w:highlight w:val="none"/>
        </w:rPr>
        <w:t>退还。</w:t>
      </w:r>
    </w:p>
    <w:p w14:paraId="7D835E4D">
      <w:pPr>
        <w:pStyle w:val="14"/>
        <w:spacing w:line="400" w:lineRule="exact"/>
        <w:ind w:left="475" w:hanging="474" w:hangingChars="226"/>
        <w:rPr>
          <w:rFonts w:hAnsi="宋体"/>
          <w:color w:val="auto"/>
          <w:szCs w:val="21"/>
          <w:highlight w:val="none"/>
        </w:rPr>
      </w:pPr>
      <w:r>
        <w:rPr>
          <w:rFonts w:hint="eastAsia" w:hAnsi="宋体"/>
          <w:color w:val="auto"/>
          <w:szCs w:val="21"/>
          <w:highlight w:val="none"/>
        </w:rPr>
        <w:t>30.2应标样品退还</w:t>
      </w:r>
    </w:p>
    <w:p w14:paraId="785331CF">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① 未成交供应商样品退还：采购活动结束后，采购人、采购代理机构将通知未成交供应商在规定的时间内取回，逾期未取回的，采购人、采购代理机构不负保管义务。</w:t>
      </w:r>
    </w:p>
    <w:p w14:paraId="56BD49A4">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② 成交供应商样品保管、封存及退还：由采购人进行保管、封存，并作为履约验收的参考。</w:t>
      </w:r>
    </w:p>
    <w:p w14:paraId="08EA3166">
      <w:pPr>
        <w:pStyle w:val="14"/>
        <w:spacing w:line="400" w:lineRule="exact"/>
        <w:ind w:firstLine="420" w:firstLineChars="200"/>
        <w:rPr>
          <w:rFonts w:hAnsi="宋体"/>
          <w:bCs/>
          <w:color w:val="auto"/>
          <w:szCs w:val="21"/>
          <w:highlight w:val="none"/>
        </w:rPr>
      </w:pPr>
      <w:r>
        <w:rPr>
          <w:rFonts w:hint="eastAsia" w:hAnsi="宋体"/>
          <w:bCs/>
          <w:color w:val="auto"/>
          <w:szCs w:val="21"/>
          <w:highlight w:val="none"/>
        </w:rPr>
        <w:t>③ 其他要求（如有）：制作、运输、安装和保管样品所发生的一切费用由供应商负责。</w:t>
      </w:r>
    </w:p>
    <w:p w14:paraId="4C3D8F90">
      <w:pPr>
        <w:pStyle w:val="14"/>
        <w:spacing w:line="400" w:lineRule="exact"/>
        <w:ind w:firstLine="420" w:firstLineChars="200"/>
        <w:rPr>
          <w:rFonts w:hAnsi="宋体"/>
          <w:bCs/>
          <w:color w:val="auto"/>
          <w:szCs w:val="21"/>
          <w:highlight w:val="none"/>
        </w:rPr>
      </w:pPr>
    </w:p>
    <w:p w14:paraId="5165945C">
      <w:pPr>
        <w:pStyle w:val="2"/>
        <w:spacing w:line="400" w:lineRule="exact"/>
        <w:jc w:val="center"/>
        <w:rPr>
          <w:rFonts w:ascii="宋体" w:hAnsi="宋体"/>
          <w:color w:val="auto"/>
          <w:highlight w:val="none"/>
        </w:rPr>
      </w:pPr>
      <w:bookmarkStart w:id="250" w:name="_Toc16068297"/>
      <w:bookmarkStart w:id="251" w:name="_Toc64706763"/>
      <w:r>
        <w:rPr>
          <w:rFonts w:hint="eastAsia" w:ascii="宋体" w:hAnsi="宋体"/>
          <w:color w:val="auto"/>
          <w:highlight w:val="none"/>
        </w:rPr>
        <w:t>七   政府采购合同</w:t>
      </w:r>
      <w:bookmarkEnd w:id="250"/>
      <w:bookmarkEnd w:id="251"/>
    </w:p>
    <w:p w14:paraId="7B037651">
      <w:pPr>
        <w:pStyle w:val="3"/>
        <w:spacing w:beforeLines="50" w:after="0" w:line="400" w:lineRule="exact"/>
        <w:rPr>
          <w:rFonts w:ascii="宋体" w:hAnsi="宋体" w:eastAsia="宋体"/>
          <w:color w:val="auto"/>
          <w:sz w:val="21"/>
          <w:szCs w:val="21"/>
          <w:highlight w:val="none"/>
        </w:rPr>
      </w:pPr>
      <w:bookmarkStart w:id="252" w:name="_Toc239839895"/>
      <w:bookmarkStart w:id="253" w:name="_Toc16068298"/>
      <w:bookmarkStart w:id="254" w:name="_Toc230578089"/>
      <w:bookmarkStart w:id="255" w:name="_Toc207770867"/>
      <w:bookmarkStart w:id="256" w:name="_Toc206525714"/>
      <w:bookmarkStart w:id="257" w:name="_Toc185702580"/>
      <w:bookmarkStart w:id="258" w:name="_Toc206525713"/>
      <w:bookmarkStart w:id="259" w:name="_Toc230578088"/>
      <w:bookmarkStart w:id="260" w:name="_Toc239839894"/>
      <w:bookmarkStart w:id="261" w:name="_Toc207770866"/>
      <w:r>
        <w:rPr>
          <w:rFonts w:hint="eastAsia" w:ascii="宋体" w:hAnsi="宋体" w:eastAsia="宋体"/>
          <w:color w:val="auto"/>
          <w:sz w:val="21"/>
          <w:szCs w:val="21"/>
          <w:highlight w:val="none"/>
        </w:rPr>
        <w:t>31．履约保证金</w:t>
      </w:r>
      <w:bookmarkEnd w:id="252"/>
      <w:bookmarkEnd w:id="253"/>
      <w:bookmarkEnd w:id="254"/>
      <w:bookmarkEnd w:id="255"/>
      <w:bookmarkEnd w:id="256"/>
    </w:p>
    <w:p w14:paraId="0EDDF7B5">
      <w:pPr>
        <w:pStyle w:val="14"/>
        <w:spacing w:line="400" w:lineRule="exact"/>
        <w:ind w:left="475" w:hanging="474" w:hangingChars="226"/>
        <w:rPr>
          <w:rFonts w:hAnsi="宋体"/>
          <w:color w:val="auto"/>
          <w:highlight w:val="none"/>
        </w:rPr>
      </w:pPr>
      <w:r>
        <w:rPr>
          <w:rFonts w:hint="eastAsia" w:hAnsi="宋体"/>
          <w:color w:val="auto"/>
          <w:highlight w:val="none"/>
        </w:rPr>
        <w:t>31.1</w:t>
      </w:r>
      <w:r>
        <w:rPr>
          <w:rFonts w:hint="eastAsia" w:hAnsi="宋体"/>
          <w:color w:val="auto"/>
          <w:szCs w:val="21"/>
          <w:highlight w:val="none"/>
        </w:rPr>
        <w:t>履约保证金的提交：按本章</w:t>
      </w:r>
      <w:r>
        <w:rPr>
          <w:rFonts w:hint="eastAsia" w:hAnsi="宋体"/>
          <w:color w:val="auto"/>
          <w:highlight w:val="none"/>
        </w:rPr>
        <w:t>“供应商须知前附表”第20项要求提交。</w:t>
      </w:r>
    </w:p>
    <w:p w14:paraId="4E1D46C0">
      <w:pPr>
        <w:pStyle w:val="14"/>
        <w:spacing w:line="400" w:lineRule="exact"/>
        <w:ind w:left="475" w:hanging="474" w:hangingChars="226"/>
        <w:rPr>
          <w:rFonts w:hAnsi="宋体"/>
          <w:b/>
          <w:color w:val="auto"/>
          <w:highlight w:val="none"/>
        </w:rPr>
      </w:pPr>
      <w:r>
        <w:rPr>
          <w:rFonts w:hint="eastAsia" w:hAnsi="宋体"/>
          <w:color w:val="auto"/>
          <w:highlight w:val="none"/>
        </w:rPr>
        <w:t>31.2履约保证金的退还：按</w:t>
      </w:r>
      <w:r>
        <w:rPr>
          <w:rFonts w:hint="eastAsia" w:hAnsi="宋体"/>
          <w:color w:val="auto"/>
          <w:szCs w:val="21"/>
          <w:highlight w:val="none"/>
        </w:rPr>
        <w:t>本章</w:t>
      </w:r>
      <w:r>
        <w:rPr>
          <w:rFonts w:hint="eastAsia" w:hAnsi="宋体"/>
          <w:color w:val="auto"/>
          <w:highlight w:val="none"/>
        </w:rPr>
        <w:t>“供应商须知前附表”第20项要求办理退还手续。</w:t>
      </w:r>
    </w:p>
    <w:p w14:paraId="51E5E9CD">
      <w:pPr>
        <w:pStyle w:val="14"/>
        <w:spacing w:line="400" w:lineRule="exact"/>
        <w:ind w:left="475" w:hanging="474" w:hangingChars="226"/>
        <w:rPr>
          <w:rFonts w:hAnsi="宋体"/>
          <w:color w:val="auto"/>
          <w:highlight w:val="none"/>
        </w:rPr>
      </w:pPr>
      <w:r>
        <w:rPr>
          <w:rFonts w:hint="eastAsia" w:hAnsi="宋体"/>
          <w:color w:val="auto"/>
          <w:highlight w:val="none"/>
        </w:rPr>
        <w:t>31.3</w:t>
      </w:r>
      <w:r>
        <w:rPr>
          <w:rFonts w:hint="eastAsia" w:hAnsi="宋体"/>
          <w:color w:val="auto"/>
          <w:szCs w:val="21"/>
          <w:highlight w:val="none"/>
        </w:rPr>
        <w:t>履约保证金作为违约金的一部分及用于补偿采购人因成交供应商不能完成其合同义务而蒙受的损失。</w:t>
      </w:r>
      <w:r>
        <w:rPr>
          <w:rFonts w:hint="eastAsia" w:hAnsi="宋体"/>
          <w:color w:val="auto"/>
          <w:highlight w:val="none"/>
        </w:rPr>
        <w:t>如成交供应商不按双方签订的合同规定履约，则对其全部履约保证金不予退还，履约保证金不足以赔偿损失的，按实际损失赔偿。</w:t>
      </w:r>
    </w:p>
    <w:p w14:paraId="7C492BBD">
      <w:pPr>
        <w:pStyle w:val="14"/>
        <w:spacing w:line="400" w:lineRule="exact"/>
        <w:ind w:left="475" w:hanging="474" w:hangingChars="226"/>
        <w:rPr>
          <w:rFonts w:hAnsi="宋体"/>
          <w:color w:val="auto"/>
          <w:highlight w:val="none"/>
        </w:rPr>
      </w:pPr>
      <w:r>
        <w:rPr>
          <w:rFonts w:hint="eastAsia" w:hAnsi="宋体"/>
          <w:color w:val="auto"/>
          <w:highlight w:val="none"/>
        </w:rPr>
        <w:t>31.4在履约保证金到期退还日期前，若成交供应商的开户名称、开户银行、帐号有变动的，请以书面形式通知</w:t>
      </w:r>
      <w:r>
        <w:rPr>
          <w:rFonts w:hint="eastAsia" w:hAnsi="宋体" w:cs="宋体"/>
          <w:color w:val="auto"/>
          <w:szCs w:val="21"/>
          <w:highlight w:val="none"/>
        </w:rPr>
        <w:t>履约保证金收取单位</w:t>
      </w:r>
      <w:r>
        <w:rPr>
          <w:rFonts w:hint="eastAsia" w:hAnsi="宋体"/>
          <w:color w:val="auto"/>
          <w:highlight w:val="none"/>
        </w:rPr>
        <w:t>，否则由此产生的后果由成交供应商自负。</w:t>
      </w:r>
    </w:p>
    <w:p w14:paraId="44C712C3">
      <w:pPr>
        <w:pStyle w:val="3"/>
        <w:spacing w:beforeLines="50" w:after="0" w:line="400" w:lineRule="exact"/>
        <w:rPr>
          <w:rFonts w:ascii="宋体" w:hAnsi="宋体" w:eastAsia="宋体"/>
          <w:color w:val="auto"/>
          <w:sz w:val="21"/>
          <w:szCs w:val="21"/>
          <w:highlight w:val="none"/>
        </w:rPr>
      </w:pPr>
      <w:bookmarkStart w:id="262" w:name="_Toc16068299"/>
      <w:r>
        <w:rPr>
          <w:rFonts w:hint="eastAsia" w:ascii="宋体" w:hAnsi="宋体" w:eastAsia="宋体"/>
          <w:color w:val="auto"/>
          <w:sz w:val="21"/>
          <w:szCs w:val="21"/>
          <w:highlight w:val="none"/>
        </w:rPr>
        <w:t>32．合同</w:t>
      </w:r>
      <w:bookmarkEnd w:id="257"/>
      <w:bookmarkEnd w:id="258"/>
      <w:bookmarkEnd w:id="259"/>
      <w:bookmarkEnd w:id="260"/>
      <w:bookmarkEnd w:id="261"/>
      <w:bookmarkEnd w:id="262"/>
      <w:r>
        <w:rPr>
          <w:rFonts w:hint="eastAsia" w:ascii="宋体" w:hAnsi="宋体" w:eastAsia="宋体"/>
          <w:color w:val="auto"/>
          <w:sz w:val="21"/>
          <w:szCs w:val="21"/>
          <w:highlight w:val="none"/>
        </w:rPr>
        <w:t>签订和履行</w:t>
      </w:r>
    </w:p>
    <w:p w14:paraId="795994D0">
      <w:pPr>
        <w:pStyle w:val="14"/>
        <w:spacing w:line="400" w:lineRule="exact"/>
        <w:ind w:left="475" w:hanging="474" w:hangingChars="226"/>
        <w:rPr>
          <w:rFonts w:hAnsi="宋体"/>
          <w:color w:val="auto"/>
          <w:szCs w:val="21"/>
          <w:highlight w:val="none"/>
        </w:rPr>
      </w:pPr>
      <w:bookmarkStart w:id="263" w:name="_Toc185702581"/>
      <w:r>
        <w:rPr>
          <w:rFonts w:hint="eastAsia" w:hAnsi="宋体"/>
          <w:color w:val="auto"/>
          <w:highlight w:val="none"/>
        </w:rPr>
        <w:t>32.1采购人与成交供应商应当在本章“供应商须知前附表”第21项规定的时间内，</w:t>
      </w:r>
      <w:r>
        <w:rPr>
          <w:rFonts w:hint="eastAsia" w:hAnsi="宋体"/>
          <w:color w:val="auto"/>
          <w:szCs w:val="21"/>
          <w:highlight w:val="none"/>
        </w:rPr>
        <w:t>按照磋商文件确定的合同文本以及采购标的、规格</w:t>
      </w:r>
      <w:r>
        <w:rPr>
          <w:rFonts w:hint="eastAsia" w:hAnsi="宋体"/>
          <w:color w:val="auto"/>
          <w:highlight w:val="none"/>
        </w:rPr>
        <w:t>型号</w:t>
      </w:r>
      <w:r>
        <w:rPr>
          <w:rFonts w:hint="eastAsia" w:hAnsi="宋体"/>
          <w:color w:val="auto"/>
          <w:szCs w:val="21"/>
          <w:highlight w:val="none"/>
        </w:rPr>
        <w:t>、采购金额、采购数量、技术和服务要求等事项签订政府采购合同。采购人与成交供应商</w:t>
      </w:r>
      <w:r>
        <w:rPr>
          <w:rFonts w:hint="eastAsia" w:hAnsi="宋体"/>
          <w:color w:val="auto"/>
          <w:highlight w:val="none"/>
        </w:rPr>
        <w:t>不得</w:t>
      </w:r>
      <w:r>
        <w:rPr>
          <w:rFonts w:hint="eastAsia" w:hAnsi="宋体"/>
          <w:color w:val="auto"/>
          <w:szCs w:val="21"/>
          <w:highlight w:val="none"/>
        </w:rPr>
        <w:t>订立背离磋商文件确定合同文本以及以上实质性内容的协议。</w:t>
      </w:r>
    </w:p>
    <w:p w14:paraId="07593072">
      <w:pPr>
        <w:pStyle w:val="14"/>
        <w:spacing w:line="400" w:lineRule="exact"/>
        <w:ind w:left="475" w:hanging="474" w:hangingChars="226"/>
        <w:rPr>
          <w:rFonts w:hAnsi="宋体"/>
          <w:color w:val="auto"/>
          <w:highlight w:val="none"/>
        </w:rPr>
      </w:pPr>
      <w:r>
        <w:rPr>
          <w:rFonts w:hint="eastAsia" w:hAnsi="宋体"/>
          <w:bCs/>
          <w:color w:val="auto"/>
          <w:highlight w:val="none"/>
        </w:rPr>
        <w:t>32.2</w:t>
      </w:r>
      <w:r>
        <w:rPr>
          <w:rFonts w:hint="eastAsia" w:hAnsi="宋体"/>
          <w:color w:val="auto"/>
          <w:highlight w:val="none"/>
        </w:rPr>
        <w:t>成交供应商拒绝签订政府采购合同的，采购人可以按照本章第</w:t>
      </w:r>
      <w:r>
        <w:rPr>
          <w:rFonts w:hint="eastAsia" w:hAnsi="宋体"/>
          <w:color w:val="auto"/>
          <w:szCs w:val="21"/>
          <w:highlight w:val="none"/>
        </w:rPr>
        <w:t>27.2条规定的原则</w:t>
      </w:r>
      <w:r>
        <w:rPr>
          <w:rFonts w:hint="eastAsia" w:hAnsi="宋体"/>
          <w:color w:val="auto"/>
          <w:highlight w:val="none"/>
        </w:rPr>
        <w:t>确定其他供应商作为成交供应商并签订政府采购合同，也可以重新开展采购活动。拒绝签订政府采购合同的成交供应商不得参加对该项目重新开展的采购活动。</w:t>
      </w:r>
    </w:p>
    <w:p w14:paraId="0DAB7248">
      <w:pPr>
        <w:pStyle w:val="14"/>
        <w:spacing w:line="400" w:lineRule="exact"/>
        <w:ind w:left="475" w:hanging="474" w:hangingChars="226"/>
        <w:rPr>
          <w:rFonts w:hAnsi="宋体"/>
          <w:color w:val="auto"/>
          <w:highlight w:val="none"/>
        </w:rPr>
      </w:pPr>
      <w:r>
        <w:rPr>
          <w:rFonts w:hint="eastAsia" w:hAnsi="宋体"/>
          <w:color w:val="auto"/>
          <w:highlight w:val="none"/>
        </w:rPr>
        <w:t>32.3政府采购合同必须与磋商文件第五章合同文本格式(包括内容和结构)及经</w:t>
      </w:r>
      <w:r>
        <w:rPr>
          <w:rFonts w:hint="eastAsia" w:hAnsi="宋体"/>
          <w:color w:val="auto"/>
          <w:kern w:val="0"/>
          <w:szCs w:val="21"/>
          <w:highlight w:val="none"/>
        </w:rPr>
        <w:t>磋商</w:t>
      </w:r>
      <w:r>
        <w:rPr>
          <w:rFonts w:hint="eastAsia" w:hAnsi="宋体"/>
          <w:color w:val="auto"/>
          <w:highlight w:val="none"/>
        </w:rPr>
        <w:t>后约定的内容相一致，不能改变主要条款。</w:t>
      </w:r>
    </w:p>
    <w:p w14:paraId="5428B6FF">
      <w:pPr>
        <w:pStyle w:val="14"/>
        <w:spacing w:line="400" w:lineRule="exact"/>
        <w:ind w:left="475" w:hanging="474" w:hangingChars="226"/>
        <w:rPr>
          <w:rFonts w:hAnsi="宋体"/>
          <w:color w:val="auto"/>
          <w:highlight w:val="none"/>
        </w:rPr>
      </w:pPr>
      <w:r>
        <w:rPr>
          <w:rFonts w:hint="eastAsia" w:hAnsi="宋体"/>
          <w:color w:val="auto"/>
          <w:highlight w:val="none"/>
        </w:rPr>
        <w:t>32.4联合体成交的，联合体各方应当共同与采购人签订合同，就成交项目向采购人承担连带责任。</w:t>
      </w:r>
    </w:p>
    <w:p w14:paraId="79A16381">
      <w:pPr>
        <w:pStyle w:val="14"/>
        <w:spacing w:line="400" w:lineRule="exact"/>
        <w:ind w:left="475" w:hanging="474" w:hangingChars="226"/>
        <w:rPr>
          <w:rFonts w:hAnsi="宋体"/>
          <w:color w:val="auto"/>
          <w:highlight w:val="none"/>
        </w:rPr>
      </w:pPr>
      <w:r>
        <w:rPr>
          <w:rFonts w:hint="eastAsia" w:hAnsi="宋体"/>
          <w:color w:val="auto"/>
          <w:highlight w:val="none"/>
        </w:rPr>
        <w:t>32.5</w:t>
      </w:r>
      <w:r>
        <w:rPr>
          <w:rFonts w:hAnsi="宋体"/>
          <w:color w:val="auto"/>
          <w:highlight w:val="none"/>
        </w:rPr>
        <w:t>采购合同订立后，合同各方不得擅自变更、中止或者终止合同。因特殊情况需要中止或终止合同的，采购人应将中止或终止合同的理由以及相应措施，以书面形式报</w:t>
      </w:r>
      <w:r>
        <w:rPr>
          <w:rFonts w:hint="eastAsia" w:hAnsi="宋体"/>
          <w:color w:val="auto"/>
          <w:highlight w:val="none"/>
        </w:rPr>
        <w:t>有关部门</w:t>
      </w:r>
      <w:r>
        <w:rPr>
          <w:rFonts w:hAnsi="宋体"/>
          <w:color w:val="auto"/>
          <w:highlight w:val="none"/>
        </w:rPr>
        <w:t>备案。</w:t>
      </w:r>
    </w:p>
    <w:p w14:paraId="2AC81B04">
      <w:pPr>
        <w:pStyle w:val="14"/>
        <w:spacing w:line="400" w:lineRule="exact"/>
        <w:ind w:left="475" w:hanging="474" w:hangingChars="226"/>
        <w:rPr>
          <w:rFonts w:hAnsi="宋体"/>
          <w:color w:val="auto"/>
          <w:highlight w:val="none"/>
        </w:rPr>
      </w:pPr>
      <w:r>
        <w:rPr>
          <w:rFonts w:hint="eastAsia" w:hAnsi="宋体"/>
          <w:color w:val="auto"/>
          <w:highlight w:val="none"/>
        </w:rPr>
        <w:t>32.6如</w:t>
      </w:r>
      <w:r>
        <w:rPr>
          <w:rFonts w:hint="eastAsia" w:hAnsi="宋体"/>
          <w:bCs/>
          <w:color w:val="auto"/>
          <w:highlight w:val="none"/>
        </w:rPr>
        <w:t>成交供应商放弃成交或拒绝签订合同或未按规定签订合同的，</w:t>
      </w:r>
      <w:r>
        <w:rPr>
          <w:rFonts w:hint="eastAsia" w:hAnsi="宋体"/>
          <w:color w:val="auto"/>
          <w:highlight w:val="none"/>
        </w:rPr>
        <w:t>采购人将相关情况上报政府采购</w:t>
      </w:r>
      <w:r>
        <w:rPr>
          <w:rFonts w:hint="eastAsia" w:hAnsi="宋体"/>
          <w:color w:val="auto"/>
          <w:szCs w:val="21"/>
          <w:highlight w:val="none"/>
        </w:rPr>
        <w:t>监督管理部门</w:t>
      </w:r>
      <w:r>
        <w:rPr>
          <w:rFonts w:hint="eastAsia" w:hAnsi="宋体"/>
          <w:color w:val="auto"/>
          <w:highlight w:val="none"/>
        </w:rPr>
        <w:t>。</w:t>
      </w:r>
    </w:p>
    <w:p w14:paraId="4DBE3BB0">
      <w:pPr>
        <w:pStyle w:val="14"/>
        <w:spacing w:line="400" w:lineRule="exact"/>
        <w:ind w:left="475" w:hanging="474" w:hangingChars="226"/>
        <w:rPr>
          <w:rFonts w:hAnsi="宋体"/>
          <w:color w:val="auto"/>
          <w:highlight w:val="none"/>
        </w:rPr>
      </w:pPr>
      <w:r>
        <w:rPr>
          <w:rFonts w:hint="eastAsia" w:hAnsi="宋体"/>
          <w:color w:val="auto"/>
          <w:highlight w:val="none"/>
        </w:rPr>
        <w:t>32.7政府采购合同履行中，采购人需追加与合同标的相同的货物、工程或者服务的，在不改变合同其他条款的前提下，可以与供应商协商签订补充合同，但所有补充合同的采购金额不得超过原合同采购金额的10%。</w:t>
      </w:r>
    </w:p>
    <w:p w14:paraId="2D5125D9">
      <w:pPr>
        <w:pStyle w:val="3"/>
        <w:spacing w:beforeLines="50" w:after="0" w:line="400" w:lineRule="exact"/>
        <w:rPr>
          <w:rFonts w:ascii="宋体" w:hAnsi="宋体" w:eastAsia="宋体"/>
          <w:color w:val="auto"/>
          <w:sz w:val="21"/>
          <w:szCs w:val="21"/>
          <w:highlight w:val="none"/>
        </w:rPr>
      </w:pPr>
      <w:bookmarkStart w:id="264" w:name="_Toc16068300"/>
      <w:r>
        <w:rPr>
          <w:rFonts w:hint="eastAsia" w:ascii="宋体" w:hAnsi="宋体" w:eastAsia="宋体"/>
          <w:color w:val="auto"/>
          <w:sz w:val="21"/>
          <w:szCs w:val="21"/>
          <w:highlight w:val="none"/>
        </w:rPr>
        <w:t>33．政府采购合同公告、备案</w:t>
      </w:r>
      <w:bookmarkEnd w:id="264"/>
    </w:p>
    <w:p w14:paraId="39E6CF35">
      <w:pPr>
        <w:pStyle w:val="14"/>
        <w:spacing w:line="400" w:lineRule="exact"/>
        <w:ind w:left="475" w:hanging="474" w:hangingChars="226"/>
        <w:rPr>
          <w:rFonts w:hAnsi="宋体"/>
          <w:color w:val="auto"/>
          <w:highlight w:val="none"/>
        </w:rPr>
      </w:pPr>
      <w:r>
        <w:rPr>
          <w:rFonts w:hint="eastAsia" w:hAnsi="宋体"/>
          <w:color w:val="auto"/>
          <w:highlight w:val="none"/>
        </w:rPr>
        <w:t>33.1政府采购合同自签订之日起2个工作日内，采购人应当将政府采购合同通过委托的采购代理机构在原公告发布媒体上公告，但政府采购合同中涉及国家秘密、商业秘密的内容除外。合同中涉及个人隐私的姓名、联系方式等内容，除征得权利人同意外，不得对外公告。</w:t>
      </w:r>
    </w:p>
    <w:p w14:paraId="24793B8D">
      <w:pPr>
        <w:pStyle w:val="14"/>
        <w:spacing w:line="400" w:lineRule="exact"/>
        <w:ind w:left="475" w:hanging="474" w:hangingChars="226"/>
        <w:rPr>
          <w:rFonts w:hAnsi="宋体"/>
          <w:color w:val="auto"/>
          <w:highlight w:val="none"/>
        </w:rPr>
      </w:pPr>
      <w:r>
        <w:rPr>
          <w:rFonts w:hint="eastAsia" w:hAnsi="宋体"/>
          <w:color w:val="auto"/>
          <w:highlight w:val="none"/>
        </w:rPr>
        <w:t>33.2政府采购合同自签订之日起7个工作日内，采购人或采购代理机构应当将合同副本报同级政府采购监督管理部门和有关部门备案。</w:t>
      </w:r>
    </w:p>
    <w:p w14:paraId="399A4638">
      <w:pPr>
        <w:pStyle w:val="14"/>
        <w:spacing w:line="400" w:lineRule="exact"/>
        <w:ind w:left="475" w:hanging="474" w:hangingChars="226"/>
        <w:rPr>
          <w:rFonts w:hAnsi="宋体"/>
          <w:color w:val="auto"/>
          <w:highlight w:val="none"/>
        </w:rPr>
      </w:pPr>
    </w:p>
    <w:p w14:paraId="60EE042A">
      <w:pPr>
        <w:pStyle w:val="2"/>
        <w:spacing w:line="400" w:lineRule="exact"/>
        <w:jc w:val="center"/>
        <w:rPr>
          <w:rFonts w:ascii="宋体" w:hAnsi="宋体"/>
          <w:color w:val="auto"/>
          <w:highlight w:val="none"/>
        </w:rPr>
      </w:pPr>
      <w:bookmarkStart w:id="265" w:name="_Toc64706764"/>
      <w:bookmarkStart w:id="266" w:name="_Toc16068301"/>
      <w:r>
        <w:rPr>
          <w:rFonts w:hint="eastAsia" w:ascii="宋体" w:hAnsi="宋体"/>
          <w:color w:val="auto"/>
          <w:highlight w:val="none"/>
        </w:rPr>
        <w:t>八   履约验收</w:t>
      </w:r>
      <w:bookmarkEnd w:id="265"/>
      <w:bookmarkEnd w:id="266"/>
    </w:p>
    <w:bookmarkEnd w:id="263"/>
    <w:p w14:paraId="5FA68477">
      <w:pPr>
        <w:pStyle w:val="3"/>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34．履约验收</w:t>
      </w:r>
    </w:p>
    <w:p w14:paraId="26FA4F9F">
      <w:pPr>
        <w:pStyle w:val="14"/>
        <w:spacing w:line="400" w:lineRule="exact"/>
        <w:ind w:left="475" w:hanging="474" w:hangingChars="226"/>
        <w:rPr>
          <w:rFonts w:hAnsi="宋体"/>
          <w:color w:val="auto"/>
          <w:szCs w:val="21"/>
          <w:highlight w:val="none"/>
        </w:rPr>
      </w:pPr>
      <w:r>
        <w:rPr>
          <w:rFonts w:hint="eastAsia" w:hAnsi="宋体"/>
          <w:color w:val="auto"/>
          <w:highlight w:val="none"/>
        </w:rPr>
        <w:t>34.1</w:t>
      </w:r>
      <w:r>
        <w:rPr>
          <w:rFonts w:hint="eastAsia" w:hAnsi="宋体"/>
          <w:color w:val="auto"/>
          <w:szCs w:val="21"/>
          <w:highlight w:val="none"/>
        </w:rPr>
        <w:t>采购人或者采购代理机构应当按照采购合同规定的技术、服务等要求组织对供应商履约的验收，并出具验收书。验收书应当包括每一项技术、服务等要求的履约情况。大型或者复杂的项目，应当邀请国家认可的质量检测机构参加验收。验收方成员应当在验收书上签字，并承担相应的法律责任。</w:t>
      </w:r>
    </w:p>
    <w:p w14:paraId="0EBD8A53">
      <w:pPr>
        <w:pStyle w:val="14"/>
        <w:spacing w:line="400" w:lineRule="exact"/>
        <w:ind w:left="475" w:hanging="474" w:hangingChars="226"/>
        <w:rPr>
          <w:rFonts w:hAnsi="宋体"/>
          <w:color w:val="auto"/>
          <w:highlight w:val="none"/>
        </w:rPr>
      </w:pPr>
    </w:p>
    <w:p w14:paraId="1714A269">
      <w:pPr>
        <w:pStyle w:val="2"/>
        <w:spacing w:line="400" w:lineRule="exact"/>
        <w:jc w:val="center"/>
        <w:rPr>
          <w:rFonts w:ascii="宋体" w:hAnsi="宋体"/>
          <w:color w:val="auto"/>
          <w:highlight w:val="none"/>
        </w:rPr>
      </w:pPr>
      <w:bookmarkStart w:id="267" w:name="_Toc206525715"/>
      <w:bookmarkStart w:id="268" w:name="_Toc207770868"/>
      <w:bookmarkStart w:id="269" w:name="_Toc16068302"/>
      <w:bookmarkStart w:id="270" w:name="_Toc230578090"/>
      <w:bookmarkStart w:id="271" w:name="_Toc64706765"/>
      <w:bookmarkStart w:id="272" w:name="_Toc185702582"/>
      <w:bookmarkStart w:id="273" w:name="_Toc239839896"/>
      <w:r>
        <w:rPr>
          <w:rFonts w:hint="eastAsia" w:ascii="宋体" w:hAnsi="宋体"/>
          <w:color w:val="auto"/>
          <w:highlight w:val="none"/>
        </w:rPr>
        <w:t>九   其他事项</w:t>
      </w:r>
      <w:bookmarkEnd w:id="267"/>
      <w:bookmarkEnd w:id="268"/>
      <w:bookmarkEnd w:id="269"/>
      <w:bookmarkEnd w:id="270"/>
      <w:bookmarkEnd w:id="271"/>
      <w:bookmarkEnd w:id="272"/>
      <w:bookmarkEnd w:id="273"/>
    </w:p>
    <w:p w14:paraId="5DC32C15">
      <w:pPr>
        <w:pStyle w:val="3"/>
        <w:spacing w:beforeLines="50" w:after="0" w:line="400" w:lineRule="exact"/>
        <w:rPr>
          <w:rFonts w:ascii="宋体" w:hAnsi="宋体" w:eastAsia="宋体"/>
          <w:color w:val="auto"/>
          <w:sz w:val="21"/>
          <w:szCs w:val="21"/>
          <w:highlight w:val="none"/>
        </w:rPr>
      </w:pPr>
      <w:bookmarkStart w:id="274" w:name="_Toc207770869"/>
      <w:bookmarkStart w:id="275" w:name="_Toc185702583"/>
      <w:bookmarkStart w:id="276" w:name="_Toc206525716"/>
      <w:bookmarkStart w:id="277" w:name="_Toc239839897"/>
      <w:bookmarkStart w:id="278" w:name="_Toc230578091"/>
      <w:bookmarkStart w:id="279" w:name="_Toc16068303"/>
      <w:r>
        <w:rPr>
          <w:rFonts w:hint="eastAsia" w:ascii="宋体" w:hAnsi="宋体" w:eastAsia="宋体"/>
          <w:color w:val="auto"/>
          <w:sz w:val="21"/>
          <w:szCs w:val="21"/>
          <w:highlight w:val="none"/>
        </w:rPr>
        <w:t>35．</w:t>
      </w:r>
      <w:bookmarkEnd w:id="274"/>
      <w:bookmarkEnd w:id="275"/>
      <w:bookmarkEnd w:id="276"/>
      <w:bookmarkEnd w:id="277"/>
      <w:bookmarkEnd w:id="278"/>
      <w:r>
        <w:rPr>
          <w:rFonts w:hint="eastAsia" w:ascii="宋体" w:hAnsi="宋体" w:eastAsia="宋体"/>
          <w:color w:val="auto"/>
          <w:sz w:val="21"/>
          <w:szCs w:val="21"/>
          <w:highlight w:val="none"/>
        </w:rPr>
        <w:t>服务收费</w:t>
      </w:r>
      <w:bookmarkEnd w:id="279"/>
    </w:p>
    <w:p w14:paraId="3C67D3D5">
      <w:pPr>
        <w:pStyle w:val="14"/>
        <w:spacing w:line="400" w:lineRule="exact"/>
        <w:ind w:left="475" w:hanging="474" w:hangingChars="226"/>
        <w:rPr>
          <w:rFonts w:hAnsi="宋体"/>
          <w:color w:val="auto"/>
          <w:highlight w:val="none"/>
        </w:rPr>
      </w:pPr>
      <w:r>
        <w:rPr>
          <w:rFonts w:hint="eastAsia" w:hAnsi="宋体"/>
          <w:bCs/>
          <w:color w:val="auto"/>
          <w:highlight w:val="none"/>
        </w:rPr>
        <w:t>35.1</w:t>
      </w:r>
      <w:r>
        <w:rPr>
          <w:rFonts w:hint="eastAsia" w:hAnsi="宋体"/>
          <w:color w:val="auto"/>
          <w:szCs w:val="21"/>
          <w:highlight w:val="none"/>
        </w:rPr>
        <w:t>代理服务费</w:t>
      </w:r>
      <w:r>
        <w:rPr>
          <w:rFonts w:hint="eastAsia" w:hAnsi="宋体"/>
          <w:bCs/>
          <w:color w:val="auto"/>
          <w:highlight w:val="none"/>
        </w:rPr>
        <w:t>收取方式、</w:t>
      </w:r>
      <w:r>
        <w:rPr>
          <w:rFonts w:hint="eastAsia" w:hAnsi="宋体"/>
          <w:color w:val="auto"/>
          <w:szCs w:val="21"/>
          <w:highlight w:val="none"/>
        </w:rPr>
        <w:t>收取标准</w:t>
      </w:r>
      <w:r>
        <w:rPr>
          <w:rFonts w:hint="eastAsia" w:hAnsi="宋体"/>
          <w:bCs/>
          <w:color w:val="auto"/>
          <w:highlight w:val="none"/>
        </w:rPr>
        <w:t>：见本章</w:t>
      </w:r>
      <w:r>
        <w:rPr>
          <w:rFonts w:hint="eastAsia" w:hAnsi="宋体"/>
          <w:color w:val="auto"/>
          <w:highlight w:val="none"/>
        </w:rPr>
        <w:t>“供应商须知前附表”</w:t>
      </w:r>
      <w:r>
        <w:rPr>
          <w:rFonts w:hint="eastAsia" w:hAnsi="宋体"/>
          <w:bCs/>
          <w:color w:val="auto"/>
          <w:highlight w:val="none"/>
        </w:rPr>
        <w:t>第22项。</w:t>
      </w:r>
    </w:p>
    <w:p w14:paraId="3C99405C">
      <w:pPr>
        <w:pStyle w:val="3"/>
        <w:spacing w:beforeLines="50" w:after="0" w:line="400" w:lineRule="exact"/>
        <w:rPr>
          <w:rFonts w:ascii="宋体" w:hAnsi="宋体" w:eastAsia="宋体"/>
          <w:color w:val="auto"/>
          <w:sz w:val="21"/>
          <w:szCs w:val="21"/>
          <w:highlight w:val="none"/>
        </w:rPr>
      </w:pPr>
      <w:bookmarkStart w:id="280" w:name="_Toc230578092"/>
      <w:bookmarkStart w:id="281" w:name="_Toc207770870"/>
      <w:bookmarkStart w:id="282" w:name="_Toc206525717"/>
      <w:bookmarkStart w:id="283" w:name="_Toc185702584"/>
      <w:bookmarkStart w:id="284" w:name="_Toc16068304"/>
      <w:bookmarkStart w:id="285" w:name="_Toc239839898"/>
      <w:r>
        <w:rPr>
          <w:rFonts w:hint="eastAsia" w:ascii="宋体" w:hAnsi="宋体" w:eastAsia="宋体"/>
          <w:color w:val="auto"/>
          <w:sz w:val="21"/>
          <w:szCs w:val="21"/>
          <w:highlight w:val="none"/>
        </w:rPr>
        <w:t>36．解释权</w:t>
      </w:r>
      <w:bookmarkEnd w:id="280"/>
      <w:bookmarkEnd w:id="281"/>
      <w:bookmarkEnd w:id="282"/>
      <w:bookmarkEnd w:id="283"/>
      <w:bookmarkEnd w:id="284"/>
      <w:bookmarkEnd w:id="285"/>
    </w:p>
    <w:p w14:paraId="32A5ED9D">
      <w:pPr>
        <w:pStyle w:val="14"/>
        <w:spacing w:line="400" w:lineRule="exact"/>
        <w:ind w:left="475" w:hanging="474" w:hangingChars="226"/>
        <w:rPr>
          <w:rFonts w:hAnsi="宋体"/>
          <w:color w:val="auto"/>
          <w:highlight w:val="none"/>
        </w:rPr>
      </w:pPr>
      <w:r>
        <w:rPr>
          <w:rFonts w:hint="eastAsia" w:hAnsi="宋体"/>
          <w:color w:val="auto"/>
          <w:highlight w:val="none"/>
        </w:rPr>
        <w:t>36.1本磋商文件是根据国家有关法律、法规以及政府采购管理有关规定和参照国际惯例编制，解释权属采购人和采购代理机构。</w:t>
      </w:r>
    </w:p>
    <w:p w14:paraId="19DC3A7F">
      <w:pPr>
        <w:pStyle w:val="3"/>
        <w:spacing w:beforeLines="50" w:after="0" w:line="400" w:lineRule="exact"/>
        <w:rPr>
          <w:rFonts w:ascii="宋体" w:hAnsi="宋体" w:eastAsia="宋体"/>
          <w:color w:val="auto"/>
          <w:sz w:val="21"/>
          <w:szCs w:val="21"/>
          <w:highlight w:val="none"/>
        </w:rPr>
      </w:pPr>
      <w:bookmarkStart w:id="286" w:name="_Toc16068305"/>
      <w:r>
        <w:rPr>
          <w:rFonts w:hint="eastAsia" w:ascii="宋体" w:hAnsi="宋体" w:eastAsia="宋体"/>
          <w:color w:val="auto"/>
          <w:sz w:val="21"/>
          <w:szCs w:val="21"/>
          <w:highlight w:val="none"/>
        </w:rPr>
        <w:t>37．知识产权</w:t>
      </w:r>
      <w:bookmarkEnd w:id="286"/>
    </w:p>
    <w:p w14:paraId="66BB371F">
      <w:pPr>
        <w:pStyle w:val="14"/>
        <w:spacing w:line="400" w:lineRule="exact"/>
        <w:ind w:left="475" w:hanging="474" w:hangingChars="226"/>
        <w:rPr>
          <w:rFonts w:hAnsi="宋体"/>
          <w:color w:val="auto"/>
          <w:highlight w:val="none"/>
        </w:rPr>
      </w:pPr>
      <w:r>
        <w:rPr>
          <w:rFonts w:hint="eastAsia" w:hAnsi="宋体"/>
          <w:color w:val="auto"/>
          <w:highlight w:val="none"/>
        </w:rPr>
        <w:t>37.1所有供应商的响应文件以及在本项目的成果（包括知识产权在内的任何权利）均归采购人所有，不予退还。供应商并保证所交付的成果不侵犯第三方的任何合法权益。</w:t>
      </w:r>
    </w:p>
    <w:p w14:paraId="6CDD696C">
      <w:pPr>
        <w:pStyle w:val="3"/>
        <w:spacing w:beforeLines="50" w:after="0" w:line="400" w:lineRule="exact"/>
        <w:rPr>
          <w:rFonts w:ascii="宋体" w:hAnsi="宋体" w:eastAsia="宋体"/>
          <w:color w:val="auto"/>
          <w:sz w:val="21"/>
          <w:szCs w:val="21"/>
          <w:highlight w:val="none"/>
        </w:rPr>
      </w:pPr>
      <w:bookmarkStart w:id="287" w:name="_Toc16068306"/>
      <w:r>
        <w:rPr>
          <w:rFonts w:hint="eastAsia" w:ascii="宋体" w:hAnsi="宋体" w:eastAsia="宋体"/>
          <w:color w:val="auto"/>
          <w:sz w:val="21"/>
          <w:szCs w:val="21"/>
          <w:highlight w:val="none"/>
        </w:rPr>
        <w:t>38．需要补充的其他内容</w:t>
      </w:r>
      <w:bookmarkEnd w:id="287"/>
    </w:p>
    <w:p w14:paraId="6E8ECE77">
      <w:pPr>
        <w:pStyle w:val="14"/>
        <w:spacing w:line="400" w:lineRule="exact"/>
        <w:ind w:left="475" w:hanging="474" w:hangingChars="226"/>
        <w:rPr>
          <w:rFonts w:hAnsi="宋体"/>
          <w:color w:val="auto"/>
          <w:highlight w:val="none"/>
        </w:rPr>
      </w:pPr>
      <w:r>
        <w:rPr>
          <w:rFonts w:hint="eastAsia" w:hAnsi="宋体"/>
          <w:color w:val="auto"/>
          <w:highlight w:val="none"/>
        </w:rPr>
        <w:t>38.1需要补充的其他内容：见本章“供应商须知前附表”第23项。</w:t>
      </w:r>
    </w:p>
    <w:p w14:paraId="04A3BAFA">
      <w:pPr>
        <w:pStyle w:val="14"/>
        <w:spacing w:line="400" w:lineRule="exact"/>
        <w:rPr>
          <w:rFonts w:hAnsi="宋体"/>
          <w:color w:val="auto"/>
          <w:highlight w:val="none"/>
        </w:rPr>
      </w:pPr>
      <w:r>
        <w:rPr>
          <w:rFonts w:hAnsi="宋体"/>
          <w:color w:val="auto"/>
          <w:highlight w:val="none"/>
        </w:rPr>
        <w:br w:type="page"/>
      </w:r>
    </w:p>
    <w:p w14:paraId="479C8335">
      <w:pPr>
        <w:pStyle w:val="14"/>
        <w:spacing w:line="400" w:lineRule="exact"/>
        <w:rPr>
          <w:rFonts w:hAnsi="宋体"/>
          <w:color w:val="auto"/>
          <w:highlight w:val="none"/>
        </w:rPr>
      </w:pPr>
    </w:p>
    <w:p w14:paraId="4F65E34F">
      <w:pPr>
        <w:pStyle w:val="14"/>
        <w:spacing w:line="400" w:lineRule="exact"/>
        <w:rPr>
          <w:rFonts w:hAnsi="宋体"/>
          <w:color w:val="auto"/>
          <w:highlight w:val="none"/>
        </w:rPr>
      </w:pPr>
    </w:p>
    <w:p w14:paraId="473B2D28">
      <w:pPr>
        <w:pStyle w:val="14"/>
        <w:spacing w:line="400" w:lineRule="exact"/>
        <w:rPr>
          <w:rFonts w:hAnsi="宋体"/>
          <w:color w:val="auto"/>
          <w:highlight w:val="none"/>
        </w:rPr>
      </w:pPr>
    </w:p>
    <w:p w14:paraId="0EB8E0A0">
      <w:pPr>
        <w:pStyle w:val="14"/>
        <w:spacing w:line="400" w:lineRule="exact"/>
        <w:rPr>
          <w:rFonts w:hAnsi="宋体"/>
          <w:color w:val="auto"/>
          <w:highlight w:val="none"/>
        </w:rPr>
      </w:pPr>
    </w:p>
    <w:p w14:paraId="4E02F652">
      <w:pPr>
        <w:pStyle w:val="14"/>
        <w:spacing w:line="400" w:lineRule="exact"/>
        <w:rPr>
          <w:rFonts w:hAnsi="宋体"/>
          <w:color w:val="auto"/>
          <w:highlight w:val="none"/>
        </w:rPr>
      </w:pPr>
    </w:p>
    <w:p w14:paraId="62206515">
      <w:pPr>
        <w:pStyle w:val="2"/>
        <w:jc w:val="center"/>
        <w:rPr>
          <w:rFonts w:ascii="宋体" w:hAnsi="宋体"/>
          <w:bCs/>
          <w:color w:val="auto"/>
          <w:sz w:val="44"/>
          <w:highlight w:val="none"/>
        </w:rPr>
      </w:pPr>
      <w:bookmarkStart w:id="288" w:name="_Toc147248434"/>
      <w:bookmarkStart w:id="289" w:name="_Toc185702586"/>
      <w:bookmarkStart w:id="290" w:name="_Toc239839900"/>
      <w:bookmarkStart w:id="291" w:name="_Toc156106969"/>
      <w:bookmarkStart w:id="292" w:name="_Toc185703008"/>
      <w:bookmarkStart w:id="293" w:name="_Toc64706766"/>
      <w:r>
        <w:rPr>
          <w:rFonts w:hint="eastAsia" w:ascii="宋体" w:hAnsi="宋体"/>
          <w:bCs/>
          <w:color w:val="auto"/>
          <w:sz w:val="44"/>
          <w:highlight w:val="none"/>
        </w:rPr>
        <w:t xml:space="preserve">第三章  </w:t>
      </w:r>
      <w:bookmarkEnd w:id="288"/>
      <w:bookmarkEnd w:id="289"/>
      <w:bookmarkEnd w:id="290"/>
      <w:bookmarkEnd w:id="291"/>
      <w:bookmarkEnd w:id="292"/>
      <w:r>
        <w:rPr>
          <w:rFonts w:hint="eastAsia" w:ascii="宋体" w:hAnsi="宋体"/>
          <w:bCs/>
          <w:color w:val="auto"/>
          <w:sz w:val="44"/>
          <w:highlight w:val="none"/>
        </w:rPr>
        <w:t>采购需求</w:t>
      </w:r>
      <w:bookmarkEnd w:id="293"/>
    </w:p>
    <w:p w14:paraId="2A56F949">
      <w:pPr>
        <w:pStyle w:val="14"/>
        <w:spacing w:line="400" w:lineRule="exact"/>
        <w:rPr>
          <w:rFonts w:hAnsi="宋体"/>
          <w:color w:val="auto"/>
          <w:highlight w:val="none"/>
        </w:rPr>
      </w:pPr>
    </w:p>
    <w:p w14:paraId="2BA1ACA9">
      <w:pPr>
        <w:pStyle w:val="14"/>
        <w:spacing w:line="400" w:lineRule="exact"/>
        <w:rPr>
          <w:rFonts w:hAnsi="宋体"/>
          <w:color w:val="auto"/>
          <w:highlight w:val="none"/>
        </w:rPr>
      </w:pPr>
    </w:p>
    <w:p w14:paraId="02E0031E">
      <w:pPr>
        <w:spacing w:line="300" w:lineRule="exact"/>
        <w:ind w:left="629" w:hanging="629"/>
        <w:rPr>
          <w:rFonts w:ascii="宋体" w:hAnsi="宋体"/>
          <w:color w:val="auto"/>
          <w:highlight w:val="none"/>
        </w:rPr>
      </w:pPr>
    </w:p>
    <w:p w14:paraId="640BCFC8">
      <w:pPr>
        <w:spacing w:line="400" w:lineRule="exact"/>
        <w:ind w:right="97" w:rightChars="46"/>
        <w:rPr>
          <w:rFonts w:ascii="宋体" w:hAnsi="宋体"/>
          <w:b/>
          <w:bCs/>
          <w:color w:val="auto"/>
          <w:highlight w:val="none"/>
        </w:rPr>
      </w:pPr>
      <w:r>
        <w:rPr>
          <w:rFonts w:hint="eastAsia" w:ascii="宋体" w:hAnsi="宋体"/>
          <w:b/>
          <w:bCs/>
          <w:color w:val="auto"/>
          <w:highlight w:val="none"/>
        </w:rPr>
        <w:t>说明：</w:t>
      </w:r>
    </w:p>
    <w:p w14:paraId="3F625BEF">
      <w:pPr>
        <w:spacing w:line="400" w:lineRule="exact"/>
        <w:ind w:firstLine="420" w:firstLineChars="200"/>
        <w:rPr>
          <w:rFonts w:ascii="宋体" w:hAnsi="宋体"/>
          <w:bCs/>
          <w:color w:val="auto"/>
          <w:highlight w:val="none"/>
        </w:rPr>
      </w:pPr>
      <w:r>
        <w:rPr>
          <w:rFonts w:hint="eastAsia" w:ascii="宋体" w:hAnsi="宋体"/>
          <w:bCs/>
          <w:color w:val="auto"/>
          <w:highlight w:val="none"/>
        </w:rPr>
        <w:t>1、本章中标注“▲”号条款为实质性条款，有任何一条负偏离则导致无效响应。</w:t>
      </w:r>
    </w:p>
    <w:p w14:paraId="5DF6A715">
      <w:pPr>
        <w:spacing w:line="400" w:lineRule="exact"/>
        <w:ind w:firstLine="420" w:firstLineChars="200"/>
        <w:rPr>
          <w:rFonts w:ascii="宋体" w:hAnsi="宋体"/>
          <w:bCs/>
          <w:color w:val="auto"/>
          <w:highlight w:val="none"/>
        </w:rPr>
      </w:pPr>
      <w:r>
        <w:rPr>
          <w:rFonts w:hint="eastAsia" w:ascii="宋体" w:hAnsi="宋体"/>
          <w:bCs/>
          <w:color w:val="auto"/>
          <w:highlight w:val="none"/>
        </w:rPr>
        <w:t>2、本章中标注“★”号条款为重要技术要求，但不作为无效的响应条款。</w:t>
      </w:r>
    </w:p>
    <w:p w14:paraId="0C2598B4">
      <w:pPr>
        <w:spacing w:line="400" w:lineRule="exact"/>
        <w:ind w:firstLine="420" w:firstLineChars="200"/>
        <w:rPr>
          <w:rFonts w:ascii="宋体" w:hAnsi="宋体"/>
          <w:bCs/>
          <w:color w:val="auto"/>
          <w:highlight w:val="none"/>
        </w:rPr>
      </w:pPr>
      <w:r>
        <w:rPr>
          <w:rFonts w:hint="eastAsia" w:ascii="宋体" w:hAnsi="宋体"/>
          <w:bCs/>
          <w:color w:val="auto"/>
          <w:highlight w:val="none"/>
        </w:rPr>
        <w:t>3、本章中标注“■”系指适用本项目的要求，“□”系指不适用本项目的要求。</w:t>
      </w:r>
      <w:r>
        <w:rPr>
          <w:rFonts w:hint="eastAsia" w:ascii="宋体" w:hAnsi="宋体"/>
          <w:color w:val="auto"/>
          <w:szCs w:val="21"/>
          <w:highlight w:val="none"/>
        </w:rPr>
        <w:t>出现多种选项的条款，以“■”表示本条款所选择的方式。</w:t>
      </w:r>
    </w:p>
    <w:p w14:paraId="6535AF49">
      <w:pPr>
        <w:spacing w:line="400" w:lineRule="exact"/>
        <w:ind w:firstLine="420" w:firstLineChars="200"/>
        <w:rPr>
          <w:rFonts w:ascii="宋体" w:hAnsi="宋体"/>
          <w:bCs/>
          <w:color w:val="auto"/>
          <w:highlight w:val="none"/>
        </w:rPr>
      </w:pPr>
      <w:r>
        <w:rPr>
          <w:rFonts w:ascii="宋体" w:hAnsi="宋体"/>
          <w:bCs/>
          <w:color w:val="auto"/>
          <w:highlight w:val="none"/>
        </w:rPr>
        <w:t>4</w:t>
      </w:r>
      <w:r>
        <w:rPr>
          <w:rFonts w:hint="eastAsia" w:ascii="宋体" w:hAnsi="宋体"/>
          <w:bCs/>
          <w:color w:val="auto"/>
          <w:highlight w:val="none"/>
        </w:rPr>
        <w:t>、供应商必须自行为其所提供的产品侵犯其他供应商或专利人的专利成果承担相应法律责任；同时，具有产品专利的供应商应在其响应文件中提供与其自有产品专利相关的有效证明材料，否则，不能就其产品的专利在本项目采购过程中被侵权问题提出异议。</w:t>
      </w:r>
    </w:p>
    <w:p w14:paraId="4CAA2C93">
      <w:pPr>
        <w:spacing w:line="400" w:lineRule="exact"/>
        <w:ind w:firstLine="413" w:firstLineChars="197"/>
        <w:rPr>
          <w:rFonts w:ascii="宋体" w:hAnsi="宋体"/>
          <w:bCs/>
          <w:color w:val="auto"/>
          <w:highlight w:val="none"/>
        </w:rPr>
      </w:pPr>
    </w:p>
    <w:p w14:paraId="5ADD0916">
      <w:pPr>
        <w:spacing w:line="400" w:lineRule="exact"/>
        <w:ind w:firstLine="413" w:firstLineChars="197"/>
        <w:rPr>
          <w:rFonts w:ascii="宋体" w:hAnsi="宋体"/>
          <w:bCs/>
          <w:color w:val="auto"/>
          <w:highlight w:val="none"/>
        </w:rPr>
      </w:pPr>
    </w:p>
    <w:p w14:paraId="7BAB8F31">
      <w:pPr>
        <w:spacing w:line="400" w:lineRule="exact"/>
        <w:ind w:firstLine="413" w:firstLineChars="197"/>
        <w:rPr>
          <w:rFonts w:ascii="宋体" w:hAnsi="宋体"/>
          <w:bCs/>
          <w:color w:val="auto"/>
          <w:highlight w:val="none"/>
        </w:rPr>
      </w:pPr>
      <w:r>
        <w:rPr>
          <w:rFonts w:ascii="宋体" w:hAnsi="宋体"/>
          <w:bCs/>
          <w:color w:val="auto"/>
          <w:highlight w:val="none"/>
        </w:rPr>
        <w:br w:type="page"/>
      </w:r>
    </w:p>
    <w:p w14:paraId="6CD37A5D">
      <w:pPr>
        <w:spacing w:line="400" w:lineRule="exact"/>
        <w:ind w:firstLine="420" w:firstLineChars="200"/>
        <w:rPr>
          <w:rFonts w:ascii="宋体" w:hAnsi="宋体"/>
          <w:b/>
          <w:bCs/>
          <w:color w:val="auto"/>
          <w:sz w:val="24"/>
          <w:highlight w:val="none"/>
        </w:rPr>
      </w:pPr>
      <w:r>
        <w:rPr>
          <w:rFonts w:hint="eastAsia" w:ascii="宋体" w:hAnsi="宋体"/>
          <w:bCs/>
          <w:color w:val="auto"/>
          <w:highlight w:val="none"/>
        </w:rPr>
        <w:t>▲</w:t>
      </w:r>
      <w:r>
        <w:rPr>
          <w:rFonts w:hint="eastAsia" w:ascii="宋体" w:hAnsi="宋体"/>
          <w:b/>
          <w:bCs/>
          <w:color w:val="auto"/>
          <w:sz w:val="24"/>
          <w:highlight w:val="none"/>
        </w:rPr>
        <w:t>一、服务内容及要求</w:t>
      </w:r>
    </w:p>
    <w:tbl>
      <w:tblPr>
        <w:tblStyle w:val="30"/>
        <w:tblW w:w="522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009"/>
        <w:gridCol w:w="622"/>
        <w:gridCol w:w="656"/>
        <w:gridCol w:w="7037"/>
      </w:tblGrid>
      <w:tr w14:paraId="46F2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366" w:type="pct"/>
            <w:vAlign w:val="center"/>
          </w:tcPr>
          <w:p w14:paraId="6D11762A">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分标号</w:t>
            </w:r>
          </w:p>
        </w:tc>
        <w:tc>
          <w:tcPr>
            <w:tcW w:w="501" w:type="pct"/>
            <w:vAlign w:val="center"/>
          </w:tcPr>
          <w:p w14:paraId="5AD16E4C">
            <w:pPr>
              <w:spacing w:line="360" w:lineRule="exact"/>
              <w:jc w:val="center"/>
              <w:rPr>
                <w:rFonts w:ascii="宋体" w:hAnsi="宋体" w:cs="宋体"/>
                <w:b/>
                <w:bCs/>
                <w:color w:val="auto"/>
                <w:szCs w:val="21"/>
                <w:highlight w:val="none"/>
              </w:rPr>
            </w:pPr>
            <w:r>
              <w:rPr>
                <w:rFonts w:hint="eastAsia" w:ascii="宋体" w:hAnsi="宋体" w:cs="宋体"/>
                <w:b/>
                <w:bCs/>
                <w:color w:val="auto"/>
                <w:kern w:val="0"/>
                <w:szCs w:val="21"/>
                <w:highlight w:val="none"/>
              </w:rPr>
              <w:t>采购服务标项名称</w:t>
            </w:r>
          </w:p>
        </w:tc>
        <w:tc>
          <w:tcPr>
            <w:tcW w:w="309" w:type="pct"/>
            <w:vAlign w:val="center"/>
          </w:tcPr>
          <w:p w14:paraId="0FC3EBA4">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326" w:type="pct"/>
            <w:vAlign w:val="center"/>
          </w:tcPr>
          <w:p w14:paraId="0BB1008C">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3496" w:type="pct"/>
            <w:vAlign w:val="center"/>
          </w:tcPr>
          <w:p w14:paraId="2B3E930D">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085B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6" w:hRule="atLeast"/>
        </w:trPr>
        <w:tc>
          <w:tcPr>
            <w:tcW w:w="366" w:type="pct"/>
            <w:vAlign w:val="center"/>
          </w:tcPr>
          <w:p w14:paraId="2419071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分标1</w:t>
            </w:r>
          </w:p>
        </w:tc>
        <w:tc>
          <w:tcPr>
            <w:tcW w:w="501" w:type="pct"/>
            <w:vAlign w:val="center"/>
          </w:tcPr>
          <w:p w14:paraId="3C5E08AB">
            <w:pPr>
              <w:spacing w:line="360" w:lineRule="exact"/>
              <w:jc w:val="center"/>
              <w:rPr>
                <w:rFonts w:ascii="宋体" w:hAnsi="宋体" w:cs="宋体"/>
                <w:color w:val="auto"/>
                <w:kern w:val="0"/>
                <w:szCs w:val="21"/>
                <w:highlight w:val="none"/>
              </w:rPr>
            </w:pPr>
            <w:r>
              <w:rPr>
                <w:rFonts w:hint="eastAsia" w:ascii="宋体" w:hAnsi="宋体"/>
                <w:color w:val="auto"/>
                <w:highlight w:val="none"/>
              </w:rPr>
              <w:t>2026年度职工团体补偿医疗保险</w:t>
            </w:r>
          </w:p>
        </w:tc>
        <w:tc>
          <w:tcPr>
            <w:tcW w:w="309" w:type="pct"/>
            <w:vAlign w:val="center"/>
          </w:tcPr>
          <w:p w14:paraId="5151A2F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326" w:type="pct"/>
            <w:vAlign w:val="center"/>
          </w:tcPr>
          <w:p w14:paraId="3AE5955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496" w:type="pct"/>
            <w:vAlign w:val="center"/>
          </w:tcPr>
          <w:p w14:paraId="1C7FAFE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一、项目基本情况</w:t>
            </w:r>
          </w:p>
          <w:p w14:paraId="45235C8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（一）标项名称：2026年度职工团体补偿医疗保险</w:t>
            </w:r>
          </w:p>
          <w:p w14:paraId="6E75BDD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（二）数量：预计参保人数约2355人（含390名退休职工），具体以签约人数为准。</w:t>
            </w:r>
          </w:p>
          <w:p w14:paraId="5EFEAEC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（三）保费费用标准单价预算240元/人·年，合计565200元。</w:t>
            </w:r>
          </w:p>
          <w:p w14:paraId="582E847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二、需求参数</w:t>
            </w:r>
          </w:p>
          <w:p w14:paraId="10F0861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（一）保障范围</w:t>
            </w:r>
          </w:p>
          <w:p w14:paraId="133FCB1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因意外或疾病住院所产生的，符合基本医疗保险基金支付范围内的住院医疗费用，在剔除基本医疗保险基金支付费用和其它途径获得的补助费用后，所剩余部分的医疗费用。</w:t>
            </w:r>
          </w:p>
          <w:p w14:paraId="60951A8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（二）保障水平</w:t>
            </w:r>
          </w:p>
          <w:p w14:paraId="5E2A5CE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职工团体补充医疗保险合规费用按如下标准赔付：</w:t>
            </w:r>
          </w:p>
          <w:p w14:paraId="0783AB9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每位被保险人在职工基本医疗保险规定的医疗机构住院治疗所支出的符合职工基本医疗保险报销范围的合理医疗费用（“三个目录”内部分）。“三个目录”指：</w:t>
            </w:r>
          </w:p>
          <w:p w14:paraId="4043252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1.药品目录：《广西壮族自治区基本医疗保险工伤保险和生育保险药品目录》</w:t>
            </w:r>
          </w:p>
          <w:p w14:paraId="492862F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2.医疗服务项目目录：《广西壮族自治区基本医疗保险、工伤保险和生育保险医疗服务项目》</w:t>
            </w:r>
          </w:p>
          <w:p w14:paraId="25692B9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3.医用材料目录：符合基本医疗保险支付标准，国家和自治区价格主管部门规定可单独收费的医用材料。</w:t>
            </w:r>
          </w:p>
          <w:p w14:paraId="0AD0B96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（三）补偿标准</w:t>
            </w:r>
          </w:p>
          <w:p w14:paraId="04E26B4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供应商承担以下保险责任：</w:t>
            </w:r>
          </w:p>
          <w:p w14:paraId="7AF669C4">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保障时间：合同签订之日起1年。</w:t>
            </w:r>
          </w:p>
          <w:p w14:paraId="14A1181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等待期0天。意外门诊保额≥3000元，基本住院保险金额≥5000元，大病医疗保险金额≥10000元，意外伤害身故、伤残保险金额≥20000元，被保险人的公共保险金额为≥0元。保险金额是指供应商承担赔付责任的最高支付限额。</w:t>
            </w:r>
          </w:p>
          <w:p w14:paraId="2F89547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3.基本住院医疗费用，免赔额为0元，给付比例≥90%。</w:t>
            </w:r>
          </w:p>
          <w:p w14:paraId="6D12E35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4.大病医疗费用，免赔额为0元，给付比例≥90%。</w:t>
            </w:r>
          </w:p>
          <w:p w14:paraId="529624E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5.意外门诊医疗费用，免赔额≤100元，给付比例为100%。</w:t>
            </w:r>
          </w:p>
          <w:p w14:paraId="29CA065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6.自决定受理被保险人有关资料之日起，在10个工作日内完成赔付。</w:t>
            </w:r>
          </w:p>
        </w:tc>
      </w:tr>
      <w:tr w14:paraId="6B93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 w:type="pct"/>
            <w:vAlign w:val="center"/>
          </w:tcPr>
          <w:p w14:paraId="53668D7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分标2</w:t>
            </w:r>
          </w:p>
        </w:tc>
        <w:tc>
          <w:tcPr>
            <w:tcW w:w="501" w:type="pct"/>
            <w:vAlign w:val="center"/>
          </w:tcPr>
          <w:p w14:paraId="2A01F616">
            <w:pPr>
              <w:spacing w:line="360" w:lineRule="exact"/>
              <w:jc w:val="center"/>
              <w:rPr>
                <w:rFonts w:ascii="宋体" w:hAnsi="宋体" w:cs="宋体"/>
                <w:color w:val="auto"/>
                <w:kern w:val="0"/>
                <w:szCs w:val="21"/>
                <w:highlight w:val="none"/>
              </w:rPr>
            </w:pPr>
            <w:r>
              <w:rPr>
                <w:rFonts w:hint="eastAsia" w:ascii="宋体" w:hAnsi="宋体"/>
                <w:color w:val="auto"/>
                <w:highlight w:val="none"/>
              </w:rPr>
              <w:t>2026年医疗责任保险</w:t>
            </w:r>
          </w:p>
        </w:tc>
        <w:tc>
          <w:tcPr>
            <w:tcW w:w="309" w:type="pct"/>
            <w:vAlign w:val="center"/>
          </w:tcPr>
          <w:p w14:paraId="7930414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326" w:type="pct"/>
            <w:vAlign w:val="center"/>
          </w:tcPr>
          <w:p w14:paraId="0793336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496" w:type="pct"/>
            <w:vAlign w:val="center"/>
          </w:tcPr>
          <w:p w14:paraId="0A87653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一、保险险种：</w:t>
            </w:r>
          </w:p>
          <w:p w14:paraId="7FE9103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主险：医疗责任保险   </w:t>
            </w:r>
          </w:p>
          <w:p w14:paraId="6147624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附加险：无</w:t>
            </w:r>
          </w:p>
          <w:p w14:paraId="53F1AFA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二、保险年限：一年</w:t>
            </w:r>
          </w:p>
          <w:p w14:paraId="6E237F2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三、保险保障内容及保险费用</w:t>
            </w:r>
          </w:p>
          <w:p w14:paraId="66D1E76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（一）医疗责任每人赔偿限额：30万元；</w:t>
            </w:r>
          </w:p>
          <w:p w14:paraId="623344B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（二）医疗责任累计赔偿限额：200万元；</w:t>
            </w:r>
          </w:p>
          <w:p w14:paraId="77738C8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（三）法律费用累计赔偿限额：30万元；</w:t>
            </w:r>
          </w:p>
          <w:p w14:paraId="2B23648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（四）法律费用每次索赔赔偿限额：4.5 万元；</w:t>
            </w:r>
          </w:p>
          <w:p w14:paraId="2D41015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（五）精神损害每人责任限额：9万元；</w:t>
            </w:r>
          </w:p>
          <w:p w14:paraId="5C40322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（六）医疗意外责任限额：每人责任限额为医疗责任每人责任限额的30%，并包含在医疗责任每人责任限额内。年度累计责任限额为医疗责任年度累计责任限额的30%，并包含在医疗责任年度责任限额内。</w:t>
            </w:r>
          </w:p>
          <w:p w14:paraId="5583B7A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四、保险限额说明：</w:t>
            </w:r>
          </w:p>
          <w:p w14:paraId="151CFA4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(一)医疗责任每人赔偿限额是指在保险年度内，被保险医疗机构造成每一名患者人身损害，在保险责任范围内获得的最高赔偿金额。</w:t>
            </w:r>
          </w:p>
          <w:p w14:paraId="7F2B155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医疗责任累计赔偿限额是指被保险医疗机构在保险年度内获得的最高赔偿金额。若保险年度内被保险医疗机构累计获得的赔款等于累计赔偿限额，则该医疗机构的保险单项下的相应保险责任终止。医疗机构选择的累计赔偿限额不得低于每人赔偿限额。</w:t>
            </w:r>
          </w:p>
          <w:p w14:paraId="6586AAC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(三)法律费用累计赔偿限额为医疗责任累计赔偿限额的15%,且在医疗责任累计赔偿限额之外计算。</w:t>
            </w:r>
          </w:p>
          <w:p w14:paraId="5E7EBA4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(四)法律费用每次索赔赔偿限额为医疗责任每人赔偿限额的15%,且在医疗责任累计赔偿限额之外计算。</w:t>
            </w:r>
          </w:p>
          <w:p w14:paraId="1135587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(五)精神损害每人责任限额为医疗责任每人责任限额的30%,并包含在医疗责任每人责任限额之内。</w:t>
            </w:r>
          </w:p>
          <w:p w14:paraId="3FA83B1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（六）医疗意外每人责任限额为医疗责任每人责任限额的30%,并包含在医疗责任每人责任限额内。医疗意外年度累计责任限额为医疗责任年度累计责任限额的30%,并包含在医疗责任年度责任限额内。</w:t>
            </w:r>
          </w:p>
          <w:p w14:paraId="049AE21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四、服务要求</w:t>
            </w:r>
          </w:p>
          <w:p w14:paraId="4756413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(一)发生保险事故后，按下列方式确定的赔偿责任、赔偿金额予以赔付：</w:t>
            </w:r>
          </w:p>
          <w:p w14:paraId="64D6A5E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1.医患双方协商达成的协议；</w:t>
            </w:r>
          </w:p>
          <w:p w14:paraId="1512F5A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2.医疗纠纷人民调解委员会调解达成的调解协议；</w:t>
            </w:r>
          </w:p>
          <w:p w14:paraId="6BA630E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3.人民法院裁决、判决、调解或仲裁机构裁决；</w:t>
            </w:r>
          </w:p>
          <w:p w14:paraId="58138EB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4.保险人认可的其它方式。</w:t>
            </w:r>
          </w:p>
          <w:p w14:paraId="7A7B241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(二)理赔</w:t>
            </w:r>
          </w:p>
          <w:p w14:paraId="696520E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1.对于索赔金额在人民币2万元(含)以下的案件，医患双方可直接自行协商，定责定损。理赔服务中心依据医患双方自行协商的结果直接全额定损。</w:t>
            </w:r>
          </w:p>
          <w:p w14:paraId="0DE3AFA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索赔金额在2万元-10万元范围内(不包括10万元)的，医患双方当事人可以向广西壮族自治区内各级医疗纠纷人民调解组织、广西壮族自治区内市级或市级以上行政部门申请调解、或向人民法院提起民事诉讼等途径解决，保险人依据医调委出具的调解方案建议、法院裁定书/判决书直接全额定损。</w:t>
            </w:r>
          </w:p>
          <w:p w14:paraId="3EF1E2B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3.对于10万元以上的案件，原则上应根据医疗事故鉴定或司法鉴定结果进行调解和理赔；为提 高服务效率，保险人依据调解协议或经人民法院出具的裁定书/判决书，在保险责任内100%赔付。</w:t>
            </w:r>
          </w:p>
          <w:p w14:paraId="2899082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对于索赔金额在2万元(含)以上，医患双方协商解决的，必须事先征得保险人同意，保险人在接到报案后5个工作日内作出理赔意见。对于未经医疗损害责任相关鉴定或未经得保险人同意，而由医患双方自行协商赔偿的，保险人有权依法重新核定该事故是否属于保险责任以及重新核定损失金额。</w:t>
            </w:r>
          </w:p>
          <w:p w14:paraId="52A3500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5.响应时限。医患双方院内调解的案件，保险人在接到完整报案材料(若保险人认为报案材料不完整的，应当在收到报案材料当日一次性书面告知需要补正的全部材料，否则视为所提供的报案材 料完整；下同)后3个工作日内完成案件的审核，并向被保险人出具《理赔意见书》;由行政调解、人民调解受理的案件，保险人在接到完整报案材料后5个工作日内完成案件的审核，并向被保险人出</w:t>
            </w:r>
          </w:p>
          <w:p w14:paraId="1E67FB5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具《理赔意见书》;经医疗事故鉴定、司法鉴定或法院裁判决的案件，保险人在接到完整报案材料后5个工作日内完成案件的审核，并向被保险人出具《理赔意见书》。</w:t>
            </w:r>
          </w:p>
          <w:p w14:paraId="4205474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6.理赔时间。对于通过审核的案件，保险人应在接到完整理赔申请材料后3个工作日内，将赔款支付给被保人或经被保人同意的患者或其他相关利益人/法定继承人。</w:t>
            </w:r>
          </w:p>
        </w:tc>
      </w:tr>
    </w:tbl>
    <w:p w14:paraId="591EEC6E">
      <w:pPr>
        <w:rPr>
          <w:rFonts w:hAnsi="宋体"/>
          <w:bCs/>
          <w:color w:val="auto"/>
          <w:highlight w:val="none"/>
        </w:rPr>
      </w:pPr>
    </w:p>
    <w:p w14:paraId="0BDDFCEE">
      <w:pPr>
        <w:pStyle w:val="11"/>
        <w:widowControl/>
        <w:kinsoku w:val="0"/>
        <w:autoSpaceDE w:val="0"/>
        <w:autoSpaceDN w:val="0"/>
        <w:adjustRightInd w:val="0"/>
        <w:snapToGrid w:val="0"/>
        <w:spacing w:line="500" w:lineRule="exact"/>
        <w:ind w:firstLine="640" w:firstLineChars="200"/>
        <w:textAlignment w:val="baseline"/>
        <w:outlineLvl w:val="6"/>
        <w:rPr>
          <w:b/>
          <w:bCs/>
          <w:color w:val="auto"/>
          <w:spacing w:val="6"/>
          <w:sz w:val="24"/>
          <w:szCs w:val="24"/>
          <w:highlight w:val="none"/>
        </w:rPr>
      </w:pPr>
      <w:r>
        <w:rPr>
          <w:rFonts w:hint="eastAsia"/>
          <w:bCs/>
          <w:color w:val="auto"/>
          <w:highlight w:val="none"/>
        </w:rPr>
        <w:t>▲</w:t>
      </w:r>
      <w:r>
        <w:rPr>
          <w:rFonts w:hint="eastAsia"/>
          <w:b/>
          <w:bCs/>
          <w:snapToGrid w:val="0"/>
          <w:color w:val="auto"/>
          <w:spacing w:val="6"/>
          <w:kern w:val="0"/>
          <w:sz w:val="24"/>
          <w:szCs w:val="24"/>
          <w:highlight w:val="none"/>
        </w:rPr>
        <w:t>二、</w:t>
      </w:r>
      <w:r>
        <w:rPr>
          <w:rFonts w:hint="eastAsia"/>
          <w:b/>
          <w:bCs/>
          <w:color w:val="auto"/>
          <w:spacing w:val="6"/>
          <w:sz w:val="24"/>
          <w:szCs w:val="24"/>
          <w:highlight w:val="none"/>
        </w:rPr>
        <w:t>商务要求</w:t>
      </w:r>
    </w:p>
    <w:p w14:paraId="30AA70D8">
      <w:pPr>
        <w:pStyle w:val="12"/>
        <w:rPr>
          <w:rFonts w:eastAsia="宋体"/>
          <w:color w:val="auto"/>
          <w:highlight w:val="none"/>
        </w:rPr>
      </w:pPr>
      <w:r>
        <w:rPr>
          <w:rFonts w:hint="eastAsia"/>
          <w:color w:val="auto"/>
          <w:highlight w:val="none"/>
        </w:rPr>
        <w:t>分标1：</w:t>
      </w:r>
    </w:p>
    <w:tbl>
      <w:tblPr>
        <w:tblStyle w:val="2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435"/>
        <w:gridCol w:w="7354"/>
      </w:tblGrid>
      <w:tr w14:paraId="1BD9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675" w:type="dxa"/>
            <w:vAlign w:val="center"/>
          </w:tcPr>
          <w:p w14:paraId="507FB5C1">
            <w:pPr>
              <w:widowControl/>
              <w:spacing w:line="360" w:lineRule="exact"/>
              <w:ind w:left="-105" w:leftChars="-50" w:right="-105" w:rightChars="-5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435" w:type="dxa"/>
            <w:vAlign w:val="center"/>
          </w:tcPr>
          <w:p w14:paraId="20EA6FEB">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内容</w:t>
            </w:r>
          </w:p>
        </w:tc>
        <w:tc>
          <w:tcPr>
            <w:tcW w:w="7354" w:type="dxa"/>
            <w:vAlign w:val="center"/>
          </w:tcPr>
          <w:p w14:paraId="3E911FAF">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要求</w:t>
            </w:r>
          </w:p>
        </w:tc>
      </w:tr>
      <w:tr w14:paraId="55DB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75" w:type="dxa"/>
            <w:vAlign w:val="center"/>
          </w:tcPr>
          <w:p w14:paraId="73DBB1A5">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435" w:type="dxa"/>
            <w:vAlign w:val="center"/>
          </w:tcPr>
          <w:p w14:paraId="4AA5AD27">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7354" w:type="dxa"/>
            <w:vAlign w:val="center"/>
          </w:tcPr>
          <w:p w14:paraId="70E71F38">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highlight w:val="none"/>
              </w:rPr>
              <w:t>金额包括</w:t>
            </w:r>
            <w:r>
              <w:rPr>
                <w:rFonts w:hint="eastAsia" w:ascii="宋体" w:hAnsi="宋体" w:cs="宋体"/>
                <w:color w:val="auto"/>
                <w:szCs w:val="21"/>
                <w:highlight w:val="none"/>
              </w:rPr>
              <w:t>本次采购范围</w:t>
            </w:r>
            <w:r>
              <w:rPr>
                <w:rFonts w:hint="eastAsia" w:ascii="宋体" w:hAnsi="宋体" w:cs="宋体"/>
                <w:color w:val="auto"/>
                <w:highlight w:val="none"/>
              </w:rPr>
              <w:t>内的全部采购需求所应提供的服务价款、技术及服务培训、服务保障、保险及税金、培训、人工、差旅费等所有费用总和</w:t>
            </w:r>
            <w:r>
              <w:rPr>
                <w:rFonts w:hint="eastAsia" w:ascii="宋体" w:hAnsi="宋体" w:cs="宋体"/>
                <w:color w:val="auto"/>
                <w:szCs w:val="21"/>
                <w:highlight w:val="none"/>
              </w:rPr>
              <w:t>。</w:t>
            </w:r>
          </w:p>
        </w:tc>
      </w:tr>
      <w:tr w14:paraId="4227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5D19559B">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435" w:type="dxa"/>
            <w:vAlign w:val="center"/>
          </w:tcPr>
          <w:p w14:paraId="7A436571">
            <w:pPr>
              <w:widowControl/>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rPr>
              <w:t>合同签订时间</w:t>
            </w:r>
          </w:p>
        </w:tc>
        <w:tc>
          <w:tcPr>
            <w:tcW w:w="7354" w:type="dxa"/>
            <w:vAlign w:val="center"/>
          </w:tcPr>
          <w:p w14:paraId="2D6789F7">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自成交通知书发出之日起15日内签订合同</w:t>
            </w:r>
          </w:p>
        </w:tc>
      </w:tr>
      <w:tr w14:paraId="23EE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08E53F5D">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435" w:type="dxa"/>
            <w:vAlign w:val="center"/>
          </w:tcPr>
          <w:p w14:paraId="2507B014">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合同履约期限（服务期限）</w:t>
            </w:r>
          </w:p>
        </w:tc>
        <w:tc>
          <w:tcPr>
            <w:tcW w:w="7354" w:type="dxa"/>
            <w:vAlign w:val="center"/>
          </w:tcPr>
          <w:p w14:paraId="185E59E3">
            <w:pPr>
              <w:widowControl/>
              <w:spacing w:line="360" w:lineRule="exact"/>
              <w:rPr>
                <w:rFonts w:ascii="宋体" w:hAnsi="宋体" w:cs="宋体"/>
                <w:color w:val="auto"/>
                <w:szCs w:val="21"/>
                <w:highlight w:val="none"/>
                <w:shd w:val="clear" w:color="auto" w:fill="FFFFFF"/>
              </w:rPr>
            </w:pPr>
            <w:r>
              <w:rPr>
                <w:rFonts w:hint="eastAsia" w:ascii="宋体" w:hAnsi="宋体" w:cs="宋体"/>
                <w:color w:val="auto"/>
                <w:szCs w:val="21"/>
                <w:highlight w:val="none"/>
              </w:rPr>
              <w:t>1年</w:t>
            </w:r>
          </w:p>
        </w:tc>
      </w:tr>
      <w:tr w14:paraId="0F4A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3ACE29BE">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435" w:type="dxa"/>
            <w:vAlign w:val="center"/>
          </w:tcPr>
          <w:p w14:paraId="7F87D0CA">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服务地点</w:t>
            </w:r>
          </w:p>
        </w:tc>
        <w:tc>
          <w:tcPr>
            <w:tcW w:w="7354" w:type="dxa"/>
            <w:vAlign w:val="center"/>
          </w:tcPr>
          <w:p w14:paraId="456818CC">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采购人指定地点</w:t>
            </w:r>
          </w:p>
        </w:tc>
      </w:tr>
      <w:tr w14:paraId="0959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675" w:type="dxa"/>
            <w:vAlign w:val="center"/>
          </w:tcPr>
          <w:p w14:paraId="758F64D5">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435" w:type="dxa"/>
            <w:vAlign w:val="center"/>
          </w:tcPr>
          <w:p w14:paraId="2937FDFF">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7354" w:type="dxa"/>
            <w:vAlign w:val="center"/>
          </w:tcPr>
          <w:p w14:paraId="2267D29A">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 xml:space="preserve">   本项目无预付款，项目自签订合同后30日内采购人一次性将保费拨付给承保人。</w:t>
            </w:r>
          </w:p>
          <w:p w14:paraId="30342DE4">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采购人</w:t>
            </w:r>
            <w:r>
              <w:rPr>
                <w:rFonts w:ascii="宋体" w:hAnsi="宋体" w:cs="宋体"/>
                <w:bCs/>
                <w:color w:val="auto"/>
                <w:szCs w:val="21"/>
                <w:highlight w:val="none"/>
              </w:rPr>
              <w:t>付款前，</w:t>
            </w:r>
            <w:r>
              <w:rPr>
                <w:rFonts w:hint="eastAsia" w:ascii="宋体" w:hAnsi="宋体" w:cs="宋体"/>
                <w:bCs/>
                <w:color w:val="auto"/>
                <w:szCs w:val="21"/>
                <w:highlight w:val="none"/>
              </w:rPr>
              <w:t>承保人</w:t>
            </w:r>
            <w:r>
              <w:rPr>
                <w:rFonts w:ascii="宋体" w:hAnsi="宋体" w:cs="宋体"/>
                <w:bCs/>
                <w:color w:val="auto"/>
                <w:szCs w:val="21"/>
                <w:highlight w:val="none"/>
              </w:rPr>
              <w:t>需根据</w:t>
            </w:r>
            <w:r>
              <w:rPr>
                <w:rFonts w:hint="eastAsia" w:ascii="宋体" w:hAnsi="宋体" w:cs="宋体"/>
                <w:bCs/>
                <w:color w:val="auto"/>
                <w:szCs w:val="21"/>
                <w:highlight w:val="none"/>
              </w:rPr>
              <w:t>采购人</w:t>
            </w:r>
            <w:r>
              <w:rPr>
                <w:rFonts w:ascii="宋体" w:hAnsi="宋体" w:cs="宋体"/>
                <w:bCs/>
                <w:color w:val="auto"/>
                <w:szCs w:val="21"/>
                <w:highlight w:val="none"/>
              </w:rPr>
              <w:t>需求的发票类型向</w:t>
            </w:r>
            <w:r>
              <w:rPr>
                <w:rFonts w:hint="eastAsia" w:ascii="宋体" w:hAnsi="宋体" w:cs="宋体"/>
                <w:bCs/>
                <w:color w:val="auto"/>
                <w:szCs w:val="21"/>
                <w:highlight w:val="none"/>
              </w:rPr>
              <w:t>采购人</w:t>
            </w:r>
            <w:r>
              <w:rPr>
                <w:rFonts w:ascii="宋体" w:hAnsi="宋体" w:cs="宋体"/>
                <w:bCs/>
                <w:color w:val="auto"/>
                <w:szCs w:val="21"/>
                <w:highlight w:val="none"/>
              </w:rPr>
              <w:t>提供足额且符合税法规定的发票，</w:t>
            </w:r>
            <w:r>
              <w:rPr>
                <w:rFonts w:hint="eastAsia" w:ascii="宋体" w:hAnsi="宋体" w:cs="宋体"/>
                <w:bCs/>
                <w:color w:val="auto"/>
                <w:szCs w:val="21"/>
                <w:highlight w:val="none"/>
              </w:rPr>
              <w:t>承保人</w:t>
            </w:r>
            <w:r>
              <w:rPr>
                <w:rFonts w:ascii="宋体" w:hAnsi="宋体" w:cs="宋体"/>
                <w:bCs/>
                <w:color w:val="auto"/>
                <w:szCs w:val="21"/>
                <w:highlight w:val="none"/>
              </w:rPr>
              <w:t>未按要求迟延提供发票导致</w:t>
            </w:r>
            <w:r>
              <w:rPr>
                <w:rFonts w:hint="eastAsia" w:ascii="宋体" w:hAnsi="宋体" w:cs="宋体"/>
                <w:bCs/>
                <w:color w:val="auto"/>
                <w:szCs w:val="21"/>
                <w:highlight w:val="none"/>
              </w:rPr>
              <w:t>采购人</w:t>
            </w:r>
            <w:r>
              <w:rPr>
                <w:rFonts w:ascii="宋体" w:hAnsi="宋体" w:cs="宋体"/>
                <w:bCs/>
                <w:color w:val="auto"/>
                <w:szCs w:val="21"/>
                <w:highlight w:val="none"/>
              </w:rPr>
              <w:t>迟延付款的，</w:t>
            </w:r>
            <w:r>
              <w:rPr>
                <w:rFonts w:hint="eastAsia" w:ascii="宋体" w:hAnsi="宋体" w:cs="宋体"/>
                <w:bCs/>
                <w:color w:val="auto"/>
                <w:szCs w:val="21"/>
                <w:highlight w:val="none"/>
              </w:rPr>
              <w:t>采购人</w:t>
            </w:r>
            <w:r>
              <w:rPr>
                <w:rFonts w:ascii="宋体" w:hAnsi="宋体" w:cs="宋体"/>
                <w:bCs/>
                <w:color w:val="auto"/>
                <w:szCs w:val="21"/>
                <w:highlight w:val="none"/>
              </w:rPr>
              <w:t>无需承担逾期付款违约责任。</w:t>
            </w:r>
          </w:p>
        </w:tc>
      </w:tr>
      <w:tr w14:paraId="1145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5" w:type="dxa"/>
            <w:vAlign w:val="center"/>
          </w:tcPr>
          <w:p w14:paraId="74E29621">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435" w:type="dxa"/>
            <w:vAlign w:val="center"/>
          </w:tcPr>
          <w:p w14:paraId="532B85E4">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验收标准</w:t>
            </w:r>
          </w:p>
        </w:tc>
        <w:tc>
          <w:tcPr>
            <w:tcW w:w="7354" w:type="dxa"/>
            <w:vAlign w:val="center"/>
          </w:tcPr>
          <w:p w14:paraId="1D4A3682">
            <w:pPr>
              <w:widowControl/>
              <w:spacing w:line="360" w:lineRule="exac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413B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Align w:val="center"/>
          </w:tcPr>
          <w:p w14:paraId="44A674B3">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1435" w:type="dxa"/>
            <w:vAlign w:val="center"/>
          </w:tcPr>
          <w:p w14:paraId="43312E01">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质量保证</w:t>
            </w:r>
          </w:p>
        </w:tc>
        <w:tc>
          <w:tcPr>
            <w:tcW w:w="7354" w:type="dxa"/>
            <w:vAlign w:val="center"/>
          </w:tcPr>
          <w:p w14:paraId="2ED16752">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成交供应商必须严格按照磋商文件、采购人要求以及响应文件承诺进行提供服务，成产供应商在提供服务过程中必须接受采购人的监督和建议，根据与采购人协商的意见进行调整。未经采购人允许，不得改变服务质量。否则将取消成交供应商承接资格。</w:t>
            </w:r>
          </w:p>
        </w:tc>
      </w:tr>
      <w:tr w14:paraId="716E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Align w:val="center"/>
          </w:tcPr>
          <w:p w14:paraId="3628F52C">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1435" w:type="dxa"/>
            <w:vAlign w:val="center"/>
          </w:tcPr>
          <w:p w14:paraId="5F53331E">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7354" w:type="dxa"/>
            <w:vAlign w:val="center"/>
          </w:tcPr>
          <w:p w14:paraId="485A246E">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1.提供投保及保险理赔上门服务、相关保险培训、技术支持。</w:t>
            </w:r>
          </w:p>
          <w:p w14:paraId="1FEBCFEF">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2.提供7×24小时理赔服务热线。</w:t>
            </w:r>
          </w:p>
          <w:p w14:paraId="3B453B2B">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3.接到采购人职工理赔申请后，须在2小时内响应，10个工作日内完成赔付。</w:t>
            </w:r>
          </w:p>
        </w:tc>
      </w:tr>
    </w:tbl>
    <w:p w14:paraId="05ED735F">
      <w:pPr>
        <w:rPr>
          <w:rFonts w:hAnsi="宋体"/>
          <w:bCs/>
          <w:color w:val="auto"/>
          <w:highlight w:val="none"/>
        </w:rPr>
      </w:pPr>
    </w:p>
    <w:p w14:paraId="3AED400C">
      <w:pPr>
        <w:pStyle w:val="12"/>
        <w:rPr>
          <w:color w:val="auto"/>
          <w:highlight w:val="none"/>
        </w:rPr>
      </w:pPr>
      <w:r>
        <w:rPr>
          <w:rFonts w:hint="eastAsia"/>
          <w:color w:val="auto"/>
          <w:highlight w:val="none"/>
        </w:rPr>
        <w:t>分标2：</w:t>
      </w:r>
    </w:p>
    <w:tbl>
      <w:tblPr>
        <w:tblStyle w:val="2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485"/>
        <w:gridCol w:w="7304"/>
      </w:tblGrid>
      <w:tr w14:paraId="7DD6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675" w:type="dxa"/>
            <w:vAlign w:val="center"/>
          </w:tcPr>
          <w:p w14:paraId="1B44CCF5">
            <w:pPr>
              <w:widowControl/>
              <w:spacing w:line="360" w:lineRule="exact"/>
              <w:ind w:left="-105" w:leftChars="-50" w:right="-105" w:rightChars="-5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485" w:type="dxa"/>
            <w:vAlign w:val="center"/>
          </w:tcPr>
          <w:p w14:paraId="61136715">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内容</w:t>
            </w:r>
          </w:p>
        </w:tc>
        <w:tc>
          <w:tcPr>
            <w:tcW w:w="7304" w:type="dxa"/>
            <w:vAlign w:val="center"/>
          </w:tcPr>
          <w:p w14:paraId="32144A7B">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要求</w:t>
            </w:r>
          </w:p>
        </w:tc>
      </w:tr>
      <w:tr w14:paraId="6E27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2137058D">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485" w:type="dxa"/>
            <w:vAlign w:val="center"/>
          </w:tcPr>
          <w:p w14:paraId="3DCDD2B0">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7304" w:type="dxa"/>
            <w:vAlign w:val="center"/>
          </w:tcPr>
          <w:p w14:paraId="5983BAFD">
            <w:pPr>
              <w:widowControl/>
              <w:spacing w:line="360" w:lineRule="exact"/>
              <w:ind w:firstLine="210" w:firstLineChars="100"/>
              <w:rPr>
                <w:rFonts w:ascii="宋体" w:hAnsi="宋体" w:cs="宋体"/>
                <w:color w:val="auto"/>
                <w:szCs w:val="21"/>
                <w:highlight w:val="none"/>
                <w:shd w:val="clear" w:color="auto" w:fill="FFFFFF"/>
              </w:rPr>
            </w:pPr>
            <w:r>
              <w:rPr>
                <w:rFonts w:hint="eastAsia" w:ascii="宋体" w:hAnsi="宋体" w:cs="宋体"/>
                <w:color w:val="auto"/>
                <w:szCs w:val="21"/>
                <w:highlight w:val="none"/>
              </w:rPr>
              <w:t>金额包含保险费、服务费、人工费、税费、全部风险及责任等一切费用，为固定包干价。</w:t>
            </w:r>
          </w:p>
        </w:tc>
      </w:tr>
      <w:tr w14:paraId="39F7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1516CAF2">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485" w:type="dxa"/>
            <w:vAlign w:val="center"/>
          </w:tcPr>
          <w:p w14:paraId="79BA49FE">
            <w:pPr>
              <w:widowControl/>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rPr>
              <w:t>合同签订时间</w:t>
            </w:r>
          </w:p>
        </w:tc>
        <w:tc>
          <w:tcPr>
            <w:tcW w:w="7304" w:type="dxa"/>
            <w:vAlign w:val="center"/>
          </w:tcPr>
          <w:p w14:paraId="36A5E60A">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自成交通知书发出之日起15日内签订合同</w:t>
            </w:r>
          </w:p>
        </w:tc>
      </w:tr>
      <w:tr w14:paraId="76BD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75" w:type="dxa"/>
            <w:vAlign w:val="center"/>
          </w:tcPr>
          <w:p w14:paraId="7EA30FC7">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485" w:type="dxa"/>
            <w:vAlign w:val="center"/>
          </w:tcPr>
          <w:p w14:paraId="19F550A7">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合同履约期限（服务期限）</w:t>
            </w:r>
          </w:p>
        </w:tc>
        <w:tc>
          <w:tcPr>
            <w:tcW w:w="7304" w:type="dxa"/>
            <w:vAlign w:val="center"/>
          </w:tcPr>
          <w:p w14:paraId="6D469E38">
            <w:pPr>
              <w:widowControl/>
              <w:spacing w:line="360" w:lineRule="exact"/>
              <w:rPr>
                <w:rFonts w:ascii="宋体" w:hAnsi="宋体" w:cs="宋体"/>
                <w:color w:val="auto"/>
                <w:szCs w:val="21"/>
                <w:highlight w:val="none"/>
                <w:shd w:val="clear" w:color="auto" w:fill="FFFFFF"/>
              </w:rPr>
            </w:pPr>
            <w:r>
              <w:rPr>
                <w:rFonts w:hint="eastAsia" w:ascii="宋体" w:hAnsi="宋体" w:cs="宋体"/>
                <w:color w:val="auto"/>
                <w:szCs w:val="21"/>
                <w:highlight w:val="none"/>
              </w:rPr>
              <w:t>1年</w:t>
            </w:r>
          </w:p>
        </w:tc>
      </w:tr>
      <w:tr w14:paraId="14B3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4D21ADD7">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485" w:type="dxa"/>
            <w:vAlign w:val="center"/>
          </w:tcPr>
          <w:p w14:paraId="1C654C6D">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服务地点</w:t>
            </w:r>
          </w:p>
        </w:tc>
        <w:tc>
          <w:tcPr>
            <w:tcW w:w="7304" w:type="dxa"/>
            <w:vAlign w:val="center"/>
          </w:tcPr>
          <w:p w14:paraId="57CDC822">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采购人指定地点</w:t>
            </w:r>
          </w:p>
        </w:tc>
      </w:tr>
      <w:tr w14:paraId="0FF5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75" w:type="dxa"/>
            <w:vAlign w:val="center"/>
          </w:tcPr>
          <w:p w14:paraId="4DA3E1E8">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485" w:type="dxa"/>
            <w:vAlign w:val="center"/>
          </w:tcPr>
          <w:p w14:paraId="7C5E696D">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7304" w:type="dxa"/>
            <w:vAlign w:val="center"/>
          </w:tcPr>
          <w:p w14:paraId="370D0E4B">
            <w:pPr>
              <w:spacing w:line="440" w:lineRule="exact"/>
              <w:ind w:firstLine="420" w:firstLineChars="200"/>
              <w:rPr>
                <w:rFonts w:hAnsi="宋体" w:cs="宋体"/>
                <w:bCs/>
                <w:color w:val="auto"/>
                <w:highlight w:val="none"/>
              </w:rPr>
            </w:pPr>
            <w:r>
              <w:rPr>
                <w:rFonts w:hint="eastAsia" w:hAnsi="宋体" w:cs="宋体"/>
                <w:bCs/>
                <w:color w:val="auto"/>
                <w:highlight w:val="none"/>
              </w:rPr>
              <w:t>本合同采用一次性付款方式结算,采购人付款前，供应商应开具经甲方核定的合同标的金额的增值税发票（足额并符合税法规定) 给采购人，采购人核对发票无误后支付合同款至供应商指定对公银行帐户，因供应商向采购人提供发票致使采购人迟延付款的，采购人不承担违约责任。</w:t>
            </w:r>
          </w:p>
          <w:p w14:paraId="11746F9C">
            <w:pPr>
              <w:spacing w:line="440" w:lineRule="exact"/>
              <w:ind w:firstLine="420" w:firstLineChars="200"/>
              <w:rPr>
                <w:rFonts w:ascii="宋体" w:hAnsi="宋体" w:cs="宋体"/>
                <w:bCs/>
                <w:color w:val="auto"/>
                <w:szCs w:val="21"/>
                <w:highlight w:val="none"/>
              </w:rPr>
            </w:pPr>
            <w:r>
              <w:rPr>
                <w:rFonts w:hint="eastAsia" w:hAnsi="宋体" w:cs="宋体"/>
                <w:bCs/>
                <w:color w:val="auto"/>
                <w:highlight w:val="none"/>
              </w:rPr>
              <w:t>在合同生效之日起一个月内，供应商向采购人开具100%合同金额的发票和付款申请后，采购人应在收到发票后30个工作日内向供应商支付100%的合同款项。</w:t>
            </w:r>
          </w:p>
        </w:tc>
      </w:tr>
      <w:tr w14:paraId="771D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5" w:type="dxa"/>
            <w:vAlign w:val="center"/>
          </w:tcPr>
          <w:p w14:paraId="59274D32">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485" w:type="dxa"/>
            <w:vAlign w:val="center"/>
          </w:tcPr>
          <w:p w14:paraId="2F35B810">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验收标准</w:t>
            </w:r>
          </w:p>
        </w:tc>
        <w:tc>
          <w:tcPr>
            <w:tcW w:w="7304" w:type="dxa"/>
            <w:vAlign w:val="center"/>
          </w:tcPr>
          <w:p w14:paraId="67A6D1E0">
            <w:pPr>
              <w:widowControl/>
              <w:spacing w:line="360" w:lineRule="exac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3835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Align w:val="center"/>
          </w:tcPr>
          <w:p w14:paraId="6634352E">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1485" w:type="dxa"/>
            <w:vAlign w:val="center"/>
          </w:tcPr>
          <w:p w14:paraId="60F6174B">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质量保证</w:t>
            </w:r>
          </w:p>
        </w:tc>
        <w:tc>
          <w:tcPr>
            <w:tcW w:w="7304" w:type="dxa"/>
            <w:vAlign w:val="center"/>
          </w:tcPr>
          <w:p w14:paraId="6151466D">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成交供应商必须严格按照磋商文件、采购人要求以及响应文件承诺进行提供服务，成产供应商在提供服务过程中必须接受采购人的监督和建议，根据与采购人协商的意见进行调整。未经采购人允许，不得改变服务质量。否则将取消成交供应商承接资格。</w:t>
            </w:r>
          </w:p>
        </w:tc>
      </w:tr>
      <w:tr w14:paraId="75DE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Align w:val="center"/>
          </w:tcPr>
          <w:p w14:paraId="6A9FA51C">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1485" w:type="dxa"/>
            <w:vAlign w:val="center"/>
          </w:tcPr>
          <w:p w14:paraId="622782A8">
            <w:pPr>
              <w:widowControl/>
              <w:spacing w:line="360" w:lineRule="exact"/>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7304" w:type="dxa"/>
            <w:vAlign w:val="center"/>
          </w:tcPr>
          <w:p w14:paraId="5AC4963D">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1.指派不少于2名服务人员配合采购人医院成立服务小组，为医院提供包含且不限于以下的服务：协助医院处理突发性事件的调查、处理，医责险理赔材料的收集、递交及理赔跟进等工作。</w:t>
            </w:r>
          </w:p>
          <w:p w14:paraId="41F2A251">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2.成交供应商未及时履行赔偿义务引起其他经济责任的，成交供应商除支付保险金外，应承担由此产生的赔偿责任。</w:t>
            </w:r>
          </w:p>
          <w:p w14:paraId="061AF529">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3.提供投保及保险理赔上门服务、相关保险培训、技术支持。</w:t>
            </w:r>
          </w:p>
          <w:p w14:paraId="000AE7BD">
            <w:pPr>
              <w:widowControl/>
              <w:spacing w:line="360" w:lineRule="exact"/>
              <w:rPr>
                <w:rFonts w:ascii="宋体" w:hAnsi="宋体" w:cs="宋体"/>
                <w:bCs/>
                <w:color w:val="auto"/>
                <w:szCs w:val="21"/>
                <w:highlight w:val="none"/>
              </w:rPr>
            </w:pPr>
            <w:r>
              <w:rPr>
                <w:rFonts w:hint="eastAsia" w:ascii="宋体" w:hAnsi="宋体" w:cs="宋体"/>
                <w:bCs/>
                <w:color w:val="auto"/>
                <w:szCs w:val="21"/>
                <w:highlight w:val="none"/>
              </w:rPr>
              <w:t>4.提供7×24小时理赔服务热线。</w:t>
            </w:r>
          </w:p>
        </w:tc>
      </w:tr>
    </w:tbl>
    <w:p w14:paraId="59245474">
      <w:pPr>
        <w:pStyle w:val="12"/>
        <w:rPr>
          <w:color w:val="auto"/>
          <w:highlight w:val="none"/>
        </w:rPr>
      </w:pPr>
    </w:p>
    <w:p w14:paraId="7D1DF640">
      <w:pPr>
        <w:rPr>
          <w:rFonts w:hAnsi="宋体"/>
          <w:bCs/>
          <w:color w:val="auto"/>
          <w:highlight w:val="none"/>
        </w:rPr>
      </w:pPr>
      <w:r>
        <w:rPr>
          <w:rFonts w:hAnsi="宋体"/>
          <w:bCs/>
          <w:color w:val="auto"/>
          <w:highlight w:val="none"/>
        </w:rPr>
        <w:br w:type="page"/>
      </w:r>
    </w:p>
    <w:p w14:paraId="515EB509">
      <w:pPr>
        <w:rPr>
          <w:color w:val="auto"/>
          <w:highlight w:val="none"/>
        </w:rPr>
      </w:pPr>
    </w:p>
    <w:p w14:paraId="1AABC433">
      <w:pPr>
        <w:jc w:val="center"/>
        <w:rPr>
          <w:rFonts w:ascii="宋体" w:hAnsi="宋体"/>
          <w:color w:val="auto"/>
          <w:szCs w:val="21"/>
          <w:highlight w:val="none"/>
        </w:rPr>
      </w:pPr>
    </w:p>
    <w:p w14:paraId="731AA691">
      <w:pPr>
        <w:pStyle w:val="14"/>
        <w:spacing w:line="300" w:lineRule="exact"/>
        <w:ind w:firstLine="420"/>
        <w:rPr>
          <w:rFonts w:hAnsi="宋体"/>
          <w:bCs/>
          <w:color w:val="auto"/>
          <w:highlight w:val="none"/>
        </w:rPr>
      </w:pPr>
    </w:p>
    <w:p w14:paraId="330EE220">
      <w:pPr>
        <w:spacing w:line="440" w:lineRule="exact"/>
        <w:rPr>
          <w:rFonts w:ascii="宋体" w:hAnsi="宋体"/>
          <w:b/>
          <w:bCs/>
          <w:color w:val="auto"/>
          <w:sz w:val="24"/>
          <w:highlight w:val="none"/>
        </w:rPr>
      </w:pPr>
      <w:r>
        <w:rPr>
          <w:rFonts w:hint="eastAsia" w:ascii="宋体" w:hAnsi="宋体"/>
          <w:b/>
          <w:bCs/>
          <w:color w:val="auto"/>
          <w:sz w:val="24"/>
          <w:highlight w:val="none"/>
        </w:rPr>
        <w:t>附件2：金融业企业划型标准</w:t>
      </w:r>
    </w:p>
    <w:p w14:paraId="4DC8C010">
      <w:pPr>
        <w:spacing w:line="400" w:lineRule="exact"/>
        <w:rPr>
          <w:rFonts w:ascii="宋体" w:hAnsi="宋体"/>
          <w:b/>
          <w:bCs/>
          <w:color w:val="auto"/>
          <w:sz w:val="24"/>
          <w:highlight w:val="none"/>
        </w:rPr>
      </w:pPr>
      <w:r>
        <w:rPr>
          <w:rFonts w:hint="eastAsia" w:ascii="宋体" w:hAnsi="宋体"/>
          <w:b/>
          <w:bCs/>
          <w:color w:val="auto"/>
          <w:sz w:val="24"/>
          <w:highlight w:val="none"/>
        </w:rPr>
        <w:t>（中型金融业企业标准上限即为大型金融业企业下限）</w:t>
      </w:r>
    </w:p>
    <w:p w14:paraId="5BDEE357">
      <w:pPr>
        <w:jc w:val="center"/>
        <w:rPr>
          <w:rFonts w:ascii="宋体" w:hAnsi="宋体"/>
          <w:color w:val="auto"/>
          <w:szCs w:val="21"/>
          <w:highlight w:val="none"/>
        </w:rPr>
      </w:pPr>
    </w:p>
    <w:p w14:paraId="5CB23505">
      <w:pPr>
        <w:pStyle w:val="14"/>
        <w:spacing w:line="300" w:lineRule="exact"/>
        <w:ind w:firstLine="420"/>
        <w:rPr>
          <w:rFonts w:hAnsi="宋体"/>
          <w:color w:val="auto"/>
          <w:highlight w:val="none"/>
        </w:rPr>
      </w:pPr>
      <w:r>
        <w:rPr>
          <w:rFonts w:hint="eastAsia" w:hAnsi="宋体"/>
          <w:color w:val="auto"/>
          <w:szCs w:val="21"/>
          <w:highlight w:val="none"/>
        </w:rPr>
        <w:drawing>
          <wp:anchor distT="0" distB="0" distL="0" distR="0" simplePos="0" relativeHeight="251661312" behindDoc="0" locked="0" layoutInCell="1" allowOverlap="1">
            <wp:simplePos x="0" y="0"/>
            <wp:positionH relativeFrom="column">
              <wp:posOffset>290195</wp:posOffset>
            </wp:positionH>
            <wp:positionV relativeFrom="paragraph">
              <wp:posOffset>171450</wp:posOffset>
            </wp:positionV>
            <wp:extent cx="5865495" cy="6184900"/>
            <wp:effectExtent l="0" t="0" r="1905" b="6350"/>
            <wp:wrapTopAndBottom/>
            <wp:docPr id="10" name="图片 3" descr="《金融业企业划型标准规定》的通知（银发[2015]309号）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金融业企业划型标准规定》的通知（银发[2015]309号）_page-0007.jpg"/>
                    <pic:cNvPicPr>
                      <a:picLocks noChangeAspect="1"/>
                    </pic:cNvPicPr>
                  </pic:nvPicPr>
                  <pic:blipFill>
                    <a:blip r:embed="rId11" cstate="print">
                      <a:lum bright="-20000" contrast="40000"/>
                    </a:blip>
                    <a:srcRect l="9125" t="16105" r="8909" b="12887"/>
                    <a:stretch>
                      <a:fillRect/>
                    </a:stretch>
                  </pic:blipFill>
                  <pic:spPr>
                    <a:xfrm>
                      <a:off x="0" y="0"/>
                      <a:ext cx="5865495" cy="6184900"/>
                    </a:xfrm>
                    <a:prstGeom prst="rect">
                      <a:avLst/>
                    </a:prstGeom>
                  </pic:spPr>
                </pic:pic>
              </a:graphicData>
            </a:graphic>
          </wp:anchor>
        </w:drawing>
      </w:r>
      <w:r>
        <w:rPr>
          <w:rFonts w:hAnsi="宋体"/>
          <w:bCs/>
          <w:color w:val="auto"/>
          <w:highlight w:val="none"/>
        </w:rPr>
        <w:br w:type="page"/>
      </w:r>
    </w:p>
    <w:p w14:paraId="08DF1866">
      <w:pPr>
        <w:pStyle w:val="14"/>
        <w:spacing w:line="400" w:lineRule="exact"/>
        <w:rPr>
          <w:rFonts w:hAnsi="宋体"/>
          <w:color w:val="auto"/>
          <w:highlight w:val="none"/>
        </w:rPr>
      </w:pPr>
    </w:p>
    <w:p w14:paraId="63FD05B3">
      <w:pPr>
        <w:pStyle w:val="14"/>
        <w:spacing w:line="400" w:lineRule="exact"/>
        <w:rPr>
          <w:rFonts w:hAnsi="宋体"/>
          <w:color w:val="auto"/>
          <w:highlight w:val="none"/>
        </w:rPr>
      </w:pPr>
    </w:p>
    <w:p w14:paraId="3C89867A">
      <w:pPr>
        <w:pStyle w:val="14"/>
        <w:spacing w:line="400" w:lineRule="exact"/>
        <w:rPr>
          <w:rFonts w:hAnsi="宋体"/>
          <w:color w:val="auto"/>
          <w:highlight w:val="none"/>
        </w:rPr>
      </w:pPr>
    </w:p>
    <w:p w14:paraId="59FF7B46">
      <w:pPr>
        <w:pStyle w:val="14"/>
        <w:spacing w:line="400" w:lineRule="exact"/>
        <w:rPr>
          <w:rFonts w:hAnsi="宋体"/>
          <w:color w:val="auto"/>
          <w:highlight w:val="none"/>
        </w:rPr>
      </w:pPr>
    </w:p>
    <w:p w14:paraId="6CB6A85E">
      <w:pPr>
        <w:pStyle w:val="14"/>
        <w:spacing w:line="400" w:lineRule="exact"/>
        <w:rPr>
          <w:rFonts w:hAnsi="宋体"/>
          <w:color w:val="auto"/>
          <w:highlight w:val="none"/>
        </w:rPr>
      </w:pPr>
    </w:p>
    <w:p w14:paraId="37125240">
      <w:pPr>
        <w:pStyle w:val="14"/>
        <w:spacing w:line="400" w:lineRule="exact"/>
        <w:rPr>
          <w:rFonts w:hAnsi="宋体"/>
          <w:color w:val="auto"/>
          <w:highlight w:val="none"/>
        </w:rPr>
      </w:pPr>
    </w:p>
    <w:p w14:paraId="2496023B">
      <w:pPr>
        <w:pStyle w:val="14"/>
        <w:spacing w:line="400" w:lineRule="exact"/>
        <w:rPr>
          <w:rFonts w:hAnsi="宋体"/>
          <w:color w:val="auto"/>
          <w:highlight w:val="none"/>
        </w:rPr>
      </w:pPr>
    </w:p>
    <w:p w14:paraId="0FD2471A">
      <w:pPr>
        <w:pStyle w:val="14"/>
        <w:spacing w:line="400" w:lineRule="exact"/>
        <w:rPr>
          <w:rFonts w:hAnsi="宋体"/>
          <w:color w:val="auto"/>
          <w:highlight w:val="none"/>
        </w:rPr>
      </w:pPr>
    </w:p>
    <w:p w14:paraId="2F4E2ED7">
      <w:pPr>
        <w:pStyle w:val="14"/>
        <w:spacing w:line="400" w:lineRule="exact"/>
        <w:rPr>
          <w:rFonts w:hAnsi="宋体"/>
          <w:color w:val="auto"/>
          <w:highlight w:val="none"/>
        </w:rPr>
      </w:pPr>
    </w:p>
    <w:p w14:paraId="579AABEC">
      <w:pPr>
        <w:pStyle w:val="2"/>
        <w:jc w:val="center"/>
        <w:rPr>
          <w:rFonts w:ascii="宋体" w:hAnsi="宋体"/>
          <w:bCs/>
          <w:color w:val="auto"/>
          <w:sz w:val="44"/>
          <w:highlight w:val="none"/>
        </w:rPr>
      </w:pPr>
      <w:bookmarkStart w:id="294" w:name="_Toc147248436"/>
      <w:bookmarkStart w:id="295" w:name="_Toc156106971"/>
      <w:bookmarkStart w:id="296" w:name="_Toc185702588"/>
      <w:bookmarkStart w:id="297" w:name="_Toc185703010"/>
      <w:bookmarkStart w:id="298" w:name="_Toc239839917"/>
      <w:bookmarkStart w:id="299" w:name="_Toc64706767"/>
      <w:r>
        <w:rPr>
          <w:rFonts w:hint="eastAsia" w:ascii="宋体" w:hAnsi="宋体"/>
          <w:bCs/>
          <w:color w:val="auto"/>
          <w:sz w:val="44"/>
          <w:highlight w:val="none"/>
        </w:rPr>
        <w:t>第四章  评</w:t>
      </w:r>
      <w:bookmarkEnd w:id="294"/>
      <w:bookmarkEnd w:id="295"/>
      <w:r>
        <w:rPr>
          <w:rFonts w:hint="eastAsia" w:ascii="宋体" w:hAnsi="宋体"/>
          <w:bCs/>
          <w:color w:val="auto"/>
          <w:sz w:val="44"/>
          <w:highlight w:val="none"/>
        </w:rPr>
        <w:t>审方法</w:t>
      </w:r>
      <w:bookmarkEnd w:id="296"/>
      <w:bookmarkEnd w:id="297"/>
      <w:bookmarkEnd w:id="298"/>
      <w:r>
        <w:rPr>
          <w:rFonts w:hint="eastAsia" w:ascii="宋体" w:hAnsi="宋体"/>
          <w:bCs/>
          <w:color w:val="auto"/>
          <w:sz w:val="44"/>
          <w:highlight w:val="none"/>
        </w:rPr>
        <w:t>及评审标准</w:t>
      </w:r>
      <w:bookmarkEnd w:id="299"/>
    </w:p>
    <w:p w14:paraId="30840DBE">
      <w:pPr>
        <w:spacing w:line="360" w:lineRule="exact"/>
        <w:ind w:left="1"/>
        <w:rPr>
          <w:rFonts w:ascii="宋体" w:hAnsi="宋体"/>
          <w:color w:val="auto"/>
          <w:sz w:val="44"/>
          <w:highlight w:val="none"/>
        </w:rPr>
      </w:pPr>
    </w:p>
    <w:p w14:paraId="54FFF6C1">
      <w:pPr>
        <w:spacing w:line="360" w:lineRule="exact"/>
        <w:ind w:left="1"/>
        <w:rPr>
          <w:rFonts w:ascii="宋体" w:hAnsi="宋体"/>
          <w:color w:val="auto"/>
          <w:sz w:val="44"/>
          <w:highlight w:val="none"/>
        </w:rPr>
      </w:pPr>
    </w:p>
    <w:p w14:paraId="7C9C5402">
      <w:pPr>
        <w:spacing w:line="380" w:lineRule="exact"/>
        <w:ind w:left="1"/>
        <w:rPr>
          <w:rFonts w:ascii="宋体" w:hAnsi="宋体"/>
          <w:color w:val="auto"/>
          <w:szCs w:val="21"/>
          <w:highlight w:val="none"/>
        </w:rPr>
      </w:pPr>
      <w:r>
        <w:rPr>
          <w:rFonts w:ascii="宋体" w:hAnsi="宋体"/>
          <w:color w:val="auto"/>
          <w:sz w:val="44"/>
          <w:highlight w:val="none"/>
        </w:rPr>
        <w:br w:type="page"/>
      </w:r>
    </w:p>
    <w:p w14:paraId="147A870E">
      <w:pPr>
        <w:pStyle w:val="14"/>
        <w:spacing w:line="380" w:lineRule="exact"/>
        <w:rPr>
          <w:rFonts w:hAnsi="宋体"/>
          <w:bCs/>
          <w:color w:val="auto"/>
          <w:sz w:val="24"/>
          <w:szCs w:val="24"/>
          <w:highlight w:val="none"/>
        </w:rPr>
      </w:pPr>
    </w:p>
    <w:p w14:paraId="0C3CADD2">
      <w:pPr>
        <w:pStyle w:val="14"/>
        <w:spacing w:line="380" w:lineRule="exact"/>
        <w:jc w:val="center"/>
        <w:rPr>
          <w:rFonts w:hAnsi="宋体"/>
          <w:b/>
          <w:bCs/>
          <w:color w:val="auto"/>
          <w:sz w:val="28"/>
          <w:highlight w:val="none"/>
        </w:rPr>
      </w:pPr>
      <w:r>
        <w:rPr>
          <w:rFonts w:hint="eastAsia" w:hAnsi="宋体"/>
          <w:b/>
          <w:bCs/>
          <w:color w:val="auto"/>
          <w:sz w:val="28"/>
          <w:highlight w:val="none"/>
        </w:rPr>
        <w:t>评审方法及评审标准</w:t>
      </w:r>
    </w:p>
    <w:p w14:paraId="1CAC32C8">
      <w:pPr>
        <w:pStyle w:val="14"/>
        <w:spacing w:line="380" w:lineRule="exact"/>
        <w:rPr>
          <w:rFonts w:hAnsi="宋体"/>
          <w:bCs/>
          <w:color w:val="auto"/>
          <w:sz w:val="24"/>
          <w:szCs w:val="24"/>
          <w:highlight w:val="none"/>
        </w:rPr>
      </w:pPr>
    </w:p>
    <w:p w14:paraId="399265BB">
      <w:pPr>
        <w:pStyle w:val="14"/>
        <w:spacing w:beforeLines="50" w:line="440" w:lineRule="exact"/>
        <w:rPr>
          <w:rFonts w:hAnsi="宋体"/>
          <w:b/>
          <w:bCs/>
          <w:color w:val="auto"/>
          <w:sz w:val="24"/>
          <w:szCs w:val="24"/>
          <w:highlight w:val="none"/>
        </w:rPr>
      </w:pPr>
      <w:r>
        <w:rPr>
          <w:rFonts w:hint="eastAsia" w:hAnsi="宋体"/>
          <w:b/>
          <w:bCs/>
          <w:color w:val="auto"/>
          <w:sz w:val="24"/>
          <w:szCs w:val="24"/>
          <w:highlight w:val="none"/>
        </w:rPr>
        <w:t>一、评标方法</w:t>
      </w:r>
    </w:p>
    <w:p w14:paraId="5F60C32B">
      <w:pPr>
        <w:pStyle w:val="14"/>
        <w:spacing w:line="440" w:lineRule="exact"/>
        <w:ind w:left="475" w:hanging="474" w:hangingChars="226"/>
        <w:rPr>
          <w:rFonts w:hAnsi="宋体" w:cs="宋体"/>
          <w:color w:val="auto"/>
          <w:kern w:val="0"/>
          <w:szCs w:val="21"/>
          <w:highlight w:val="none"/>
        </w:rPr>
      </w:pPr>
      <w:r>
        <w:rPr>
          <w:rFonts w:hint="eastAsia" w:hAnsi="宋体"/>
          <w:bCs/>
          <w:color w:val="auto"/>
          <w:highlight w:val="none"/>
        </w:rPr>
        <w:t>1、本项目（分标1、分标2）采用评审方法：</w:t>
      </w:r>
      <w:r>
        <w:rPr>
          <w:rFonts w:hint="eastAsia" w:hAnsi="宋体"/>
          <w:b/>
          <w:bCs/>
          <w:color w:val="auto"/>
          <w:highlight w:val="none"/>
          <w:u w:val="single"/>
        </w:rPr>
        <w:t>综合评分法</w:t>
      </w:r>
      <w:r>
        <w:rPr>
          <w:rFonts w:hint="eastAsia" w:hAnsi="宋体" w:cs="宋体"/>
          <w:color w:val="auto"/>
          <w:kern w:val="0"/>
          <w:szCs w:val="21"/>
          <w:highlight w:val="none"/>
        </w:rPr>
        <w:t>，是指响应文件满足磋商文件全部实质性要求，</w:t>
      </w:r>
      <w:r>
        <w:rPr>
          <w:rFonts w:hint="eastAsia" w:hAnsi="宋体"/>
          <w:color w:val="auto"/>
          <w:highlight w:val="none"/>
        </w:rPr>
        <w:t>且按照评审因素的量化指标评审得分最高的供应商为成交候选供应商的评审方法</w:t>
      </w:r>
      <w:r>
        <w:rPr>
          <w:rFonts w:hint="eastAsia" w:hAnsi="宋体" w:cs="宋体"/>
          <w:color w:val="auto"/>
          <w:kern w:val="0"/>
          <w:szCs w:val="21"/>
          <w:highlight w:val="none"/>
        </w:rPr>
        <w:t>。</w:t>
      </w:r>
    </w:p>
    <w:p w14:paraId="2539AF7F">
      <w:pPr>
        <w:pStyle w:val="14"/>
        <w:spacing w:line="440" w:lineRule="exact"/>
        <w:ind w:left="315" w:hanging="315" w:hangingChars="150"/>
        <w:rPr>
          <w:rFonts w:hAnsi="宋体"/>
          <w:color w:val="auto"/>
          <w:szCs w:val="21"/>
          <w:highlight w:val="none"/>
        </w:rPr>
      </w:pPr>
      <w:r>
        <w:rPr>
          <w:rFonts w:hint="eastAsia" w:hAnsi="宋体"/>
          <w:color w:val="auto"/>
          <w:szCs w:val="21"/>
          <w:highlight w:val="none"/>
        </w:rPr>
        <w:t>2、</w:t>
      </w:r>
      <w:r>
        <w:rPr>
          <w:rFonts w:hAnsi="宋体"/>
          <w:bCs/>
          <w:color w:val="auto"/>
          <w:highlight w:val="none"/>
        </w:rPr>
        <w:t>本项目采用不</w:t>
      </w:r>
      <w:r>
        <w:rPr>
          <w:rFonts w:hAnsi="宋体"/>
          <w:color w:val="auto"/>
          <w:szCs w:val="21"/>
          <w:highlight w:val="none"/>
        </w:rPr>
        <w:t>公开方式评标</w:t>
      </w:r>
      <w:r>
        <w:rPr>
          <w:rFonts w:hint="eastAsia" w:hAnsi="宋体"/>
          <w:color w:val="auto"/>
          <w:szCs w:val="21"/>
          <w:highlight w:val="none"/>
        </w:rPr>
        <w:t>，评审依据为磋商文件、变更公告或文件（如有）、响应文件、澄清答复、磋商应答文件及最后报价等。磋商文件中没有规定的评审标准不得作为评审依据。</w:t>
      </w:r>
    </w:p>
    <w:p w14:paraId="1732AB4D">
      <w:pPr>
        <w:pStyle w:val="14"/>
        <w:spacing w:line="440" w:lineRule="exact"/>
        <w:ind w:left="315" w:hanging="315" w:hangingChars="150"/>
        <w:rPr>
          <w:rFonts w:hAnsi="宋体"/>
          <w:color w:val="auto"/>
          <w:szCs w:val="21"/>
          <w:highlight w:val="none"/>
        </w:rPr>
      </w:pPr>
      <w:r>
        <w:rPr>
          <w:rFonts w:hint="eastAsia" w:hAnsi="宋体"/>
          <w:color w:val="auto"/>
          <w:szCs w:val="21"/>
          <w:highlight w:val="none"/>
        </w:rPr>
        <w:t>3、磋商小组成员应当按照客观、公正、审慎的原则，根据磋商文件规定的评审程序、评审方法和评审标准进行独立评审。未实质性响应磋商文件的响应文件按无效响应处理，</w:t>
      </w:r>
      <w:r>
        <w:rPr>
          <w:rFonts w:hint="eastAsia" w:hAnsi="宋体"/>
          <w:color w:val="auto"/>
          <w:highlight w:val="none"/>
        </w:rPr>
        <w:t>磋商小组应当告知提交响应文件的供应商</w:t>
      </w:r>
      <w:r>
        <w:rPr>
          <w:rFonts w:hint="eastAsia" w:hAnsi="宋体"/>
          <w:color w:val="auto"/>
          <w:szCs w:val="21"/>
          <w:highlight w:val="none"/>
        </w:rPr>
        <w:t>。磋商文件内容违反国家有关强制性规定的，磋商小组应当停止评审并向采购人或者采购代理机构说明情况。</w:t>
      </w:r>
    </w:p>
    <w:p w14:paraId="058C389F">
      <w:pPr>
        <w:pStyle w:val="14"/>
        <w:spacing w:beforeLines="50" w:line="440" w:lineRule="exact"/>
        <w:rPr>
          <w:rFonts w:hAnsi="宋体"/>
          <w:b/>
          <w:bCs/>
          <w:color w:val="auto"/>
          <w:sz w:val="24"/>
          <w:szCs w:val="24"/>
          <w:highlight w:val="none"/>
        </w:rPr>
      </w:pPr>
      <w:r>
        <w:rPr>
          <w:rFonts w:hint="eastAsia" w:hAnsi="宋体"/>
          <w:b/>
          <w:bCs/>
          <w:color w:val="auto"/>
          <w:sz w:val="24"/>
          <w:szCs w:val="24"/>
          <w:highlight w:val="none"/>
        </w:rPr>
        <w:t>二、评标程序</w:t>
      </w:r>
    </w:p>
    <w:p w14:paraId="248F12CD">
      <w:pPr>
        <w:pStyle w:val="14"/>
        <w:spacing w:line="440" w:lineRule="exact"/>
        <w:ind w:left="527" w:hanging="527" w:hangingChars="250"/>
        <w:rPr>
          <w:rFonts w:hAnsi="宋体"/>
          <w:b/>
          <w:bCs/>
          <w:color w:val="auto"/>
          <w:highlight w:val="none"/>
        </w:rPr>
      </w:pPr>
      <w:r>
        <w:rPr>
          <w:rFonts w:hAnsi="宋体"/>
          <w:b/>
          <w:bCs/>
          <w:color w:val="auto"/>
          <w:highlight w:val="none"/>
        </w:rPr>
        <w:t>4</w:t>
      </w:r>
      <w:r>
        <w:rPr>
          <w:rFonts w:hint="eastAsia" w:hAnsi="宋体"/>
          <w:b/>
          <w:bCs/>
          <w:color w:val="auto"/>
          <w:highlight w:val="none"/>
        </w:rPr>
        <w:t>．资格性审查</w:t>
      </w:r>
    </w:p>
    <w:p w14:paraId="698FA908">
      <w:pPr>
        <w:pStyle w:val="14"/>
        <w:spacing w:line="440" w:lineRule="exact"/>
        <w:ind w:left="315" w:hanging="315" w:hangingChars="150"/>
        <w:rPr>
          <w:rFonts w:hAnsi="宋体"/>
          <w:color w:val="auto"/>
          <w:highlight w:val="none"/>
        </w:rPr>
      </w:pPr>
      <w:r>
        <w:rPr>
          <w:rFonts w:hAnsi="宋体"/>
          <w:bCs/>
          <w:color w:val="auto"/>
          <w:highlight w:val="none"/>
        </w:rPr>
        <w:t>4</w:t>
      </w:r>
      <w:r>
        <w:rPr>
          <w:rFonts w:hAnsi="宋体"/>
          <w:color w:val="auto"/>
          <w:highlight w:val="none"/>
        </w:rPr>
        <w:t>.</w:t>
      </w:r>
      <w:r>
        <w:rPr>
          <w:rFonts w:hint="eastAsia" w:hAnsi="宋体"/>
          <w:color w:val="auto"/>
          <w:highlight w:val="none"/>
        </w:rPr>
        <w:t>1磋商小组对供应商的经营资格、专业资质、技术能力等方面进行评估审查，资格审查</w:t>
      </w:r>
      <w:r>
        <w:rPr>
          <w:rFonts w:hAnsi="宋体"/>
          <w:color w:val="auto"/>
          <w:highlight w:val="none"/>
        </w:rPr>
        <w:t>涉及到的主要文件和内容</w:t>
      </w:r>
      <w:r>
        <w:rPr>
          <w:rFonts w:hint="eastAsia" w:hAnsi="宋体"/>
          <w:color w:val="auto"/>
          <w:highlight w:val="none"/>
        </w:rPr>
        <w:t>为第二章第1</w:t>
      </w:r>
      <w:r>
        <w:rPr>
          <w:rFonts w:hAnsi="宋体"/>
          <w:color w:val="auto"/>
          <w:highlight w:val="none"/>
        </w:rPr>
        <w:t>3</w:t>
      </w:r>
      <w:r>
        <w:rPr>
          <w:rFonts w:hint="eastAsia" w:hAnsi="宋体"/>
          <w:color w:val="auto"/>
          <w:highlight w:val="none"/>
        </w:rPr>
        <w:t>条所述的资格资信证明文件内容。如果供应商不具备磋商资格，不满足磋商文件所规定的资格条件或缺少任何一项或有任何一项不合格的，视为资格审查不通过。</w:t>
      </w:r>
    </w:p>
    <w:p w14:paraId="047A9FDD">
      <w:pPr>
        <w:pStyle w:val="14"/>
        <w:spacing w:line="440" w:lineRule="exact"/>
        <w:ind w:left="315" w:hanging="315" w:hangingChars="150"/>
        <w:rPr>
          <w:rFonts w:hAnsi="宋体"/>
          <w:color w:val="auto"/>
          <w:highlight w:val="none"/>
        </w:rPr>
      </w:pPr>
      <w:r>
        <w:rPr>
          <w:rFonts w:hAnsi="宋体"/>
          <w:bCs/>
          <w:color w:val="auto"/>
          <w:highlight w:val="none"/>
        </w:rPr>
        <w:t>4</w:t>
      </w:r>
      <w:r>
        <w:rPr>
          <w:rFonts w:hAnsi="宋体"/>
          <w:color w:val="auto"/>
          <w:highlight w:val="none"/>
        </w:rPr>
        <w:t>.</w:t>
      </w:r>
      <w:r>
        <w:rPr>
          <w:rFonts w:hint="eastAsia" w:hAnsi="宋体"/>
          <w:color w:val="auto"/>
          <w:highlight w:val="none"/>
        </w:rPr>
        <w:t>2信用信息查询</w:t>
      </w:r>
    </w:p>
    <w:p w14:paraId="1E6DF8F8">
      <w:pPr>
        <w:spacing w:line="440" w:lineRule="exact"/>
        <w:ind w:left="735" w:leftChars="150" w:hanging="420" w:hangingChars="200"/>
        <w:outlineLvl w:val="4"/>
        <w:rPr>
          <w:rFonts w:ascii="宋体" w:hAnsi="宋体"/>
          <w:color w:val="auto"/>
          <w:highlight w:val="none"/>
        </w:rPr>
      </w:pPr>
      <w:r>
        <w:rPr>
          <w:rFonts w:hint="eastAsia" w:ascii="宋体" w:hAnsi="宋体"/>
          <w:color w:val="auto"/>
          <w:szCs w:val="21"/>
          <w:highlight w:val="none"/>
        </w:rPr>
        <w:t xml:space="preserve">(1) </w:t>
      </w:r>
      <w:r>
        <w:rPr>
          <w:rFonts w:hint="eastAsia" w:ascii="宋体" w:hAnsi="宋体"/>
          <w:color w:val="auto"/>
          <w:highlight w:val="none"/>
        </w:rPr>
        <w:t>根据《</w:t>
      </w:r>
      <w:r>
        <w:rPr>
          <w:rFonts w:hint="eastAsia" w:ascii="宋体" w:hAnsi="宋体"/>
          <w:color w:val="auto"/>
          <w:szCs w:val="21"/>
          <w:highlight w:val="none"/>
        </w:rPr>
        <w:t>财政部关于在政府采购活动中查询及使用信用记录有关问题的通知</w:t>
      </w:r>
      <w:r>
        <w:rPr>
          <w:rFonts w:hint="eastAsia" w:ascii="宋体" w:hAnsi="宋体"/>
          <w:color w:val="auto"/>
          <w:highlight w:val="none"/>
        </w:rPr>
        <w:t>》（财库〔2016〕</w:t>
      </w:r>
      <w:r>
        <w:rPr>
          <w:rFonts w:hint="eastAsia" w:ascii="宋体" w:hAnsi="宋体" w:cs="宋体"/>
          <w:color w:val="auto"/>
          <w:szCs w:val="21"/>
          <w:highlight w:val="none"/>
          <w:lang w:val="hr-HR"/>
        </w:rPr>
        <w:t>125</w:t>
      </w:r>
      <w:r>
        <w:rPr>
          <w:rFonts w:hint="eastAsia" w:ascii="宋体" w:hAnsi="宋体"/>
          <w:color w:val="auto"/>
          <w:highlight w:val="none"/>
        </w:rPr>
        <w:t>号</w:t>
      </w:r>
      <w:r>
        <w:rPr>
          <w:rFonts w:hint="eastAsia" w:ascii="宋体" w:hAnsi="宋体"/>
          <w:bCs/>
          <w:color w:val="auto"/>
          <w:highlight w:val="none"/>
        </w:rPr>
        <w:t>）、《</w:t>
      </w:r>
      <w:r>
        <w:rPr>
          <w:rFonts w:hint="eastAsia" w:ascii="宋体" w:hAnsi="宋体"/>
          <w:color w:val="auto"/>
          <w:highlight w:val="none"/>
        </w:rPr>
        <w:t>关于做好政府采购有关信用主体标记码登记及在政府采购活动中查询使用信用记录有关问题的通知》（桂财采〔2016〕37号）规定，</w:t>
      </w:r>
      <w:r>
        <w:rPr>
          <w:rFonts w:hint="eastAsia" w:ascii="宋体" w:hAnsi="宋体" w:cs="宋体"/>
          <w:color w:val="auto"/>
          <w:szCs w:val="21"/>
          <w:highlight w:val="none"/>
        </w:rPr>
        <w:t>对参加本项目采购活动的供应商信用进行查询。</w:t>
      </w:r>
    </w:p>
    <w:p w14:paraId="668E8449">
      <w:pPr>
        <w:spacing w:line="440" w:lineRule="exact"/>
        <w:ind w:left="735" w:leftChars="150" w:hanging="420" w:hangingChars="200"/>
        <w:outlineLvl w:val="4"/>
        <w:rPr>
          <w:rFonts w:ascii="宋体" w:hAnsi="宋体" w:cs="宋体"/>
          <w:color w:val="auto"/>
          <w:szCs w:val="21"/>
          <w:highlight w:val="none"/>
          <w:lang w:val="hr-HR"/>
        </w:rPr>
      </w:pPr>
      <w:r>
        <w:rPr>
          <w:rFonts w:hint="eastAsia" w:ascii="宋体" w:hAnsi="宋体"/>
          <w:color w:val="auto"/>
          <w:szCs w:val="21"/>
          <w:highlight w:val="none"/>
        </w:rPr>
        <w:t xml:space="preserve">(2) </w:t>
      </w:r>
      <w:r>
        <w:rPr>
          <w:rFonts w:hint="eastAsia" w:ascii="宋体" w:hAnsi="宋体" w:cs="宋体"/>
          <w:color w:val="auto"/>
          <w:szCs w:val="21"/>
          <w:highlight w:val="none"/>
          <w:lang w:val="hr-HR"/>
        </w:rPr>
        <w:t>查询渠道：</w:t>
      </w:r>
    </w:p>
    <w:p w14:paraId="58F25AA3">
      <w:pPr>
        <w:pStyle w:val="14"/>
        <w:spacing w:line="360" w:lineRule="exact"/>
        <w:ind w:left="630" w:leftChars="300" w:firstLine="105" w:firstLineChars="50"/>
        <w:rPr>
          <w:rFonts w:hAnsi="宋体"/>
          <w:b/>
          <w:bCs/>
          <w:color w:val="auto"/>
          <w:highlight w:val="none"/>
        </w:rPr>
      </w:pPr>
      <w:r>
        <w:rPr>
          <w:rFonts w:hint="eastAsia" w:hAnsi="宋体"/>
          <w:b/>
          <w:bCs/>
          <w:color w:val="auto"/>
          <w:highlight w:val="none"/>
        </w:rPr>
        <w:t>①中国政府采购网( www.ccgp.gov.cn）“政府采购严重违法失信行为记录名单”</w:t>
      </w:r>
    </w:p>
    <w:p w14:paraId="58C34D87">
      <w:pPr>
        <w:pStyle w:val="14"/>
        <w:spacing w:line="360" w:lineRule="exact"/>
        <w:ind w:left="630" w:leftChars="300" w:firstLine="105" w:firstLineChars="50"/>
        <w:rPr>
          <w:rFonts w:hAnsi="宋体"/>
          <w:b/>
          <w:bCs/>
          <w:color w:val="auto"/>
          <w:highlight w:val="none"/>
        </w:rPr>
      </w:pPr>
      <w:r>
        <w:rPr>
          <w:rFonts w:hint="eastAsia" w:hAnsi="宋体"/>
          <w:b/>
          <w:bCs/>
          <w:color w:val="auto"/>
          <w:highlight w:val="none"/>
        </w:rPr>
        <w:t>②“信用中国”网站（www.creditchina.gov.cn）“重大税收违法失信主体”、“政府采购严重违法失信行为记录名单”</w:t>
      </w:r>
    </w:p>
    <w:p w14:paraId="62F795CA">
      <w:pPr>
        <w:pStyle w:val="14"/>
        <w:spacing w:line="360" w:lineRule="exact"/>
        <w:ind w:left="630" w:leftChars="300" w:firstLine="105" w:firstLineChars="50"/>
        <w:rPr>
          <w:rFonts w:hAnsi="宋体" w:cs="宋体"/>
          <w:color w:val="auto"/>
          <w:szCs w:val="21"/>
          <w:highlight w:val="none"/>
          <w:lang w:val="hr-HR"/>
        </w:rPr>
      </w:pPr>
      <w:r>
        <w:rPr>
          <w:rFonts w:hint="eastAsia" w:hAnsi="宋体"/>
          <w:b/>
          <w:bCs/>
          <w:color w:val="auto"/>
          <w:highlight w:val="none"/>
        </w:rPr>
        <w:t>③中国执行信息公开网“失信被执行人”</w:t>
      </w:r>
    </w:p>
    <w:p w14:paraId="76839628">
      <w:pPr>
        <w:spacing w:line="440" w:lineRule="exact"/>
        <w:ind w:left="735" w:leftChars="150" w:hanging="420" w:hangingChars="200"/>
        <w:outlineLvl w:val="4"/>
        <w:rPr>
          <w:rFonts w:ascii="宋体" w:hAnsi="宋体" w:cs="宋体"/>
          <w:color w:val="auto"/>
          <w:szCs w:val="21"/>
          <w:highlight w:val="none"/>
        </w:rPr>
      </w:pPr>
      <w:r>
        <w:rPr>
          <w:rFonts w:hint="eastAsia" w:ascii="宋体" w:hAnsi="宋体" w:cs="宋体"/>
          <w:color w:val="auto"/>
          <w:szCs w:val="21"/>
          <w:highlight w:val="none"/>
        </w:rPr>
        <w:t xml:space="preserve">(3) </w:t>
      </w:r>
      <w:r>
        <w:rPr>
          <w:rFonts w:hint="eastAsia" w:ascii="宋体" w:hAnsi="宋体" w:cs="宋体"/>
          <w:color w:val="auto"/>
          <w:szCs w:val="21"/>
          <w:highlight w:val="none"/>
          <w:lang w:val="hr-HR"/>
        </w:rPr>
        <w:t>查询截止时点</w:t>
      </w:r>
      <w:r>
        <w:rPr>
          <w:rFonts w:hint="eastAsia" w:ascii="宋体" w:hAnsi="宋体" w:cs="宋体"/>
          <w:color w:val="auto"/>
          <w:szCs w:val="21"/>
          <w:highlight w:val="none"/>
        </w:rPr>
        <w:t>：本项目</w:t>
      </w:r>
      <w:r>
        <w:rPr>
          <w:rFonts w:hint="eastAsia" w:ascii="宋体" w:hAnsi="宋体"/>
          <w:color w:val="auto"/>
          <w:highlight w:val="none"/>
        </w:rPr>
        <w:t>提交响应文件截止之日当日</w:t>
      </w:r>
    </w:p>
    <w:p w14:paraId="17A0EADF">
      <w:pPr>
        <w:spacing w:line="440" w:lineRule="exact"/>
        <w:ind w:left="735" w:leftChars="150" w:hanging="420" w:hangingChars="200"/>
        <w:outlineLvl w:val="4"/>
        <w:rPr>
          <w:rFonts w:ascii="宋体" w:hAnsi="宋体" w:cs="宋体"/>
          <w:color w:val="auto"/>
          <w:szCs w:val="21"/>
          <w:highlight w:val="none"/>
        </w:rPr>
      </w:pPr>
      <w:r>
        <w:rPr>
          <w:rFonts w:hint="eastAsia" w:ascii="宋体" w:hAnsi="宋体" w:cs="宋体"/>
          <w:color w:val="auto"/>
          <w:szCs w:val="21"/>
          <w:highlight w:val="none"/>
          <w:lang w:val="hr-HR"/>
        </w:rPr>
        <w:t>(4</w:t>
      </w:r>
      <w:r>
        <w:rPr>
          <w:rFonts w:hint="eastAsia" w:ascii="宋体" w:hAnsi="宋体" w:cs="宋体"/>
          <w:color w:val="auto"/>
          <w:szCs w:val="21"/>
          <w:highlight w:val="none"/>
        </w:rPr>
        <w:t xml:space="preserve">) </w:t>
      </w:r>
      <w:r>
        <w:rPr>
          <w:rFonts w:hint="eastAsia" w:ascii="宋体" w:hAnsi="宋体"/>
          <w:color w:val="auto"/>
          <w:szCs w:val="21"/>
          <w:highlight w:val="none"/>
        </w:rPr>
        <w:t>查询记录和证据留存方式</w:t>
      </w:r>
      <w:r>
        <w:rPr>
          <w:rFonts w:hint="eastAsia" w:ascii="宋体" w:hAnsi="宋体" w:cs="宋体"/>
          <w:color w:val="auto"/>
          <w:szCs w:val="21"/>
          <w:highlight w:val="none"/>
        </w:rPr>
        <w:t>：在上述网站</w:t>
      </w:r>
      <w:r>
        <w:rPr>
          <w:rFonts w:hint="eastAsia" w:ascii="宋体" w:hAnsi="宋体" w:cs="宋体"/>
          <w:color w:val="auto"/>
          <w:szCs w:val="21"/>
          <w:highlight w:val="none"/>
          <w:lang w:val="hr-HR"/>
        </w:rPr>
        <w:t>查询信用记录，</w:t>
      </w:r>
      <w:r>
        <w:rPr>
          <w:rFonts w:hint="eastAsia" w:ascii="宋体" w:hAnsi="宋体"/>
          <w:color w:val="auto"/>
          <w:szCs w:val="21"/>
          <w:highlight w:val="none"/>
        </w:rPr>
        <w:t>打印查询结果页面作为供应商资格审查文件与其他采购文件一并保存</w:t>
      </w:r>
      <w:r>
        <w:rPr>
          <w:rFonts w:hint="eastAsia" w:ascii="宋体" w:hAnsi="宋体" w:cs="宋体"/>
          <w:color w:val="auto"/>
          <w:szCs w:val="21"/>
          <w:highlight w:val="none"/>
        </w:rPr>
        <w:t>；</w:t>
      </w:r>
      <w:r>
        <w:rPr>
          <w:rFonts w:ascii="宋体" w:hAnsi="宋体"/>
          <w:color w:val="auto"/>
          <w:highlight w:val="none"/>
        </w:rPr>
        <w:t>使用电子交易平台</w:t>
      </w:r>
      <w:r>
        <w:rPr>
          <w:rFonts w:hint="eastAsia" w:ascii="宋体" w:hAnsi="宋体"/>
          <w:color w:val="auto"/>
          <w:highlight w:val="none"/>
        </w:rPr>
        <w:t>的，</w:t>
      </w:r>
      <w:r>
        <w:rPr>
          <w:rFonts w:hint="eastAsia" w:ascii="宋体" w:hAnsi="宋体" w:cs="宋体"/>
          <w:color w:val="auto"/>
          <w:szCs w:val="21"/>
          <w:highlight w:val="none"/>
        </w:rPr>
        <w:t>在</w:t>
      </w:r>
      <w:r>
        <w:rPr>
          <w:rFonts w:hint="eastAsia" w:ascii="宋体" w:hAnsi="宋体"/>
          <w:color w:val="auto"/>
          <w:szCs w:val="21"/>
          <w:highlight w:val="none"/>
        </w:rPr>
        <w:t>“广西政府采购云平台”在线查询并关联相关查询记录。</w:t>
      </w:r>
    </w:p>
    <w:p w14:paraId="2C3B80E0">
      <w:pPr>
        <w:spacing w:line="440" w:lineRule="exact"/>
        <w:ind w:left="735" w:leftChars="150" w:hanging="420" w:hangingChars="200"/>
        <w:outlineLvl w:val="4"/>
        <w:rPr>
          <w:rFonts w:ascii="宋体" w:hAnsi="宋体"/>
          <w:color w:val="auto"/>
          <w:highlight w:val="none"/>
        </w:rPr>
      </w:pPr>
      <w:r>
        <w:rPr>
          <w:rFonts w:hint="eastAsia" w:ascii="宋体" w:hAnsi="宋体" w:cs="宋体"/>
          <w:color w:val="auto"/>
          <w:szCs w:val="21"/>
          <w:highlight w:val="none"/>
        </w:rPr>
        <w:t xml:space="preserve">(5) </w:t>
      </w:r>
      <w:r>
        <w:rPr>
          <w:rFonts w:hint="eastAsia" w:ascii="宋体" w:hAnsi="宋体" w:cs="宋体"/>
          <w:color w:val="auto"/>
          <w:szCs w:val="21"/>
          <w:highlight w:val="none"/>
          <w:lang w:val="hr-HR"/>
        </w:rPr>
        <w:t>信用信息使用规则</w:t>
      </w:r>
      <w:r>
        <w:rPr>
          <w:rFonts w:hint="eastAsia" w:ascii="宋体" w:hAnsi="宋体" w:cs="宋体"/>
          <w:color w:val="auto"/>
          <w:szCs w:val="21"/>
          <w:highlight w:val="none"/>
        </w:rPr>
        <w:t>：</w:t>
      </w:r>
      <w:r>
        <w:rPr>
          <w:rFonts w:hint="eastAsia" w:ascii="宋体" w:hAnsi="宋体"/>
          <w:color w:val="auto"/>
          <w:highlight w:val="none"/>
        </w:rPr>
        <w:t>对列入“失信被执行人”、“</w:t>
      </w:r>
      <w:r>
        <w:rPr>
          <w:rFonts w:hint="eastAsia" w:ascii="宋体" w:hAnsi="宋体" w:cs="宋体"/>
          <w:color w:val="auto"/>
          <w:szCs w:val="21"/>
          <w:highlight w:val="none"/>
        </w:rPr>
        <w:t>重大税收违法失信主体”</w:t>
      </w:r>
      <w:r>
        <w:rPr>
          <w:rFonts w:hint="eastAsia" w:ascii="宋体" w:hAnsi="宋体"/>
          <w:color w:val="auto"/>
          <w:highlight w:val="none"/>
        </w:rPr>
        <w:t>、“</w:t>
      </w:r>
      <w:r>
        <w:rPr>
          <w:rFonts w:hint="eastAsia" w:ascii="宋体" w:hAnsi="宋体" w:cs="宋体"/>
          <w:color w:val="auto"/>
          <w:szCs w:val="21"/>
          <w:highlight w:val="none"/>
          <w:lang w:val="hr-HR"/>
        </w:rPr>
        <w:t>政府采购严重违法失信行为记录名单”及其他不符合</w:t>
      </w:r>
      <w:r>
        <w:rPr>
          <w:rFonts w:hint="eastAsia" w:ascii="宋体" w:hAnsi="宋体"/>
          <w:color w:val="auto"/>
          <w:highlight w:val="none"/>
        </w:rPr>
        <w:t>《中华人民共和国政府采购法》第二十二条规定条件的供应商，拒绝其参与政府采购活动（处罚期限届满的除外）。</w:t>
      </w:r>
      <w:r>
        <w:rPr>
          <w:rFonts w:hint="eastAsia" w:ascii="宋体" w:hAnsi="宋体" w:cs="宋体"/>
          <w:color w:val="auto"/>
          <w:szCs w:val="21"/>
          <w:highlight w:val="none"/>
        </w:rPr>
        <w:t>供应商被列入以上名单之一的，视为资格审查不通过。</w:t>
      </w:r>
    </w:p>
    <w:p w14:paraId="21F4EC0B">
      <w:pPr>
        <w:pStyle w:val="14"/>
        <w:spacing w:line="440" w:lineRule="exact"/>
        <w:ind w:left="527" w:hanging="527" w:hangingChars="250"/>
        <w:rPr>
          <w:rFonts w:hAnsi="宋体"/>
          <w:b/>
          <w:bCs/>
          <w:color w:val="auto"/>
          <w:highlight w:val="none"/>
        </w:rPr>
      </w:pPr>
      <w:r>
        <w:rPr>
          <w:rFonts w:hAnsi="宋体"/>
          <w:b/>
          <w:bCs/>
          <w:color w:val="auto"/>
          <w:highlight w:val="none"/>
        </w:rPr>
        <w:t>5</w:t>
      </w:r>
      <w:r>
        <w:rPr>
          <w:rFonts w:hint="eastAsia" w:hAnsi="宋体"/>
          <w:b/>
          <w:color w:val="auto"/>
          <w:szCs w:val="21"/>
          <w:highlight w:val="none"/>
        </w:rPr>
        <w:t>．</w:t>
      </w:r>
      <w:r>
        <w:rPr>
          <w:rFonts w:hint="eastAsia" w:hAnsi="宋体"/>
          <w:b/>
          <w:bCs/>
          <w:color w:val="auto"/>
          <w:highlight w:val="none"/>
        </w:rPr>
        <w:t>符合性审查</w:t>
      </w:r>
    </w:p>
    <w:p w14:paraId="0E9E9835">
      <w:pPr>
        <w:pStyle w:val="14"/>
        <w:spacing w:line="440" w:lineRule="exact"/>
        <w:ind w:left="315" w:hanging="315" w:hangingChars="150"/>
        <w:rPr>
          <w:rFonts w:hAnsi="宋体"/>
          <w:color w:val="auto"/>
          <w:highlight w:val="none"/>
        </w:rPr>
      </w:pPr>
      <w:r>
        <w:rPr>
          <w:rFonts w:hAnsi="宋体"/>
          <w:color w:val="auto"/>
          <w:highlight w:val="none"/>
        </w:rPr>
        <w:t>5</w:t>
      </w:r>
      <w:r>
        <w:rPr>
          <w:rFonts w:hint="eastAsia" w:hAnsi="宋体"/>
          <w:color w:val="auto"/>
          <w:highlight w:val="none"/>
        </w:rPr>
        <w:t>.1磋商小组对符合资格的供应商响应文件的有效性、完整性和对磋商文件的响应程度进行审查，</w:t>
      </w:r>
      <w:r>
        <w:rPr>
          <w:rFonts w:hint="eastAsia" w:hAnsi="宋体"/>
          <w:bCs/>
          <w:color w:val="auto"/>
          <w:highlight w:val="none"/>
        </w:rPr>
        <w:t>采购人可根据具体项目的情况对实质性要求作特别的规定</w:t>
      </w:r>
      <w:r>
        <w:rPr>
          <w:rFonts w:hint="eastAsia" w:hAnsi="宋体"/>
          <w:color w:val="auto"/>
          <w:highlight w:val="none"/>
        </w:rPr>
        <w:t>。实质性偏离是指：</w:t>
      </w:r>
      <w:r>
        <w:rPr>
          <w:rFonts w:hint="eastAsia" w:hAnsi="宋体"/>
          <w:bCs/>
          <w:color w:val="auto"/>
          <w:szCs w:val="21"/>
          <w:highlight w:val="none"/>
        </w:rPr>
        <w:t>①</w:t>
      </w:r>
      <w:r>
        <w:rPr>
          <w:rFonts w:hint="eastAsia" w:hAnsi="宋体"/>
          <w:color w:val="auto"/>
          <w:highlight w:val="none"/>
        </w:rPr>
        <w:t>实质性影响合同的范围、质量和履行；</w:t>
      </w:r>
      <w:r>
        <w:rPr>
          <w:rFonts w:hint="eastAsia" w:hAnsi="宋体"/>
          <w:bCs/>
          <w:color w:val="auto"/>
          <w:szCs w:val="21"/>
          <w:highlight w:val="none"/>
        </w:rPr>
        <w:t>②</w:t>
      </w:r>
      <w:r>
        <w:rPr>
          <w:rFonts w:hint="eastAsia" w:hAnsi="宋体"/>
          <w:color w:val="auto"/>
          <w:highlight w:val="none"/>
        </w:rPr>
        <w:t>实质性违背磋商文件，限制了采购人的权利和成交供应商合同项下的义务；</w:t>
      </w:r>
      <w:r>
        <w:rPr>
          <w:rFonts w:hint="eastAsia" w:hAnsi="宋体"/>
          <w:bCs/>
          <w:color w:val="auto"/>
          <w:szCs w:val="21"/>
          <w:highlight w:val="none"/>
        </w:rPr>
        <w:t>③</w:t>
      </w:r>
      <w:r>
        <w:rPr>
          <w:rFonts w:hint="eastAsia" w:hAnsi="宋体"/>
          <w:color w:val="auto"/>
          <w:highlight w:val="none"/>
        </w:rPr>
        <w:t>不公正地影响了其它作出实质性响应的供应商的竞争地位。供应商没有对磋商文件作出实质性响应的，视为符合性审查不通过。</w:t>
      </w:r>
    </w:p>
    <w:p w14:paraId="0D21B5E7">
      <w:pPr>
        <w:pStyle w:val="14"/>
        <w:spacing w:line="440" w:lineRule="exact"/>
        <w:ind w:left="315" w:hanging="315" w:hangingChars="150"/>
        <w:rPr>
          <w:rFonts w:hAnsi="宋体"/>
          <w:color w:val="auto"/>
          <w:highlight w:val="none"/>
        </w:rPr>
      </w:pPr>
      <w:r>
        <w:rPr>
          <w:rFonts w:hAnsi="宋体"/>
          <w:color w:val="auto"/>
          <w:highlight w:val="none"/>
        </w:rPr>
        <w:t>5</w:t>
      </w:r>
      <w:r>
        <w:rPr>
          <w:rFonts w:hint="eastAsia" w:hAnsi="宋体"/>
          <w:color w:val="auto"/>
          <w:highlight w:val="none"/>
        </w:rPr>
        <w:t>.2无效磋商的情形</w:t>
      </w:r>
    </w:p>
    <w:p w14:paraId="7A993F97">
      <w:pPr>
        <w:pStyle w:val="14"/>
        <w:spacing w:line="440" w:lineRule="exact"/>
        <w:ind w:left="630" w:hanging="630" w:hangingChars="300"/>
        <w:rPr>
          <w:rFonts w:hAnsi="宋体"/>
          <w:color w:val="auto"/>
          <w:highlight w:val="none"/>
        </w:rPr>
      </w:pPr>
      <w:r>
        <w:rPr>
          <w:rFonts w:hAnsi="宋体"/>
          <w:color w:val="auto"/>
          <w:highlight w:val="none"/>
        </w:rPr>
        <w:t>5</w:t>
      </w:r>
      <w:r>
        <w:rPr>
          <w:rFonts w:hint="eastAsia" w:hAnsi="宋体"/>
          <w:color w:val="auto"/>
          <w:highlight w:val="none"/>
        </w:rPr>
        <w:t>.2.1供应商出现下列情形之一的，视为</w:t>
      </w:r>
      <w:r>
        <w:rPr>
          <w:rFonts w:hint="eastAsia" w:hAnsi="宋体"/>
          <w:bCs/>
          <w:color w:val="auto"/>
          <w:highlight w:val="none"/>
        </w:rPr>
        <w:t>未实质性响应磋商文件要求，</w:t>
      </w:r>
      <w:r>
        <w:rPr>
          <w:rFonts w:hint="eastAsia" w:hAnsi="宋体"/>
          <w:color w:val="auto"/>
          <w:highlight w:val="none"/>
        </w:rPr>
        <w:t>其响应文件作无效响应文件处理：</w:t>
      </w:r>
    </w:p>
    <w:p w14:paraId="65074AF5">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 响应文件在磋商文件规定的</w:t>
      </w:r>
      <w:r>
        <w:rPr>
          <w:rFonts w:hint="eastAsia" w:ascii="宋体" w:hAnsi="宋体"/>
          <w:color w:val="auto"/>
          <w:kern w:val="0"/>
          <w:szCs w:val="21"/>
          <w:highlight w:val="none"/>
        </w:rPr>
        <w:t>磋商</w:t>
      </w:r>
      <w:r>
        <w:rPr>
          <w:rFonts w:hint="eastAsia" w:ascii="宋体" w:hAnsi="宋体"/>
          <w:color w:val="auto"/>
          <w:szCs w:val="21"/>
          <w:highlight w:val="none"/>
        </w:rPr>
        <w:t>截止时间后送达的；</w:t>
      </w:r>
    </w:p>
    <w:p w14:paraId="222B2FF0">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(2) 未按规定获取本项目磋商文件的（有文件规定除外）；</w:t>
      </w:r>
    </w:p>
    <w:p w14:paraId="174BCB8D">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(3) 未提交磋商保证金或金额不足的，磋商保证金提交形式不符合磋商文件要求的；</w:t>
      </w:r>
    </w:p>
    <w:p w14:paraId="445866A3">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(4) 授权代理人参加采购活动却未出具授权书的，或授权被认定为无效的；</w:t>
      </w:r>
    </w:p>
    <w:p w14:paraId="59DC84AE">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(5) 未按磋商文件要求编制响应文件的，或提供虚假材料的；</w:t>
      </w:r>
    </w:p>
    <w:p w14:paraId="279F14E5">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(6) 依法须经批准的项目，未经相关部门批准而开展经营活动的；</w:t>
      </w:r>
    </w:p>
    <w:p w14:paraId="6C4D0B58">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(7) 无磋商文件要求的资质证书或资质证书未年检和失效的；</w:t>
      </w:r>
    </w:p>
    <w:p w14:paraId="11A345D1">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(8) 响应文件有效期、保证金有效期不能满足磋商文件要求的；</w:t>
      </w:r>
    </w:p>
    <w:p w14:paraId="608232BE">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(9) 提供的产品（货物或服务）不满足磋商文件的技术参数及性能配置或服务要求的；</w:t>
      </w:r>
    </w:p>
    <w:p w14:paraId="4D4160D8">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(10) 交货时间、质保期、售后服务等技术条款严重偏离采购人要求的；</w:t>
      </w:r>
    </w:p>
    <w:p w14:paraId="1431D28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(11) 磋商小组认定供应商付款方式严重偏离磋商文件要求的；</w:t>
      </w:r>
    </w:p>
    <w:p w14:paraId="05CE288D">
      <w:pPr>
        <w:snapToGrid w:val="0"/>
        <w:spacing w:line="440" w:lineRule="exact"/>
        <w:ind w:left="1077" w:leftChars="257" w:hanging="537" w:hangingChars="256"/>
        <w:outlineLvl w:val="4"/>
        <w:rPr>
          <w:rFonts w:ascii="宋体" w:hAnsi="宋体"/>
          <w:color w:val="auto"/>
          <w:szCs w:val="21"/>
          <w:highlight w:val="none"/>
        </w:rPr>
      </w:pPr>
      <w:r>
        <w:rPr>
          <w:rFonts w:hint="eastAsia" w:ascii="宋体" w:hAnsi="宋体"/>
          <w:color w:val="auto"/>
          <w:szCs w:val="21"/>
          <w:highlight w:val="none"/>
        </w:rPr>
        <w:t>(12) 商务或技术或服务偏离响应表没有按要求表述的或与项目要求表述不一致却没有提供相关依据说明的；</w:t>
      </w:r>
    </w:p>
    <w:p w14:paraId="17AEFFDB">
      <w:pPr>
        <w:snapToGrid w:val="0"/>
        <w:spacing w:line="440" w:lineRule="exact"/>
        <w:ind w:left="1077" w:leftChars="257" w:hanging="537" w:hangingChars="256"/>
        <w:outlineLvl w:val="4"/>
        <w:rPr>
          <w:rFonts w:ascii="宋体" w:hAnsi="宋体"/>
          <w:color w:val="auto"/>
          <w:szCs w:val="21"/>
          <w:highlight w:val="none"/>
        </w:rPr>
      </w:pPr>
      <w:r>
        <w:rPr>
          <w:rFonts w:hint="eastAsia" w:ascii="宋体" w:hAnsi="宋体"/>
          <w:color w:val="auto"/>
          <w:szCs w:val="21"/>
          <w:highlight w:val="none"/>
        </w:rPr>
        <w:t>(13) 磋商小组认定供应商提交的样品不符合采购要求的；</w:t>
      </w:r>
    </w:p>
    <w:p w14:paraId="426EBC2D">
      <w:pPr>
        <w:snapToGrid w:val="0"/>
        <w:spacing w:line="440" w:lineRule="exact"/>
        <w:ind w:left="1077" w:leftChars="257" w:hanging="537" w:hangingChars="256"/>
        <w:outlineLvl w:val="4"/>
        <w:rPr>
          <w:rFonts w:ascii="宋体" w:hAnsi="宋体"/>
          <w:bCs/>
          <w:color w:val="auto"/>
          <w:szCs w:val="21"/>
          <w:highlight w:val="none"/>
        </w:rPr>
      </w:pPr>
      <w:r>
        <w:rPr>
          <w:rFonts w:hint="eastAsia" w:ascii="宋体" w:hAnsi="宋体"/>
          <w:color w:val="auto"/>
          <w:szCs w:val="21"/>
          <w:highlight w:val="none"/>
        </w:rPr>
        <w:t xml:space="preserve">(14) </w:t>
      </w:r>
      <w:r>
        <w:rPr>
          <w:rFonts w:hint="eastAsia" w:ascii="宋体" w:hAnsi="宋体"/>
          <w:bCs/>
          <w:color w:val="auto"/>
          <w:szCs w:val="21"/>
          <w:highlight w:val="none"/>
        </w:rPr>
        <w:t>报价方案不是唯一确定的，或报价不是唯一完整报价的；</w:t>
      </w:r>
    </w:p>
    <w:p w14:paraId="79F2C788">
      <w:pPr>
        <w:snapToGrid w:val="0"/>
        <w:spacing w:line="440" w:lineRule="exact"/>
        <w:ind w:left="1077" w:leftChars="257" w:hanging="537" w:hangingChars="256"/>
        <w:outlineLvl w:val="4"/>
        <w:rPr>
          <w:rFonts w:ascii="宋体" w:hAnsi="宋体"/>
          <w:bCs/>
          <w:color w:val="auto"/>
          <w:szCs w:val="21"/>
          <w:highlight w:val="none"/>
        </w:rPr>
      </w:pPr>
      <w:r>
        <w:rPr>
          <w:rFonts w:hint="eastAsia" w:ascii="宋体" w:hAnsi="宋体"/>
          <w:bCs/>
          <w:color w:val="auto"/>
          <w:szCs w:val="21"/>
          <w:highlight w:val="none"/>
        </w:rPr>
        <w:t>(15) 报价超过采购预算（或者单项采购预算）或者最高限价的；或者报价不在采购文件规定的有效范围内的；或者报价不符合采购文件设定的报价标准要求的；</w:t>
      </w:r>
    </w:p>
    <w:p w14:paraId="0106C539">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 xml:space="preserve">(16) </w:t>
      </w:r>
      <w:r>
        <w:rPr>
          <w:rFonts w:ascii="宋体" w:hAnsi="宋体"/>
          <w:color w:val="auto"/>
          <w:szCs w:val="21"/>
          <w:highlight w:val="none"/>
        </w:rPr>
        <w:t>未</w:t>
      </w:r>
      <w:r>
        <w:rPr>
          <w:rFonts w:hint="eastAsia" w:ascii="宋体" w:hAnsi="宋体"/>
          <w:color w:val="auto"/>
          <w:szCs w:val="21"/>
          <w:highlight w:val="none"/>
        </w:rPr>
        <w:t>按磋商小组的要求重新提交响应文件或未在规定时间内提交最后报价</w:t>
      </w:r>
      <w:r>
        <w:rPr>
          <w:rFonts w:ascii="宋体" w:hAnsi="宋体"/>
          <w:color w:val="auto"/>
          <w:szCs w:val="21"/>
          <w:highlight w:val="none"/>
        </w:rPr>
        <w:t>的</w:t>
      </w:r>
      <w:r>
        <w:rPr>
          <w:rFonts w:hint="eastAsia" w:ascii="宋体" w:hAnsi="宋体"/>
          <w:color w:val="auto"/>
          <w:szCs w:val="21"/>
          <w:highlight w:val="none"/>
        </w:rPr>
        <w:t>；</w:t>
      </w:r>
    </w:p>
    <w:p w14:paraId="3C9F4E56">
      <w:pPr>
        <w:snapToGrid w:val="0"/>
        <w:spacing w:line="440" w:lineRule="exact"/>
        <w:ind w:left="1002" w:leftChars="257" w:right="-126" w:rightChars="-60" w:hanging="462" w:hangingChars="220"/>
        <w:outlineLvl w:val="4"/>
        <w:rPr>
          <w:rFonts w:ascii="宋体" w:hAnsi="宋体"/>
          <w:color w:val="auto"/>
          <w:szCs w:val="21"/>
          <w:highlight w:val="none"/>
        </w:rPr>
      </w:pPr>
      <w:r>
        <w:rPr>
          <w:rFonts w:hint="eastAsia" w:ascii="宋体" w:hAnsi="宋体"/>
          <w:color w:val="auto"/>
          <w:szCs w:val="21"/>
          <w:highlight w:val="none"/>
        </w:rPr>
        <w:t>(17) 参加</w:t>
      </w:r>
      <w:r>
        <w:rPr>
          <w:rFonts w:hint="eastAsia" w:ascii="宋体" w:hAnsi="宋体" w:cs="宋体"/>
          <w:color w:val="auto"/>
          <w:szCs w:val="21"/>
          <w:highlight w:val="none"/>
        </w:rPr>
        <w:t>本次</w:t>
      </w:r>
      <w:r>
        <w:rPr>
          <w:rFonts w:hint="eastAsia" w:ascii="宋体" w:hAnsi="宋体"/>
          <w:color w:val="auto"/>
          <w:szCs w:val="21"/>
          <w:highlight w:val="none"/>
        </w:rPr>
        <w:t>政府采购活动前三年内，在经营活动中有重大违法记录或被列入不良信用记录的；</w:t>
      </w:r>
    </w:p>
    <w:p w14:paraId="79306648">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(18) 磋商小组认定符合磋商文件规定的被视为</w:t>
      </w:r>
      <w:r>
        <w:rPr>
          <w:rFonts w:hint="eastAsia" w:ascii="宋体" w:hAnsi="宋体"/>
          <w:color w:val="auto"/>
          <w:kern w:val="0"/>
          <w:szCs w:val="21"/>
          <w:highlight w:val="none"/>
        </w:rPr>
        <w:t>磋商</w:t>
      </w:r>
      <w:r>
        <w:rPr>
          <w:rFonts w:hint="eastAsia" w:ascii="宋体" w:hAnsi="宋体"/>
          <w:color w:val="auto"/>
          <w:szCs w:val="21"/>
          <w:highlight w:val="none"/>
        </w:rPr>
        <w:t>无效或响应无效的其他情形；</w:t>
      </w:r>
    </w:p>
    <w:p w14:paraId="72420F7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(19) 不符合法律、法规和磋商文件规定的其他实质性要求和条件的。</w:t>
      </w:r>
    </w:p>
    <w:p w14:paraId="1EED76CD">
      <w:pPr>
        <w:pStyle w:val="14"/>
        <w:spacing w:line="440" w:lineRule="exact"/>
        <w:ind w:left="630" w:hanging="630" w:hangingChars="300"/>
        <w:rPr>
          <w:rFonts w:hAnsi="宋体"/>
          <w:color w:val="auto"/>
          <w:highlight w:val="none"/>
        </w:rPr>
      </w:pPr>
      <w:r>
        <w:rPr>
          <w:rFonts w:hint="eastAsia" w:hAnsi="宋体"/>
          <w:color w:val="auto"/>
          <w:highlight w:val="none"/>
        </w:rPr>
        <w:t>5.2.2根据</w:t>
      </w:r>
      <w:r>
        <w:rPr>
          <w:rFonts w:hint="eastAsia" w:hAnsi="宋体"/>
          <w:color w:val="auto"/>
          <w:szCs w:val="21"/>
          <w:highlight w:val="none"/>
        </w:rPr>
        <w:t>《关于防治政府采购招标中串通投标行为的通知》（桂财采〔2016〕42号）</w:t>
      </w:r>
      <w:r>
        <w:rPr>
          <w:rFonts w:hint="eastAsia" w:hAnsi="宋体"/>
          <w:color w:val="auto"/>
          <w:highlight w:val="none"/>
        </w:rPr>
        <w:t>规定判定供应商投标或响应是否有效。</w:t>
      </w:r>
    </w:p>
    <w:p w14:paraId="1A48C480">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（1）有下列情形之一的，视为供应商相互串通投标，响应文件将被视为无效。</w:t>
      </w:r>
    </w:p>
    <w:p w14:paraId="1CCE22A2">
      <w:pPr>
        <w:snapToGrid w:val="0"/>
        <w:spacing w:line="440" w:lineRule="exact"/>
        <w:ind w:left="1394" w:leftChars="514" w:hanging="315" w:hangingChars="150"/>
        <w:outlineLvl w:val="4"/>
        <w:rPr>
          <w:rFonts w:ascii="宋体" w:hAnsi="宋体"/>
          <w:color w:val="auto"/>
          <w:szCs w:val="21"/>
          <w:highlight w:val="none"/>
        </w:rPr>
      </w:pPr>
      <w:r>
        <w:rPr>
          <w:rFonts w:hint="eastAsia" w:ascii="宋体" w:hAnsi="宋体"/>
          <w:color w:val="auto"/>
          <w:szCs w:val="21"/>
          <w:highlight w:val="none"/>
        </w:rPr>
        <w:t>① 不同供应商的响应</w:t>
      </w:r>
      <w:r>
        <w:rPr>
          <w:rFonts w:hint="eastAsia" w:ascii="宋体" w:hAnsi="宋体"/>
          <w:color w:val="auto"/>
          <w:highlight w:val="none"/>
        </w:rPr>
        <w:t>文件</w:t>
      </w:r>
      <w:r>
        <w:rPr>
          <w:rFonts w:hint="eastAsia" w:ascii="宋体" w:hAnsi="宋体"/>
          <w:color w:val="auto"/>
          <w:szCs w:val="21"/>
          <w:highlight w:val="none"/>
        </w:rPr>
        <w:t>由同一单位或者个人编制；或不同供应商报名的 IP 地址一致的；</w:t>
      </w:r>
    </w:p>
    <w:p w14:paraId="36C0C60D">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② 不同供应商委托同一单位或者个人办理投标事宜；</w:t>
      </w:r>
    </w:p>
    <w:p w14:paraId="1025BC88">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③ 不同的供应商的</w:t>
      </w:r>
      <w:r>
        <w:rPr>
          <w:rFonts w:hint="eastAsia" w:ascii="宋体" w:hAnsi="宋体"/>
          <w:color w:val="auto"/>
          <w:highlight w:val="none"/>
        </w:rPr>
        <w:t>响应</w:t>
      </w:r>
      <w:r>
        <w:rPr>
          <w:rFonts w:hint="eastAsia" w:ascii="宋体" w:hAnsi="宋体"/>
          <w:color w:val="auto"/>
          <w:szCs w:val="21"/>
          <w:highlight w:val="none"/>
        </w:rPr>
        <w:t>文件载明的项目管理员为同一个人；</w:t>
      </w:r>
    </w:p>
    <w:p w14:paraId="10534E4C">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④ 不同供应商的</w:t>
      </w:r>
      <w:r>
        <w:rPr>
          <w:rFonts w:hint="eastAsia" w:ascii="宋体" w:hAnsi="宋体"/>
          <w:color w:val="auto"/>
          <w:highlight w:val="none"/>
        </w:rPr>
        <w:t>响应</w:t>
      </w:r>
      <w:r>
        <w:rPr>
          <w:rFonts w:hint="eastAsia" w:ascii="宋体" w:hAnsi="宋体"/>
          <w:color w:val="auto"/>
          <w:szCs w:val="21"/>
          <w:highlight w:val="none"/>
        </w:rPr>
        <w:t>文件异常一致或报价呈规律性差异；</w:t>
      </w:r>
    </w:p>
    <w:p w14:paraId="03FC47CD">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⑤ 不同供应商的响应文件相互混装；</w:t>
      </w:r>
    </w:p>
    <w:p w14:paraId="09983ACD">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⑥ 不同供应商的保证金从同一单位或者个人账户转出。</w:t>
      </w:r>
    </w:p>
    <w:p w14:paraId="670A7F8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2）提供相同品牌产品的不同供应商参加同一合同项下投标的，以其中通过资格审查、符合性审查且报价最低的参加评标，报价相同的，由采购人自主选择确定一个参加评标的供应商，其他供应商无效；非单一产品采购项目中，多家供应商提供的核心产品品牌相同的，视为提供相同品牌产品。</w:t>
      </w:r>
    </w:p>
    <w:p w14:paraId="34E674BA">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（3）供应商有下列情形之一的，属于恶意串通行为，响应文件将被视为无效。</w:t>
      </w:r>
    </w:p>
    <w:p w14:paraId="7C30F614">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① 供应商直接或者间接从采购人或者采购代理机构处获得其他供应商的相关信息并修改其响应文件或者响应文件；</w:t>
      </w:r>
    </w:p>
    <w:p w14:paraId="104B1D16">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② 供应商按照采购人或者采购代理机构的授意撤换、修改响应文件或者响应文件；</w:t>
      </w:r>
    </w:p>
    <w:p w14:paraId="5790E1C1">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③ 供应商之间协商报价、技术方案等响应文件或者响应文件的实质性内容；</w:t>
      </w:r>
    </w:p>
    <w:p w14:paraId="206A71E0">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④ 属于同一集团、协会、商会等组织成员的供应商按照该组织要求协同参加政府采购活动；</w:t>
      </w:r>
    </w:p>
    <w:p w14:paraId="2183D2E0">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⑤ 供应商之间事先约定一致抬高或者压低投标报价，或者在招标项目中事先约定轮流以高价位或者低价位中标，或者事先约定由某一特定供应商中标，然后再参加投标；</w:t>
      </w:r>
    </w:p>
    <w:p w14:paraId="02ED6823">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⑥ 供应商之间商定部分供应商放弃参加政府采购活动或者放弃中标；</w:t>
      </w:r>
    </w:p>
    <w:p w14:paraId="7D5C93E9">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⑦ 供应商与采购人或者采购代理机构之间、供应商相互之间，为谋求特定供应商中标或者排斥其他供应商的其他串通行为。</w:t>
      </w:r>
    </w:p>
    <w:p w14:paraId="399C88C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（4）出现下述情况的，相关供应商的响应文件将视为无效。</w:t>
      </w:r>
    </w:p>
    <w:p w14:paraId="2F99A792">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① 单位负责人为同一人或者存在直接控股、管理关系，参加同一合同项下政府采购活动的不同供应商。</w:t>
      </w:r>
    </w:p>
    <w:p w14:paraId="4916A33E">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② 授权给供应商后参加同一合同项下政府采购活动的生产厂商。</w:t>
      </w:r>
    </w:p>
    <w:p w14:paraId="609AA4E8">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③ 视为或被认定为串通投标的相关供应商。</w:t>
      </w:r>
    </w:p>
    <w:p w14:paraId="68F558AE">
      <w:pPr>
        <w:pStyle w:val="14"/>
        <w:spacing w:line="440" w:lineRule="exact"/>
        <w:ind w:left="527" w:hanging="527" w:hangingChars="250"/>
        <w:rPr>
          <w:rFonts w:hAnsi="宋体"/>
          <w:b/>
          <w:color w:val="auto"/>
          <w:highlight w:val="none"/>
        </w:rPr>
      </w:pPr>
      <w:r>
        <w:rPr>
          <w:rFonts w:hAnsi="宋体"/>
          <w:b/>
          <w:color w:val="auto"/>
          <w:highlight w:val="none"/>
        </w:rPr>
        <w:t>6</w:t>
      </w:r>
      <w:r>
        <w:rPr>
          <w:rFonts w:hint="eastAsia" w:hAnsi="宋体"/>
          <w:b/>
          <w:color w:val="auto"/>
          <w:szCs w:val="21"/>
          <w:highlight w:val="none"/>
        </w:rPr>
        <w:t>．</w:t>
      </w:r>
      <w:r>
        <w:rPr>
          <w:rFonts w:hint="eastAsia" w:hAnsi="宋体"/>
          <w:b/>
          <w:color w:val="auto"/>
          <w:highlight w:val="none"/>
        </w:rPr>
        <w:t>澄清、说明或者补正</w:t>
      </w:r>
    </w:p>
    <w:p w14:paraId="159845A2">
      <w:pPr>
        <w:pStyle w:val="14"/>
        <w:spacing w:line="44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C9F9CD9">
      <w:pPr>
        <w:pStyle w:val="14"/>
        <w:spacing w:line="44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.2</w:t>
      </w:r>
      <w:r>
        <w:rPr>
          <w:rFonts w:hint="eastAsia" w:hAnsi="宋体"/>
          <w:color w:val="auto"/>
          <w:szCs w:val="21"/>
          <w:highlight w:val="none"/>
        </w:rPr>
        <w:t>磋商小组和供应商通过电子交易平台交换数据电文，供应商提交使用电子签章的相关数据电文或通过电子交易平台上传加盖公章的扫描件。给予供应商提交澄清、说明或补正的时间不少于30分钟（电子交易平台另有时间规定的除外），供应商已经明确表示澄清说明或补正完毕的除外。</w:t>
      </w:r>
    </w:p>
    <w:p w14:paraId="44789EAB">
      <w:pPr>
        <w:pStyle w:val="14"/>
        <w:spacing w:line="440" w:lineRule="exact"/>
        <w:ind w:left="315" w:hanging="315" w:hangingChars="150"/>
        <w:rPr>
          <w:rFonts w:hAnsi="宋体"/>
          <w:color w:val="auto"/>
          <w:szCs w:val="21"/>
          <w:highlight w:val="none"/>
        </w:rPr>
      </w:pPr>
      <w:r>
        <w:rPr>
          <w:rFonts w:hAnsi="宋体"/>
          <w:color w:val="auto"/>
          <w:szCs w:val="21"/>
          <w:highlight w:val="none"/>
        </w:rPr>
        <w:t>6</w:t>
      </w:r>
      <w:r>
        <w:rPr>
          <w:rFonts w:hint="eastAsia" w:hAnsi="宋体"/>
          <w:color w:val="auto"/>
          <w:szCs w:val="21"/>
          <w:highlight w:val="none"/>
        </w:rPr>
        <w:t>.3</w:t>
      </w:r>
      <w:r>
        <w:rPr>
          <w:rFonts w:hint="eastAsia" w:hAnsi="宋体"/>
          <w:color w:val="auto"/>
          <w:highlight w:val="none"/>
        </w:rPr>
        <w:t>供应商未在规定时间内进行澄清</w:t>
      </w:r>
      <w:r>
        <w:rPr>
          <w:rFonts w:hint="eastAsia" w:hAnsi="宋体"/>
          <w:color w:val="auto"/>
          <w:szCs w:val="21"/>
          <w:highlight w:val="none"/>
        </w:rPr>
        <w:t>、说明或者补正的，视为放弃，其</w:t>
      </w:r>
      <w:r>
        <w:rPr>
          <w:rFonts w:hint="eastAsia" w:hAnsi="宋体"/>
          <w:b/>
          <w:color w:val="auto"/>
          <w:szCs w:val="21"/>
          <w:highlight w:val="none"/>
        </w:rPr>
        <w:t>磋商无效</w:t>
      </w:r>
      <w:r>
        <w:rPr>
          <w:rFonts w:hint="eastAsia" w:hAnsi="宋体"/>
          <w:color w:val="auto"/>
          <w:szCs w:val="21"/>
          <w:highlight w:val="none"/>
        </w:rPr>
        <w:t>。</w:t>
      </w:r>
    </w:p>
    <w:p w14:paraId="2FA7FEFF">
      <w:pPr>
        <w:pStyle w:val="14"/>
        <w:spacing w:line="440" w:lineRule="exact"/>
        <w:ind w:left="675" w:hanging="675" w:hangingChars="320"/>
        <w:rPr>
          <w:rFonts w:hAnsi="宋体"/>
          <w:color w:val="auto"/>
          <w:highlight w:val="none"/>
        </w:rPr>
      </w:pPr>
      <w:r>
        <w:rPr>
          <w:rFonts w:hAnsi="宋体"/>
          <w:b/>
          <w:color w:val="auto"/>
          <w:highlight w:val="none"/>
        </w:rPr>
        <w:t>7</w:t>
      </w:r>
      <w:r>
        <w:rPr>
          <w:rFonts w:hint="eastAsia" w:hAnsi="宋体"/>
          <w:b/>
          <w:color w:val="auto"/>
          <w:szCs w:val="21"/>
          <w:highlight w:val="none"/>
        </w:rPr>
        <w:t>．</w:t>
      </w:r>
      <w:r>
        <w:rPr>
          <w:rFonts w:hint="eastAsia" w:hAnsi="宋体"/>
          <w:b/>
          <w:bCs/>
          <w:color w:val="auto"/>
          <w:szCs w:val="21"/>
          <w:highlight w:val="none"/>
        </w:rPr>
        <w:t>算术性修正</w:t>
      </w:r>
    </w:p>
    <w:p w14:paraId="0E790B5E">
      <w:pPr>
        <w:pStyle w:val="14"/>
        <w:spacing w:line="440" w:lineRule="exact"/>
        <w:ind w:left="315" w:hanging="315" w:hangingChars="150"/>
        <w:rPr>
          <w:rFonts w:hAnsi="宋体"/>
          <w:color w:val="auto"/>
          <w:highlight w:val="none"/>
        </w:rPr>
      </w:pPr>
      <w:r>
        <w:rPr>
          <w:rFonts w:hAnsi="宋体"/>
          <w:color w:val="auto"/>
          <w:highlight w:val="none"/>
        </w:rPr>
        <w:t>7</w:t>
      </w:r>
      <w:r>
        <w:rPr>
          <w:rFonts w:hint="eastAsia" w:hAnsi="宋体"/>
          <w:color w:val="auto"/>
          <w:highlight w:val="none"/>
        </w:rPr>
        <w:t>.1供应商</w:t>
      </w:r>
      <w:r>
        <w:rPr>
          <w:rFonts w:hint="eastAsia" w:hAnsi="宋体"/>
          <w:color w:val="auto"/>
          <w:szCs w:val="21"/>
          <w:highlight w:val="none"/>
        </w:rPr>
        <w:t>报价出现前后不一致的，按照下列规定修正：</w:t>
      </w:r>
    </w:p>
    <w:p w14:paraId="35EF3AF7">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① 响应文件中《磋商响应函》内容与响应文件中相应内容不一致的，以《磋商响应函》为准；</w:t>
      </w:r>
    </w:p>
    <w:p w14:paraId="6B979B23">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② 大写金额和小写金额不一致时，以大写金额为准；</w:t>
      </w:r>
    </w:p>
    <w:p w14:paraId="58A975BE">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③ 单价金额小数点或者百分比有明显错位的，以磋商报价表的总价为准，并修改单价；</w:t>
      </w:r>
    </w:p>
    <w:p w14:paraId="566D0E27">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④ 总价金额与按单价汇总金额不一致的，以单价金额计算结果为准；</w:t>
      </w:r>
    </w:p>
    <w:p w14:paraId="47B07676">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⑤ 对不同文字文本响应文件的解释发生异议的，以中文文本为准。</w:t>
      </w:r>
    </w:p>
    <w:p w14:paraId="17213424">
      <w:pPr>
        <w:snapToGrid w:val="0"/>
        <w:spacing w:line="440" w:lineRule="exact"/>
        <w:ind w:left="708" w:leftChars="187" w:hanging="315" w:hangingChars="150"/>
        <w:outlineLvl w:val="4"/>
        <w:rPr>
          <w:rFonts w:ascii="宋体" w:hAnsi="宋体"/>
          <w:color w:val="auto"/>
          <w:szCs w:val="21"/>
          <w:highlight w:val="none"/>
        </w:rPr>
      </w:pPr>
      <w:r>
        <w:rPr>
          <w:rFonts w:hint="eastAsia" w:ascii="宋体" w:hAnsi="宋体"/>
          <w:color w:val="auto"/>
          <w:highlight w:val="none"/>
        </w:rPr>
        <w:t>⑥ 同时出现两种以上不一致的</w:t>
      </w:r>
      <w:r>
        <w:rPr>
          <w:rFonts w:hint="eastAsia" w:ascii="宋体" w:hAnsi="宋体"/>
          <w:color w:val="auto"/>
          <w:szCs w:val="21"/>
          <w:highlight w:val="none"/>
        </w:rPr>
        <w:t>，按照前款规定的顺序修正。修正后的报价或内容按照本章第</w:t>
      </w:r>
      <w:r>
        <w:rPr>
          <w:rFonts w:ascii="宋体" w:hAnsi="宋体"/>
          <w:color w:val="auto"/>
          <w:szCs w:val="21"/>
          <w:highlight w:val="none"/>
        </w:rPr>
        <w:t>6</w:t>
      </w:r>
      <w:r>
        <w:rPr>
          <w:rFonts w:hint="eastAsia" w:ascii="宋体" w:hAnsi="宋体"/>
          <w:color w:val="auto"/>
          <w:szCs w:val="21"/>
          <w:highlight w:val="none"/>
        </w:rPr>
        <w:t>.2</w:t>
      </w:r>
      <w:r>
        <w:rPr>
          <w:rFonts w:hint="eastAsia" w:ascii="宋体" w:hAnsi="宋体"/>
          <w:color w:val="auto"/>
          <w:highlight w:val="none"/>
        </w:rPr>
        <w:t>条经供应商确认后产生约束力</w:t>
      </w:r>
      <w:r>
        <w:rPr>
          <w:rFonts w:hint="eastAsia" w:ascii="宋体" w:hAnsi="宋体"/>
          <w:color w:val="auto"/>
          <w:szCs w:val="21"/>
          <w:highlight w:val="none"/>
        </w:rPr>
        <w:t>，供应商不确</w:t>
      </w:r>
      <w:r>
        <w:rPr>
          <w:rFonts w:hint="eastAsia" w:ascii="宋体" w:hAnsi="宋体"/>
          <w:color w:val="auto"/>
          <w:highlight w:val="none"/>
        </w:rPr>
        <w:t>认</w:t>
      </w:r>
      <w:r>
        <w:rPr>
          <w:rFonts w:hint="eastAsia" w:ascii="宋体" w:hAnsi="宋体"/>
          <w:color w:val="auto"/>
          <w:szCs w:val="21"/>
          <w:highlight w:val="none"/>
        </w:rPr>
        <w:t>的，按无效响应处理。</w:t>
      </w:r>
    </w:p>
    <w:p w14:paraId="1F93A07C">
      <w:pPr>
        <w:pStyle w:val="14"/>
        <w:spacing w:line="440" w:lineRule="exact"/>
        <w:ind w:left="315" w:hanging="315" w:hangingChars="150"/>
        <w:rPr>
          <w:rFonts w:hAnsi="宋体"/>
          <w:color w:val="auto"/>
          <w:szCs w:val="21"/>
          <w:highlight w:val="none"/>
        </w:rPr>
      </w:pPr>
      <w:r>
        <w:rPr>
          <w:rFonts w:hAnsi="宋体"/>
          <w:color w:val="auto"/>
          <w:highlight w:val="none"/>
        </w:rPr>
        <w:t>7</w:t>
      </w:r>
      <w:r>
        <w:rPr>
          <w:rFonts w:hint="eastAsia" w:hAnsi="宋体"/>
          <w:color w:val="auto"/>
          <w:szCs w:val="21"/>
          <w:highlight w:val="none"/>
        </w:rPr>
        <w:t>.2</w:t>
      </w:r>
      <w:r>
        <w:rPr>
          <w:rFonts w:hint="eastAsia" w:hAnsi="宋体"/>
          <w:color w:val="auto"/>
          <w:highlight w:val="none"/>
        </w:rPr>
        <w:t>经供应商确认修正后的报价若超过采购预算金额或者最高限价</w:t>
      </w:r>
      <w:r>
        <w:rPr>
          <w:rFonts w:hint="eastAsia" w:hAnsi="宋体"/>
          <w:color w:val="auto"/>
          <w:szCs w:val="21"/>
          <w:highlight w:val="none"/>
        </w:rPr>
        <w:t>，按无效响应处理。</w:t>
      </w:r>
    </w:p>
    <w:p w14:paraId="5263BB00">
      <w:pPr>
        <w:pStyle w:val="14"/>
        <w:spacing w:line="440" w:lineRule="exact"/>
        <w:ind w:left="420" w:hanging="420" w:hangingChars="200"/>
        <w:rPr>
          <w:rFonts w:hAnsi="宋体"/>
          <w:color w:val="auto"/>
          <w:szCs w:val="21"/>
          <w:highlight w:val="none"/>
        </w:rPr>
      </w:pPr>
      <w:r>
        <w:rPr>
          <w:rFonts w:hAnsi="宋体"/>
          <w:color w:val="auto"/>
          <w:szCs w:val="21"/>
          <w:highlight w:val="none"/>
        </w:rPr>
        <w:t>7</w:t>
      </w:r>
      <w:r>
        <w:rPr>
          <w:rFonts w:hint="eastAsia" w:hAnsi="宋体"/>
          <w:color w:val="auto"/>
          <w:szCs w:val="21"/>
          <w:highlight w:val="none"/>
        </w:rPr>
        <w:t>.3经供</w:t>
      </w:r>
      <w:r>
        <w:rPr>
          <w:rFonts w:hint="eastAsia" w:hAnsi="宋体"/>
          <w:color w:val="auto"/>
          <w:highlight w:val="none"/>
        </w:rPr>
        <w:t>应</w:t>
      </w:r>
      <w:r>
        <w:rPr>
          <w:rFonts w:hint="eastAsia" w:hAnsi="宋体"/>
          <w:color w:val="auto"/>
          <w:szCs w:val="21"/>
          <w:highlight w:val="none"/>
        </w:rPr>
        <w:t>商确认修正后的报价作为签订合同的依据，并以此报价计算价格分。</w:t>
      </w:r>
    </w:p>
    <w:p w14:paraId="072274B2">
      <w:pPr>
        <w:pStyle w:val="14"/>
        <w:spacing w:line="440" w:lineRule="exact"/>
        <w:ind w:left="527" w:hanging="527" w:hangingChars="250"/>
        <w:rPr>
          <w:rFonts w:hAnsi="宋体"/>
          <w:b/>
          <w:color w:val="auto"/>
          <w:highlight w:val="none"/>
        </w:rPr>
      </w:pPr>
      <w:r>
        <w:rPr>
          <w:rFonts w:hAnsi="宋体"/>
          <w:b/>
          <w:color w:val="auto"/>
          <w:highlight w:val="none"/>
        </w:rPr>
        <w:t>8</w:t>
      </w:r>
      <w:r>
        <w:rPr>
          <w:rFonts w:hint="eastAsia" w:hAnsi="宋体"/>
          <w:b/>
          <w:color w:val="auto"/>
          <w:szCs w:val="21"/>
          <w:highlight w:val="none"/>
        </w:rPr>
        <w:t>．</w:t>
      </w:r>
      <w:r>
        <w:rPr>
          <w:rFonts w:hint="eastAsia" w:hAnsi="宋体"/>
          <w:b/>
          <w:color w:val="auto"/>
          <w:highlight w:val="none"/>
        </w:rPr>
        <w:t>磋商</w:t>
      </w:r>
    </w:p>
    <w:p w14:paraId="7D186636">
      <w:pPr>
        <w:pStyle w:val="14"/>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.1磋商小组所有成员应当</w:t>
      </w:r>
      <w:r>
        <w:rPr>
          <w:rFonts w:hAnsi="宋体"/>
          <w:color w:val="auto"/>
          <w:highlight w:val="none"/>
        </w:rPr>
        <w:t>集中与单一</w:t>
      </w:r>
      <w:r>
        <w:rPr>
          <w:rFonts w:hint="eastAsia" w:hAnsi="宋体"/>
          <w:color w:val="auto"/>
          <w:highlight w:val="none"/>
        </w:rPr>
        <w:t>供应商</w:t>
      </w:r>
      <w:r>
        <w:rPr>
          <w:rFonts w:hAnsi="宋体"/>
          <w:color w:val="auto"/>
          <w:highlight w:val="none"/>
        </w:rPr>
        <w:t>分别</w:t>
      </w:r>
      <w:r>
        <w:rPr>
          <w:rFonts w:hint="eastAsia" w:hAnsi="宋体"/>
          <w:color w:val="auto"/>
          <w:highlight w:val="none"/>
        </w:rPr>
        <w:t>进行磋商，并给予所有参加磋商的供应商平等的磋商机会。磋商的内容包括技术条件、商务性条件以及磋商小组认为需要磋商的内容。</w:t>
      </w:r>
    </w:p>
    <w:p w14:paraId="1BADC122">
      <w:pPr>
        <w:pStyle w:val="14"/>
        <w:spacing w:line="440" w:lineRule="exact"/>
        <w:ind w:left="420" w:hanging="420" w:hangingChars="200"/>
        <w:rPr>
          <w:rFonts w:hAnsi="宋体"/>
          <w:color w:val="auto"/>
          <w:szCs w:val="21"/>
          <w:highlight w:val="none"/>
        </w:rPr>
      </w:pPr>
      <w:r>
        <w:rPr>
          <w:rFonts w:hAnsi="宋体"/>
          <w:color w:val="auto"/>
          <w:highlight w:val="none"/>
        </w:rPr>
        <w:t>8</w:t>
      </w:r>
      <w:r>
        <w:rPr>
          <w:rFonts w:hint="eastAsia" w:hAnsi="宋体"/>
          <w:color w:val="auto"/>
          <w:highlight w:val="none"/>
        </w:rPr>
        <w:t>.2</w:t>
      </w:r>
      <w:r>
        <w:rPr>
          <w:rFonts w:hAnsi="宋体"/>
          <w:color w:val="auto"/>
          <w:spacing w:val="-4"/>
          <w:szCs w:val="21"/>
          <w:highlight w:val="none"/>
        </w:rPr>
        <w:t>在</w:t>
      </w:r>
      <w:r>
        <w:rPr>
          <w:rFonts w:hint="eastAsia" w:hAnsi="宋体"/>
          <w:color w:val="auto"/>
          <w:spacing w:val="-4"/>
          <w:szCs w:val="21"/>
          <w:highlight w:val="none"/>
        </w:rPr>
        <w:t>磋商</w:t>
      </w:r>
      <w:r>
        <w:rPr>
          <w:rFonts w:hAnsi="宋体"/>
          <w:color w:val="auto"/>
          <w:spacing w:val="-4"/>
          <w:szCs w:val="21"/>
          <w:highlight w:val="none"/>
        </w:rPr>
        <w:t>过程中，</w:t>
      </w:r>
      <w:r>
        <w:rPr>
          <w:rFonts w:hint="eastAsia" w:hAnsi="宋体"/>
          <w:color w:val="auto"/>
          <w:spacing w:val="-4"/>
          <w:szCs w:val="21"/>
          <w:highlight w:val="none"/>
        </w:rPr>
        <w:t>磋商小组</w:t>
      </w:r>
      <w:r>
        <w:rPr>
          <w:rFonts w:hAnsi="宋体"/>
          <w:color w:val="auto"/>
          <w:spacing w:val="-4"/>
          <w:szCs w:val="21"/>
          <w:highlight w:val="none"/>
        </w:rPr>
        <w:t>可以根据</w:t>
      </w:r>
      <w:r>
        <w:rPr>
          <w:rFonts w:hint="eastAsia" w:hAnsi="宋体"/>
          <w:color w:val="auto"/>
          <w:spacing w:val="-4"/>
          <w:szCs w:val="21"/>
          <w:highlight w:val="none"/>
        </w:rPr>
        <w:t>磋商文件</w:t>
      </w:r>
      <w:r>
        <w:rPr>
          <w:rFonts w:hAnsi="宋体"/>
          <w:color w:val="auto"/>
          <w:spacing w:val="-4"/>
          <w:szCs w:val="21"/>
          <w:highlight w:val="none"/>
        </w:rPr>
        <w:t>和</w:t>
      </w:r>
      <w:r>
        <w:rPr>
          <w:rFonts w:hint="eastAsia" w:hAnsi="宋体"/>
          <w:color w:val="auto"/>
          <w:spacing w:val="-4"/>
          <w:szCs w:val="21"/>
          <w:highlight w:val="none"/>
        </w:rPr>
        <w:t>磋商</w:t>
      </w:r>
      <w:r>
        <w:rPr>
          <w:rFonts w:hAnsi="宋体"/>
          <w:color w:val="auto"/>
          <w:spacing w:val="-4"/>
          <w:szCs w:val="21"/>
          <w:highlight w:val="none"/>
        </w:rPr>
        <w:t>情况实质性变动</w:t>
      </w:r>
      <w:r>
        <w:rPr>
          <w:rFonts w:hint="eastAsia" w:hAnsi="宋体"/>
          <w:color w:val="auto"/>
          <w:spacing w:val="-4"/>
          <w:szCs w:val="21"/>
          <w:highlight w:val="none"/>
        </w:rPr>
        <w:t>项目</w:t>
      </w:r>
      <w:r>
        <w:rPr>
          <w:rFonts w:hAnsi="宋体"/>
          <w:color w:val="auto"/>
          <w:spacing w:val="-4"/>
          <w:szCs w:val="21"/>
          <w:highlight w:val="none"/>
        </w:rPr>
        <w:t>需求中的技术、</w:t>
      </w:r>
      <w:r>
        <w:rPr>
          <w:rFonts w:hAnsi="宋体"/>
          <w:color w:val="auto"/>
          <w:highlight w:val="none"/>
        </w:rPr>
        <w:t>服务要求以及合同草案条款</w:t>
      </w:r>
      <w:r>
        <w:rPr>
          <w:rFonts w:hAnsi="宋体"/>
          <w:color w:val="auto"/>
          <w:spacing w:val="-4"/>
          <w:szCs w:val="21"/>
          <w:highlight w:val="none"/>
        </w:rPr>
        <w:t>，但不得变动</w:t>
      </w:r>
      <w:r>
        <w:rPr>
          <w:rFonts w:hint="eastAsia" w:hAnsi="宋体"/>
          <w:color w:val="auto"/>
          <w:spacing w:val="-4"/>
          <w:szCs w:val="21"/>
          <w:highlight w:val="none"/>
        </w:rPr>
        <w:t>磋商文件</w:t>
      </w:r>
      <w:r>
        <w:rPr>
          <w:rFonts w:hAnsi="宋体"/>
          <w:color w:val="auto"/>
          <w:spacing w:val="-4"/>
          <w:szCs w:val="21"/>
          <w:highlight w:val="none"/>
        </w:rPr>
        <w:t>中的其他内容。实质性变动的内容，须经采购人代表确认。</w:t>
      </w:r>
    </w:p>
    <w:p w14:paraId="2D0AC15F">
      <w:pPr>
        <w:snapToGrid w:val="0"/>
        <w:spacing w:line="440" w:lineRule="exact"/>
        <w:ind w:left="707" w:leftChars="194" w:hanging="300" w:hangingChars="143"/>
        <w:outlineLvl w:val="4"/>
        <w:rPr>
          <w:rFonts w:ascii="宋体" w:hAnsi="宋体"/>
          <w:color w:val="auto"/>
          <w:szCs w:val="21"/>
          <w:highlight w:val="none"/>
        </w:rPr>
      </w:pPr>
      <w:r>
        <w:rPr>
          <w:rFonts w:hint="eastAsia" w:ascii="宋体" w:hAnsi="宋体"/>
          <w:color w:val="auto"/>
          <w:szCs w:val="21"/>
          <w:highlight w:val="none"/>
        </w:rPr>
        <w:t xml:space="preserve">① </w:t>
      </w:r>
      <w:r>
        <w:rPr>
          <w:rFonts w:ascii="宋体" w:hAnsi="宋体"/>
          <w:color w:val="auto"/>
          <w:szCs w:val="21"/>
          <w:highlight w:val="none"/>
        </w:rPr>
        <w:t>对</w:t>
      </w:r>
      <w:r>
        <w:rPr>
          <w:rFonts w:hint="eastAsia" w:ascii="宋体" w:hAnsi="宋体"/>
          <w:color w:val="auto"/>
          <w:szCs w:val="21"/>
          <w:highlight w:val="none"/>
        </w:rPr>
        <w:t>磋商文件</w:t>
      </w:r>
      <w:r>
        <w:rPr>
          <w:rFonts w:ascii="宋体" w:hAnsi="宋体"/>
          <w:color w:val="auto"/>
          <w:szCs w:val="21"/>
          <w:highlight w:val="none"/>
        </w:rPr>
        <w:t>作出的实质性变动是</w:t>
      </w:r>
      <w:r>
        <w:rPr>
          <w:rFonts w:hint="eastAsia" w:ascii="宋体" w:hAnsi="宋体"/>
          <w:color w:val="auto"/>
          <w:szCs w:val="21"/>
          <w:highlight w:val="none"/>
        </w:rPr>
        <w:t>磋商文件</w:t>
      </w:r>
      <w:r>
        <w:rPr>
          <w:rFonts w:ascii="宋体" w:hAnsi="宋体"/>
          <w:color w:val="auto"/>
          <w:szCs w:val="21"/>
          <w:highlight w:val="none"/>
        </w:rPr>
        <w:t>的有效组成部分，</w:t>
      </w:r>
      <w:r>
        <w:rPr>
          <w:rFonts w:hint="eastAsia" w:ascii="宋体" w:hAnsi="宋体"/>
          <w:color w:val="auto"/>
          <w:highlight w:val="none"/>
        </w:rPr>
        <w:t>磋商小组</w:t>
      </w:r>
      <w:r>
        <w:rPr>
          <w:rFonts w:ascii="宋体" w:hAnsi="宋体"/>
          <w:color w:val="auto"/>
          <w:highlight w:val="none"/>
        </w:rPr>
        <w:t>应当及时以书面形式同时通知所有参加</w:t>
      </w:r>
      <w:r>
        <w:rPr>
          <w:rFonts w:hint="eastAsia" w:ascii="宋体" w:hAnsi="宋体"/>
          <w:color w:val="auto"/>
          <w:highlight w:val="none"/>
        </w:rPr>
        <w:t>磋商</w:t>
      </w:r>
      <w:r>
        <w:rPr>
          <w:rFonts w:ascii="宋体" w:hAnsi="宋体"/>
          <w:color w:val="auto"/>
          <w:highlight w:val="none"/>
        </w:rPr>
        <w:t>的</w:t>
      </w:r>
      <w:r>
        <w:rPr>
          <w:rFonts w:hint="eastAsia" w:ascii="宋体" w:hAnsi="宋体"/>
          <w:color w:val="auto"/>
          <w:highlight w:val="none"/>
        </w:rPr>
        <w:t>供应商</w:t>
      </w:r>
      <w:r>
        <w:rPr>
          <w:rFonts w:ascii="宋体" w:hAnsi="宋体"/>
          <w:color w:val="auto"/>
          <w:szCs w:val="21"/>
          <w:highlight w:val="none"/>
        </w:rPr>
        <w:t>。</w:t>
      </w:r>
    </w:p>
    <w:p w14:paraId="1D085518">
      <w:pPr>
        <w:snapToGrid w:val="0"/>
        <w:spacing w:line="440" w:lineRule="exact"/>
        <w:ind w:left="695" w:leftChars="194" w:hanging="288" w:hangingChars="143"/>
        <w:outlineLvl w:val="4"/>
        <w:rPr>
          <w:rFonts w:ascii="宋体" w:hAnsi="宋体"/>
          <w:color w:val="auto"/>
          <w:spacing w:val="-4"/>
          <w:szCs w:val="21"/>
          <w:highlight w:val="none"/>
        </w:rPr>
      </w:pPr>
      <w:r>
        <w:rPr>
          <w:rFonts w:hint="eastAsia" w:ascii="宋体" w:hAnsi="宋体"/>
          <w:color w:val="auto"/>
          <w:spacing w:val="-4"/>
          <w:szCs w:val="21"/>
          <w:highlight w:val="none"/>
        </w:rPr>
        <w:t xml:space="preserve">② </w:t>
      </w:r>
      <w:r>
        <w:rPr>
          <w:rFonts w:hint="eastAsia" w:ascii="宋体" w:hAnsi="宋体"/>
          <w:color w:val="auto"/>
          <w:spacing w:val="-4"/>
          <w:highlight w:val="none"/>
        </w:rPr>
        <w:t>供应商</w:t>
      </w:r>
      <w:r>
        <w:rPr>
          <w:rFonts w:ascii="宋体" w:hAnsi="宋体"/>
          <w:color w:val="auto"/>
          <w:spacing w:val="-4"/>
          <w:highlight w:val="none"/>
        </w:rPr>
        <w:t>应当按照</w:t>
      </w:r>
      <w:r>
        <w:rPr>
          <w:rFonts w:hint="eastAsia" w:ascii="宋体" w:hAnsi="宋体"/>
          <w:color w:val="auto"/>
          <w:spacing w:val="-4"/>
          <w:highlight w:val="none"/>
        </w:rPr>
        <w:t>磋商文件</w:t>
      </w:r>
      <w:r>
        <w:rPr>
          <w:rFonts w:ascii="宋体" w:hAnsi="宋体"/>
          <w:color w:val="auto"/>
          <w:spacing w:val="-4"/>
          <w:highlight w:val="none"/>
        </w:rPr>
        <w:t>的变动情况和</w:t>
      </w:r>
      <w:r>
        <w:rPr>
          <w:rFonts w:hint="eastAsia" w:ascii="宋体" w:hAnsi="宋体"/>
          <w:color w:val="auto"/>
          <w:spacing w:val="-4"/>
          <w:highlight w:val="none"/>
        </w:rPr>
        <w:t>磋商小组</w:t>
      </w:r>
      <w:r>
        <w:rPr>
          <w:rFonts w:ascii="宋体" w:hAnsi="宋体"/>
          <w:color w:val="auto"/>
          <w:spacing w:val="-4"/>
          <w:highlight w:val="none"/>
        </w:rPr>
        <w:t>的要求重新提交响应文件</w:t>
      </w:r>
      <w:r>
        <w:rPr>
          <w:rFonts w:ascii="宋体" w:hAnsi="宋体"/>
          <w:color w:val="auto"/>
          <w:spacing w:val="-4"/>
          <w:szCs w:val="21"/>
          <w:highlight w:val="none"/>
        </w:rPr>
        <w:t>，并</w:t>
      </w:r>
      <w:r>
        <w:rPr>
          <w:rFonts w:hint="eastAsia" w:ascii="宋体" w:hAnsi="宋体"/>
          <w:color w:val="auto"/>
          <w:spacing w:val="-4"/>
          <w:szCs w:val="21"/>
          <w:highlight w:val="none"/>
        </w:rPr>
        <w:t>进行签章后再提交</w:t>
      </w:r>
      <w:r>
        <w:rPr>
          <w:rFonts w:ascii="宋体" w:hAnsi="宋体"/>
          <w:color w:val="auto"/>
          <w:spacing w:val="-4"/>
          <w:szCs w:val="21"/>
          <w:highlight w:val="none"/>
        </w:rPr>
        <w:t>。</w:t>
      </w:r>
    </w:p>
    <w:p w14:paraId="5F7490AB">
      <w:pPr>
        <w:pStyle w:val="14"/>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.3</w:t>
      </w:r>
      <w:r>
        <w:rPr>
          <w:rFonts w:hAnsi="宋体"/>
          <w:color w:val="auto"/>
          <w:highlight w:val="none"/>
        </w:rPr>
        <w:t>磋商小组</w:t>
      </w:r>
      <w:r>
        <w:rPr>
          <w:rFonts w:hint="eastAsia" w:hAnsi="宋体"/>
          <w:color w:val="auto"/>
          <w:highlight w:val="none"/>
        </w:rPr>
        <w:t>就符合采购需求、质量和服务等进行第一轮</w:t>
      </w:r>
      <w:r>
        <w:rPr>
          <w:rFonts w:hint="eastAsia" w:hAnsi="宋体"/>
          <w:color w:val="auto"/>
          <w:kern w:val="0"/>
          <w:szCs w:val="21"/>
          <w:highlight w:val="none"/>
        </w:rPr>
        <w:t>磋商</w:t>
      </w:r>
      <w:r>
        <w:rPr>
          <w:rFonts w:hint="eastAsia" w:hAnsi="宋体"/>
          <w:color w:val="auto"/>
          <w:highlight w:val="none"/>
        </w:rPr>
        <w:t>，</w:t>
      </w:r>
      <w:r>
        <w:rPr>
          <w:rFonts w:hAnsi="宋体"/>
          <w:color w:val="auto"/>
          <w:highlight w:val="none"/>
        </w:rPr>
        <w:t>并了解其报价组成情况。根据第一轮</w:t>
      </w:r>
      <w:r>
        <w:rPr>
          <w:rFonts w:hint="eastAsia" w:hAnsi="宋体"/>
          <w:color w:val="auto"/>
          <w:kern w:val="0"/>
          <w:szCs w:val="21"/>
          <w:highlight w:val="none"/>
        </w:rPr>
        <w:t>磋商</w:t>
      </w:r>
      <w:r>
        <w:rPr>
          <w:rFonts w:hAnsi="宋体"/>
          <w:color w:val="auto"/>
          <w:highlight w:val="none"/>
        </w:rPr>
        <w:t>掌握的情况，可以对磋商文件进行修改，确定采购内容的详细规格或具体要求，优化采购方案。磋商小组强调调整后的采购要求，将磋商文件的修改结果以书面形式通知</w:t>
      </w:r>
      <w:r>
        <w:rPr>
          <w:rFonts w:hint="eastAsia" w:hAnsi="宋体"/>
          <w:color w:val="auto"/>
          <w:highlight w:val="none"/>
        </w:rPr>
        <w:t>磋商供应商</w:t>
      </w:r>
      <w:r>
        <w:rPr>
          <w:rFonts w:hAnsi="宋体"/>
          <w:color w:val="auto"/>
          <w:highlight w:val="none"/>
        </w:rPr>
        <w:t>，</w:t>
      </w:r>
      <w:r>
        <w:rPr>
          <w:rFonts w:hint="eastAsia" w:hAnsi="宋体"/>
          <w:color w:val="auto"/>
          <w:highlight w:val="none"/>
        </w:rPr>
        <w:t>并</w:t>
      </w:r>
      <w:r>
        <w:rPr>
          <w:rFonts w:hAnsi="宋体"/>
          <w:color w:val="auto"/>
          <w:highlight w:val="none"/>
        </w:rPr>
        <w:t>提供较充分的修正时间。</w:t>
      </w:r>
      <w:r>
        <w:rPr>
          <w:rFonts w:hint="eastAsia" w:hAnsi="宋体"/>
          <w:color w:val="auto"/>
          <w:highlight w:val="none"/>
        </w:rPr>
        <w:t>磋商供应商</w:t>
      </w:r>
      <w:r>
        <w:rPr>
          <w:rFonts w:hAnsi="宋体"/>
          <w:color w:val="auto"/>
          <w:highlight w:val="none"/>
        </w:rPr>
        <w:t>根据第一轮</w:t>
      </w:r>
      <w:r>
        <w:rPr>
          <w:rFonts w:hint="eastAsia" w:hAnsi="宋体"/>
          <w:color w:val="auto"/>
          <w:kern w:val="0"/>
          <w:szCs w:val="21"/>
          <w:highlight w:val="none"/>
        </w:rPr>
        <w:t>磋商</w:t>
      </w:r>
      <w:r>
        <w:rPr>
          <w:rFonts w:hAnsi="宋体"/>
          <w:color w:val="auto"/>
          <w:highlight w:val="none"/>
        </w:rPr>
        <w:t>情况和磋商文件修改书面通知，对原响应文件进行修正，并将修正文件</w:t>
      </w:r>
      <w:r>
        <w:rPr>
          <w:rFonts w:hint="eastAsia" w:hAnsi="宋体"/>
          <w:color w:val="auto"/>
          <w:szCs w:val="21"/>
          <w:highlight w:val="none"/>
        </w:rPr>
        <w:t>进行签章后再提交</w:t>
      </w:r>
      <w:r>
        <w:rPr>
          <w:rFonts w:hAnsi="宋体"/>
          <w:color w:val="auto"/>
          <w:highlight w:val="none"/>
        </w:rPr>
        <w:t>。修正文件与响应文件同具法律效应。</w:t>
      </w:r>
    </w:p>
    <w:p w14:paraId="7D6566C6">
      <w:pPr>
        <w:pStyle w:val="14"/>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.4</w:t>
      </w:r>
      <w:r>
        <w:rPr>
          <w:rFonts w:hAnsi="宋体"/>
          <w:color w:val="auto"/>
          <w:highlight w:val="none"/>
        </w:rPr>
        <w:t>磋商小组就修正后的响应文件与</w:t>
      </w:r>
      <w:r>
        <w:rPr>
          <w:rFonts w:hint="eastAsia" w:hAnsi="宋体"/>
          <w:color w:val="auto"/>
          <w:highlight w:val="none"/>
        </w:rPr>
        <w:t>磋商供应商</w:t>
      </w:r>
      <w:r>
        <w:rPr>
          <w:rFonts w:hAnsi="宋体"/>
          <w:color w:val="auto"/>
          <w:highlight w:val="none"/>
        </w:rPr>
        <w:t>分别进行</w:t>
      </w:r>
      <w:r>
        <w:rPr>
          <w:rFonts w:hint="eastAsia" w:hAnsi="宋体"/>
          <w:color w:val="auto"/>
          <w:highlight w:val="none"/>
        </w:rPr>
        <w:t>第二轮</w:t>
      </w:r>
      <w:r>
        <w:rPr>
          <w:rFonts w:hint="eastAsia" w:hAnsi="宋体"/>
          <w:color w:val="auto"/>
          <w:kern w:val="0"/>
          <w:szCs w:val="21"/>
          <w:highlight w:val="none"/>
        </w:rPr>
        <w:t>磋商</w:t>
      </w:r>
      <w:r>
        <w:rPr>
          <w:rFonts w:hAnsi="宋体"/>
          <w:color w:val="auto"/>
          <w:highlight w:val="none"/>
        </w:rPr>
        <w:t>。第二轮</w:t>
      </w:r>
      <w:r>
        <w:rPr>
          <w:rFonts w:hint="eastAsia" w:hAnsi="宋体"/>
          <w:color w:val="auto"/>
          <w:kern w:val="0"/>
          <w:szCs w:val="21"/>
          <w:highlight w:val="none"/>
        </w:rPr>
        <w:t>磋商</w:t>
      </w:r>
      <w:r>
        <w:rPr>
          <w:rFonts w:hAnsi="宋体"/>
          <w:color w:val="auto"/>
          <w:highlight w:val="none"/>
        </w:rPr>
        <w:t>未能确定</w:t>
      </w:r>
      <w:r>
        <w:rPr>
          <w:rFonts w:hint="eastAsia" w:hAnsi="宋体"/>
          <w:color w:val="auto"/>
          <w:highlight w:val="none"/>
        </w:rPr>
        <w:t>最终采购方案的</w:t>
      </w:r>
      <w:r>
        <w:rPr>
          <w:rFonts w:hAnsi="宋体"/>
          <w:color w:val="auto"/>
          <w:highlight w:val="none"/>
        </w:rPr>
        <w:t>，对磋商文件修正后进行第三轮</w:t>
      </w:r>
      <w:r>
        <w:rPr>
          <w:rFonts w:hint="eastAsia" w:hAnsi="宋体"/>
          <w:color w:val="auto"/>
          <w:kern w:val="0"/>
          <w:szCs w:val="21"/>
          <w:highlight w:val="none"/>
        </w:rPr>
        <w:t>磋商</w:t>
      </w:r>
      <w:r>
        <w:rPr>
          <w:rFonts w:hint="eastAsia" w:hAnsi="宋体"/>
          <w:color w:val="auto"/>
          <w:highlight w:val="none"/>
        </w:rPr>
        <w:t>（最多三轮）</w:t>
      </w:r>
      <w:r>
        <w:rPr>
          <w:rFonts w:hAnsi="宋体"/>
          <w:color w:val="auto"/>
          <w:highlight w:val="none"/>
        </w:rPr>
        <w:t>。</w:t>
      </w:r>
    </w:p>
    <w:p w14:paraId="3A7E12D7">
      <w:pPr>
        <w:pStyle w:val="14"/>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5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w:t>
      </w:r>
    </w:p>
    <w:p w14:paraId="0DED2819">
      <w:pPr>
        <w:pStyle w:val="14"/>
        <w:spacing w:line="440" w:lineRule="exact"/>
        <w:ind w:left="527" w:hanging="527" w:hangingChars="250"/>
        <w:rPr>
          <w:rFonts w:hAnsi="宋体"/>
          <w:b/>
          <w:color w:val="auto"/>
          <w:highlight w:val="none"/>
        </w:rPr>
      </w:pPr>
      <w:r>
        <w:rPr>
          <w:rFonts w:hAnsi="宋体"/>
          <w:b/>
          <w:color w:val="auto"/>
          <w:highlight w:val="none"/>
        </w:rPr>
        <w:t>9</w:t>
      </w:r>
      <w:r>
        <w:rPr>
          <w:rFonts w:hint="eastAsia" w:hAnsi="宋体"/>
          <w:b/>
          <w:color w:val="auto"/>
          <w:szCs w:val="21"/>
          <w:highlight w:val="none"/>
        </w:rPr>
        <w:t>．</w:t>
      </w:r>
      <w:r>
        <w:rPr>
          <w:rFonts w:hint="eastAsia" w:hAnsi="宋体"/>
          <w:b/>
          <w:color w:val="auto"/>
          <w:highlight w:val="none"/>
        </w:rPr>
        <w:t>最后报价</w:t>
      </w:r>
    </w:p>
    <w:p w14:paraId="13F2D95C">
      <w:pPr>
        <w:pStyle w:val="14"/>
        <w:spacing w:line="440" w:lineRule="exact"/>
        <w:ind w:left="420" w:hanging="420" w:hangingChars="200"/>
        <w:rPr>
          <w:rFonts w:hAnsi="宋体"/>
          <w:color w:val="auto"/>
          <w:highlight w:val="none"/>
        </w:rPr>
      </w:pPr>
      <w:r>
        <w:rPr>
          <w:rFonts w:hAnsi="宋体"/>
          <w:color w:val="auto"/>
          <w:highlight w:val="none"/>
        </w:rPr>
        <w:t>9</w:t>
      </w:r>
      <w:r>
        <w:rPr>
          <w:rFonts w:hint="eastAsia" w:hAnsi="宋体"/>
          <w:color w:val="auto"/>
          <w:highlight w:val="none"/>
        </w:rPr>
        <w:t>.1磋商报价方式：</w:t>
      </w:r>
      <w:r>
        <w:rPr>
          <w:rFonts w:hint="eastAsia" w:hAnsi="宋体"/>
          <w:color w:val="auto"/>
          <w:szCs w:val="21"/>
          <w:highlight w:val="none"/>
        </w:rPr>
        <w:t>根据项目情况</w:t>
      </w:r>
      <w:r>
        <w:rPr>
          <w:rFonts w:hint="eastAsia" w:hAnsi="宋体"/>
          <w:b/>
          <w:bCs/>
          <w:color w:val="auto"/>
          <w:szCs w:val="21"/>
          <w:highlight w:val="none"/>
        </w:rPr>
        <w:t>，</w:t>
      </w:r>
      <w:r>
        <w:rPr>
          <w:rFonts w:hint="eastAsia" w:hAnsi="宋体"/>
          <w:color w:val="auto"/>
          <w:szCs w:val="21"/>
          <w:highlight w:val="none"/>
        </w:rPr>
        <w:t>由磋商小组或采购代理机构在“广西政府采购云平台”</w:t>
      </w:r>
      <w:r>
        <w:rPr>
          <w:rFonts w:hint="eastAsia" w:hAnsi="宋体"/>
          <w:color w:val="auto"/>
          <w:highlight w:val="none"/>
        </w:rPr>
        <w:t>开启新一轮</w:t>
      </w:r>
      <w:r>
        <w:rPr>
          <w:rFonts w:hint="eastAsia" w:hAnsi="宋体"/>
          <w:color w:val="auto"/>
          <w:szCs w:val="21"/>
          <w:highlight w:val="none"/>
        </w:rPr>
        <w:t>（或多轮）报价。供应商根据“广西政府采购云平台”报价页面填写相关信息，生成报价文件。供应商确认报价文件无误，并对报价文件进行签章后再提交。报价文件一经提交，不能再进行修改。</w:t>
      </w:r>
    </w:p>
    <w:p w14:paraId="3AC06297">
      <w:pPr>
        <w:pStyle w:val="14"/>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.2</w:t>
      </w:r>
      <w:r>
        <w:rPr>
          <w:rFonts w:hAnsi="宋体"/>
          <w:color w:val="auto"/>
          <w:highlight w:val="none"/>
        </w:rPr>
        <w:t>磋商文件能够详细列明采购标的的技术</w:t>
      </w:r>
      <w:r>
        <w:rPr>
          <w:rFonts w:hAnsi="宋体"/>
          <w:color w:val="auto"/>
          <w:szCs w:val="21"/>
          <w:highlight w:val="none"/>
        </w:rPr>
        <w:t>、服务要求的，</w:t>
      </w:r>
      <w:r>
        <w:rPr>
          <w:rFonts w:hint="eastAsia" w:hAnsi="宋体"/>
          <w:color w:val="auto"/>
          <w:szCs w:val="21"/>
          <w:highlight w:val="none"/>
        </w:rPr>
        <w:t>磋商</w:t>
      </w:r>
      <w:r>
        <w:rPr>
          <w:rFonts w:hAnsi="宋体"/>
          <w:color w:val="auto"/>
          <w:szCs w:val="21"/>
          <w:highlight w:val="none"/>
        </w:rPr>
        <w:t>结束后，</w:t>
      </w:r>
      <w:r>
        <w:rPr>
          <w:rFonts w:hAnsi="宋体"/>
          <w:color w:val="auto"/>
          <w:highlight w:val="none"/>
        </w:rPr>
        <w:t>磋商小组</w:t>
      </w:r>
      <w:r>
        <w:rPr>
          <w:rFonts w:hint="eastAsia" w:hAnsi="宋体"/>
          <w:color w:val="auto"/>
          <w:highlight w:val="none"/>
        </w:rPr>
        <w:t>应当要求所有实质性响应的供应商</w:t>
      </w:r>
      <w:r>
        <w:rPr>
          <w:rFonts w:hAnsi="宋体"/>
          <w:color w:val="auto"/>
          <w:highlight w:val="none"/>
        </w:rPr>
        <w:t>在规定时间内提交最后报价</w:t>
      </w:r>
      <w:r>
        <w:rPr>
          <w:rFonts w:hint="eastAsia" w:hAnsi="宋体"/>
          <w:color w:val="auto"/>
          <w:szCs w:val="21"/>
          <w:highlight w:val="none"/>
        </w:rPr>
        <w:t>，提交最后报价的供应商不得少于3家</w:t>
      </w:r>
      <w:r>
        <w:rPr>
          <w:rFonts w:hAnsi="宋体"/>
          <w:color w:val="auto"/>
          <w:szCs w:val="21"/>
          <w:highlight w:val="none"/>
        </w:rPr>
        <w:t>。</w:t>
      </w:r>
    </w:p>
    <w:p w14:paraId="455F925B">
      <w:pPr>
        <w:pStyle w:val="14"/>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.3</w:t>
      </w:r>
      <w:r>
        <w:rPr>
          <w:rFonts w:hAnsi="宋体"/>
          <w:color w:val="auto"/>
          <w:szCs w:val="21"/>
          <w:highlight w:val="none"/>
        </w:rPr>
        <w:t>磋商文件不能详细列明采购标的的技术、服务要求，</w:t>
      </w:r>
      <w:r>
        <w:rPr>
          <w:rFonts w:hint="eastAsia" w:hAnsi="宋体"/>
          <w:color w:val="auto"/>
          <w:highlight w:val="none"/>
        </w:rPr>
        <w:t>需</w:t>
      </w:r>
      <w:r>
        <w:rPr>
          <w:rFonts w:hAnsi="宋体"/>
          <w:color w:val="auto"/>
          <w:highlight w:val="none"/>
        </w:rPr>
        <w:t>经</w:t>
      </w:r>
      <w:r>
        <w:rPr>
          <w:rFonts w:hint="eastAsia" w:hAnsi="宋体"/>
          <w:color w:val="auto"/>
          <w:highlight w:val="none"/>
        </w:rPr>
        <w:t>磋商</w:t>
      </w:r>
      <w:r>
        <w:rPr>
          <w:rFonts w:hAnsi="宋体"/>
          <w:color w:val="auto"/>
          <w:highlight w:val="none"/>
        </w:rPr>
        <w:t>由</w:t>
      </w:r>
      <w:r>
        <w:rPr>
          <w:rFonts w:hint="eastAsia" w:hAnsi="宋体"/>
          <w:color w:val="auto"/>
          <w:highlight w:val="none"/>
        </w:rPr>
        <w:t>供应商</w:t>
      </w:r>
      <w:r>
        <w:rPr>
          <w:rFonts w:hAnsi="宋体"/>
          <w:color w:val="auto"/>
          <w:highlight w:val="none"/>
        </w:rPr>
        <w:t>提供最终设计方案或解决方案的</w:t>
      </w:r>
      <w:r>
        <w:rPr>
          <w:rFonts w:hAnsi="宋体"/>
          <w:color w:val="auto"/>
          <w:szCs w:val="21"/>
          <w:highlight w:val="none"/>
        </w:rPr>
        <w:t>，</w:t>
      </w:r>
      <w:r>
        <w:rPr>
          <w:rFonts w:hint="eastAsia" w:hAnsi="宋体"/>
          <w:color w:val="auto"/>
          <w:szCs w:val="21"/>
          <w:highlight w:val="none"/>
        </w:rPr>
        <w:t>磋商</w:t>
      </w:r>
      <w:r>
        <w:rPr>
          <w:rFonts w:hAnsi="宋体"/>
          <w:color w:val="auto"/>
          <w:szCs w:val="21"/>
          <w:highlight w:val="none"/>
        </w:rPr>
        <w:t>结束后，磋商小组</w:t>
      </w:r>
      <w:r>
        <w:rPr>
          <w:rFonts w:hint="eastAsia" w:hAnsi="宋体"/>
          <w:color w:val="auto"/>
          <w:szCs w:val="21"/>
          <w:highlight w:val="none"/>
        </w:rPr>
        <w:t>应当</w:t>
      </w:r>
      <w:r>
        <w:rPr>
          <w:rFonts w:hAnsi="宋体"/>
          <w:color w:val="auto"/>
          <w:szCs w:val="21"/>
          <w:highlight w:val="none"/>
        </w:rPr>
        <w:t>按照少数服从多数的原则投票推荐3家以上</w:t>
      </w:r>
      <w:r>
        <w:rPr>
          <w:rFonts w:hint="eastAsia" w:hAnsi="宋体"/>
          <w:color w:val="auto"/>
          <w:szCs w:val="21"/>
          <w:highlight w:val="none"/>
        </w:rPr>
        <w:t>（含3家）供应商</w:t>
      </w:r>
      <w:r>
        <w:rPr>
          <w:rFonts w:hAnsi="宋体"/>
          <w:color w:val="auto"/>
          <w:szCs w:val="21"/>
          <w:highlight w:val="none"/>
        </w:rPr>
        <w:t>的设计方案或者解决方案，并要求其在规定时间内提交最后报价。</w:t>
      </w:r>
    </w:p>
    <w:p w14:paraId="073DAED8">
      <w:pPr>
        <w:pStyle w:val="14"/>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.4</w:t>
      </w:r>
      <w:r>
        <w:rPr>
          <w:rFonts w:hAnsi="宋体"/>
          <w:color w:val="auto"/>
          <w:szCs w:val="21"/>
          <w:highlight w:val="none"/>
        </w:rPr>
        <w:t>最后报价是</w:t>
      </w:r>
      <w:r>
        <w:rPr>
          <w:rFonts w:hint="eastAsia" w:hAnsi="宋体"/>
          <w:color w:val="auto"/>
          <w:szCs w:val="21"/>
          <w:highlight w:val="none"/>
        </w:rPr>
        <w:t>供应商</w:t>
      </w:r>
      <w:r>
        <w:rPr>
          <w:rFonts w:hAnsi="宋体"/>
          <w:color w:val="auto"/>
          <w:szCs w:val="21"/>
          <w:highlight w:val="none"/>
        </w:rPr>
        <w:t>响应文件的有效组成部分。</w:t>
      </w:r>
      <w:r>
        <w:rPr>
          <w:rFonts w:hint="eastAsia" w:hAnsi="宋体"/>
          <w:color w:val="auto"/>
          <w:highlight w:val="none"/>
        </w:rPr>
        <w:t>符合《政府采购竞争性磋商采购方式管理暂行办法》（财库〔2014〕214号）第三条第四项“市场竞争不充分的科研项目，以及需要扶持的科技成果转化项目”情形，或本章第一项第6条情形的，提交最后报价的供应商可以为2家。</w:t>
      </w:r>
    </w:p>
    <w:p w14:paraId="06CD221E">
      <w:pPr>
        <w:pStyle w:val="14"/>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.5最后报价中的总价报价应根据自身能力自行填报且不高于首次总报价</w:t>
      </w:r>
      <w:r>
        <w:rPr>
          <w:rFonts w:hint="eastAsia" w:hAnsi="宋体"/>
          <w:color w:val="auto"/>
          <w:szCs w:val="21"/>
          <w:highlight w:val="none"/>
        </w:rPr>
        <w:t>；如最后报价按总价报价的，各子项单价成交价均调整为不高于响应文件报价表中的各子项首次单价报价。</w:t>
      </w:r>
    </w:p>
    <w:p w14:paraId="6A3FF8C1">
      <w:pPr>
        <w:pStyle w:val="14"/>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.6已提交响应文件的供应商</w:t>
      </w:r>
      <w:r>
        <w:rPr>
          <w:rFonts w:hint="eastAsia" w:hAnsi="宋体"/>
          <w:color w:val="auto"/>
          <w:szCs w:val="21"/>
          <w:highlight w:val="none"/>
        </w:rPr>
        <w:t>，在提交最后报价之前，可以根据磋商情况退出磋商。采购人、</w:t>
      </w:r>
      <w:r>
        <w:rPr>
          <w:rFonts w:hint="eastAsia" w:hAnsi="宋体"/>
          <w:color w:val="auto"/>
          <w:highlight w:val="none"/>
        </w:rPr>
        <w:t>采购代理机构应当退还退出磋商的供应商的磋商保证金</w:t>
      </w:r>
      <w:r>
        <w:rPr>
          <w:rFonts w:hint="eastAsia" w:hAnsi="宋体"/>
          <w:color w:val="auto"/>
          <w:szCs w:val="21"/>
          <w:highlight w:val="none"/>
        </w:rPr>
        <w:t>。</w:t>
      </w:r>
    </w:p>
    <w:p w14:paraId="0EBD2BAD">
      <w:pPr>
        <w:snapToGrid w:val="0"/>
        <w:spacing w:line="440" w:lineRule="exact"/>
        <w:ind w:left="707" w:leftChars="194" w:hanging="300" w:hangingChars="143"/>
        <w:outlineLvl w:val="4"/>
        <w:rPr>
          <w:rFonts w:ascii="宋体" w:hAnsi="宋体"/>
          <w:color w:val="auto"/>
          <w:szCs w:val="21"/>
          <w:highlight w:val="none"/>
        </w:rPr>
      </w:pPr>
      <w:r>
        <w:rPr>
          <w:rFonts w:hint="eastAsia" w:ascii="宋体" w:hAnsi="宋体"/>
          <w:color w:val="auto"/>
          <w:highlight w:val="none"/>
        </w:rPr>
        <w:t xml:space="preserve">① </w:t>
      </w:r>
      <w:r>
        <w:rPr>
          <w:rFonts w:hint="eastAsia" w:ascii="宋体" w:hAnsi="宋体"/>
          <w:color w:val="auto"/>
          <w:szCs w:val="21"/>
          <w:highlight w:val="none"/>
        </w:rPr>
        <w:t>供应商未在通知的时间内参加磋商的，或</w:t>
      </w:r>
      <w:r>
        <w:rPr>
          <w:rFonts w:ascii="宋体" w:hAnsi="宋体"/>
          <w:color w:val="auto"/>
          <w:szCs w:val="21"/>
          <w:highlight w:val="none"/>
        </w:rPr>
        <w:t>未</w:t>
      </w:r>
      <w:r>
        <w:rPr>
          <w:rFonts w:hint="eastAsia" w:ascii="宋体" w:hAnsi="宋体"/>
          <w:color w:val="auto"/>
          <w:szCs w:val="21"/>
          <w:highlight w:val="none"/>
        </w:rPr>
        <w:t>按磋商小组的要求重新提交响应文件的，</w:t>
      </w:r>
      <w:r>
        <w:rPr>
          <w:rFonts w:hint="eastAsia" w:ascii="宋体" w:hAnsi="宋体"/>
          <w:color w:val="auto"/>
          <w:highlight w:val="none"/>
        </w:rPr>
        <w:t>或未提交书面说明退出磋商的</w:t>
      </w:r>
      <w:r>
        <w:rPr>
          <w:rFonts w:hint="eastAsia" w:ascii="宋体" w:hAnsi="宋体"/>
          <w:color w:val="auto"/>
          <w:szCs w:val="21"/>
          <w:highlight w:val="none"/>
        </w:rPr>
        <w:t>，或未在规定时间内提交最后报价的，视为供应商自动放弃磋商。</w:t>
      </w:r>
    </w:p>
    <w:p w14:paraId="77F2B30E">
      <w:pPr>
        <w:snapToGrid w:val="0"/>
        <w:spacing w:line="440" w:lineRule="exact"/>
        <w:ind w:left="707" w:leftChars="194" w:hanging="300" w:hangingChars="143"/>
        <w:outlineLvl w:val="4"/>
        <w:rPr>
          <w:rFonts w:ascii="宋体" w:hAnsi="宋体"/>
          <w:color w:val="auto"/>
          <w:kern w:val="0"/>
          <w:szCs w:val="21"/>
          <w:highlight w:val="none"/>
        </w:rPr>
      </w:pPr>
      <w:r>
        <w:rPr>
          <w:rFonts w:hint="eastAsia" w:ascii="宋体" w:hAnsi="宋体"/>
          <w:color w:val="auto"/>
          <w:highlight w:val="none"/>
        </w:rPr>
        <w:t xml:space="preserve">② </w:t>
      </w:r>
      <w:r>
        <w:rPr>
          <w:rFonts w:hint="eastAsia" w:ascii="宋体" w:hAnsi="宋体"/>
          <w:color w:val="auto"/>
          <w:kern w:val="0"/>
          <w:szCs w:val="21"/>
          <w:highlight w:val="none"/>
        </w:rPr>
        <w:t>未书面退出</w:t>
      </w:r>
      <w:r>
        <w:rPr>
          <w:rFonts w:hint="eastAsia" w:ascii="宋体" w:hAnsi="宋体"/>
          <w:color w:val="auto"/>
          <w:szCs w:val="21"/>
          <w:highlight w:val="none"/>
        </w:rPr>
        <w:t>磋商</w:t>
      </w:r>
      <w:r>
        <w:rPr>
          <w:rFonts w:hint="eastAsia" w:ascii="宋体" w:hAnsi="宋体"/>
          <w:color w:val="auto"/>
          <w:kern w:val="0"/>
          <w:szCs w:val="21"/>
          <w:highlight w:val="none"/>
        </w:rPr>
        <w:t>的</w:t>
      </w:r>
      <w:r>
        <w:rPr>
          <w:rFonts w:ascii="宋体" w:hAnsi="宋体"/>
          <w:color w:val="auto"/>
          <w:kern w:val="0"/>
          <w:szCs w:val="21"/>
          <w:highlight w:val="none"/>
        </w:rPr>
        <w:t>供应商在规定时间内提交最后报价</w:t>
      </w:r>
      <w:r>
        <w:rPr>
          <w:rFonts w:hint="eastAsia" w:ascii="宋体" w:hAnsi="宋体"/>
          <w:color w:val="auto"/>
          <w:kern w:val="0"/>
          <w:szCs w:val="21"/>
          <w:highlight w:val="none"/>
        </w:rPr>
        <w:t>，</w:t>
      </w:r>
      <w:r>
        <w:rPr>
          <w:rFonts w:hint="eastAsia" w:ascii="宋体" w:hAnsi="宋体"/>
          <w:color w:val="auto"/>
          <w:highlight w:val="none"/>
        </w:rPr>
        <w:t>其最后报价超出采购预算导致已通过评审的响应文件无效的</w:t>
      </w:r>
      <w:r>
        <w:rPr>
          <w:rFonts w:hint="eastAsia" w:ascii="宋体" w:hAnsi="宋体"/>
          <w:color w:val="auto"/>
          <w:kern w:val="0"/>
          <w:szCs w:val="21"/>
          <w:highlight w:val="none"/>
        </w:rPr>
        <w:t>，按供应商在提交响应文件截止时间后撤回响应文件处理。</w:t>
      </w:r>
    </w:p>
    <w:p w14:paraId="33340D8A">
      <w:pPr>
        <w:pStyle w:val="14"/>
        <w:spacing w:line="390" w:lineRule="exact"/>
        <w:ind w:left="525" w:hanging="525" w:hangingChars="250"/>
        <w:rPr>
          <w:rFonts w:hAnsi="宋体" w:cs="宋体"/>
          <w:b/>
          <w:color w:val="auto"/>
          <w:highlight w:val="none"/>
        </w:rPr>
      </w:pPr>
      <w:r>
        <w:rPr>
          <w:rFonts w:hint="eastAsia" w:hAnsi="宋体"/>
          <w:color w:val="auto"/>
          <w:highlight w:val="none"/>
        </w:rPr>
        <w:t>9.7</w:t>
      </w:r>
      <w:r>
        <w:rPr>
          <w:rFonts w:hint="eastAsia" w:hAnsi="宋体" w:cs="宋体"/>
          <w:b/>
          <w:color w:val="auto"/>
          <w:highlight w:val="none"/>
        </w:rPr>
        <w:t>异常低价响应审查</w:t>
      </w:r>
    </w:p>
    <w:p w14:paraId="16ADDB9A">
      <w:pPr>
        <w:pStyle w:val="14"/>
        <w:spacing w:line="390" w:lineRule="exact"/>
        <w:ind w:left="675" w:hanging="675" w:hangingChars="320"/>
        <w:rPr>
          <w:rFonts w:hAnsi="宋体" w:cs="宋体"/>
          <w:b/>
          <w:color w:val="auto"/>
          <w:szCs w:val="21"/>
          <w:highlight w:val="none"/>
        </w:rPr>
      </w:pPr>
      <w:r>
        <w:rPr>
          <w:rFonts w:hint="eastAsia" w:hAnsi="宋体" w:cs="宋体"/>
          <w:b/>
          <w:color w:val="auto"/>
          <w:highlight w:val="none"/>
        </w:rPr>
        <w:t>9.7.1</w:t>
      </w:r>
      <w:r>
        <w:rPr>
          <w:rFonts w:hint="eastAsia" w:hAnsi="宋体" w:cs="宋体"/>
          <w:b/>
          <w:color w:val="auto"/>
          <w:szCs w:val="21"/>
          <w:highlight w:val="none"/>
        </w:rPr>
        <w:t>磋商小组在评审中发现下列情形之一的，将启动异常低价响应审查程序：</w:t>
      </w:r>
    </w:p>
    <w:p w14:paraId="725FF1B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①响应报价低于全部通过符合性审查供应商响应报价平均值50%的，即响应报价＜全部通过符合性审查供应商响应报价平均值×50%；</w:t>
      </w:r>
    </w:p>
    <w:p w14:paraId="64896CF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②响应报价低于通过符合性审查的次低报价供应商响应报价50%的，即响应报价＜通过符合性审查的次低报价供应商响应报价×50%；</w:t>
      </w:r>
    </w:p>
    <w:p w14:paraId="3888192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③响应报价低于采购项目最高限价45%的，即响应报价＜采购项目最高限价×45%；</w:t>
      </w:r>
    </w:p>
    <w:p w14:paraId="7B38721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④评审委员会基于专业判断，认为供应商报价过低，有可能影响产品质量或者不能诚信履约的其他情形。</w:t>
      </w:r>
    </w:p>
    <w:p w14:paraId="58EA5558">
      <w:pPr>
        <w:spacing w:line="400" w:lineRule="exact"/>
        <w:rPr>
          <w:rFonts w:ascii="宋体" w:hAnsi="宋体" w:cs="宋体"/>
          <w:color w:val="auto"/>
          <w:szCs w:val="21"/>
          <w:highlight w:val="none"/>
        </w:rPr>
      </w:pPr>
      <w:r>
        <w:rPr>
          <w:rFonts w:hint="eastAsia" w:ascii="宋体" w:hAnsi="宋体" w:cs="宋体"/>
          <w:color w:val="auto"/>
          <w:szCs w:val="21"/>
          <w:highlight w:val="none"/>
        </w:rPr>
        <w:t>9.7.2磋商小组启动异常低价响应审查后，属于前述9.7.1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84ADC9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40631D01">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4A1377B">
      <w:pPr>
        <w:spacing w:line="400" w:lineRule="exact"/>
        <w:ind w:firstLine="420"/>
        <w:rPr>
          <w:rFonts w:hAnsi="宋体"/>
          <w:color w:val="auto"/>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D9CF622">
      <w:pPr>
        <w:pStyle w:val="14"/>
        <w:spacing w:line="440" w:lineRule="exact"/>
        <w:ind w:left="527" w:hanging="527" w:hangingChars="250"/>
        <w:rPr>
          <w:rFonts w:hAnsi="宋体"/>
          <w:b/>
          <w:color w:val="auto"/>
          <w:highlight w:val="none"/>
        </w:rPr>
      </w:pPr>
      <w:r>
        <w:rPr>
          <w:rFonts w:hint="eastAsia" w:hAnsi="宋体"/>
          <w:b/>
          <w:color w:val="auto"/>
          <w:highlight w:val="none"/>
        </w:rPr>
        <w:t>1</w:t>
      </w:r>
      <w:r>
        <w:rPr>
          <w:rFonts w:hAnsi="宋体"/>
          <w:b/>
          <w:color w:val="auto"/>
          <w:highlight w:val="none"/>
        </w:rPr>
        <w:t>0</w:t>
      </w:r>
      <w:r>
        <w:rPr>
          <w:rFonts w:hint="eastAsia" w:hAnsi="宋体"/>
          <w:b/>
          <w:color w:val="auto"/>
          <w:szCs w:val="21"/>
          <w:highlight w:val="none"/>
        </w:rPr>
        <w:t>．</w:t>
      </w:r>
      <w:r>
        <w:rPr>
          <w:rFonts w:hint="eastAsia" w:hAnsi="宋体"/>
          <w:b/>
          <w:color w:val="auto"/>
          <w:highlight w:val="none"/>
        </w:rPr>
        <w:t>比较与评价</w:t>
      </w:r>
    </w:p>
    <w:p w14:paraId="724D938A">
      <w:pPr>
        <w:pStyle w:val="14"/>
        <w:spacing w:line="440" w:lineRule="exact"/>
        <w:ind w:left="475" w:hanging="474" w:hangingChars="226"/>
        <w:rPr>
          <w:rFonts w:hAnsi="宋体"/>
          <w:color w:val="auto"/>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.1经磋商确定最终采购需求和提交最后报价的磋商供应商后，由磋商小组采用综合评分法对提交最后报价的磋商供应商的响应文件和最后报价，按照本章第三项评审标准进行综合评分。</w:t>
      </w:r>
    </w:p>
    <w:p w14:paraId="05DEDC50">
      <w:pPr>
        <w:pStyle w:val="14"/>
        <w:spacing w:line="440" w:lineRule="exact"/>
        <w:ind w:left="475" w:hanging="474" w:hangingChars="226"/>
        <w:rPr>
          <w:rFonts w:hAnsi="宋体"/>
          <w:color w:val="auto"/>
          <w:szCs w:val="21"/>
          <w:highlight w:val="none"/>
        </w:rPr>
      </w:pPr>
      <w:r>
        <w:rPr>
          <w:rFonts w:hint="eastAsia" w:hAnsi="宋体"/>
          <w:color w:val="auto"/>
          <w:szCs w:val="21"/>
          <w:highlight w:val="none"/>
        </w:rPr>
        <w:t>1</w:t>
      </w:r>
      <w:r>
        <w:rPr>
          <w:rFonts w:hAnsi="宋体"/>
          <w:color w:val="auto"/>
          <w:szCs w:val="21"/>
          <w:highlight w:val="none"/>
        </w:rPr>
        <w:t>0</w:t>
      </w:r>
      <w:r>
        <w:rPr>
          <w:rFonts w:hint="eastAsia" w:hAnsi="宋体"/>
          <w:color w:val="auto"/>
          <w:szCs w:val="21"/>
          <w:highlight w:val="none"/>
        </w:rPr>
        <w:t>.2评审时，磋商小组各成员应当独立对本项目（各采购包）每个有效响应的文件进行评价、打分，</w:t>
      </w:r>
      <w:r>
        <w:rPr>
          <w:rFonts w:hint="eastAsia" w:hAnsi="宋体"/>
          <w:color w:val="auto"/>
          <w:highlight w:val="none"/>
        </w:rPr>
        <w:t>然后汇总每个供应商每项评分因素的得分</w:t>
      </w:r>
      <w:r>
        <w:rPr>
          <w:rFonts w:hint="eastAsia" w:hAnsi="宋体"/>
          <w:color w:val="auto"/>
          <w:szCs w:val="21"/>
          <w:highlight w:val="none"/>
        </w:rPr>
        <w:t>。</w:t>
      </w:r>
    </w:p>
    <w:p w14:paraId="6FC94B5E">
      <w:pPr>
        <w:pStyle w:val="14"/>
        <w:spacing w:line="440" w:lineRule="exact"/>
        <w:ind w:left="475" w:hanging="474" w:hangingChars="226"/>
        <w:rPr>
          <w:rFonts w:hAnsi="宋体"/>
          <w:color w:val="auto"/>
          <w:szCs w:val="21"/>
          <w:highlight w:val="none"/>
        </w:rPr>
      </w:pPr>
      <w:r>
        <w:rPr>
          <w:rFonts w:hAnsi="宋体"/>
          <w:color w:val="auto"/>
          <w:szCs w:val="21"/>
          <w:highlight w:val="none"/>
        </w:rPr>
        <w:t>10</w:t>
      </w:r>
      <w:r>
        <w:rPr>
          <w:rFonts w:hint="eastAsia" w:hAnsi="宋体"/>
          <w:color w:val="auto"/>
          <w:szCs w:val="21"/>
          <w:highlight w:val="none"/>
        </w:rPr>
        <w:t>.3</w:t>
      </w:r>
      <w:r>
        <w:rPr>
          <w:rFonts w:hint="eastAsia" w:hAnsi="宋体"/>
          <w:color w:val="auto"/>
          <w:highlight w:val="none"/>
        </w:rPr>
        <w:t>评审过程中</w:t>
      </w:r>
      <w:r>
        <w:rPr>
          <w:rFonts w:hint="eastAsia" w:hAnsi="宋体"/>
          <w:color w:val="auto"/>
          <w:szCs w:val="21"/>
          <w:highlight w:val="none"/>
        </w:rPr>
        <w:t>，不得去掉报价中的最高报价和最低报价。因落实政府采购政策进行价格调整的，以调整后的价格计算评标基准价和磋商报价。</w:t>
      </w:r>
    </w:p>
    <w:p w14:paraId="7A7EE539">
      <w:pPr>
        <w:pStyle w:val="14"/>
        <w:spacing w:line="440" w:lineRule="exact"/>
        <w:ind w:left="476" w:hanging="476" w:hangingChars="226"/>
        <w:rPr>
          <w:rFonts w:hAnsi="宋体"/>
          <w:b/>
          <w:color w:val="auto"/>
          <w:highlight w:val="none"/>
        </w:rPr>
      </w:pPr>
      <w:r>
        <w:rPr>
          <w:rFonts w:hint="eastAsia" w:hAnsi="宋体"/>
          <w:b/>
          <w:color w:val="auto"/>
          <w:highlight w:val="none"/>
        </w:rPr>
        <w:t>1</w:t>
      </w:r>
      <w:r>
        <w:rPr>
          <w:rFonts w:hAnsi="宋体"/>
          <w:b/>
          <w:color w:val="auto"/>
          <w:highlight w:val="none"/>
        </w:rPr>
        <w:t>1</w:t>
      </w:r>
      <w:r>
        <w:rPr>
          <w:rFonts w:hint="eastAsia" w:hAnsi="宋体"/>
          <w:b/>
          <w:color w:val="auto"/>
          <w:szCs w:val="21"/>
          <w:highlight w:val="none"/>
        </w:rPr>
        <w:t>．</w:t>
      </w:r>
      <w:r>
        <w:rPr>
          <w:rFonts w:hint="eastAsia" w:hAnsi="宋体"/>
          <w:b/>
          <w:color w:val="auto"/>
          <w:highlight w:val="none"/>
        </w:rPr>
        <w:t>推荐成交候选供应商名单并编写评审报告</w:t>
      </w:r>
    </w:p>
    <w:p w14:paraId="47C92449">
      <w:pPr>
        <w:spacing w:line="360" w:lineRule="exact"/>
        <w:ind w:left="2" w:firstLine="417" w:firstLineChars="199"/>
        <w:rPr>
          <w:rFonts w:hAnsi="宋体"/>
          <w:color w:val="auto"/>
          <w:kern w:val="0"/>
          <w:szCs w:val="21"/>
          <w:highlight w:val="none"/>
        </w:rPr>
      </w:pPr>
      <w:bookmarkStart w:id="300" w:name="OLE_LINK574"/>
      <w:r>
        <w:rPr>
          <w:rFonts w:hint="eastAsia" w:hAnsi="宋体"/>
          <w:color w:val="auto"/>
          <w:highlight w:val="none"/>
        </w:rPr>
        <w:t>1</w:t>
      </w:r>
      <w:r>
        <w:rPr>
          <w:rFonts w:hAnsi="宋体"/>
          <w:color w:val="auto"/>
          <w:highlight w:val="none"/>
        </w:rPr>
        <w:t>1.1</w:t>
      </w:r>
      <w:r>
        <w:rPr>
          <w:rFonts w:hint="eastAsia" w:hAnsi="宋体"/>
          <w:color w:val="auto"/>
          <w:highlight w:val="none"/>
        </w:rPr>
        <w:t>磋商小组根据综合评分情况，按照评审得分由高到低顺序推荐3名成交候选供应商，并编写评审报告。符合本章第</w:t>
      </w:r>
      <w:r>
        <w:rPr>
          <w:rFonts w:hAnsi="宋体"/>
          <w:color w:val="auto"/>
          <w:highlight w:val="none"/>
        </w:rPr>
        <w:t>8</w:t>
      </w:r>
      <w:r>
        <w:rPr>
          <w:rFonts w:hint="eastAsia" w:hAnsi="宋体"/>
          <w:color w:val="auto"/>
          <w:highlight w:val="none"/>
        </w:rPr>
        <w:t>.5条、第</w:t>
      </w:r>
      <w:r>
        <w:rPr>
          <w:rFonts w:hAnsi="宋体"/>
          <w:color w:val="auto"/>
          <w:highlight w:val="none"/>
        </w:rPr>
        <w:t>9</w:t>
      </w:r>
      <w:r>
        <w:rPr>
          <w:rFonts w:hint="eastAsia" w:hAnsi="宋体"/>
          <w:color w:val="auto"/>
          <w:highlight w:val="none"/>
        </w:rPr>
        <w:t>.4条情形的，可以推荐2名成交候选供应商。</w:t>
      </w:r>
      <w:bookmarkStart w:id="301" w:name="OLE_LINK571"/>
      <w:bookmarkStart w:id="302" w:name="OLE_LINK572"/>
      <w:bookmarkStart w:id="303" w:name="OLE_LINK573"/>
      <w:r>
        <w:rPr>
          <w:rFonts w:hint="eastAsia" w:hAnsi="宋体"/>
          <w:color w:val="auto"/>
          <w:highlight w:val="none"/>
        </w:rPr>
        <w:t>评审得分相同的</w:t>
      </w:r>
      <w:bookmarkEnd w:id="301"/>
      <w:bookmarkEnd w:id="302"/>
      <w:r>
        <w:rPr>
          <w:rFonts w:hint="eastAsia" w:hAnsi="宋体"/>
          <w:color w:val="auto"/>
          <w:highlight w:val="none"/>
        </w:rPr>
        <w:t>，按照技术分由高到低的顺序推荐。评审得分且技术分相同的，成交候选人并列的，由采购人</w:t>
      </w:r>
      <w:r>
        <w:rPr>
          <w:rFonts w:hint="eastAsia" w:ascii="宋体" w:hAnsi="宋体" w:cs="宋体"/>
          <w:color w:val="auto"/>
          <w:szCs w:val="21"/>
          <w:highlight w:val="none"/>
        </w:rPr>
        <w:t>随机抽取的方式确定成交人。</w:t>
      </w:r>
      <w:bookmarkEnd w:id="303"/>
    </w:p>
    <w:bookmarkEnd w:id="300"/>
    <w:p w14:paraId="7F582697">
      <w:pPr>
        <w:pStyle w:val="14"/>
        <w:spacing w:line="440" w:lineRule="exact"/>
        <w:ind w:left="475" w:hanging="474" w:hangingChars="226"/>
        <w:rPr>
          <w:rFonts w:hAnsi="宋体"/>
          <w:color w:val="auto"/>
          <w:szCs w:val="21"/>
          <w:highlight w:val="none"/>
        </w:rPr>
      </w:pPr>
      <w:r>
        <w:rPr>
          <w:rFonts w:hint="eastAsia" w:hAnsi="宋体"/>
          <w:color w:val="auto"/>
          <w:highlight w:val="none"/>
        </w:rPr>
        <w:t>1</w:t>
      </w:r>
      <w:r>
        <w:rPr>
          <w:rFonts w:hAnsi="宋体"/>
          <w:color w:val="auto"/>
          <w:highlight w:val="none"/>
        </w:rPr>
        <w:t>1.2</w:t>
      </w:r>
      <w:r>
        <w:rPr>
          <w:rFonts w:hint="eastAsia"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w:t>
      </w:r>
      <w:r>
        <w:rPr>
          <w:rFonts w:hint="eastAsia" w:hAnsi="宋体"/>
          <w:color w:val="auto"/>
          <w:highlight w:val="none"/>
        </w:rPr>
        <w:t>书面</w:t>
      </w:r>
      <w:r>
        <w:rPr>
          <w:rFonts w:hint="eastAsia" w:hAnsi="宋体"/>
          <w:color w:val="auto"/>
          <w:szCs w:val="21"/>
          <w:highlight w:val="none"/>
        </w:rPr>
        <w:t>说明其不同意见和理由的，视为同意评审报告。</w:t>
      </w:r>
    </w:p>
    <w:p w14:paraId="12A81E69">
      <w:pPr>
        <w:rPr>
          <w:rFonts w:ascii="宋体" w:hAnsi="宋体"/>
          <w:b/>
          <w:bCs/>
          <w:color w:val="auto"/>
          <w:sz w:val="24"/>
          <w:highlight w:val="none"/>
        </w:rPr>
      </w:pPr>
      <w:r>
        <w:rPr>
          <w:rFonts w:hint="eastAsia" w:ascii="宋体" w:hAnsi="宋体"/>
          <w:b/>
          <w:bCs/>
          <w:color w:val="auto"/>
          <w:sz w:val="24"/>
          <w:highlight w:val="none"/>
        </w:rPr>
        <w:br w:type="page"/>
      </w:r>
    </w:p>
    <w:p w14:paraId="4BDF7F2A">
      <w:pPr>
        <w:pStyle w:val="14"/>
        <w:spacing w:beforeLines="50" w:afterLines="50" w:line="440" w:lineRule="exact"/>
        <w:rPr>
          <w:rFonts w:hAnsi="宋体"/>
          <w:b/>
          <w:bCs/>
          <w:color w:val="auto"/>
          <w:sz w:val="24"/>
          <w:szCs w:val="24"/>
          <w:highlight w:val="none"/>
        </w:rPr>
      </w:pPr>
      <w:r>
        <w:rPr>
          <w:rFonts w:hint="eastAsia" w:hAnsi="宋体"/>
          <w:b/>
          <w:bCs/>
          <w:color w:val="auto"/>
          <w:sz w:val="24"/>
          <w:szCs w:val="24"/>
          <w:highlight w:val="none"/>
        </w:rPr>
        <w:t>三、评审标准</w:t>
      </w:r>
    </w:p>
    <w:p w14:paraId="572E545F">
      <w:pPr>
        <w:pStyle w:val="14"/>
        <w:spacing w:beforeLines="50" w:afterLines="50" w:line="440" w:lineRule="exact"/>
        <w:rPr>
          <w:rFonts w:hAnsi="宋体"/>
          <w:b/>
          <w:bCs/>
          <w:color w:val="auto"/>
          <w:sz w:val="24"/>
          <w:szCs w:val="24"/>
          <w:highlight w:val="none"/>
        </w:rPr>
      </w:pPr>
      <w:r>
        <w:rPr>
          <w:rFonts w:hint="eastAsia" w:hAnsi="宋体"/>
          <w:b/>
          <w:bCs/>
          <w:color w:val="auto"/>
          <w:sz w:val="24"/>
          <w:szCs w:val="24"/>
          <w:highlight w:val="none"/>
        </w:rPr>
        <w:t>分标1：</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076"/>
        <w:gridCol w:w="6800"/>
        <w:gridCol w:w="681"/>
      </w:tblGrid>
      <w:tr w14:paraId="2EDE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3" w:type="dxa"/>
            <w:vAlign w:val="center"/>
          </w:tcPr>
          <w:p w14:paraId="159383EB">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076" w:type="dxa"/>
            <w:vAlign w:val="center"/>
          </w:tcPr>
          <w:p w14:paraId="1EA58E6A">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800" w:type="dxa"/>
            <w:vAlign w:val="center"/>
          </w:tcPr>
          <w:p w14:paraId="22875921">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681" w:type="dxa"/>
            <w:vAlign w:val="center"/>
          </w:tcPr>
          <w:p w14:paraId="411F0B43">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C26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33" w:type="dxa"/>
            <w:vAlign w:val="center"/>
          </w:tcPr>
          <w:p w14:paraId="53C1A7C1">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6" w:type="dxa"/>
            <w:vAlign w:val="center"/>
          </w:tcPr>
          <w:p w14:paraId="53D425B8">
            <w:pPr>
              <w:widowControl/>
              <w:spacing w:line="360" w:lineRule="auto"/>
              <w:jc w:val="center"/>
              <w:rPr>
                <w:rFonts w:ascii="宋体" w:hAnsi="宋体" w:cs="宋体"/>
                <w:b/>
                <w:bCs/>
                <w:color w:val="auto"/>
                <w:kern w:val="0"/>
                <w:szCs w:val="21"/>
                <w:highlight w:val="none"/>
              </w:rPr>
            </w:pPr>
            <w:r>
              <w:rPr>
                <w:rFonts w:hint="eastAsia" w:ascii="宋体" w:hAnsi="宋体" w:cs="宋体"/>
                <w:color w:val="auto"/>
                <w:szCs w:val="21"/>
                <w:highlight w:val="none"/>
              </w:rPr>
              <w:t>价格分</w:t>
            </w:r>
          </w:p>
        </w:tc>
        <w:tc>
          <w:tcPr>
            <w:tcW w:w="6800" w:type="dxa"/>
            <w:vAlign w:val="center"/>
          </w:tcPr>
          <w:p w14:paraId="0F4E0811">
            <w:pPr>
              <w:pStyle w:val="14"/>
              <w:spacing w:line="360" w:lineRule="exact"/>
              <w:ind w:firstLine="430"/>
              <w:rPr>
                <w:rFonts w:hAnsi="宋体"/>
                <w:bCs/>
                <w:color w:val="auto"/>
                <w:szCs w:val="21"/>
                <w:highlight w:val="none"/>
              </w:rPr>
            </w:pPr>
            <w:r>
              <w:rPr>
                <w:rFonts w:hint="eastAsia" w:hAnsi="宋体"/>
                <w:bCs/>
                <w:color w:val="auto"/>
                <w:szCs w:val="21"/>
                <w:highlight w:val="none"/>
              </w:rPr>
              <w:t>1.若供应商符合以下情形，并根据以下内容及第六章要求提供声明函和证明材料的，将对其报价进行政策性扣除，用扣除后的价格参与评审。</w:t>
            </w:r>
          </w:p>
          <w:p w14:paraId="15824679">
            <w:pPr>
              <w:pStyle w:val="14"/>
              <w:spacing w:line="360" w:lineRule="exact"/>
              <w:ind w:firstLine="430"/>
              <w:rPr>
                <w:rFonts w:hAnsi="宋体"/>
                <w:bCs/>
                <w:color w:val="auto"/>
                <w:szCs w:val="21"/>
                <w:highlight w:val="none"/>
              </w:rPr>
            </w:pPr>
            <w:r>
              <w:rPr>
                <w:rFonts w:hint="eastAsia" w:hAnsi="宋体"/>
                <w:bCs/>
                <w:color w:val="auto"/>
                <w:szCs w:val="21"/>
                <w:highlight w:val="none"/>
              </w:rPr>
              <w:t>① 根据《政府采购促进中小企业发展管理办法》的通知（财库﹝2020﹞46 号）和《广西壮族自治区财政厅关于持续优化政府采购营商环境推动高质量发展的通知》(桂财采〔2024〕55号)规定，本项目将对提供小型、微型企业产品或服务的，投标报价给予20%的扣除。</w:t>
            </w:r>
          </w:p>
          <w:p w14:paraId="75F86489">
            <w:pPr>
              <w:pStyle w:val="14"/>
              <w:spacing w:line="360" w:lineRule="exact"/>
              <w:ind w:firstLine="430"/>
              <w:rPr>
                <w:rFonts w:hAnsi="宋体"/>
                <w:bCs/>
                <w:color w:val="auto"/>
                <w:szCs w:val="21"/>
                <w:highlight w:val="none"/>
              </w:rPr>
            </w:pPr>
            <w:r>
              <w:rPr>
                <w:rFonts w:hint="eastAsia" w:hAnsi="宋体"/>
                <w:bCs/>
                <w:color w:val="auto"/>
                <w:szCs w:val="21"/>
                <w:highlight w:val="none"/>
              </w:rPr>
              <w:t>②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54BDBABD">
            <w:pPr>
              <w:pStyle w:val="14"/>
              <w:spacing w:line="360" w:lineRule="exact"/>
              <w:ind w:firstLine="430"/>
              <w:rPr>
                <w:rFonts w:hAnsi="宋体"/>
                <w:bCs/>
                <w:color w:val="auto"/>
                <w:szCs w:val="21"/>
                <w:highlight w:val="none"/>
              </w:rPr>
            </w:pPr>
            <w:r>
              <w:rPr>
                <w:rFonts w:hint="eastAsia" w:hAnsi="宋体"/>
                <w:bCs/>
                <w:color w:val="auto"/>
                <w:szCs w:val="21"/>
                <w:highlight w:val="none"/>
              </w:rPr>
              <w:t>③《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w:t>
            </w:r>
          </w:p>
          <w:p w14:paraId="4A7154DA">
            <w:pPr>
              <w:spacing w:line="360" w:lineRule="exact"/>
              <w:ind w:firstLine="315" w:firstLineChars="150"/>
              <w:rPr>
                <w:rFonts w:ascii="宋体" w:hAnsi="宋体"/>
                <w:color w:val="auto"/>
                <w:szCs w:val="21"/>
                <w:highlight w:val="none"/>
              </w:rPr>
            </w:pPr>
            <w:r>
              <w:rPr>
                <w:rFonts w:ascii="宋体" w:hAnsi="宋体"/>
                <w:color w:val="auto"/>
                <w:szCs w:val="21"/>
                <w:highlight w:val="none"/>
              </w:rPr>
              <w:t>供应商属两种情形以上的，其只能享受</w:t>
            </w:r>
            <w:r>
              <w:rPr>
                <w:rFonts w:hint="eastAsia" w:ascii="宋体" w:hAnsi="宋体"/>
                <w:color w:val="auto"/>
                <w:szCs w:val="21"/>
                <w:highlight w:val="none"/>
              </w:rPr>
              <w:t>最后报价</w:t>
            </w:r>
            <w:r>
              <w:rPr>
                <w:rFonts w:ascii="宋体" w:hAnsi="宋体"/>
                <w:color w:val="auto"/>
                <w:szCs w:val="21"/>
                <w:highlight w:val="none"/>
              </w:rPr>
              <w:t>一次性</w:t>
            </w:r>
            <w:r>
              <w:rPr>
                <w:rFonts w:hint="eastAsia" w:ascii="宋体" w:hAnsi="宋体"/>
                <w:color w:val="auto"/>
                <w:szCs w:val="21"/>
                <w:highlight w:val="none"/>
              </w:rPr>
              <w:t>2</w:t>
            </w:r>
            <w:r>
              <w:rPr>
                <w:rFonts w:ascii="宋体" w:hAnsi="宋体"/>
                <w:color w:val="auto"/>
                <w:szCs w:val="21"/>
                <w:highlight w:val="none"/>
              </w:rPr>
              <w:t>0%的扣除，不重复享受政策。</w:t>
            </w:r>
          </w:p>
          <w:p w14:paraId="1426F074">
            <w:pPr>
              <w:spacing w:line="360" w:lineRule="exact"/>
              <w:ind w:firstLine="315" w:firstLineChars="150"/>
              <w:rPr>
                <w:rFonts w:ascii="宋体" w:hAnsi="宋体"/>
                <w:color w:val="auto"/>
                <w:szCs w:val="21"/>
                <w:highlight w:val="none"/>
              </w:rPr>
            </w:pPr>
            <w:r>
              <w:rPr>
                <w:rFonts w:ascii="宋体" w:hAnsi="宋体"/>
                <w:color w:val="auto"/>
                <w:szCs w:val="21"/>
                <w:highlight w:val="none"/>
              </w:rPr>
              <w:t>除上述情况外，评审报价=最后报价。</w:t>
            </w:r>
            <w:r>
              <w:rPr>
                <w:rFonts w:hint="eastAsia" w:ascii="宋体" w:hAnsi="宋体" w:cs="宋体"/>
                <w:color w:val="auto"/>
                <w:szCs w:val="21"/>
                <w:highlight w:val="none"/>
              </w:rPr>
              <w:t>扣除后的最后报价将仅作为评审价，</w:t>
            </w:r>
            <w:r>
              <w:rPr>
                <w:rFonts w:hint="eastAsia" w:ascii="宋体" w:hAnsi="宋体"/>
                <w:bCs/>
                <w:color w:val="auto"/>
                <w:szCs w:val="21"/>
                <w:highlight w:val="none"/>
              </w:rPr>
              <w:t>最终成交价为供应商的最后报价。</w:t>
            </w:r>
          </w:p>
          <w:p w14:paraId="7E2DA35B">
            <w:pPr>
              <w:widowControl/>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价格分采用低价优先法计算，即满足资格审查要求和通过符合性且最后报价最低的供应商的价格为磋商基准价，其价格分为满分。其他供应商的价格分统一按照下列公式计算。项目评审过程中，不得去掉最后报价中的最高报价和最低报价。（</w:t>
            </w:r>
            <w:r>
              <w:rPr>
                <w:rFonts w:hint="eastAsia" w:ascii="宋体" w:hAnsi="宋体" w:cs="宋体"/>
                <w:color w:val="auto"/>
                <w:kern w:val="0"/>
                <w:szCs w:val="21"/>
                <w:highlight w:val="none"/>
                <w:lang w:val="zh-CN"/>
              </w:rPr>
              <w:t>计算分数时四舍五入取小数点后两位）</w:t>
            </w:r>
          </w:p>
          <w:p w14:paraId="0E6D7521">
            <w:pPr>
              <w:widowControl/>
              <w:spacing w:line="360" w:lineRule="auto"/>
              <w:jc w:val="center"/>
              <w:rPr>
                <w:rFonts w:ascii="宋体" w:hAnsi="宋体" w:cs="宋体"/>
                <w:b/>
                <w:bCs/>
                <w:color w:val="auto"/>
                <w:kern w:val="0"/>
                <w:szCs w:val="21"/>
                <w:highlight w:val="none"/>
              </w:rPr>
            </w:pPr>
            <w:r>
              <w:rPr>
                <w:rFonts w:hint="eastAsia" w:ascii="宋体" w:hAnsi="宋体"/>
                <w:color w:val="auto"/>
                <w:szCs w:val="21"/>
                <w:highlight w:val="none"/>
              </w:rPr>
              <w:t xml:space="preserve">    磋商报价得分</w:t>
            </w:r>
            <w:r>
              <w:rPr>
                <w:rFonts w:ascii="宋体" w:hAnsi="宋体"/>
                <w:color w:val="auto"/>
                <w:szCs w:val="21"/>
                <w:highlight w:val="none"/>
              </w:rPr>
              <w:t>=</w:t>
            </w:r>
            <w:r>
              <w:rPr>
                <w:rFonts w:hint="eastAsia" w:ascii="宋体" w:hAnsi="宋体"/>
                <w:color w:val="auto"/>
                <w:szCs w:val="21"/>
                <w:highlight w:val="none"/>
              </w:rPr>
              <w:t xml:space="preserve">（磋商基准价÷某供应商评审报价）×10% </w:t>
            </w:r>
            <w:r>
              <w:rPr>
                <w:rFonts w:ascii="宋体" w:hAnsi="宋体"/>
                <w:color w:val="auto"/>
                <w:szCs w:val="21"/>
                <w:highlight w:val="none"/>
              </w:rPr>
              <w:t>×100</w:t>
            </w:r>
          </w:p>
        </w:tc>
        <w:tc>
          <w:tcPr>
            <w:tcW w:w="681" w:type="dxa"/>
            <w:vAlign w:val="center"/>
          </w:tcPr>
          <w:p w14:paraId="10541406">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10分</w:t>
            </w:r>
          </w:p>
        </w:tc>
      </w:tr>
      <w:tr w14:paraId="695D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75D5591A">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2</w:t>
            </w:r>
          </w:p>
        </w:tc>
        <w:tc>
          <w:tcPr>
            <w:tcW w:w="1076" w:type="dxa"/>
            <w:vAlign w:val="center"/>
          </w:tcPr>
          <w:p w14:paraId="12A98147">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技术分</w:t>
            </w:r>
          </w:p>
        </w:tc>
        <w:tc>
          <w:tcPr>
            <w:tcW w:w="7481" w:type="dxa"/>
            <w:gridSpan w:val="2"/>
            <w:vAlign w:val="center"/>
          </w:tcPr>
          <w:p w14:paraId="49270FD7">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r>
      <w:tr w14:paraId="4072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4CFDB6BF">
            <w:pPr>
              <w:snapToGrid w:val="0"/>
              <w:spacing w:line="360" w:lineRule="auto"/>
              <w:ind w:left="425" w:hanging="425"/>
              <w:jc w:val="center"/>
              <w:rPr>
                <w:rFonts w:ascii="宋体" w:hAnsi="宋体" w:cs="宋体"/>
                <w:color w:val="auto"/>
                <w:szCs w:val="21"/>
                <w:highlight w:val="none"/>
              </w:rPr>
            </w:pPr>
            <w:r>
              <w:rPr>
                <w:rFonts w:hint="eastAsia" w:ascii="宋体" w:hAnsi="宋体" w:cs="宋体"/>
                <w:color w:val="auto"/>
                <w:szCs w:val="21"/>
                <w:highlight w:val="none"/>
              </w:rPr>
              <w:t>2.1</w:t>
            </w:r>
          </w:p>
        </w:tc>
        <w:tc>
          <w:tcPr>
            <w:tcW w:w="1076" w:type="dxa"/>
            <w:vAlign w:val="center"/>
          </w:tcPr>
          <w:p w14:paraId="09905188">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服务方案</w:t>
            </w:r>
          </w:p>
          <w:p w14:paraId="7338B4DE">
            <w:pPr>
              <w:snapToGrid w:val="0"/>
              <w:spacing w:line="360" w:lineRule="auto"/>
              <w:jc w:val="center"/>
              <w:rPr>
                <w:rFonts w:ascii="宋体" w:hAnsi="宋体" w:cs="宋体"/>
                <w:color w:val="auto"/>
                <w:szCs w:val="21"/>
                <w:highlight w:val="none"/>
              </w:rPr>
            </w:pPr>
          </w:p>
        </w:tc>
        <w:tc>
          <w:tcPr>
            <w:tcW w:w="6800" w:type="dxa"/>
            <w:vAlign w:val="center"/>
          </w:tcPr>
          <w:p w14:paraId="07566BB6">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由磋商小组根据内容进行评分，内容要点应包括但不限于保险总体方案、</w:t>
            </w:r>
            <w:r>
              <w:rPr>
                <w:rFonts w:hint="eastAsia" w:ascii="仿宋" w:hAnsi="仿宋"/>
                <w:color w:val="auto"/>
                <w:szCs w:val="21"/>
                <w:highlight w:val="none"/>
              </w:rPr>
              <w:t>赔款支付方案</w:t>
            </w:r>
            <w:r>
              <w:rPr>
                <w:rFonts w:hint="eastAsia" w:ascii="宋体" w:hAnsi="宋体" w:cs="宋体"/>
                <w:color w:val="auto"/>
                <w:szCs w:val="21"/>
                <w:highlight w:val="none"/>
              </w:rPr>
              <w:t>、应急服务方案、保险培训方案等。（不提供方案的得0分）</w:t>
            </w:r>
          </w:p>
          <w:p w14:paraId="009B7FF3">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①</w:t>
            </w:r>
            <w:r>
              <w:rPr>
                <w:rFonts w:hint="eastAsia" w:ascii="仿宋" w:hAnsi="仿宋"/>
                <w:color w:val="auto"/>
                <w:szCs w:val="21"/>
                <w:highlight w:val="none"/>
              </w:rPr>
              <w:t>保险总体方案</w:t>
            </w:r>
            <w:r>
              <w:rPr>
                <w:rFonts w:hint="eastAsia" w:ascii="宋体" w:hAnsi="宋体" w:cs="宋体"/>
                <w:color w:val="auto"/>
                <w:szCs w:val="21"/>
                <w:highlight w:val="none"/>
              </w:rPr>
              <w:t>包括有服务范围、</w:t>
            </w:r>
            <w:r>
              <w:rPr>
                <w:rFonts w:hint="eastAsia" w:ascii="仿宋" w:hAnsi="仿宋"/>
                <w:color w:val="auto"/>
                <w:szCs w:val="21"/>
                <w:highlight w:val="none"/>
              </w:rPr>
              <w:t>服务管理措施</w:t>
            </w:r>
            <w:r>
              <w:rPr>
                <w:rFonts w:hint="eastAsia" w:ascii="宋体" w:hAnsi="宋体" w:cs="宋体"/>
                <w:color w:val="auto"/>
                <w:szCs w:val="21"/>
                <w:highlight w:val="none"/>
              </w:rPr>
              <w:t>、</w:t>
            </w:r>
            <w:r>
              <w:rPr>
                <w:rFonts w:hint="eastAsia" w:ascii="仿宋" w:hAnsi="仿宋"/>
                <w:color w:val="auto"/>
                <w:szCs w:val="21"/>
                <w:highlight w:val="none"/>
              </w:rPr>
              <w:t>服务工作重点难点、服务计划安排、投保理赔程序</w:t>
            </w:r>
            <w:r>
              <w:rPr>
                <w:rFonts w:hint="eastAsia" w:ascii="宋体" w:hAnsi="宋体" w:cs="宋体"/>
                <w:color w:val="auto"/>
                <w:szCs w:val="21"/>
                <w:highlight w:val="none"/>
              </w:rPr>
              <w:t>等；</w:t>
            </w:r>
          </w:p>
          <w:p w14:paraId="553B3062">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②</w:t>
            </w:r>
            <w:r>
              <w:rPr>
                <w:rFonts w:hint="eastAsia" w:ascii="仿宋" w:hAnsi="仿宋"/>
                <w:color w:val="auto"/>
                <w:szCs w:val="21"/>
                <w:highlight w:val="none"/>
              </w:rPr>
              <w:t>赔款支付方案</w:t>
            </w:r>
            <w:r>
              <w:rPr>
                <w:rFonts w:hint="eastAsia" w:ascii="宋体" w:hAnsi="宋体" w:cs="宋体"/>
                <w:color w:val="auto"/>
                <w:szCs w:val="21"/>
                <w:highlight w:val="none"/>
              </w:rPr>
              <w:t>包括有</w:t>
            </w:r>
            <w:r>
              <w:rPr>
                <w:rFonts w:hint="eastAsia" w:ascii="仿宋" w:hAnsi="仿宋"/>
                <w:color w:val="auto"/>
                <w:szCs w:val="21"/>
                <w:highlight w:val="none"/>
              </w:rPr>
              <w:t>理赔材料</w:t>
            </w:r>
            <w:r>
              <w:rPr>
                <w:rFonts w:hint="eastAsia" w:ascii="宋体" w:hAnsi="宋体" w:cs="宋体"/>
                <w:color w:val="auto"/>
                <w:szCs w:val="21"/>
                <w:highlight w:val="none"/>
              </w:rPr>
              <w:t>、</w:t>
            </w:r>
            <w:r>
              <w:rPr>
                <w:rFonts w:hint="eastAsia" w:ascii="仿宋" w:hAnsi="仿宋"/>
                <w:color w:val="auto"/>
                <w:szCs w:val="21"/>
                <w:highlight w:val="none"/>
              </w:rPr>
              <w:t>赔款支付流程</w:t>
            </w:r>
            <w:r>
              <w:rPr>
                <w:rFonts w:hint="eastAsia" w:ascii="宋体" w:hAnsi="宋体" w:cs="宋体"/>
                <w:color w:val="auto"/>
                <w:szCs w:val="21"/>
                <w:highlight w:val="none"/>
              </w:rPr>
              <w:t>、</w:t>
            </w:r>
            <w:r>
              <w:rPr>
                <w:rFonts w:hint="eastAsia" w:ascii="仿宋" w:hAnsi="仿宋"/>
                <w:color w:val="auto"/>
                <w:szCs w:val="21"/>
                <w:highlight w:val="none"/>
              </w:rPr>
              <w:t>理赔时限安排</w:t>
            </w:r>
            <w:r>
              <w:rPr>
                <w:rFonts w:hint="eastAsia" w:ascii="宋体" w:hAnsi="宋体" w:cs="宋体"/>
                <w:color w:val="auto"/>
                <w:szCs w:val="21"/>
                <w:highlight w:val="none"/>
              </w:rPr>
              <w:t>、</w:t>
            </w:r>
            <w:r>
              <w:rPr>
                <w:rFonts w:hint="eastAsia" w:ascii="仿宋" w:hAnsi="仿宋"/>
                <w:color w:val="auto"/>
                <w:szCs w:val="21"/>
                <w:highlight w:val="none"/>
              </w:rPr>
              <w:t>理赔查询方式、赔款支付保障措施</w:t>
            </w:r>
            <w:r>
              <w:rPr>
                <w:rFonts w:hint="eastAsia" w:ascii="宋体" w:hAnsi="宋体" w:cs="宋体"/>
                <w:color w:val="auto"/>
                <w:szCs w:val="21"/>
                <w:highlight w:val="none"/>
              </w:rPr>
              <w:t>等；</w:t>
            </w:r>
          </w:p>
          <w:p w14:paraId="18A4B614">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③应急服务方案包括有</w:t>
            </w:r>
            <w:r>
              <w:rPr>
                <w:rFonts w:hint="eastAsia" w:ascii="仿宋" w:hAnsi="仿宋"/>
                <w:color w:val="auto"/>
                <w:szCs w:val="21"/>
                <w:highlight w:val="none"/>
              </w:rPr>
              <w:t>理赔服务风险应急预案</w:t>
            </w:r>
            <w:r>
              <w:rPr>
                <w:rFonts w:hint="eastAsia" w:ascii="宋体" w:hAnsi="宋体" w:cs="宋体"/>
                <w:color w:val="auto"/>
                <w:szCs w:val="21"/>
                <w:highlight w:val="none"/>
              </w:rPr>
              <w:t>、</w:t>
            </w:r>
            <w:r>
              <w:rPr>
                <w:rFonts w:hint="eastAsia" w:ascii="仿宋" w:hAnsi="仿宋"/>
                <w:color w:val="auto"/>
                <w:szCs w:val="21"/>
                <w:highlight w:val="none"/>
              </w:rPr>
              <w:t>突发事件应急预案</w:t>
            </w:r>
            <w:r>
              <w:rPr>
                <w:rFonts w:hint="eastAsia" w:ascii="宋体" w:hAnsi="宋体" w:cs="宋体"/>
                <w:color w:val="auto"/>
                <w:szCs w:val="21"/>
                <w:highlight w:val="none"/>
              </w:rPr>
              <w:t>等；</w:t>
            </w:r>
          </w:p>
          <w:p w14:paraId="144481D7">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④保险培训方案内容要点应包括但不限于医疗保险基础知识培训、医疗险保险申请流程培训等。</w:t>
            </w:r>
          </w:p>
          <w:p w14:paraId="2B5A3D29">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注：以上①-④项每项基础分评分标准（每项最高得8分，缺项0分，各项合计得满分32分）：内容完整且按照采购单位实际需求制定的得8分。</w:t>
            </w:r>
          </w:p>
        </w:tc>
        <w:tc>
          <w:tcPr>
            <w:tcW w:w="681" w:type="dxa"/>
            <w:vAlign w:val="center"/>
          </w:tcPr>
          <w:p w14:paraId="1F9DF41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32分</w:t>
            </w:r>
          </w:p>
          <w:p w14:paraId="10D550A6">
            <w:pPr>
              <w:snapToGrid w:val="0"/>
              <w:spacing w:line="360" w:lineRule="auto"/>
              <w:jc w:val="center"/>
              <w:rPr>
                <w:rFonts w:ascii="宋体" w:hAnsi="宋体" w:cs="宋体"/>
                <w:color w:val="auto"/>
                <w:szCs w:val="21"/>
                <w:highlight w:val="none"/>
              </w:rPr>
            </w:pPr>
          </w:p>
        </w:tc>
      </w:tr>
      <w:tr w14:paraId="3DCF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117BB6A4">
            <w:pPr>
              <w:snapToGrid w:val="0"/>
              <w:spacing w:line="360" w:lineRule="auto"/>
              <w:ind w:left="425" w:hanging="425"/>
              <w:jc w:val="center"/>
              <w:rPr>
                <w:rFonts w:ascii="宋体" w:hAnsi="宋体" w:cs="宋体"/>
                <w:color w:val="auto"/>
                <w:szCs w:val="21"/>
                <w:highlight w:val="none"/>
              </w:rPr>
            </w:pPr>
            <w:r>
              <w:rPr>
                <w:rFonts w:hint="eastAsia" w:ascii="宋体" w:hAnsi="宋体" w:cs="宋体"/>
                <w:color w:val="auto"/>
                <w:szCs w:val="21"/>
                <w:highlight w:val="none"/>
              </w:rPr>
              <w:t>2.2</w:t>
            </w:r>
          </w:p>
        </w:tc>
        <w:tc>
          <w:tcPr>
            <w:tcW w:w="1076" w:type="dxa"/>
            <w:vAlign w:val="center"/>
          </w:tcPr>
          <w:p w14:paraId="5A48AACE">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增设服务</w:t>
            </w:r>
          </w:p>
        </w:tc>
        <w:tc>
          <w:tcPr>
            <w:tcW w:w="6800" w:type="dxa"/>
            <w:vAlign w:val="center"/>
          </w:tcPr>
          <w:p w14:paraId="4E959E1F">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①门诊保额在3000元的基础上，每增加500元的得1分，最高得5分；</w:t>
            </w:r>
          </w:p>
          <w:p w14:paraId="124C1B48">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②基本住院保险金额在5000元的基础上，每增加1000元的得1分，最高得5分；</w:t>
            </w:r>
          </w:p>
          <w:p w14:paraId="053170BE">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③大病医疗保险金额在10000元的基础上，每增加1000元的得1分，最高得4分；</w:t>
            </w:r>
          </w:p>
          <w:p w14:paraId="36B69C5F">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④意外伤害身故、伤残保险金额在20000元的基础上，每增加1000元的得1分，最高得4分；</w:t>
            </w:r>
          </w:p>
          <w:p w14:paraId="094CDD24">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⑤基本住院医疗费用，免赔额为0元，给付比例在90%的基础上，每增加5%的得1分，最高得2分；</w:t>
            </w:r>
          </w:p>
          <w:p w14:paraId="15B036BF">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⑥大病医疗费用，免赔额为0元，给付比例在90%的基础上，每增加5%的得1分，最高得2分；</w:t>
            </w:r>
          </w:p>
          <w:p w14:paraId="6A6FADFD">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⑦意外门诊医疗费用，免赔额≤100元，给付比例为100%的，在此基础上，免赔额每降低50元的得1分，最高得2分。</w:t>
            </w:r>
          </w:p>
          <w:p w14:paraId="40A84131">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注：如有请在主要服务内容和承诺详细说明。</w:t>
            </w:r>
          </w:p>
        </w:tc>
        <w:tc>
          <w:tcPr>
            <w:tcW w:w="681" w:type="dxa"/>
            <w:vAlign w:val="center"/>
          </w:tcPr>
          <w:p w14:paraId="5CDDC53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24分</w:t>
            </w:r>
          </w:p>
        </w:tc>
      </w:tr>
      <w:tr w14:paraId="06BF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3AFC2281">
            <w:pPr>
              <w:snapToGrid w:val="0"/>
              <w:spacing w:line="360" w:lineRule="auto"/>
              <w:ind w:left="425" w:hanging="425"/>
              <w:jc w:val="center"/>
              <w:rPr>
                <w:rFonts w:ascii="宋体" w:hAnsi="宋体" w:cs="宋体"/>
                <w:color w:val="auto"/>
                <w:szCs w:val="21"/>
                <w:highlight w:val="none"/>
              </w:rPr>
            </w:pPr>
            <w:r>
              <w:rPr>
                <w:rFonts w:hint="eastAsia" w:ascii="宋体" w:hAnsi="宋体" w:cs="宋体"/>
                <w:color w:val="auto"/>
                <w:szCs w:val="21"/>
                <w:highlight w:val="none"/>
              </w:rPr>
              <w:t>2.3</w:t>
            </w:r>
          </w:p>
        </w:tc>
        <w:tc>
          <w:tcPr>
            <w:tcW w:w="1076" w:type="dxa"/>
            <w:vAlign w:val="center"/>
          </w:tcPr>
          <w:p w14:paraId="42381ED1">
            <w:pPr>
              <w:widowControl/>
              <w:snapToGrid w:val="0"/>
              <w:spacing w:line="360" w:lineRule="auto"/>
              <w:jc w:val="left"/>
              <w:rPr>
                <w:rFonts w:ascii="宋体" w:hAnsi="宋体" w:cs="宋体"/>
                <w:color w:val="auto"/>
                <w:szCs w:val="21"/>
                <w:highlight w:val="none"/>
              </w:rPr>
            </w:pPr>
            <w:r>
              <w:rPr>
                <w:rFonts w:hint="eastAsia" w:ascii="仿宋" w:hAnsi="仿宋"/>
                <w:color w:val="auto"/>
                <w:szCs w:val="21"/>
                <w:highlight w:val="none"/>
              </w:rPr>
              <w:t>投诉管理制度及投诉处理方案</w:t>
            </w:r>
          </w:p>
        </w:tc>
        <w:tc>
          <w:tcPr>
            <w:tcW w:w="6800" w:type="dxa"/>
            <w:vAlign w:val="center"/>
          </w:tcPr>
          <w:p w14:paraId="752FD0C1">
            <w:pPr>
              <w:snapToGrid w:val="0"/>
              <w:spacing w:line="460" w:lineRule="exact"/>
              <w:jc w:val="left"/>
              <w:rPr>
                <w:rFonts w:ascii="宋体" w:hAnsi="宋体" w:cs="宋体"/>
                <w:color w:val="auto"/>
                <w:szCs w:val="21"/>
                <w:highlight w:val="none"/>
              </w:rPr>
            </w:pPr>
            <w:r>
              <w:rPr>
                <w:rFonts w:hint="eastAsia" w:ascii="宋体" w:hAnsi="宋体" w:eastAsia="Arial" w:cs="宋体"/>
                <w:snapToGrid w:val="0"/>
                <w:color w:val="auto"/>
                <w:kern w:val="0"/>
                <w:szCs w:val="21"/>
                <w:highlight w:val="none"/>
              </w:rPr>
              <w:t>（1）</w:t>
            </w:r>
            <w:r>
              <w:rPr>
                <w:rFonts w:hint="eastAsia" w:ascii="宋体" w:hAnsi="宋体" w:cs="宋体"/>
                <w:color w:val="auto"/>
                <w:szCs w:val="21"/>
                <w:highlight w:val="none"/>
              </w:rPr>
              <w:t>供应商需建立相关保险业务全流程的投诉管理制度，包括但不限于以下内容：①具体管理制度清单；②内部组织机构。</w:t>
            </w:r>
          </w:p>
          <w:p w14:paraId="64BC998F">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以上①-②项每项基础分评分标准（每项2.5分，各项合计得满分5分）：方案内容均内容完善，且能够符合项目需求、无缺陷，得2.5分；内容存在缺陷或不符合项目需求或未提供方案的0分。</w:t>
            </w:r>
          </w:p>
          <w:p w14:paraId="7B2EC264">
            <w:pPr>
              <w:snapToGrid w:val="0"/>
              <w:spacing w:line="460" w:lineRule="exact"/>
              <w:jc w:val="left"/>
              <w:rPr>
                <w:rFonts w:ascii="宋体" w:hAnsi="宋体" w:cs="宋体"/>
                <w:b/>
                <w:bCs/>
                <w:color w:val="auto"/>
                <w:szCs w:val="21"/>
                <w:highlight w:val="none"/>
              </w:rPr>
            </w:pPr>
            <w:r>
              <w:rPr>
                <w:rFonts w:hint="eastAsia" w:ascii="宋体" w:hAnsi="宋体" w:cs="宋体"/>
                <w:b/>
                <w:bCs/>
                <w:color w:val="auto"/>
                <w:szCs w:val="21"/>
                <w:highlight w:val="none"/>
              </w:rPr>
              <w:t>注：</w:t>
            </w:r>
          </w:p>
          <w:p w14:paraId="62FFB5AB">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缺陷是指内容前后不一致、前后逻辑错误、内容缺失、没有具体说明的任意一种情形。</w:t>
            </w:r>
          </w:p>
          <w:p w14:paraId="64D90099">
            <w:pPr>
              <w:spacing w:line="460" w:lineRule="exact"/>
              <w:ind w:firstLine="420" w:firstLineChars="200"/>
              <w:rPr>
                <w:rFonts w:ascii="仿宋" w:hAnsi="仿宋"/>
                <w:color w:val="auto"/>
                <w:szCs w:val="21"/>
                <w:highlight w:val="none"/>
              </w:rPr>
            </w:pPr>
            <w:r>
              <w:rPr>
                <w:rFonts w:hint="eastAsia" w:ascii="仿宋" w:hAnsi="仿宋"/>
                <w:color w:val="auto"/>
                <w:szCs w:val="21"/>
                <w:highlight w:val="none"/>
              </w:rPr>
              <w:t>不符合项目需求是指方案内容凭空捏造、不切实际、存在与本项目无关的内容、存在相关内容在实际操作中不能运用的任意一种情形。</w:t>
            </w:r>
          </w:p>
          <w:p w14:paraId="144304DD">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（2）供应商需按照银保监会的要求，就投诉处理方面作出明确的方案，包括但不限于以下内容：①投诉分类；②投诉方式及途径；③投诉处理程序；④责任追究机制；⑤投诉预案及应对措施。</w:t>
            </w:r>
          </w:p>
          <w:p w14:paraId="3ED3C967">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以上①-⑤项每项基础分评分标准（每项1分，各项合计得满分5分）：方案内容均内容完善，且能够符合项目需求、无缺陷，得1分；内容存在缺陷或不符合项目需求或未提供方案的0分。</w:t>
            </w:r>
          </w:p>
          <w:p w14:paraId="356A1035">
            <w:pPr>
              <w:snapToGrid w:val="0"/>
              <w:spacing w:line="460" w:lineRule="exact"/>
              <w:jc w:val="left"/>
              <w:rPr>
                <w:rFonts w:ascii="宋体" w:hAnsi="宋体" w:cs="宋体"/>
                <w:b/>
                <w:bCs/>
                <w:color w:val="auto"/>
                <w:szCs w:val="21"/>
                <w:highlight w:val="none"/>
              </w:rPr>
            </w:pPr>
            <w:r>
              <w:rPr>
                <w:rFonts w:hint="eastAsia" w:ascii="宋体" w:hAnsi="宋体" w:cs="宋体"/>
                <w:b/>
                <w:bCs/>
                <w:color w:val="auto"/>
                <w:szCs w:val="21"/>
                <w:highlight w:val="none"/>
              </w:rPr>
              <w:t>注：</w:t>
            </w:r>
          </w:p>
          <w:p w14:paraId="72A97D1B">
            <w:pPr>
              <w:snapToGrid w:val="0"/>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缺陷是指内容前后不一致、前后逻辑错误、内容缺失、没有具体说明的任意一种情形。</w:t>
            </w:r>
          </w:p>
          <w:p w14:paraId="7FC89D39">
            <w:pPr>
              <w:snapToGrid w:val="0"/>
              <w:spacing w:line="460" w:lineRule="exact"/>
              <w:ind w:firstLine="420" w:firstLineChars="200"/>
              <w:jc w:val="left"/>
              <w:rPr>
                <w:rFonts w:eastAsia="仿宋_GB2312"/>
                <w:color w:val="auto"/>
                <w:highlight w:val="none"/>
              </w:rPr>
            </w:pPr>
            <w:r>
              <w:rPr>
                <w:rFonts w:hint="eastAsia" w:ascii="宋体" w:hAnsi="宋体" w:cs="宋体"/>
                <w:color w:val="auto"/>
                <w:szCs w:val="21"/>
                <w:highlight w:val="none"/>
              </w:rPr>
              <w:t>不符合项目需求是指方案内容凭空捏造、不切实际、存在与本项目无关的内容、存在相关内容在实际操作中不能运用的任意一种情形</w:t>
            </w:r>
          </w:p>
        </w:tc>
        <w:tc>
          <w:tcPr>
            <w:tcW w:w="681" w:type="dxa"/>
            <w:vAlign w:val="center"/>
          </w:tcPr>
          <w:p w14:paraId="6CE9775A">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10分</w:t>
            </w:r>
          </w:p>
        </w:tc>
      </w:tr>
      <w:tr w14:paraId="77F7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23E24CAC">
            <w:pPr>
              <w:snapToGrid w:val="0"/>
              <w:spacing w:line="360" w:lineRule="auto"/>
              <w:ind w:left="425" w:hanging="425"/>
              <w:jc w:val="center"/>
              <w:rPr>
                <w:rFonts w:ascii="宋体" w:hAnsi="宋体" w:cs="宋体"/>
                <w:color w:val="auto"/>
                <w:szCs w:val="21"/>
                <w:highlight w:val="none"/>
              </w:rPr>
            </w:pPr>
            <w:r>
              <w:rPr>
                <w:rFonts w:hint="eastAsia" w:ascii="宋体" w:hAnsi="宋体" w:cs="宋体"/>
                <w:color w:val="auto"/>
                <w:szCs w:val="21"/>
                <w:highlight w:val="none"/>
              </w:rPr>
              <w:t>2.4</w:t>
            </w:r>
          </w:p>
        </w:tc>
        <w:tc>
          <w:tcPr>
            <w:tcW w:w="1076" w:type="dxa"/>
            <w:vAlign w:val="center"/>
          </w:tcPr>
          <w:p w14:paraId="2C088736">
            <w:pPr>
              <w:jc w:val="center"/>
              <w:rPr>
                <w:rFonts w:ascii="仿宋" w:hAnsi="仿宋"/>
                <w:color w:val="auto"/>
                <w:szCs w:val="21"/>
                <w:highlight w:val="none"/>
              </w:rPr>
            </w:pPr>
            <w:r>
              <w:rPr>
                <w:rFonts w:hint="eastAsia" w:ascii="仿宋" w:hAnsi="仿宋"/>
                <w:color w:val="auto"/>
                <w:szCs w:val="21"/>
                <w:highlight w:val="none"/>
              </w:rPr>
              <w:t>赔款支付方案</w:t>
            </w:r>
          </w:p>
        </w:tc>
        <w:tc>
          <w:tcPr>
            <w:tcW w:w="6800" w:type="dxa"/>
            <w:vAlign w:val="center"/>
          </w:tcPr>
          <w:p w14:paraId="35163155">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供应商需就赔款支付方面做出明确的保障方案，包括但不限于以下内容：①理赔材料；②赔款支付流程；③理赔时限安排；④理赔查询方式；⑤赔款支付保障措施。</w:t>
            </w:r>
          </w:p>
          <w:p w14:paraId="5596FE25">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上①-⑤项每项基础分评分标准（每项2分，各项合计得满分10分）：方案内容均内容完善，且能够符合项目需求、无缺陷，得2分；内容存在缺陷或不符合项目需求或未提供方案的0分。</w:t>
            </w:r>
          </w:p>
          <w:p w14:paraId="7667C9AB">
            <w:pPr>
              <w:snapToGrid w:val="0"/>
              <w:spacing w:line="460" w:lineRule="exact"/>
              <w:jc w:val="left"/>
              <w:rPr>
                <w:rFonts w:ascii="宋体" w:hAnsi="宋体" w:cs="宋体"/>
                <w:b/>
                <w:bCs/>
                <w:color w:val="auto"/>
                <w:szCs w:val="21"/>
                <w:highlight w:val="none"/>
              </w:rPr>
            </w:pPr>
            <w:r>
              <w:rPr>
                <w:rFonts w:hint="eastAsia" w:ascii="宋体" w:hAnsi="宋体" w:cs="宋体"/>
                <w:b/>
                <w:bCs/>
                <w:color w:val="auto"/>
                <w:szCs w:val="21"/>
                <w:highlight w:val="none"/>
              </w:rPr>
              <w:t>注：</w:t>
            </w:r>
          </w:p>
          <w:p w14:paraId="0ACD0453">
            <w:pPr>
              <w:snapToGrid w:val="0"/>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缺陷是指内容前后不一致、前后逻辑错误、内容缺失、没有具体说明的任意一种情形。</w:t>
            </w:r>
          </w:p>
          <w:p w14:paraId="54FEEB25">
            <w:pPr>
              <w:snapToGrid w:val="0"/>
              <w:spacing w:line="460" w:lineRule="exact"/>
              <w:ind w:firstLine="420" w:firstLineChars="200"/>
              <w:jc w:val="left"/>
              <w:rPr>
                <w:rFonts w:ascii="仿宋" w:hAnsi="仿宋"/>
                <w:color w:val="auto"/>
                <w:szCs w:val="21"/>
                <w:highlight w:val="none"/>
              </w:rPr>
            </w:pPr>
            <w:r>
              <w:rPr>
                <w:rFonts w:hint="eastAsia" w:ascii="宋体" w:hAnsi="宋体" w:cs="宋体"/>
                <w:color w:val="auto"/>
                <w:szCs w:val="21"/>
                <w:highlight w:val="none"/>
              </w:rPr>
              <w:t>不符合项目需求是指方案内容凭空捏造、不切实际、存在</w:t>
            </w:r>
            <w:r>
              <w:rPr>
                <w:rFonts w:hint="eastAsia" w:ascii="仿宋" w:hAnsi="仿宋"/>
                <w:color w:val="auto"/>
                <w:szCs w:val="21"/>
                <w:highlight w:val="none"/>
              </w:rPr>
              <w:t>与本项目无关的内容、存在相关内容在实际操作中不能运用的任意一种情形。</w:t>
            </w:r>
          </w:p>
        </w:tc>
        <w:tc>
          <w:tcPr>
            <w:tcW w:w="681" w:type="dxa"/>
            <w:vAlign w:val="center"/>
          </w:tcPr>
          <w:p w14:paraId="3650C2C2">
            <w:pPr>
              <w:pStyle w:val="3"/>
              <w:adjustRightInd w:val="0"/>
              <w:snapToGrid w:val="0"/>
              <w:spacing w:before="0" w:after="0" w:line="240" w:lineRule="auto"/>
              <w:rPr>
                <w:rFonts w:ascii="宋体" w:hAnsi="宋体" w:eastAsia="宋体" w:cs="宋体"/>
                <w:color w:val="auto"/>
                <w:szCs w:val="21"/>
                <w:highlight w:val="none"/>
              </w:rPr>
            </w:pPr>
            <w:r>
              <w:rPr>
                <w:rFonts w:hint="eastAsia" w:ascii="仿宋" w:hAnsi="仿宋" w:cs="仿宋"/>
                <w:b w:val="0"/>
                <w:color w:val="auto"/>
                <w:sz w:val="21"/>
                <w:szCs w:val="21"/>
                <w:highlight w:val="none"/>
              </w:rPr>
              <w:t>10分</w:t>
            </w:r>
          </w:p>
        </w:tc>
      </w:tr>
      <w:tr w14:paraId="1497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3" w:type="dxa"/>
            <w:vAlign w:val="center"/>
          </w:tcPr>
          <w:p w14:paraId="38AE51DD">
            <w:pPr>
              <w:snapToGrid w:val="0"/>
              <w:spacing w:line="360" w:lineRule="auto"/>
              <w:jc w:val="center"/>
              <w:rPr>
                <w:rFonts w:ascii="宋体" w:hAnsi="宋体" w:cs="宋体"/>
                <w:color w:val="auto"/>
                <w:szCs w:val="21"/>
                <w:highlight w:val="none"/>
              </w:rPr>
            </w:pPr>
          </w:p>
        </w:tc>
        <w:tc>
          <w:tcPr>
            <w:tcW w:w="1076" w:type="dxa"/>
            <w:vAlign w:val="center"/>
          </w:tcPr>
          <w:p w14:paraId="3B0E24F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服务人员配置方案</w:t>
            </w:r>
          </w:p>
        </w:tc>
        <w:tc>
          <w:tcPr>
            <w:tcW w:w="6800" w:type="dxa"/>
            <w:vAlign w:val="center"/>
          </w:tcPr>
          <w:p w14:paraId="286B6273">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磋商小组根据供应商在响应文件提供服务人员配置方案进行综合评定：</w:t>
            </w:r>
          </w:p>
          <w:p w14:paraId="412F3299">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一档（2分）：供应商针对本项目配备团队服务人员不足3人，其中理赔技术人员不足2人，分工不明确，能基本满足项目实施需要；</w:t>
            </w:r>
          </w:p>
          <w:p w14:paraId="5F41C75F">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 xml:space="preserve">二档（4分）：供应商针对本项目配备团队服务人员4-5人，其中理赔技术人员不少于2人，结构合理性一般，专业性不强，分工不明确，能基本满足项目实施需要； </w:t>
            </w:r>
          </w:p>
          <w:p w14:paraId="1A99D40D">
            <w:pPr>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三档（6分）：供应商针对本项目配备团队服务人员6-7人，其中理赔技术人员不少于3人，结构合理，分工明确，能满足项目实施需要；</w:t>
            </w:r>
          </w:p>
        </w:tc>
        <w:tc>
          <w:tcPr>
            <w:tcW w:w="681" w:type="dxa"/>
            <w:vAlign w:val="center"/>
          </w:tcPr>
          <w:p w14:paraId="288C8C01">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6分</w:t>
            </w:r>
          </w:p>
        </w:tc>
      </w:tr>
      <w:tr w14:paraId="540F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3" w:type="dxa"/>
            <w:vAlign w:val="center"/>
          </w:tcPr>
          <w:p w14:paraId="65F4DD95">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w:t>
            </w:r>
          </w:p>
        </w:tc>
        <w:tc>
          <w:tcPr>
            <w:tcW w:w="1076" w:type="dxa"/>
            <w:vAlign w:val="center"/>
          </w:tcPr>
          <w:p w14:paraId="3F03AFFD">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商务分</w:t>
            </w:r>
          </w:p>
        </w:tc>
        <w:tc>
          <w:tcPr>
            <w:tcW w:w="7481" w:type="dxa"/>
            <w:gridSpan w:val="2"/>
            <w:vAlign w:val="center"/>
          </w:tcPr>
          <w:p w14:paraId="0D86EAF8">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r>
      <w:tr w14:paraId="1A8A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567907C8">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1076" w:type="dxa"/>
            <w:vAlign w:val="center"/>
          </w:tcPr>
          <w:p w14:paraId="7398F5A6">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业绩分</w:t>
            </w:r>
          </w:p>
        </w:tc>
        <w:tc>
          <w:tcPr>
            <w:tcW w:w="6800" w:type="dxa"/>
            <w:vAlign w:val="center"/>
          </w:tcPr>
          <w:p w14:paraId="07AF5C3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供应商提供2023年1月1日以来承接过同类项目进行评分，每项得2.5分，满分5分。</w:t>
            </w:r>
          </w:p>
          <w:p w14:paraId="092D684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备注：须提供合同或保单等证明材料扫描件，并能清晰反映合同中的签订时间</w:t>
            </w:r>
            <w:r>
              <w:rPr>
                <w:rFonts w:hint="eastAsia" w:ascii="宋体" w:hAnsi="宋体" w:cs="宋体"/>
                <w:color w:val="auto"/>
                <w:spacing w:val="9"/>
                <w:szCs w:val="21"/>
                <w:highlight w:val="none"/>
              </w:rPr>
              <w:t>或保单起保时间</w:t>
            </w:r>
            <w:r>
              <w:rPr>
                <w:rFonts w:hint="eastAsia" w:ascii="宋体" w:hAnsi="宋体" w:cs="宋体"/>
                <w:color w:val="auto"/>
                <w:szCs w:val="21"/>
                <w:highlight w:val="none"/>
              </w:rPr>
              <w:t>、同类服务项目名称及内容或保单内容，否则不计分。</w:t>
            </w:r>
          </w:p>
        </w:tc>
        <w:tc>
          <w:tcPr>
            <w:tcW w:w="681" w:type="dxa"/>
            <w:vAlign w:val="center"/>
          </w:tcPr>
          <w:p w14:paraId="40B5883D">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5分</w:t>
            </w:r>
          </w:p>
        </w:tc>
      </w:tr>
      <w:tr w14:paraId="5BCA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jc w:val="center"/>
        </w:trPr>
        <w:tc>
          <w:tcPr>
            <w:tcW w:w="533" w:type="dxa"/>
            <w:vAlign w:val="center"/>
          </w:tcPr>
          <w:p w14:paraId="6FB8324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w:t>
            </w:r>
          </w:p>
        </w:tc>
        <w:tc>
          <w:tcPr>
            <w:tcW w:w="1076" w:type="dxa"/>
            <w:vAlign w:val="center"/>
          </w:tcPr>
          <w:p w14:paraId="65B5ABC3">
            <w:pPr>
              <w:widowControl/>
              <w:jc w:val="center"/>
              <w:rPr>
                <w:color w:val="auto"/>
                <w:highlight w:val="none"/>
              </w:rPr>
            </w:pPr>
            <w:r>
              <w:rPr>
                <w:rFonts w:hint="eastAsia" w:ascii="宋体" w:hAnsi="宋体" w:cs="宋体"/>
                <w:color w:val="auto"/>
                <w:szCs w:val="21"/>
                <w:highlight w:val="none"/>
              </w:rPr>
              <w:t>企业偿付能力分</w:t>
            </w:r>
          </w:p>
          <w:p w14:paraId="48E7D249">
            <w:pPr>
              <w:snapToGrid w:val="0"/>
              <w:spacing w:line="360" w:lineRule="auto"/>
              <w:jc w:val="center"/>
              <w:rPr>
                <w:rFonts w:ascii="宋体" w:hAnsi="宋体" w:cs="宋体"/>
                <w:color w:val="auto"/>
                <w:szCs w:val="21"/>
                <w:highlight w:val="none"/>
              </w:rPr>
            </w:pPr>
          </w:p>
        </w:tc>
        <w:tc>
          <w:tcPr>
            <w:tcW w:w="6800" w:type="dxa"/>
            <w:vAlign w:val="center"/>
          </w:tcPr>
          <w:p w14:paraId="05CB7D8E">
            <w:pPr>
              <w:snapToGrid w:val="0"/>
              <w:spacing w:line="360" w:lineRule="auto"/>
              <w:jc w:val="left"/>
              <w:rPr>
                <w:rFonts w:ascii="宋体" w:hAnsi="宋体" w:cs="宋体"/>
                <w:b/>
                <w:bCs/>
                <w:color w:val="auto"/>
                <w:spacing w:val="-2"/>
                <w:szCs w:val="21"/>
                <w:highlight w:val="none"/>
              </w:rPr>
            </w:pPr>
            <w:r>
              <w:rPr>
                <w:rFonts w:hint="eastAsia" w:ascii="宋体" w:hAnsi="宋体" w:cs="宋体"/>
                <w:bCs/>
                <w:color w:val="auto"/>
                <w:kern w:val="0"/>
                <w:szCs w:val="21"/>
                <w:highlight w:val="none"/>
              </w:rPr>
              <w:t>供应商（或供应商所属总公司）</w:t>
            </w:r>
            <w:r>
              <w:rPr>
                <w:rFonts w:hint="eastAsia" w:ascii="宋体" w:hAnsi="宋体" w:cs="宋体"/>
                <w:color w:val="auto"/>
                <w:szCs w:val="21"/>
                <w:highlight w:val="none"/>
              </w:rPr>
              <w:t>2026年第一季度经审计的综合偿付能力充足率评分：</w:t>
            </w:r>
          </w:p>
          <w:p w14:paraId="2A00EEB8">
            <w:pPr>
              <w:snapToGrid w:val="0"/>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1.综合偿付能力充足率达到150%（含）以上的，得3分；</w:t>
            </w:r>
          </w:p>
          <w:p w14:paraId="0D6357F9">
            <w:pPr>
              <w:snapToGrid w:val="0"/>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2.综合偿付能力充足率在135%（含）到150%之间的，得2分；</w:t>
            </w:r>
          </w:p>
          <w:p w14:paraId="2B79C3A5">
            <w:pPr>
              <w:snapToGrid w:val="0"/>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3.综合偿付能力充足率在120%（含）到135%之间的，得1分；</w:t>
            </w:r>
          </w:p>
          <w:p w14:paraId="02D2BB55">
            <w:pPr>
              <w:snapToGrid w:val="0"/>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4.综合偿付能力充足率不足120%的不得分。</w:t>
            </w:r>
          </w:p>
          <w:p w14:paraId="010777CC">
            <w:pPr>
              <w:snapToGrid w:val="0"/>
              <w:spacing w:line="360" w:lineRule="auto"/>
              <w:jc w:val="left"/>
              <w:rPr>
                <w:color w:val="auto"/>
                <w:highlight w:val="none"/>
              </w:rPr>
            </w:pPr>
            <w:r>
              <w:rPr>
                <w:rFonts w:hint="eastAsia" w:ascii="宋体" w:hAnsi="宋体" w:cs="宋体"/>
                <w:b/>
                <w:color w:val="auto"/>
                <w:kern w:val="0"/>
                <w:szCs w:val="21"/>
                <w:highlight w:val="none"/>
              </w:rPr>
              <w:t>评分标准：</w:t>
            </w:r>
            <w:r>
              <w:rPr>
                <w:rFonts w:hint="eastAsia" w:ascii="宋体" w:hAnsi="宋体" w:cs="宋体"/>
                <w:bCs/>
                <w:color w:val="auto"/>
                <w:kern w:val="0"/>
                <w:szCs w:val="21"/>
                <w:highlight w:val="none"/>
              </w:rPr>
              <w:t>需提供所属总公司2026年第一季度经审计偿付能力报告扫描件，加盖供应商公章。</w:t>
            </w:r>
          </w:p>
        </w:tc>
        <w:tc>
          <w:tcPr>
            <w:tcW w:w="681" w:type="dxa"/>
            <w:vAlign w:val="center"/>
          </w:tcPr>
          <w:p w14:paraId="1F1C270D">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3分</w:t>
            </w:r>
          </w:p>
        </w:tc>
      </w:tr>
      <w:tr w14:paraId="49C8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0" w:type="dxa"/>
            <w:gridSpan w:val="4"/>
            <w:vAlign w:val="center"/>
          </w:tcPr>
          <w:p w14:paraId="2929C9A8">
            <w:pPr>
              <w:widowControl/>
              <w:spacing w:line="360" w:lineRule="auto"/>
              <w:rPr>
                <w:rFonts w:ascii="宋体" w:hAnsi="宋体" w:cs="宋体"/>
                <w:color w:val="auto"/>
                <w:kern w:val="0"/>
                <w:szCs w:val="21"/>
                <w:highlight w:val="none"/>
              </w:rPr>
            </w:pPr>
            <w:r>
              <w:rPr>
                <w:rFonts w:hint="eastAsia" w:ascii="宋体" w:hAnsi="宋体" w:cs="宋体"/>
                <w:bCs/>
                <w:color w:val="auto"/>
                <w:szCs w:val="21"/>
                <w:highlight w:val="none"/>
              </w:rPr>
              <w:t>总得分＝1＋2+3</w:t>
            </w:r>
          </w:p>
        </w:tc>
      </w:tr>
    </w:tbl>
    <w:p w14:paraId="012CCBCD">
      <w:pPr>
        <w:spacing w:line="360" w:lineRule="exact"/>
        <w:ind w:firstLine="562" w:firstLineChars="200"/>
        <w:rPr>
          <w:rFonts w:ascii="宋体" w:hAnsi="宋体"/>
          <w:b/>
          <w:bCs/>
          <w:color w:val="auto"/>
          <w:sz w:val="28"/>
          <w:szCs w:val="28"/>
          <w:highlight w:val="none"/>
        </w:rPr>
      </w:pPr>
    </w:p>
    <w:p w14:paraId="6CD978DC">
      <w:pPr>
        <w:spacing w:line="360" w:lineRule="exact"/>
        <w:ind w:firstLine="420" w:firstLineChars="200"/>
        <w:rPr>
          <w:rFonts w:ascii="宋体" w:hAnsi="宋体"/>
          <w:color w:val="auto"/>
          <w:highlight w:val="none"/>
        </w:rPr>
      </w:pPr>
    </w:p>
    <w:p w14:paraId="7881D5FA">
      <w:pPr>
        <w:pStyle w:val="14"/>
        <w:spacing w:beforeLines="50" w:line="400" w:lineRule="exact"/>
        <w:rPr>
          <w:rFonts w:hAnsi="宋体"/>
          <w:b/>
          <w:color w:val="auto"/>
          <w:szCs w:val="21"/>
          <w:highlight w:val="none"/>
        </w:rPr>
      </w:pPr>
      <w:r>
        <w:rPr>
          <w:rFonts w:hint="eastAsia" w:hAnsi="宋体"/>
          <w:b/>
          <w:color w:val="auto"/>
          <w:szCs w:val="21"/>
          <w:highlight w:val="none"/>
        </w:rPr>
        <w:t>说明：</w:t>
      </w:r>
    </w:p>
    <w:p w14:paraId="05A359B6">
      <w:pPr>
        <w:pStyle w:val="14"/>
        <w:spacing w:line="400" w:lineRule="exact"/>
        <w:rPr>
          <w:rFonts w:hAnsi="宋体"/>
          <w:b/>
          <w:color w:val="auto"/>
          <w:szCs w:val="21"/>
          <w:highlight w:val="none"/>
        </w:rPr>
      </w:pPr>
      <w:r>
        <w:rPr>
          <w:rFonts w:hint="eastAsia" w:hAnsi="宋体"/>
          <w:b/>
          <w:color w:val="auto"/>
          <w:szCs w:val="21"/>
          <w:highlight w:val="none"/>
        </w:rPr>
        <w:t>1、</w:t>
      </w:r>
      <w:r>
        <w:rPr>
          <w:rFonts w:hAnsi="宋体"/>
          <w:b/>
          <w:color w:val="auto"/>
          <w:szCs w:val="21"/>
          <w:highlight w:val="none"/>
        </w:rPr>
        <w:t>评分分值计算保留小数点后两位，第三位四舍五入。</w:t>
      </w:r>
    </w:p>
    <w:p w14:paraId="3120E8F9">
      <w:pPr>
        <w:pStyle w:val="14"/>
        <w:spacing w:line="400" w:lineRule="exact"/>
        <w:ind w:left="316" w:hanging="316" w:hangingChars="150"/>
        <w:rPr>
          <w:rFonts w:hAnsi="宋体"/>
          <w:b/>
          <w:color w:val="auto"/>
          <w:szCs w:val="21"/>
          <w:highlight w:val="none"/>
        </w:rPr>
      </w:pPr>
      <w:r>
        <w:rPr>
          <w:rFonts w:hint="eastAsia" w:hAnsi="宋体"/>
          <w:b/>
          <w:color w:val="auto"/>
          <w:szCs w:val="21"/>
          <w:highlight w:val="none"/>
        </w:rPr>
        <w:t>2、评审标准中提及的证书、证件、证明、业绩材料等须根据要求提供有效的证书或证明材料复印件或扫描件或电子文件，并CA签章，否则不予赋分。</w:t>
      </w:r>
    </w:p>
    <w:p w14:paraId="4584491D">
      <w:pPr>
        <w:spacing w:line="360" w:lineRule="exact"/>
        <w:ind w:firstLine="420" w:firstLineChars="200"/>
        <w:rPr>
          <w:rFonts w:ascii="宋体" w:hAnsi="宋体"/>
          <w:color w:val="auto"/>
          <w:highlight w:val="none"/>
        </w:rPr>
      </w:pPr>
      <w:r>
        <w:rPr>
          <w:rFonts w:ascii="宋体" w:hAnsi="宋体"/>
          <w:color w:val="auto"/>
          <w:highlight w:val="none"/>
        </w:rPr>
        <w:br w:type="page"/>
      </w:r>
    </w:p>
    <w:p w14:paraId="7D15C4B8">
      <w:pPr>
        <w:pStyle w:val="14"/>
        <w:spacing w:beforeLines="50" w:afterLines="50" w:line="440" w:lineRule="exact"/>
        <w:rPr>
          <w:rFonts w:hAnsi="宋体"/>
          <w:color w:val="auto"/>
          <w:highlight w:val="none"/>
        </w:rPr>
      </w:pPr>
      <w:r>
        <w:rPr>
          <w:rFonts w:hint="eastAsia" w:hAnsi="宋体"/>
          <w:b/>
          <w:bCs/>
          <w:color w:val="auto"/>
          <w:sz w:val="24"/>
          <w:szCs w:val="24"/>
          <w:highlight w:val="none"/>
        </w:rPr>
        <w:t>分标2：</w:t>
      </w:r>
    </w:p>
    <w:tbl>
      <w:tblPr>
        <w:tblStyle w:val="29"/>
        <w:tblW w:w="9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682"/>
        <w:gridCol w:w="7162"/>
        <w:gridCol w:w="666"/>
      </w:tblGrid>
      <w:tr w14:paraId="6FFC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9" w:type="dxa"/>
            <w:vAlign w:val="center"/>
          </w:tcPr>
          <w:p w14:paraId="5DE6F04A">
            <w:pPr>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682" w:type="dxa"/>
            <w:vAlign w:val="center"/>
          </w:tcPr>
          <w:p w14:paraId="6C329DD1">
            <w:pPr>
              <w:jc w:val="center"/>
              <w:rPr>
                <w:rFonts w:ascii="宋体" w:hAnsi="宋体" w:cs="宋体"/>
                <w:b/>
                <w:bCs/>
                <w:color w:val="auto"/>
                <w:szCs w:val="21"/>
                <w:highlight w:val="none"/>
              </w:rPr>
            </w:pPr>
            <w:r>
              <w:rPr>
                <w:rFonts w:hint="eastAsia" w:ascii="宋体" w:hAnsi="宋体" w:cs="宋体"/>
                <w:b/>
                <w:bCs/>
                <w:color w:val="auto"/>
                <w:szCs w:val="21"/>
                <w:highlight w:val="none"/>
              </w:rPr>
              <w:t>类型</w:t>
            </w:r>
          </w:p>
        </w:tc>
        <w:tc>
          <w:tcPr>
            <w:tcW w:w="7162" w:type="dxa"/>
            <w:vAlign w:val="center"/>
          </w:tcPr>
          <w:p w14:paraId="40F7A7CC">
            <w:pPr>
              <w:jc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c>
          <w:tcPr>
            <w:tcW w:w="666" w:type="dxa"/>
            <w:vAlign w:val="center"/>
          </w:tcPr>
          <w:p w14:paraId="29531E98">
            <w:pPr>
              <w:jc w:val="center"/>
              <w:rPr>
                <w:rFonts w:ascii="宋体" w:hAnsi="宋体" w:cs="宋体"/>
                <w:b/>
                <w:bCs/>
                <w:color w:val="auto"/>
                <w:szCs w:val="21"/>
                <w:highlight w:val="none"/>
              </w:rPr>
            </w:pPr>
            <w:r>
              <w:rPr>
                <w:rFonts w:hint="eastAsia" w:ascii="宋体" w:hAnsi="宋体" w:cs="宋体"/>
                <w:b/>
                <w:bCs/>
                <w:color w:val="auto"/>
                <w:szCs w:val="21"/>
                <w:highlight w:val="none"/>
              </w:rPr>
              <w:t>分值</w:t>
            </w:r>
          </w:p>
        </w:tc>
      </w:tr>
      <w:tr w14:paraId="1101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9" w:hRule="atLeast"/>
          <w:jc w:val="center"/>
        </w:trPr>
        <w:tc>
          <w:tcPr>
            <w:tcW w:w="639" w:type="dxa"/>
            <w:vAlign w:val="center"/>
          </w:tcPr>
          <w:p w14:paraId="3813DF12">
            <w:pPr>
              <w:snapToGrid w:val="0"/>
              <w:spacing w:line="440" w:lineRule="exact"/>
              <w:jc w:val="center"/>
              <w:rPr>
                <w:rFonts w:ascii="宋体" w:hAnsi="宋体" w:cs="宋体"/>
                <w:b/>
                <w:bCs/>
                <w:color w:val="auto"/>
                <w:szCs w:val="21"/>
                <w:highlight w:val="none"/>
              </w:rPr>
            </w:pPr>
            <w:r>
              <w:rPr>
                <w:rFonts w:ascii="宋体" w:hAnsi="宋体"/>
                <w:b/>
                <w:color w:val="auto"/>
                <w:szCs w:val="21"/>
                <w:highlight w:val="none"/>
              </w:rPr>
              <w:t>1</w:t>
            </w:r>
          </w:p>
        </w:tc>
        <w:tc>
          <w:tcPr>
            <w:tcW w:w="682" w:type="dxa"/>
            <w:vAlign w:val="center"/>
          </w:tcPr>
          <w:p w14:paraId="5E0E9134">
            <w:pPr>
              <w:jc w:val="center"/>
              <w:rPr>
                <w:rFonts w:ascii="宋体" w:hAnsi="宋体" w:cs="宋体"/>
                <w:color w:val="auto"/>
                <w:szCs w:val="21"/>
                <w:highlight w:val="none"/>
              </w:rPr>
            </w:pPr>
            <w:r>
              <w:rPr>
                <w:rFonts w:hint="eastAsia" w:ascii="宋体" w:hAnsi="宋体" w:cs="宋体"/>
                <w:color w:val="auto"/>
                <w:szCs w:val="21"/>
                <w:highlight w:val="none"/>
              </w:rPr>
              <w:t>价格分</w:t>
            </w:r>
          </w:p>
          <w:p w14:paraId="151E3D92">
            <w:pPr>
              <w:snapToGrid w:val="0"/>
              <w:spacing w:line="440" w:lineRule="exact"/>
              <w:jc w:val="center"/>
              <w:rPr>
                <w:rFonts w:ascii="宋体" w:hAnsi="宋体" w:cs="宋体"/>
                <w:b/>
                <w:bCs/>
                <w:color w:val="auto"/>
                <w:szCs w:val="21"/>
                <w:highlight w:val="none"/>
              </w:rPr>
            </w:pPr>
          </w:p>
        </w:tc>
        <w:tc>
          <w:tcPr>
            <w:tcW w:w="7162" w:type="dxa"/>
            <w:vAlign w:val="center"/>
          </w:tcPr>
          <w:p w14:paraId="0BA1A47C">
            <w:pPr>
              <w:pStyle w:val="14"/>
              <w:spacing w:line="360" w:lineRule="exact"/>
              <w:ind w:firstLine="430"/>
              <w:rPr>
                <w:rFonts w:hAnsi="宋体"/>
                <w:bCs/>
                <w:color w:val="auto"/>
                <w:szCs w:val="21"/>
                <w:highlight w:val="none"/>
              </w:rPr>
            </w:pPr>
            <w:r>
              <w:rPr>
                <w:rFonts w:hint="eastAsia" w:hAnsi="宋体"/>
                <w:bCs/>
                <w:color w:val="auto"/>
                <w:szCs w:val="21"/>
                <w:highlight w:val="none"/>
              </w:rPr>
              <w:t>1.若供应商符合以下情形，并根据以下内容及第六章要求提供声明函和证明材料的，将对其报价进行政策性扣除，用扣除后的价格参与评审。</w:t>
            </w:r>
          </w:p>
          <w:p w14:paraId="34B3CD02">
            <w:pPr>
              <w:pStyle w:val="14"/>
              <w:spacing w:line="360" w:lineRule="exact"/>
              <w:ind w:firstLine="430"/>
              <w:rPr>
                <w:rFonts w:hAnsi="宋体"/>
                <w:bCs/>
                <w:color w:val="auto"/>
                <w:szCs w:val="21"/>
                <w:highlight w:val="none"/>
              </w:rPr>
            </w:pPr>
            <w:r>
              <w:rPr>
                <w:rFonts w:hint="eastAsia" w:hAnsi="宋体"/>
                <w:bCs/>
                <w:color w:val="auto"/>
                <w:szCs w:val="21"/>
                <w:highlight w:val="none"/>
              </w:rPr>
              <w:t>① 根据《政府采购促进中小企业发展管理办法》的通知（财库﹝2020﹞46 号）和《广西壮族自治区财政厅关于持续优化政府采购营商环境推动高质量发展的通知》(桂财采〔2024〕55号)规定，本项目将对提供小型、微型企业产品或服务的，投标报价给予20%的扣除。</w:t>
            </w:r>
          </w:p>
          <w:p w14:paraId="4EE48AD6">
            <w:pPr>
              <w:pStyle w:val="14"/>
              <w:spacing w:line="360" w:lineRule="exact"/>
              <w:ind w:firstLine="430"/>
              <w:rPr>
                <w:rFonts w:hAnsi="宋体"/>
                <w:bCs/>
                <w:color w:val="auto"/>
                <w:szCs w:val="21"/>
                <w:highlight w:val="none"/>
              </w:rPr>
            </w:pPr>
            <w:r>
              <w:rPr>
                <w:rFonts w:hint="eastAsia" w:hAnsi="宋体"/>
                <w:bCs/>
                <w:color w:val="auto"/>
                <w:szCs w:val="21"/>
                <w:highlight w:val="none"/>
              </w:rPr>
              <w:t>②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419869C5">
            <w:pPr>
              <w:pStyle w:val="14"/>
              <w:spacing w:line="360" w:lineRule="exact"/>
              <w:ind w:firstLine="430"/>
              <w:rPr>
                <w:rFonts w:hAnsi="宋体"/>
                <w:bCs/>
                <w:color w:val="auto"/>
                <w:szCs w:val="21"/>
                <w:highlight w:val="none"/>
              </w:rPr>
            </w:pPr>
            <w:r>
              <w:rPr>
                <w:rFonts w:hint="eastAsia" w:hAnsi="宋体"/>
                <w:bCs/>
                <w:color w:val="auto"/>
                <w:szCs w:val="21"/>
                <w:highlight w:val="none"/>
              </w:rPr>
              <w:t>③《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w:t>
            </w:r>
          </w:p>
          <w:p w14:paraId="419C29EF">
            <w:pPr>
              <w:spacing w:line="360" w:lineRule="exact"/>
              <w:ind w:firstLine="315" w:firstLineChars="150"/>
              <w:rPr>
                <w:rFonts w:ascii="宋体" w:hAnsi="宋体"/>
                <w:color w:val="auto"/>
                <w:szCs w:val="21"/>
                <w:highlight w:val="none"/>
              </w:rPr>
            </w:pPr>
            <w:r>
              <w:rPr>
                <w:rFonts w:ascii="宋体" w:hAnsi="宋体"/>
                <w:color w:val="auto"/>
                <w:szCs w:val="21"/>
                <w:highlight w:val="none"/>
              </w:rPr>
              <w:t>供应商属两种情形以上的，其只能享受</w:t>
            </w:r>
            <w:r>
              <w:rPr>
                <w:rFonts w:hint="eastAsia" w:ascii="宋体" w:hAnsi="宋体"/>
                <w:color w:val="auto"/>
                <w:szCs w:val="21"/>
                <w:highlight w:val="none"/>
              </w:rPr>
              <w:t>最后报价</w:t>
            </w:r>
            <w:r>
              <w:rPr>
                <w:rFonts w:ascii="宋体" w:hAnsi="宋体"/>
                <w:color w:val="auto"/>
                <w:szCs w:val="21"/>
                <w:highlight w:val="none"/>
              </w:rPr>
              <w:t>一次性</w:t>
            </w:r>
            <w:r>
              <w:rPr>
                <w:rFonts w:hint="eastAsia" w:ascii="宋体" w:hAnsi="宋体"/>
                <w:color w:val="auto"/>
                <w:szCs w:val="21"/>
                <w:highlight w:val="none"/>
              </w:rPr>
              <w:t>2</w:t>
            </w:r>
            <w:r>
              <w:rPr>
                <w:rFonts w:ascii="宋体" w:hAnsi="宋体"/>
                <w:color w:val="auto"/>
                <w:szCs w:val="21"/>
                <w:highlight w:val="none"/>
              </w:rPr>
              <w:t>0%的扣除，不重复享受政策。</w:t>
            </w:r>
          </w:p>
          <w:p w14:paraId="1EB3FC8D">
            <w:pPr>
              <w:spacing w:line="360" w:lineRule="exact"/>
              <w:ind w:firstLine="315" w:firstLineChars="150"/>
              <w:rPr>
                <w:rFonts w:ascii="宋体" w:hAnsi="宋体"/>
                <w:color w:val="auto"/>
                <w:szCs w:val="21"/>
                <w:highlight w:val="none"/>
              </w:rPr>
            </w:pPr>
            <w:r>
              <w:rPr>
                <w:rFonts w:ascii="宋体" w:hAnsi="宋体"/>
                <w:color w:val="auto"/>
                <w:szCs w:val="21"/>
                <w:highlight w:val="none"/>
              </w:rPr>
              <w:t>除上述情况外，评审报价=最后报价。</w:t>
            </w:r>
            <w:r>
              <w:rPr>
                <w:rFonts w:hint="eastAsia" w:ascii="宋体" w:hAnsi="宋体" w:cs="宋体"/>
                <w:color w:val="auto"/>
                <w:szCs w:val="21"/>
                <w:highlight w:val="none"/>
              </w:rPr>
              <w:t>扣除后的最后报价将仅作为评审价，</w:t>
            </w:r>
            <w:r>
              <w:rPr>
                <w:rFonts w:hint="eastAsia" w:ascii="宋体" w:hAnsi="宋体"/>
                <w:bCs/>
                <w:color w:val="auto"/>
                <w:szCs w:val="21"/>
                <w:highlight w:val="none"/>
              </w:rPr>
              <w:t>最终成交价为供应商的最后报价。</w:t>
            </w:r>
          </w:p>
          <w:p w14:paraId="32230E98">
            <w:pPr>
              <w:widowControl/>
              <w:snapToGrid w:val="0"/>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价格分采用低价优先法计算，即满足资格审查要求和通过符合性且最后报价最低的供应商的价格为磋商基准价，其价格分为满分。其他供应商的价格分统一按照下列公式计算。项目评审过程中，不得去掉最后报价中的最高报价和最低报价。（</w:t>
            </w:r>
            <w:r>
              <w:rPr>
                <w:rFonts w:hint="eastAsia" w:ascii="宋体" w:hAnsi="宋体" w:cs="宋体"/>
                <w:color w:val="auto"/>
                <w:kern w:val="0"/>
                <w:szCs w:val="21"/>
                <w:highlight w:val="none"/>
                <w:lang w:val="zh-CN"/>
              </w:rPr>
              <w:t>计算分数时四舍五入取小数点后两位）</w:t>
            </w:r>
          </w:p>
          <w:p w14:paraId="19F91858">
            <w:pPr>
              <w:adjustRightInd w:val="0"/>
              <w:snapToGrid w:val="0"/>
              <w:spacing w:line="440" w:lineRule="exact"/>
              <w:rPr>
                <w:rFonts w:ascii="宋体" w:hAnsi="宋体" w:cs="宋体"/>
                <w:b/>
                <w:bCs/>
                <w:color w:val="auto"/>
                <w:szCs w:val="21"/>
                <w:highlight w:val="none"/>
              </w:rPr>
            </w:pPr>
            <w:r>
              <w:rPr>
                <w:rFonts w:hint="eastAsia" w:ascii="宋体" w:hAnsi="宋体"/>
                <w:color w:val="auto"/>
                <w:szCs w:val="21"/>
                <w:highlight w:val="none"/>
              </w:rPr>
              <w:t xml:space="preserve">    磋商报价得分</w:t>
            </w:r>
            <w:r>
              <w:rPr>
                <w:rFonts w:ascii="宋体" w:hAnsi="宋体"/>
                <w:color w:val="auto"/>
                <w:szCs w:val="21"/>
                <w:highlight w:val="none"/>
              </w:rPr>
              <w:t>=</w:t>
            </w:r>
            <w:r>
              <w:rPr>
                <w:rFonts w:hint="eastAsia" w:ascii="宋体" w:hAnsi="宋体"/>
                <w:color w:val="auto"/>
                <w:szCs w:val="21"/>
                <w:highlight w:val="none"/>
              </w:rPr>
              <w:t xml:space="preserve">（磋商基准价÷某供应商评审报价）×30% </w:t>
            </w:r>
            <w:r>
              <w:rPr>
                <w:rFonts w:ascii="宋体" w:hAnsi="宋体"/>
                <w:color w:val="auto"/>
                <w:szCs w:val="21"/>
                <w:highlight w:val="none"/>
              </w:rPr>
              <w:t>×100</w:t>
            </w:r>
          </w:p>
        </w:tc>
        <w:tc>
          <w:tcPr>
            <w:tcW w:w="666" w:type="dxa"/>
            <w:vAlign w:val="center"/>
          </w:tcPr>
          <w:p w14:paraId="2EB16196">
            <w:pPr>
              <w:snapToGrid w:val="0"/>
              <w:spacing w:line="440" w:lineRule="exact"/>
              <w:jc w:val="center"/>
              <w:rPr>
                <w:rFonts w:ascii="宋体" w:hAnsi="宋体" w:cs="宋体"/>
                <w:b/>
                <w:bCs/>
                <w:color w:val="auto"/>
                <w:szCs w:val="21"/>
                <w:highlight w:val="none"/>
              </w:rPr>
            </w:pPr>
            <w:r>
              <w:rPr>
                <w:rFonts w:hint="eastAsia" w:ascii="宋体" w:hAnsi="宋体"/>
                <w:color w:val="auto"/>
                <w:szCs w:val="21"/>
                <w:highlight w:val="none"/>
              </w:rPr>
              <w:t>3</w:t>
            </w:r>
            <w:r>
              <w:rPr>
                <w:rFonts w:ascii="宋体" w:hAnsi="宋体"/>
                <w:color w:val="auto"/>
                <w:szCs w:val="21"/>
                <w:highlight w:val="none"/>
              </w:rPr>
              <w:t>0</w:t>
            </w:r>
            <w:r>
              <w:rPr>
                <w:rFonts w:hint="eastAsia" w:ascii="宋体" w:hAnsi="宋体"/>
                <w:color w:val="auto"/>
                <w:szCs w:val="21"/>
                <w:highlight w:val="none"/>
              </w:rPr>
              <w:t>分</w:t>
            </w:r>
          </w:p>
        </w:tc>
      </w:tr>
      <w:tr w14:paraId="0533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2" w:hRule="atLeast"/>
          <w:jc w:val="center"/>
        </w:trPr>
        <w:tc>
          <w:tcPr>
            <w:tcW w:w="639" w:type="dxa"/>
            <w:vMerge w:val="restart"/>
            <w:vAlign w:val="center"/>
          </w:tcPr>
          <w:p w14:paraId="7BA692B7">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682" w:type="dxa"/>
            <w:vMerge w:val="restart"/>
            <w:vAlign w:val="center"/>
          </w:tcPr>
          <w:p w14:paraId="574B5BC0">
            <w:pPr>
              <w:jc w:val="center"/>
              <w:rPr>
                <w:rFonts w:ascii="宋体" w:hAnsi="宋体" w:cs="宋体"/>
                <w:color w:val="auto"/>
                <w:szCs w:val="21"/>
                <w:highlight w:val="none"/>
              </w:rPr>
            </w:pPr>
            <w:r>
              <w:rPr>
                <w:rFonts w:hint="eastAsia" w:ascii="宋体" w:hAnsi="宋体" w:cs="宋体"/>
                <w:color w:val="auto"/>
                <w:szCs w:val="21"/>
                <w:highlight w:val="none"/>
              </w:rPr>
              <w:t>技术分</w:t>
            </w:r>
          </w:p>
        </w:tc>
        <w:tc>
          <w:tcPr>
            <w:tcW w:w="7162" w:type="dxa"/>
            <w:vAlign w:val="center"/>
          </w:tcPr>
          <w:p w14:paraId="0C6A1531">
            <w:pPr>
              <w:spacing w:line="264" w:lineRule="auto"/>
              <w:rPr>
                <w:rFonts w:ascii="宋体" w:hAnsi="宋体" w:cs="宋体"/>
                <w:b/>
                <w:bCs/>
                <w:color w:val="auto"/>
                <w:spacing w:val="8"/>
                <w:szCs w:val="21"/>
                <w:highlight w:val="none"/>
              </w:rPr>
            </w:pPr>
            <w:r>
              <w:rPr>
                <w:rFonts w:hint="eastAsia" w:ascii="宋体" w:hAnsi="宋体" w:cs="宋体"/>
                <w:b/>
                <w:bCs/>
                <w:color w:val="auto"/>
                <w:spacing w:val="8"/>
                <w:szCs w:val="21"/>
                <w:highlight w:val="none"/>
              </w:rPr>
              <w:t>1.服务方案（满分15分）</w:t>
            </w:r>
          </w:p>
          <w:p w14:paraId="276CB03F">
            <w:pPr>
              <w:pStyle w:val="92"/>
              <w:spacing w:line="264" w:lineRule="auto"/>
              <w:rPr>
                <w:color w:val="auto"/>
                <w:spacing w:val="8"/>
                <w:sz w:val="21"/>
                <w:szCs w:val="21"/>
                <w:highlight w:val="none"/>
              </w:rPr>
            </w:pPr>
            <w:r>
              <w:rPr>
                <w:rFonts w:hint="eastAsia"/>
                <w:color w:val="auto"/>
                <w:spacing w:val="8"/>
                <w:sz w:val="21"/>
                <w:szCs w:val="21"/>
                <w:highlight w:val="none"/>
              </w:rPr>
              <w:t>由磋商小组根据内容进行评分，内容要点应包括但不限于服务人员</w:t>
            </w:r>
            <w:r>
              <w:rPr>
                <w:rFonts w:hint="eastAsia"/>
                <w:color w:val="auto"/>
                <w:spacing w:val="9"/>
                <w:sz w:val="21"/>
                <w:szCs w:val="21"/>
                <w:highlight w:val="none"/>
              </w:rPr>
              <w:t>配置方案、承保方案</w:t>
            </w:r>
            <w:r>
              <w:rPr>
                <w:rFonts w:hint="eastAsia"/>
                <w:color w:val="auto"/>
                <w:spacing w:val="8"/>
                <w:sz w:val="21"/>
                <w:szCs w:val="21"/>
                <w:highlight w:val="none"/>
              </w:rPr>
              <w:t>、</w:t>
            </w:r>
            <w:r>
              <w:rPr>
                <w:rFonts w:hint="eastAsia"/>
                <w:color w:val="auto"/>
                <w:spacing w:val="9"/>
                <w:sz w:val="21"/>
                <w:szCs w:val="21"/>
                <w:highlight w:val="none"/>
              </w:rPr>
              <w:t>服务承诺</w:t>
            </w:r>
            <w:r>
              <w:rPr>
                <w:rFonts w:hint="eastAsia"/>
                <w:color w:val="auto"/>
                <w:spacing w:val="8"/>
                <w:sz w:val="21"/>
                <w:szCs w:val="21"/>
                <w:highlight w:val="none"/>
              </w:rPr>
              <w:t>、</w:t>
            </w:r>
            <w:r>
              <w:rPr>
                <w:rFonts w:hint="eastAsia"/>
                <w:color w:val="auto"/>
                <w:spacing w:val="9"/>
                <w:sz w:val="21"/>
                <w:szCs w:val="21"/>
                <w:highlight w:val="none"/>
              </w:rPr>
              <w:t>投保前服务方案</w:t>
            </w:r>
            <w:r>
              <w:rPr>
                <w:rFonts w:hint="eastAsia"/>
                <w:color w:val="auto"/>
                <w:spacing w:val="8"/>
                <w:sz w:val="21"/>
                <w:szCs w:val="21"/>
                <w:highlight w:val="none"/>
              </w:rPr>
              <w:t>、</w:t>
            </w:r>
            <w:r>
              <w:rPr>
                <w:rFonts w:hint="eastAsia"/>
                <w:color w:val="auto"/>
                <w:spacing w:val="9"/>
                <w:sz w:val="21"/>
                <w:szCs w:val="21"/>
                <w:highlight w:val="none"/>
              </w:rPr>
              <w:t>出险</w:t>
            </w:r>
            <w:r>
              <w:rPr>
                <w:rFonts w:hint="eastAsia"/>
                <w:color w:val="auto"/>
                <w:spacing w:val="8"/>
                <w:sz w:val="21"/>
                <w:szCs w:val="21"/>
                <w:highlight w:val="none"/>
              </w:rPr>
              <w:t>处理方案、组织实施安排等。（不提供</w:t>
            </w:r>
            <w:r>
              <w:rPr>
                <w:rFonts w:hint="eastAsia"/>
                <w:color w:val="auto"/>
                <w:spacing w:val="8"/>
                <w:sz w:val="21"/>
                <w:szCs w:val="21"/>
                <w:highlight w:val="none"/>
                <w:lang w:eastAsia="zh-CN"/>
              </w:rPr>
              <w:t>服务</w:t>
            </w:r>
            <w:r>
              <w:rPr>
                <w:rFonts w:hint="eastAsia"/>
                <w:color w:val="auto"/>
                <w:spacing w:val="8"/>
                <w:sz w:val="21"/>
                <w:szCs w:val="21"/>
                <w:highlight w:val="none"/>
              </w:rPr>
              <w:t>方案的得0分）</w:t>
            </w:r>
          </w:p>
          <w:p w14:paraId="68CA8F61">
            <w:pPr>
              <w:pStyle w:val="92"/>
              <w:spacing w:line="264" w:lineRule="auto"/>
              <w:rPr>
                <w:color w:val="auto"/>
                <w:spacing w:val="8"/>
                <w:sz w:val="21"/>
                <w:szCs w:val="21"/>
                <w:highlight w:val="none"/>
                <w:lang w:eastAsia="zh-CN"/>
              </w:rPr>
            </w:pPr>
            <w:r>
              <w:rPr>
                <w:rFonts w:hint="eastAsia"/>
                <w:color w:val="auto"/>
                <w:spacing w:val="8"/>
                <w:sz w:val="21"/>
                <w:szCs w:val="21"/>
                <w:highlight w:val="none"/>
              </w:rPr>
              <w:t>‌①服务人员配置方案</w:t>
            </w:r>
            <w:r>
              <w:rPr>
                <w:rFonts w:hint="eastAsia"/>
                <w:color w:val="auto"/>
                <w:spacing w:val="8"/>
                <w:sz w:val="21"/>
                <w:szCs w:val="21"/>
                <w:highlight w:val="none"/>
                <w:lang w:eastAsia="zh-CN"/>
              </w:rPr>
              <w:t>包括有服务团队组织架构图、明确分工与协作流程、人员培训计划、突发情况人员替补机制等；</w:t>
            </w:r>
          </w:p>
          <w:p w14:paraId="29F1E8E1">
            <w:pPr>
              <w:pStyle w:val="92"/>
              <w:spacing w:line="264" w:lineRule="auto"/>
              <w:rPr>
                <w:color w:val="auto"/>
                <w:spacing w:val="8"/>
                <w:sz w:val="21"/>
                <w:szCs w:val="21"/>
                <w:highlight w:val="none"/>
                <w:lang w:eastAsia="zh-CN"/>
              </w:rPr>
            </w:pPr>
            <w:r>
              <w:rPr>
                <w:rFonts w:hint="eastAsia"/>
                <w:color w:val="auto"/>
                <w:spacing w:val="8"/>
                <w:sz w:val="21"/>
                <w:szCs w:val="21"/>
                <w:highlight w:val="none"/>
                <w:lang w:eastAsia="zh-CN"/>
              </w:rPr>
              <w:t>②</w:t>
            </w:r>
            <w:r>
              <w:rPr>
                <w:rFonts w:hint="eastAsia"/>
                <w:color w:val="auto"/>
                <w:spacing w:val="9"/>
                <w:sz w:val="21"/>
                <w:szCs w:val="21"/>
                <w:highlight w:val="none"/>
              </w:rPr>
              <w:t>承保方案</w:t>
            </w:r>
            <w:r>
              <w:rPr>
                <w:rFonts w:hint="eastAsia"/>
                <w:color w:val="auto"/>
                <w:spacing w:val="8"/>
                <w:sz w:val="21"/>
                <w:szCs w:val="21"/>
                <w:highlight w:val="none"/>
                <w:lang w:eastAsia="zh-CN"/>
              </w:rPr>
              <w:t>包括有风险评估、保单条款优化方案、保险责任扩展建议等；</w:t>
            </w:r>
          </w:p>
          <w:p w14:paraId="7AB895C3">
            <w:pPr>
              <w:pStyle w:val="92"/>
              <w:spacing w:line="264" w:lineRule="auto"/>
              <w:rPr>
                <w:color w:val="auto"/>
                <w:spacing w:val="8"/>
                <w:sz w:val="21"/>
                <w:szCs w:val="21"/>
                <w:highlight w:val="none"/>
              </w:rPr>
            </w:pPr>
            <w:r>
              <w:rPr>
                <w:rFonts w:hint="eastAsia"/>
                <w:color w:val="auto"/>
                <w:spacing w:val="8"/>
                <w:sz w:val="21"/>
                <w:szCs w:val="21"/>
                <w:highlight w:val="none"/>
                <w:lang w:eastAsia="zh-CN"/>
              </w:rPr>
              <w:t>③</w:t>
            </w:r>
            <w:r>
              <w:rPr>
                <w:rFonts w:hint="eastAsia"/>
                <w:color w:val="auto"/>
                <w:spacing w:val="9"/>
                <w:sz w:val="21"/>
                <w:szCs w:val="21"/>
                <w:highlight w:val="none"/>
              </w:rPr>
              <w:t>服务承诺</w:t>
            </w:r>
            <w:r>
              <w:rPr>
                <w:rFonts w:hint="eastAsia"/>
                <w:color w:val="auto"/>
                <w:spacing w:val="8"/>
                <w:sz w:val="21"/>
                <w:szCs w:val="21"/>
                <w:highlight w:val="none"/>
                <w:lang w:eastAsia="zh-CN"/>
              </w:rPr>
              <w:t>包括有服务响应时效、案件处理周期承诺、服务满意度保证条款等。</w:t>
            </w:r>
          </w:p>
          <w:p w14:paraId="2084F919">
            <w:pPr>
              <w:pStyle w:val="92"/>
              <w:spacing w:line="264" w:lineRule="auto"/>
              <w:rPr>
                <w:color w:val="auto"/>
                <w:spacing w:val="8"/>
                <w:sz w:val="21"/>
                <w:szCs w:val="21"/>
                <w:highlight w:val="none"/>
                <w:lang w:eastAsia="zh-CN"/>
              </w:rPr>
            </w:pPr>
            <w:r>
              <w:rPr>
                <w:rFonts w:hint="eastAsia"/>
                <w:color w:val="auto"/>
                <w:spacing w:val="8"/>
                <w:sz w:val="21"/>
                <w:szCs w:val="21"/>
                <w:highlight w:val="none"/>
                <w:lang w:eastAsia="zh-CN"/>
              </w:rPr>
              <w:t>④</w:t>
            </w:r>
            <w:r>
              <w:rPr>
                <w:rFonts w:hint="eastAsia"/>
                <w:color w:val="auto"/>
                <w:spacing w:val="9"/>
                <w:sz w:val="21"/>
                <w:szCs w:val="21"/>
                <w:highlight w:val="none"/>
              </w:rPr>
              <w:t>投保前服务方案</w:t>
            </w:r>
            <w:r>
              <w:rPr>
                <w:rFonts w:hint="eastAsia"/>
                <w:color w:val="auto"/>
                <w:spacing w:val="8"/>
                <w:sz w:val="21"/>
                <w:szCs w:val="21"/>
                <w:highlight w:val="none"/>
                <w:lang w:eastAsia="zh-CN"/>
              </w:rPr>
              <w:t>包括有开展需求调研方法、制定个性化投保方案、提供保险条款解读服务、投保流程优化方案等。</w:t>
            </w:r>
          </w:p>
          <w:p w14:paraId="344A8213">
            <w:pPr>
              <w:pStyle w:val="92"/>
              <w:spacing w:line="264" w:lineRule="auto"/>
              <w:rPr>
                <w:color w:val="auto"/>
                <w:spacing w:val="8"/>
                <w:sz w:val="21"/>
                <w:szCs w:val="21"/>
                <w:highlight w:val="none"/>
                <w:lang w:eastAsia="zh-CN"/>
              </w:rPr>
            </w:pPr>
            <w:r>
              <w:rPr>
                <w:rFonts w:hint="eastAsia"/>
                <w:color w:val="auto"/>
                <w:spacing w:val="8"/>
                <w:sz w:val="21"/>
                <w:szCs w:val="21"/>
                <w:highlight w:val="none"/>
                <w:lang w:eastAsia="zh-CN"/>
              </w:rPr>
              <w:t>⑤</w:t>
            </w:r>
            <w:r>
              <w:rPr>
                <w:rFonts w:hint="eastAsia"/>
                <w:color w:val="auto"/>
                <w:spacing w:val="9"/>
                <w:sz w:val="21"/>
                <w:szCs w:val="21"/>
                <w:highlight w:val="none"/>
              </w:rPr>
              <w:t>出险</w:t>
            </w:r>
            <w:r>
              <w:rPr>
                <w:rFonts w:hint="eastAsia"/>
                <w:color w:val="auto"/>
                <w:spacing w:val="8"/>
                <w:sz w:val="21"/>
                <w:szCs w:val="21"/>
                <w:highlight w:val="none"/>
              </w:rPr>
              <w:t>处理方案</w:t>
            </w:r>
            <w:r>
              <w:rPr>
                <w:rFonts w:hint="eastAsia"/>
                <w:color w:val="auto"/>
                <w:spacing w:val="8"/>
                <w:sz w:val="21"/>
                <w:szCs w:val="21"/>
                <w:highlight w:val="none"/>
                <w:lang w:eastAsia="zh-CN"/>
              </w:rPr>
              <w:t>包括有明确报案渠道、细化责任认定规则、提出紧急救援方案、配套文档管理规范等</w:t>
            </w:r>
          </w:p>
          <w:p w14:paraId="1F28A315">
            <w:pPr>
              <w:spacing w:line="264" w:lineRule="auto"/>
              <w:rPr>
                <w:rFonts w:ascii="宋体" w:hAnsi="宋体" w:cs="宋体"/>
                <w:bCs/>
                <w:color w:val="auto"/>
                <w:kern w:val="0"/>
                <w:szCs w:val="21"/>
                <w:highlight w:val="none"/>
              </w:rPr>
            </w:pPr>
            <w:r>
              <w:rPr>
                <w:rFonts w:hint="eastAsia" w:ascii="宋体" w:hAnsi="宋体" w:cs="宋体"/>
                <w:color w:val="auto"/>
                <w:szCs w:val="21"/>
                <w:highlight w:val="none"/>
              </w:rPr>
              <w:t>注：以上①-⑤项每项基础分评分标准（每项最高得3分，缺项0分，各项合计得满分15分）：内容完整且按照采购单位实际需求制定的得3分。</w:t>
            </w:r>
          </w:p>
        </w:tc>
        <w:tc>
          <w:tcPr>
            <w:tcW w:w="666" w:type="dxa"/>
            <w:vAlign w:val="center"/>
          </w:tcPr>
          <w:p w14:paraId="45F575DE">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
              <w:t>15分</w:t>
            </w:r>
          </w:p>
        </w:tc>
      </w:tr>
      <w:tr w14:paraId="4B01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jc w:val="center"/>
        </w:trPr>
        <w:tc>
          <w:tcPr>
            <w:tcW w:w="639" w:type="dxa"/>
            <w:vMerge w:val="continue"/>
            <w:vAlign w:val="center"/>
          </w:tcPr>
          <w:p w14:paraId="13218805">
            <w:pPr>
              <w:rPr>
                <w:rFonts w:ascii="宋体" w:hAnsi="宋体" w:cs="宋体"/>
                <w:color w:val="auto"/>
                <w:szCs w:val="21"/>
                <w:highlight w:val="none"/>
              </w:rPr>
            </w:pPr>
          </w:p>
        </w:tc>
        <w:tc>
          <w:tcPr>
            <w:tcW w:w="682" w:type="dxa"/>
            <w:vMerge w:val="continue"/>
            <w:vAlign w:val="center"/>
          </w:tcPr>
          <w:p w14:paraId="716DD264">
            <w:pPr>
              <w:rPr>
                <w:rFonts w:ascii="宋体" w:hAnsi="宋体" w:cs="宋体"/>
                <w:color w:val="auto"/>
                <w:szCs w:val="21"/>
                <w:highlight w:val="none"/>
              </w:rPr>
            </w:pPr>
          </w:p>
        </w:tc>
        <w:tc>
          <w:tcPr>
            <w:tcW w:w="7162" w:type="dxa"/>
            <w:vAlign w:val="center"/>
          </w:tcPr>
          <w:p w14:paraId="76F9A348">
            <w:pPr>
              <w:spacing w:line="264" w:lineRule="auto"/>
              <w:rPr>
                <w:rFonts w:ascii="宋体" w:hAnsi="宋体" w:cs="宋体"/>
                <w:b/>
                <w:bCs/>
                <w:color w:val="auto"/>
                <w:spacing w:val="8"/>
                <w:szCs w:val="21"/>
                <w:highlight w:val="none"/>
              </w:rPr>
            </w:pPr>
            <w:r>
              <w:rPr>
                <w:rFonts w:hint="eastAsia" w:ascii="宋体" w:hAnsi="宋体" w:cs="宋体"/>
                <w:b/>
                <w:bCs/>
                <w:color w:val="auto"/>
                <w:spacing w:val="8"/>
                <w:szCs w:val="21"/>
                <w:highlight w:val="none"/>
              </w:rPr>
              <w:t>2.保险培训方案（满分9分）</w:t>
            </w:r>
          </w:p>
          <w:p w14:paraId="67D3D4C5">
            <w:pPr>
              <w:pStyle w:val="92"/>
              <w:spacing w:line="264" w:lineRule="auto"/>
              <w:ind w:firstLine="226" w:firstLineChars="100"/>
              <w:rPr>
                <w:color w:val="auto"/>
                <w:spacing w:val="8"/>
                <w:sz w:val="21"/>
                <w:szCs w:val="21"/>
                <w:highlight w:val="none"/>
              </w:rPr>
            </w:pPr>
            <w:r>
              <w:rPr>
                <w:rFonts w:hint="eastAsia"/>
                <w:color w:val="auto"/>
                <w:spacing w:val="8"/>
                <w:sz w:val="21"/>
                <w:szCs w:val="21"/>
                <w:highlight w:val="none"/>
              </w:rPr>
              <w:t>由磋商小组根据内容进行评分</w:t>
            </w:r>
            <w:r>
              <w:rPr>
                <w:rFonts w:hint="eastAsia"/>
                <w:color w:val="auto"/>
                <w:spacing w:val="8"/>
                <w:sz w:val="21"/>
                <w:szCs w:val="21"/>
                <w:highlight w:val="none"/>
                <w:lang w:eastAsia="zh-CN"/>
              </w:rPr>
              <w:t>,</w:t>
            </w:r>
            <w:r>
              <w:rPr>
                <w:rFonts w:hint="eastAsia"/>
                <w:color w:val="auto"/>
                <w:spacing w:val="8"/>
                <w:sz w:val="21"/>
                <w:szCs w:val="21"/>
                <w:highlight w:val="none"/>
              </w:rPr>
              <w:t>内容要点应包括但不限于</w:t>
            </w:r>
            <w:r>
              <w:rPr>
                <w:rFonts w:hint="eastAsia"/>
                <w:color w:val="auto"/>
                <w:spacing w:val="4"/>
                <w:sz w:val="21"/>
                <w:szCs w:val="21"/>
                <w:highlight w:val="none"/>
              </w:rPr>
              <w:t>医疗责任保险基础知识培训、医疗责任险保险申请流程培训、</w:t>
            </w:r>
            <w:r>
              <w:rPr>
                <w:rFonts w:hint="eastAsia"/>
                <w:color w:val="auto"/>
                <w:spacing w:val="9"/>
                <w:sz w:val="21"/>
                <w:szCs w:val="21"/>
                <w:highlight w:val="none"/>
              </w:rPr>
              <w:t>医疗风险管理及防范培训</w:t>
            </w:r>
            <w:r>
              <w:rPr>
                <w:rFonts w:hint="eastAsia"/>
                <w:color w:val="auto"/>
                <w:spacing w:val="9"/>
                <w:sz w:val="21"/>
                <w:szCs w:val="21"/>
                <w:highlight w:val="none"/>
                <w:lang w:eastAsia="zh-CN"/>
              </w:rPr>
              <w:t>。</w:t>
            </w:r>
            <w:r>
              <w:rPr>
                <w:rFonts w:hint="eastAsia"/>
                <w:color w:val="auto"/>
                <w:spacing w:val="8"/>
                <w:sz w:val="21"/>
                <w:szCs w:val="21"/>
                <w:highlight w:val="none"/>
              </w:rPr>
              <w:t>（不提供</w:t>
            </w:r>
            <w:r>
              <w:rPr>
                <w:rFonts w:hint="eastAsia"/>
                <w:color w:val="auto"/>
                <w:spacing w:val="8"/>
                <w:sz w:val="21"/>
                <w:szCs w:val="21"/>
                <w:highlight w:val="none"/>
                <w:lang w:eastAsia="zh-CN"/>
              </w:rPr>
              <w:t>保险培训方案</w:t>
            </w:r>
            <w:r>
              <w:rPr>
                <w:rFonts w:hint="eastAsia"/>
                <w:color w:val="auto"/>
                <w:spacing w:val="8"/>
                <w:sz w:val="21"/>
                <w:szCs w:val="21"/>
                <w:highlight w:val="none"/>
              </w:rPr>
              <w:t>的得0分）</w:t>
            </w:r>
          </w:p>
          <w:p w14:paraId="58320F9C">
            <w:pPr>
              <w:pStyle w:val="92"/>
              <w:spacing w:line="264" w:lineRule="auto"/>
              <w:rPr>
                <w:color w:val="auto"/>
                <w:spacing w:val="4"/>
                <w:sz w:val="21"/>
                <w:szCs w:val="21"/>
                <w:highlight w:val="none"/>
              </w:rPr>
            </w:pPr>
            <w:r>
              <w:rPr>
                <w:rFonts w:hint="eastAsia"/>
                <w:color w:val="auto"/>
                <w:spacing w:val="8"/>
                <w:sz w:val="21"/>
                <w:szCs w:val="21"/>
                <w:highlight w:val="none"/>
                <w:lang w:eastAsia="zh-CN"/>
              </w:rPr>
              <w:t>①</w:t>
            </w:r>
            <w:r>
              <w:rPr>
                <w:rFonts w:hint="eastAsia"/>
                <w:color w:val="auto"/>
                <w:spacing w:val="4"/>
                <w:sz w:val="21"/>
                <w:szCs w:val="21"/>
                <w:highlight w:val="none"/>
              </w:rPr>
              <w:t>医疗责任保险基础知识培训</w:t>
            </w:r>
            <w:r>
              <w:rPr>
                <w:rFonts w:hint="eastAsia"/>
                <w:color w:val="auto"/>
                <w:spacing w:val="8"/>
                <w:sz w:val="21"/>
                <w:szCs w:val="21"/>
                <w:highlight w:val="none"/>
                <w:lang w:eastAsia="zh-CN"/>
              </w:rPr>
              <w:t>包括有医疗责任保险的法律法规及政策解读、保险条款核心内容（如保障范围、免责条款、赔偿限额等）、医疗机构与保险方的权利义务关系说明等</w:t>
            </w:r>
          </w:p>
          <w:p w14:paraId="7A266B44">
            <w:pPr>
              <w:pStyle w:val="92"/>
              <w:spacing w:line="264" w:lineRule="auto"/>
              <w:rPr>
                <w:color w:val="auto"/>
                <w:spacing w:val="4"/>
                <w:sz w:val="21"/>
                <w:szCs w:val="21"/>
                <w:highlight w:val="none"/>
                <w:lang w:eastAsia="zh-CN"/>
              </w:rPr>
            </w:pPr>
            <w:r>
              <w:rPr>
                <w:rFonts w:hint="eastAsia"/>
                <w:color w:val="auto"/>
                <w:spacing w:val="4"/>
                <w:sz w:val="21"/>
                <w:szCs w:val="21"/>
                <w:highlight w:val="none"/>
                <w:lang w:eastAsia="zh-CN"/>
              </w:rPr>
              <w:t>②</w:t>
            </w:r>
            <w:r>
              <w:rPr>
                <w:rFonts w:hint="eastAsia"/>
                <w:color w:val="auto"/>
                <w:spacing w:val="4"/>
                <w:sz w:val="21"/>
                <w:szCs w:val="21"/>
                <w:highlight w:val="none"/>
              </w:rPr>
              <w:t>医疗责任险保险申请流程培训</w:t>
            </w:r>
            <w:r>
              <w:rPr>
                <w:rFonts w:hint="eastAsia"/>
                <w:color w:val="auto"/>
                <w:spacing w:val="4"/>
                <w:sz w:val="21"/>
                <w:szCs w:val="21"/>
                <w:highlight w:val="none"/>
                <w:lang w:eastAsia="zh-CN"/>
              </w:rPr>
              <w:t>包括有投保申请流程分步骤说明（材料准备、填写规范、提交渠道）、线上/线下系统操作指南（如电子投保平台使用）、常见错误规避及快速审核优化建议等。</w:t>
            </w:r>
          </w:p>
          <w:p w14:paraId="72387671">
            <w:pPr>
              <w:pStyle w:val="92"/>
              <w:spacing w:line="264" w:lineRule="auto"/>
              <w:rPr>
                <w:color w:val="auto"/>
                <w:spacing w:val="8"/>
                <w:sz w:val="21"/>
                <w:szCs w:val="21"/>
                <w:highlight w:val="none"/>
                <w:lang w:eastAsia="zh-CN"/>
              </w:rPr>
            </w:pPr>
            <w:r>
              <w:rPr>
                <w:rFonts w:hint="eastAsia"/>
                <w:color w:val="auto"/>
                <w:spacing w:val="4"/>
                <w:sz w:val="21"/>
                <w:szCs w:val="21"/>
                <w:highlight w:val="none"/>
                <w:lang w:eastAsia="zh-CN"/>
              </w:rPr>
              <w:t>③</w:t>
            </w:r>
            <w:r>
              <w:rPr>
                <w:rFonts w:hint="eastAsia"/>
                <w:color w:val="auto"/>
                <w:spacing w:val="9"/>
                <w:sz w:val="21"/>
                <w:szCs w:val="21"/>
                <w:highlight w:val="none"/>
              </w:rPr>
              <w:t>医疗风险管理及防范培训</w:t>
            </w:r>
            <w:r>
              <w:rPr>
                <w:rFonts w:hint="eastAsia"/>
                <w:color w:val="auto"/>
                <w:spacing w:val="9"/>
                <w:sz w:val="21"/>
                <w:szCs w:val="21"/>
                <w:highlight w:val="none"/>
                <w:lang w:eastAsia="zh-CN"/>
              </w:rPr>
              <w:t>包括有医疗风险识别与评估方法论、风险防范措施、保险与风险管理联动机制、</w:t>
            </w:r>
            <w:r>
              <w:rPr>
                <w:rFonts w:hint="eastAsia"/>
                <w:color w:val="auto"/>
                <w:spacing w:val="9"/>
                <w:sz w:val="21"/>
                <w:szCs w:val="21"/>
                <w:highlight w:val="none"/>
              </w:rPr>
              <w:t>为</w:t>
            </w:r>
            <w:r>
              <w:rPr>
                <w:rFonts w:hint="eastAsia"/>
                <w:color w:val="auto"/>
                <w:spacing w:val="8"/>
                <w:sz w:val="21"/>
                <w:szCs w:val="21"/>
                <w:highlight w:val="none"/>
              </w:rPr>
              <w:t>采购单位的重要岗位人员提供至少</w:t>
            </w:r>
            <w:r>
              <w:rPr>
                <w:rFonts w:hint="eastAsia"/>
                <w:color w:val="auto"/>
                <w:spacing w:val="8"/>
                <w:sz w:val="21"/>
                <w:szCs w:val="21"/>
                <w:highlight w:val="none"/>
                <w:lang w:eastAsia="zh-CN"/>
              </w:rPr>
              <w:t>3</w:t>
            </w:r>
            <w:r>
              <w:rPr>
                <w:rFonts w:hint="eastAsia"/>
                <w:color w:val="auto"/>
                <w:spacing w:val="8"/>
                <w:sz w:val="21"/>
                <w:szCs w:val="21"/>
                <w:highlight w:val="none"/>
              </w:rPr>
              <w:t>次风险管理培训</w:t>
            </w:r>
            <w:r>
              <w:rPr>
                <w:rFonts w:hint="eastAsia"/>
                <w:color w:val="auto"/>
                <w:spacing w:val="8"/>
                <w:sz w:val="21"/>
                <w:szCs w:val="21"/>
                <w:highlight w:val="none"/>
                <w:lang w:eastAsia="zh-CN"/>
              </w:rPr>
              <w:t>等。</w:t>
            </w:r>
          </w:p>
          <w:p w14:paraId="76279DE7">
            <w:pPr>
              <w:pageBreakBefore/>
              <w:spacing w:line="264" w:lineRule="auto"/>
              <w:rPr>
                <w:rFonts w:ascii="宋体" w:hAnsi="宋体" w:cs="宋体"/>
                <w:color w:val="auto"/>
                <w:szCs w:val="21"/>
                <w:highlight w:val="none"/>
              </w:rPr>
            </w:pPr>
            <w:r>
              <w:rPr>
                <w:rFonts w:hint="eastAsia" w:ascii="宋体" w:hAnsi="宋体" w:cs="宋体"/>
                <w:color w:val="auto"/>
                <w:szCs w:val="21"/>
                <w:highlight w:val="none"/>
              </w:rPr>
              <w:t>注：以上①-③项每项基础分评分标准（每项最高得3分，缺项0分，各项合计得满分3分）：内容完整且按照采购单位实际需求制定的得3分。</w:t>
            </w:r>
          </w:p>
        </w:tc>
        <w:tc>
          <w:tcPr>
            <w:tcW w:w="666" w:type="dxa"/>
            <w:vAlign w:val="center"/>
          </w:tcPr>
          <w:p w14:paraId="4C3C8650">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
              <w:t>9分</w:t>
            </w:r>
          </w:p>
        </w:tc>
      </w:tr>
      <w:tr w14:paraId="1EC0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9" w:type="dxa"/>
            <w:vMerge w:val="continue"/>
            <w:vAlign w:val="center"/>
          </w:tcPr>
          <w:p w14:paraId="5E38D190">
            <w:pPr>
              <w:rPr>
                <w:rFonts w:ascii="宋体" w:hAnsi="宋体" w:cs="宋体"/>
                <w:color w:val="auto"/>
                <w:szCs w:val="21"/>
                <w:highlight w:val="none"/>
              </w:rPr>
            </w:pPr>
          </w:p>
        </w:tc>
        <w:tc>
          <w:tcPr>
            <w:tcW w:w="682" w:type="dxa"/>
            <w:vMerge w:val="continue"/>
            <w:vAlign w:val="center"/>
          </w:tcPr>
          <w:p w14:paraId="44260DF7">
            <w:pPr>
              <w:rPr>
                <w:rFonts w:ascii="宋体" w:hAnsi="宋体" w:cs="宋体"/>
                <w:color w:val="auto"/>
                <w:szCs w:val="21"/>
                <w:highlight w:val="none"/>
              </w:rPr>
            </w:pPr>
          </w:p>
        </w:tc>
        <w:tc>
          <w:tcPr>
            <w:tcW w:w="7162" w:type="dxa"/>
            <w:vAlign w:val="center"/>
          </w:tcPr>
          <w:p w14:paraId="452A016B">
            <w:pPr>
              <w:spacing w:line="264" w:lineRule="auto"/>
              <w:rPr>
                <w:rFonts w:ascii="宋体" w:hAnsi="宋体" w:cs="宋体"/>
                <w:b/>
                <w:color w:val="auto"/>
                <w:kern w:val="0"/>
                <w:szCs w:val="21"/>
                <w:highlight w:val="none"/>
              </w:rPr>
            </w:pPr>
            <w:r>
              <w:rPr>
                <w:rFonts w:hint="eastAsia" w:ascii="宋体" w:hAnsi="宋体" w:cs="宋体"/>
                <w:b/>
                <w:color w:val="auto"/>
                <w:kern w:val="0"/>
                <w:szCs w:val="21"/>
                <w:highlight w:val="none"/>
              </w:rPr>
              <w:t>3.理赔方案（满分9分）</w:t>
            </w:r>
          </w:p>
          <w:p w14:paraId="752FE0D9">
            <w:pPr>
              <w:pStyle w:val="92"/>
              <w:spacing w:line="264" w:lineRule="auto"/>
              <w:jc w:val="left"/>
              <w:rPr>
                <w:color w:val="auto"/>
                <w:spacing w:val="8"/>
                <w:sz w:val="21"/>
                <w:szCs w:val="21"/>
                <w:highlight w:val="none"/>
              </w:rPr>
            </w:pPr>
            <w:r>
              <w:rPr>
                <w:rFonts w:hint="eastAsia"/>
                <w:color w:val="auto"/>
                <w:spacing w:val="8"/>
                <w:sz w:val="21"/>
                <w:szCs w:val="21"/>
                <w:highlight w:val="none"/>
              </w:rPr>
              <w:t>由磋商小组根据内容进行评分</w:t>
            </w:r>
            <w:r>
              <w:rPr>
                <w:rFonts w:hint="eastAsia"/>
                <w:color w:val="auto"/>
                <w:spacing w:val="8"/>
                <w:sz w:val="21"/>
                <w:szCs w:val="21"/>
                <w:highlight w:val="none"/>
                <w:lang w:eastAsia="zh-CN"/>
              </w:rPr>
              <w:t>,</w:t>
            </w:r>
            <w:r>
              <w:rPr>
                <w:rFonts w:hint="eastAsia"/>
                <w:color w:val="auto"/>
                <w:spacing w:val="8"/>
                <w:sz w:val="21"/>
                <w:szCs w:val="21"/>
                <w:highlight w:val="none"/>
              </w:rPr>
              <w:t>内容要点应包括但不限于</w:t>
            </w:r>
            <w:r>
              <w:rPr>
                <w:rFonts w:hint="eastAsia"/>
                <w:color w:val="auto"/>
                <w:spacing w:val="7"/>
                <w:sz w:val="21"/>
                <w:szCs w:val="21"/>
                <w:highlight w:val="none"/>
              </w:rPr>
              <w:t>理赔</w:t>
            </w:r>
            <w:r>
              <w:rPr>
                <w:rFonts w:hint="eastAsia"/>
                <w:color w:val="auto"/>
                <w:spacing w:val="9"/>
                <w:sz w:val="21"/>
                <w:szCs w:val="21"/>
                <w:highlight w:val="none"/>
              </w:rPr>
              <w:t>流程、理赔时限、结案理赔时效承诺</w:t>
            </w:r>
            <w:r>
              <w:rPr>
                <w:rFonts w:hint="eastAsia"/>
                <w:color w:val="auto"/>
                <w:spacing w:val="9"/>
                <w:sz w:val="21"/>
                <w:szCs w:val="21"/>
                <w:highlight w:val="none"/>
                <w:lang w:eastAsia="zh-CN"/>
              </w:rPr>
              <w:t>等</w:t>
            </w:r>
            <w:r>
              <w:rPr>
                <w:rFonts w:hint="eastAsia"/>
                <w:color w:val="auto"/>
                <w:spacing w:val="8"/>
                <w:sz w:val="21"/>
                <w:szCs w:val="21"/>
                <w:highlight w:val="none"/>
              </w:rPr>
              <w:t>（不提供理赔方案的得0分）</w:t>
            </w:r>
          </w:p>
          <w:p w14:paraId="0C7D7574">
            <w:pPr>
              <w:pStyle w:val="92"/>
              <w:spacing w:line="264" w:lineRule="auto"/>
              <w:jc w:val="left"/>
              <w:rPr>
                <w:color w:val="auto"/>
                <w:spacing w:val="8"/>
                <w:sz w:val="21"/>
                <w:szCs w:val="21"/>
                <w:highlight w:val="none"/>
                <w:lang w:eastAsia="zh-CN"/>
              </w:rPr>
            </w:pPr>
            <w:r>
              <w:rPr>
                <w:rFonts w:hint="eastAsia"/>
                <w:color w:val="auto"/>
                <w:spacing w:val="8"/>
                <w:sz w:val="21"/>
                <w:szCs w:val="21"/>
                <w:highlight w:val="none"/>
                <w:lang w:eastAsia="zh-CN"/>
              </w:rPr>
              <w:t>①</w:t>
            </w:r>
            <w:r>
              <w:rPr>
                <w:rFonts w:hint="eastAsia"/>
                <w:color w:val="auto"/>
                <w:spacing w:val="7"/>
                <w:sz w:val="21"/>
                <w:szCs w:val="21"/>
                <w:highlight w:val="none"/>
              </w:rPr>
              <w:t>理赔</w:t>
            </w:r>
            <w:r>
              <w:rPr>
                <w:rFonts w:hint="eastAsia"/>
                <w:color w:val="auto"/>
                <w:spacing w:val="9"/>
                <w:sz w:val="21"/>
                <w:szCs w:val="21"/>
                <w:highlight w:val="none"/>
              </w:rPr>
              <w:t>流程</w:t>
            </w:r>
            <w:r>
              <w:rPr>
                <w:rFonts w:hint="eastAsia"/>
                <w:color w:val="auto"/>
                <w:spacing w:val="9"/>
                <w:sz w:val="21"/>
                <w:szCs w:val="21"/>
                <w:highlight w:val="none"/>
                <w:lang w:eastAsia="zh-CN"/>
              </w:rPr>
              <w:t>包括有清晰界定报案步骤、案件受理后的责任认定与调查流程、赔付审批层级与权限划分等。</w:t>
            </w:r>
          </w:p>
          <w:p w14:paraId="68D8F8DE">
            <w:pPr>
              <w:pStyle w:val="92"/>
              <w:spacing w:line="264" w:lineRule="auto"/>
              <w:jc w:val="left"/>
              <w:rPr>
                <w:color w:val="auto"/>
                <w:spacing w:val="8"/>
                <w:sz w:val="21"/>
                <w:szCs w:val="21"/>
                <w:highlight w:val="none"/>
                <w:lang w:eastAsia="zh-CN"/>
              </w:rPr>
            </w:pPr>
            <w:r>
              <w:rPr>
                <w:rFonts w:hint="eastAsia"/>
                <w:color w:val="auto"/>
                <w:spacing w:val="8"/>
                <w:sz w:val="21"/>
                <w:szCs w:val="21"/>
                <w:highlight w:val="none"/>
                <w:lang w:eastAsia="zh-CN"/>
              </w:rPr>
              <w:t>②</w:t>
            </w:r>
            <w:r>
              <w:rPr>
                <w:rFonts w:hint="eastAsia"/>
                <w:color w:val="auto"/>
                <w:spacing w:val="9"/>
                <w:sz w:val="21"/>
                <w:szCs w:val="21"/>
                <w:highlight w:val="none"/>
              </w:rPr>
              <w:t>理赔时限</w:t>
            </w:r>
            <w:r>
              <w:rPr>
                <w:rFonts w:hint="eastAsia"/>
                <w:color w:val="auto"/>
                <w:spacing w:val="9"/>
                <w:sz w:val="21"/>
                <w:szCs w:val="21"/>
                <w:highlight w:val="none"/>
                <w:lang w:eastAsia="zh-CN"/>
              </w:rPr>
              <w:t>包括有各环节时限细化、分案件类型设定时限标准、时效延误的补偿措施等。</w:t>
            </w:r>
          </w:p>
          <w:p w14:paraId="34DB504C">
            <w:pPr>
              <w:pStyle w:val="92"/>
              <w:spacing w:line="264" w:lineRule="auto"/>
              <w:jc w:val="left"/>
              <w:rPr>
                <w:color w:val="auto"/>
                <w:spacing w:val="8"/>
                <w:sz w:val="21"/>
                <w:szCs w:val="21"/>
                <w:highlight w:val="none"/>
              </w:rPr>
            </w:pPr>
            <w:r>
              <w:rPr>
                <w:rFonts w:hint="eastAsia"/>
                <w:color w:val="auto"/>
                <w:spacing w:val="8"/>
                <w:sz w:val="21"/>
                <w:szCs w:val="21"/>
                <w:highlight w:val="none"/>
                <w:lang w:eastAsia="zh-CN"/>
              </w:rPr>
              <w:t>③</w:t>
            </w:r>
            <w:r>
              <w:rPr>
                <w:rFonts w:hint="eastAsia"/>
                <w:color w:val="auto"/>
                <w:spacing w:val="9"/>
                <w:sz w:val="21"/>
                <w:szCs w:val="21"/>
                <w:highlight w:val="none"/>
              </w:rPr>
              <w:t>结案理赔时效承诺</w:t>
            </w:r>
            <w:r>
              <w:rPr>
                <w:rFonts w:hint="eastAsia"/>
                <w:color w:val="auto"/>
                <w:spacing w:val="9"/>
                <w:sz w:val="21"/>
                <w:szCs w:val="21"/>
                <w:highlight w:val="none"/>
                <w:lang w:eastAsia="zh-CN"/>
              </w:rPr>
              <w:t>包括有结案时效书面承诺、结案后赔付时效承诺、延迟结案的应急措施等。</w:t>
            </w:r>
          </w:p>
          <w:p w14:paraId="40F19675">
            <w:pPr>
              <w:spacing w:line="264" w:lineRule="auto"/>
              <w:jc w:val="left"/>
              <w:rPr>
                <w:rFonts w:ascii="宋体" w:hAnsi="宋体" w:cs="宋体"/>
                <w:color w:val="auto"/>
                <w:szCs w:val="21"/>
                <w:highlight w:val="none"/>
              </w:rPr>
            </w:pPr>
            <w:r>
              <w:rPr>
                <w:rFonts w:hint="eastAsia" w:ascii="宋体" w:hAnsi="宋体" w:cs="宋体"/>
                <w:color w:val="auto"/>
                <w:szCs w:val="21"/>
                <w:highlight w:val="none"/>
              </w:rPr>
              <w:t>注：以上①-③项每项基础分评分标准（每项最高得3分，缺项0分，各项合计得满分3分）：内容完整且按照采购单位实际需求制定的得3分。</w:t>
            </w:r>
          </w:p>
        </w:tc>
        <w:tc>
          <w:tcPr>
            <w:tcW w:w="666" w:type="dxa"/>
            <w:vAlign w:val="center"/>
          </w:tcPr>
          <w:p w14:paraId="60D61813">
            <w:pPr>
              <w:jc w:val="center"/>
              <w:rPr>
                <w:rFonts w:ascii="宋体" w:hAnsi="宋体" w:cs="宋体"/>
                <w:color w:val="auto"/>
                <w:szCs w:val="21"/>
                <w:highlight w:val="none"/>
              </w:rPr>
            </w:pPr>
            <w:r>
              <w:rPr>
                <w:rFonts w:hint="eastAsia" w:ascii="宋体" w:hAnsi="宋体"/>
                <w:color w:val="auto"/>
                <w:szCs w:val="21"/>
                <w:highlight w:val="none"/>
              </w:rPr>
              <w:t>9分</w:t>
            </w:r>
          </w:p>
        </w:tc>
      </w:tr>
      <w:tr w14:paraId="48DC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9" w:type="dxa"/>
            <w:vAlign w:val="center"/>
          </w:tcPr>
          <w:p w14:paraId="3AB91EB5">
            <w:pPr>
              <w:rPr>
                <w:rFonts w:ascii="宋体" w:hAnsi="宋体" w:cs="宋体"/>
                <w:color w:val="auto"/>
                <w:szCs w:val="21"/>
                <w:highlight w:val="none"/>
              </w:rPr>
            </w:pPr>
          </w:p>
        </w:tc>
        <w:tc>
          <w:tcPr>
            <w:tcW w:w="682" w:type="dxa"/>
            <w:vAlign w:val="center"/>
          </w:tcPr>
          <w:p w14:paraId="3991EAC4">
            <w:pPr>
              <w:rPr>
                <w:rFonts w:ascii="宋体" w:hAnsi="宋体" w:cs="宋体"/>
                <w:color w:val="auto"/>
                <w:szCs w:val="21"/>
                <w:highlight w:val="none"/>
              </w:rPr>
            </w:pPr>
          </w:p>
        </w:tc>
        <w:tc>
          <w:tcPr>
            <w:tcW w:w="7162" w:type="dxa"/>
            <w:vAlign w:val="center"/>
          </w:tcPr>
          <w:p w14:paraId="42F15328">
            <w:pPr>
              <w:spacing w:line="264" w:lineRule="auto"/>
              <w:rPr>
                <w:rFonts w:ascii="宋体" w:hAnsi="宋体" w:cs="宋体"/>
                <w:b/>
                <w:bCs/>
                <w:color w:val="auto"/>
                <w:spacing w:val="-1"/>
                <w:szCs w:val="21"/>
                <w:highlight w:val="none"/>
              </w:rPr>
            </w:pPr>
            <w:r>
              <w:rPr>
                <w:rFonts w:hint="eastAsia" w:ascii="宋体" w:hAnsi="宋体" w:cs="宋体"/>
                <w:b/>
                <w:bCs/>
                <w:color w:val="auto"/>
                <w:szCs w:val="21"/>
                <w:highlight w:val="none"/>
              </w:rPr>
              <w:t>4.服务人员配置</w:t>
            </w:r>
            <w:r>
              <w:rPr>
                <w:rFonts w:hint="eastAsia" w:ascii="宋体" w:hAnsi="宋体" w:cs="宋体"/>
                <w:b/>
                <w:bCs/>
                <w:color w:val="auto"/>
                <w:spacing w:val="-1"/>
                <w:szCs w:val="21"/>
                <w:highlight w:val="none"/>
              </w:rPr>
              <w:t>（满分6分）</w:t>
            </w:r>
          </w:p>
          <w:p w14:paraId="4F0EAB39">
            <w:pPr>
              <w:pStyle w:val="92"/>
              <w:spacing w:line="264" w:lineRule="auto"/>
              <w:rPr>
                <w:color w:val="auto"/>
                <w:spacing w:val="5"/>
                <w:sz w:val="21"/>
                <w:szCs w:val="21"/>
                <w:highlight w:val="none"/>
                <w:lang w:eastAsia="zh-CN"/>
              </w:rPr>
            </w:pPr>
            <w:r>
              <w:rPr>
                <w:rFonts w:hint="eastAsia"/>
                <w:color w:val="auto"/>
                <w:spacing w:val="5"/>
                <w:sz w:val="21"/>
                <w:szCs w:val="21"/>
                <w:highlight w:val="none"/>
              </w:rPr>
              <w:t>一档（</w:t>
            </w:r>
            <w:r>
              <w:rPr>
                <w:rFonts w:hint="eastAsia"/>
                <w:color w:val="auto"/>
                <w:spacing w:val="5"/>
                <w:sz w:val="21"/>
                <w:szCs w:val="21"/>
                <w:highlight w:val="none"/>
                <w:lang w:eastAsia="zh-CN"/>
              </w:rPr>
              <w:t>2</w:t>
            </w:r>
            <w:r>
              <w:rPr>
                <w:rFonts w:hint="eastAsia"/>
                <w:color w:val="auto"/>
                <w:spacing w:val="5"/>
                <w:sz w:val="21"/>
                <w:szCs w:val="21"/>
                <w:highlight w:val="none"/>
              </w:rPr>
              <w:t>分）：提供完整的人员岗位设置方案，明确各岗位核心职责与内部协作流程；</w:t>
            </w:r>
            <w:r>
              <w:rPr>
                <w:color w:val="auto"/>
                <w:spacing w:val="5"/>
                <w:sz w:val="21"/>
                <w:szCs w:val="21"/>
                <w:highlight w:val="none"/>
              </w:rPr>
              <w:t>配备3名专职人员，方案与人员配置可满足项目基本实施需求</w:t>
            </w:r>
            <w:r>
              <w:rPr>
                <w:rFonts w:hint="eastAsia"/>
                <w:color w:val="auto"/>
                <w:spacing w:val="5"/>
                <w:sz w:val="21"/>
                <w:szCs w:val="21"/>
                <w:highlight w:val="none"/>
                <w:lang w:eastAsia="zh-CN"/>
              </w:rPr>
              <w:t>。</w:t>
            </w:r>
          </w:p>
          <w:p w14:paraId="07032C8F">
            <w:pPr>
              <w:pStyle w:val="92"/>
              <w:spacing w:line="264" w:lineRule="auto"/>
              <w:rPr>
                <w:color w:val="auto"/>
                <w:spacing w:val="5"/>
                <w:sz w:val="21"/>
                <w:szCs w:val="21"/>
                <w:highlight w:val="none"/>
                <w:lang w:eastAsia="zh-CN"/>
              </w:rPr>
            </w:pPr>
            <w:r>
              <w:rPr>
                <w:rFonts w:hint="eastAsia"/>
                <w:color w:val="auto"/>
                <w:spacing w:val="5"/>
                <w:sz w:val="21"/>
                <w:szCs w:val="21"/>
                <w:highlight w:val="none"/>
              </w:rPr>
              <w:t>二档（</w:t>
            </w:r>
            <w:r>
              <w:rPr>
                <w:rFonts w:hint="eastAsia"/>
                <w:color w:val="auto"/>
                <w:spacing w:val="5"/>
                <w:sz w:val="21"/>
                <w:szCs w:val="21"/>
                <w:highlight w:val="none"/>
                <w:lang w:eastAsia="zh-CN"/>
              </w:rPr>
              <w:t>4</w:t>
            </w:r>
            <w:r>
              <w:rPr>
                <w:rFonts w:hint="eastAsia"/>
                <w:color w:val="auto"/>
                <w:spacing w:val="5"/>
                <w:sz w:val="21"/>
                <w:szCs w:val="21"/>
                <w:highlight w:val="none"/>
              </w:rPr>
              <w:t xml:space="preserve"> 分）：提供</w:t>
            </w:r>
            <w:r>
              <w:rPr>
                <w:rFonts w:hint="eastAsia"/>
                <w:color w:val="auto"/>
                <w:spacing w:val="5"/>
                <w:sz w:val="21"/>
                <w:szCs w:val="21"/>
                <w:highlight w:val="none"/>
                <w:lang w:eastAsia="zh-CN"/>
              </w:rPr>
              <w:t>的人员</w:t>
            </w:r>
            <w:r>
              <w:rPr>
                <w:rFonts w:hint="eastAsia"/>
                <w:color w:val="auto"/>
                <w:spacing w:val="5"/>
                <w:sz w:val="21"/>
                <w:szCs w:val="21"/>
                <w:highlight w:val="none"/>
              </w:rPr>
              <w:t>岗位设置方案结构清晰，配备</w:t>
            </w:r>
            <w:r>
              <w:rPr>
                <w:rFonts w:hint="eastAsia"/>
                <w:color w:val="auto"/>
                <w:spacing w:val="5"/>
                <w:sz w:val="21"/>
                <w:szCs w:val="21"/>
                <w:highlight w:val="none"/>
                <w:lang w:eastAsia="zh-CN"/>
              </w:rPr>
              <w:t>4名熟悉业务的</w:t>
            </w:r>
            <w:r>
              <w:rPr>
                <w:rFonts w:hint="eastAsia"/>
                <w:color w:val="auto"/>
                <w:spacing w:val="5"/>
                <w:sz w:val="21"/>
                <w:szCs w:val="21"/>
                <w:highlight w:val="none"/>
              </w:rPr>
              <w:t>专职人员</w:t>
            </w:r>
            <w:r>
              <w:rPr>
                <w:rFonts w:hint="eastAsia"/>
                <w:color w:val="auto"/>
                <w:spacing w:val="5"/>
                <w:sz w:val="21"/>
                <w:szCs w:val="21"/>
                <w:highlight w:val="none"/>
                <w:lang w:eastAsia="zh-CN"/>
              </w:rPr>
              <w:t>，</w:t>
            </w:r>
            <w:r>
              <w:rPr>
                <w:color w:val="auto"/>
                <w:spacing w:val="5"/>
                <w:sz w:val="21"/>
                <w:szCs w:val="21"/>
                <w:highlight w:val="none"/>
              </w:rPr>
              <w:t>方案与人员配置可支撑项目实施，无职责盲区</w:t>
            </w:r>
            <w:r>
              <w:rPr>
                <w:rFonts w:hint="eastAsia"/>
                <w:color w:val="auto"/>
                <w:spacing w:val="5"/>
                <w:sz w:val="21"/>
                <w:szCs w:val="21"/>
                <w:highlight w:val="none"/>
                <w:lang w:eastAsia="zh-CN"/>
              </w:rPr>
              <w:t>。</w:t>
            </w:r>
          </w:p>
          <w:p w14:paraId="5A581BEB">
            <w:pPr>
              <w:pStyle w:val="92"/>
              <w:spacing w:line="264" w:lineRule="auto"/>
              <w:rPr>
                <w:color w:val="auto"/>
                <w:sz w:val="21"/>
                <w:szCs w:val="21"/>
                <w:highlight w:val="none"/>
              </w:rPr>
            </w:pPr>
            <w:r>
              <w:rPr>
                <w:rFonts w:hint="eastAsia"/>
                <w:color w:val="auto"/>
                <w:spacing w:val="5"/>
                <w:sz w:val="21"/>
                <w:szCs w:val="21"/>
                <w:highlight w:val="none"/>
              </w:rPr>
              <w:t>三档（</w:t>
            </w:r>
            <w:r>
              <w:rPr>
                <w:rFonts w:hint="eastAsia"/>
                <w:color w:val="auto"/>
                <w:spacing w:val="5"/>
                <w:sz w:val="21"/>
                <w:szCs w:val="21"/>
                <w:highlight w:val="none"/>
                <w:lang w:eastAsia="zh-CN"/>
              </w:rPr>
              <w:t>6</w:t>
            </w:r>
            <w:r>
              <w:rPr>
                <w:rFonts w:hint="eastAsia"/>
                <w:color w:val="auto"/>
                <w:spacing w:val="5"/>
                <w:sz w:val="21"/>
                <w:szCs w:val="21"/>
                <w:highlight w:val="none"/>
              </w:rPr>
              <w:t>分）：提供</w:t>
            </w:r>
            <w:r>
              <w:rPr>
                <w:rFonts w:hint="eastAsia"/>
                <w:color w:val="auto"/>
                <w:spacing w:val="5"/>
                <w:sz w:val="21"/>
                <w:szCs w:val="21"/>
                <w:highlight w:val="none"/>
                <w:lang w:eastAsia="zh-CN"/>
              </w:rPr>
              <w:t>的</w:t>
            </w:r>
            <w:r>
              <w:rPr>
                <w:rFonts w:hint="eastAsia"/>
                <w:color w:val="auto"/>
                <w:spacing w:val="5"/>
                <w:sz w:val="21"/>
                <w:szCs w:val="21"/>
                <w:highlight w:val="none"/>
              </w:rPr>
              <w:t>岗位设置方案结构清晰，职责划分细致，配备</w:t>
            </w:r>
            <w:r>
              <w:rPr>
                <w:rFonts w:hint="eastAsia"/>
                <w:color w:val="auto"/>
                <w:spacing w:val="5"/>
                <w:sz w:val="21"/>
                <w:szCs w:val="21"/>
                <w:highlight w:val="none"/>
                <w:lang w:eastAsia="zh-CN"/>
              </w:rPr>
              <w:t>5名及以上专业性的</w:t>
            </w:r>
            <w:r>
              <w:rPr>
                <w:rFonts w:hint="eastAsia"/>
                <w:color w:val="auto"/>
                <w:spacing w:val="5"/>
                <w:sz w:val="21"/>
                <w:szCs w:val="21"/>
                <w:highlight w:val="none"/>
              </w:rPr>
              <w:t>专职人员</w:t>
            </w:r>
            <w:r>
              <w:rPr>
                <w:rFonts w:hint="eastAsia"/>
                <w:color w:val="auto"/>
                <w:spacing w:val="5"/>
                <w:sz w:val="21"/>
                <w:szCs w:val="21"/>
                <w:highlight w:val="none"/>
                <w:lang w:eastAsia="zh-CN"/>
              </w:rPr>
              <w:t>，并同时提供投入人员的工作经历证明材料（至少能体现出有医疗责任险服务的经验），</w:t>
            </w:r>
            <w:r>
              <w:rPr>
                <w:color w:val="auto"/>
                <w:spacing w:val="5"/>
                <w:sz w:val="21"/>
                <w:szCs w:val="21"/>
                <w:highlight w:val="none"/>
              </w:rPr>
              <w:t>方案与人员配置</w:t>
            </w:r>
            <w:r>
              <w:rPr>
                <w:rFonts w:hint="eastAsia"/>
                <w:color w:val="auto"/>
                <w:spacing w:val="5"/>
                <w:sz w:val="21"/>
                <w:szCs w:val="21"/>
                <w:highlight w:val="none"/>
                <w:lang w:eastAsia="zh-CN"/>
              </w:rPr>
              <w:t>设计</w:t>
            </w:r>
            <w:r>
              <w:rPr>
                <w:color w:val="auto"/>
                <w:spacing w:val="5"/>
                <w:sz w:val="21"/>
                <w:szCs w:val="21"/>
                <w:highlight w:val="none"/>
              </w:rPr>
              <w:t>能为项目质量与进度提供超额保障。</w:t>
            </w:r>
          </w:p>
        </w:tc>
        <w:tc>
          <w:tcPr>
            <w:tcW w:w="666" w:type="dxa"/>
            <w:vAlign w:val="center"/>
          </w:tcPr>
          <w:p w14:paraId="39FC84DA">
            <w:pPr>
              <w:jc w:val="center"/>
              <w:rPr>
                <w:rFonts w:ascii="宋体" w:hAnsi="宋体" w:cs="宋体"/>
                <w:color w:val="auto"/>
                <w:szCs w:val="21"/>
                <w:highlight w:val="none"/>
              </w:rPr>
            </w:pPr>
            <w:r>
              <w:rPr>
                <w:rFonts w:hint="eastAsia" w:ascii="宋体" w:hAnsi="宋体" w:cs="宋体"/>
                <w:color w:val="auto"/>
                <w:szCs w:val="21"/>
                <w:highlight w:val="none"/>
              </w:rPr>
              <w:t>6分</w:t>
            </w:r>
          </w:p>
        </w:tc>
      </w:tr>
      <w:tr w14:paraId="70C8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6" w:hRule="atLeast"/>
          <w:jc w:val="center"/>
        </w:trPr>
        <w:tc>
          <w:tcPr>
            <w:tcW w:w="639" w:type="dxa"/>
            <w:vAlign w:val="center"/>
          </w:tcPr>
          <w:p w14:paraId="0CD07625">
            <w:pPr>
              <w:rPr>
                <w:rFonts w:ascii="宋体" w:hAnsi="宋体" w:cs="宋体"/>
                <w:color w:val="auto"/>
                <w:szCs w:val="21"/>
                <w:highlight w:val="none"/>
              </w:rPr>
            </w:pPr>
          </w:p>
        </w:tc>
        <w:tc>
          <w:tcPr>
            <w:tcW w:w="682" w:type="dxa"/>
            <w:vAlign w:val="center"/>
          </w:tcPr>
          <w:p w14:paraId="4533683D">
            <w:pPr>
              <w:rPr>
                <w:rFonts w:ascii="宋体" w:hAnsi="宋体" w:cs="宋体"/>
                <w:color w:val="auto"/>
                <w:szCs w:val="21"/>
                <w:highlight w:val="none"/>
              </w:rPr>
            </w:pPr>
          </w:p>
        </w:tc>
        <w:tc>
          <w:tcPr>
            <w:tcW w:w="7162" w:type="dxa"/>
            <w:vAlign w:val="center"/>
          </w:tcPr>
          <w:p w14:paraId="44853778">
            <w:pPr>
              <w:spacing w:line="264" w:lineRule="auto"/>
              <w:rPr>
                <w:rFonts w:ascii="宋体" w:hAnsi="宋体" w:cs="宋体"/>
                <w:b/>
                <w:color w:val="auto"/>
                <w:kern w:val="0"/>
                <w:szCs w:val="21"/>
                <w:highlight w:val="none"/>
              </w:rPr>
            </w:pPr>
            <w:r>
              <w:rPr>
                <w:rFonts w:hint="eastAsia" w:ascii="宋体" w:hAnsi="宋体" w:cs="宋体"/>
                <w:b/>
                <w:color w:val="auto"/>
                <w:kern w:val="0"/>
                <w:szCs w:val="21"/>
                <w:highlight w:val="none"/>
              </w:rPr>
              <w:t>5.保额梯档(满分14分)</w:t>
            </w:r>
          </w:p>
          <w:p w14:paraId="648CF2EF">
            <w:pPr>
              <w:pStyle w:val="92"/>
              <w:spacing w:line="264" w:lineRule="auto"/>
              <w:rPr>
                <w:color w:val="auto"/>
                <w:spacing w:val="5"/>
                <w:sz w:val="21"/>
                <w:szCs w:val="21"/>
                <w:highlight w:val="none"/>
              </w:rPr>
            </w:pPr>
            <w:r>
              <w:rPr>
                <w:rFonts w:hint="eastAsia"/>
                <w:color w:val="auto"/>
                <w:spacing w:val="5"/>
                <w:sz w:val="21"/>
                <w:szCs w:val="21"/>
                <w:highlight w:val="none"/>
              </w:rPr>
              <w:t>① 医疗责任每人赔偿限额：在30万元的基础上，每增加</w:t>
            </w:r>
            <w:r>
              <w:rPr>
                <w:rFonts w:hint="eastAsia"/>
                <w:color w:val="auto"/>
                <w:spacing w:val="5"/>
                <w:sz w:val="21"/>
                <w:szCs w:val="21"/>
                <w:highlight w:val="none"/>
                <w:lang w:eastAsia="zh-CN"/>
              </w:rPr>
              <w:t>2</w:t>
            </w:r>
            <w:r>
              <w:rPr>
                <w:rFonts w:hint="eastAsia"/>
                <w:color w:val="auto"/>
                <w:spacing w:val="5"/>
                <w:sz w:val="21"/>
                <w:szCs w:val="21"/>
                <w:highlight w:val="none"/>
              </w:rPr>
              <w:t>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26C6FE84">
            <w:pPr>
              <w:pStyle w:val="92"/>
              <w:spacing w:line="264" w:lineRule="auto"/>
              <w:rPr>
                <w:color w:val="auto"/>
                <w:spacing w:val="5"/>
                <w:sz w:val="21"/>
                <w:szCs w:val="21"/>
                <w:highlight w:val="none"/>
              </w:rPr>
            </w:pPr>
            <w:r>
              <w:rPr>
                <w:rFonts w:hint="eastAsia"/>
                <w:color w:val="auto"/>
                <w:spacing w:val="5"/>
                <w:sz w:val="21"/>
                <w:szCs w:val="21"/>
                <w:highlight w:val="none"/>
              </w:rPr>
              <w:t>② 医疗责任累计赔偿限额：在200万元的基础上，每增加</w:t>
            </w:r>
            <w:r>
              <w:rPr>
                <w:rFonts w:hint="eastAsia"/>
                <w:color w:val="auto"/>
                <w:spacing w:val="5"/>
                <w:sz w:val="21"/>
                <w:szCs w:val="21"/>
                <w:highlight w:val="none"/>
                <w:lang w:eastAsia="zh-CN"/>
              </w:rPr>
              <w:t>20</w:t>
            </w:r>
            <w:r>
              <w:rPr>
                <w:rFonts w:hint="eastAsia"/>
                <w:color w:val="auto"/>
                <w:spacing w:val="5"/>
                <w:sz w:val="21"/>
                <w:szCs w:val="21"/>
                <w:highlight w:val="none"/>
              </w:rPr>
              <w:t>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05825E45">
            <w:pPr>
              <w:pStyle w:val="92"/>
              <w:spacing w:line="264" w:lineRule="auto"/>
              <w:rPr>
                <w:color w:val="auto"/>
                <w:spacing w:val="5"/>
                <w:sz w:val="21"/>
                <w:szCs w:val="21"/>
                <w:highlight w:val="none"/>
              </w:rPr>
            </w:pPr>
            <w:r>
              <w:rPr>
                <w:rFonts w:hint="eastAsia"/>
                <w:color w:val="auto"/>
                <w:spacing w:val="5"/>
                <w:sz w:val="21"/>
                <w:szCs w:val="21"/>
                <w:highlight w:val="none"/>
              </w:rPr>
              <w:t>③ 法律费用累计赔偿限额：在30万元的基础上，每增加</w:t>
            </w:r>
            <w:r>
              <w:rPr>
                <w:rFonts w:hint="eastAsia"/>
                <w:color w:val="auto"/>
                <w:spacing w:val="5"/>
                <w:sz w:val="21"/>
                <w:szCs w:val="21"/>
                <w:highlight w:val="none"/>
                <w:lang w:eastAsia="zh-CN"/>
              </w:rPr>
              <w:t>2</w:t>
            </w:r>
            <w:r>
              <w:rPr>
                <w:rFonts w:hint="eastAsia"/>
                <w:color w:val="auto"/>
                <w:spacing w:val="5"/>
                <w:sz w:val="21"/>
                <w:szCs w:val="21"/>
                <w:highlight w:val="none"/>
              </w:rPr>
              <w:t>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2B64F693">
            <w:pPr>
              <w:pStyle w:val="92"/>
              <w:spacing w:line="264" w:lineRule="auto"/>
              <w:rPr>
                <w:color w:val="auto"/>
                <w:spacing w:val="5"/>
                <w:sz w:val="21"/>
                <w:szCs w:val="21"/>
                <w:highlight w:val="none"/>
              </w:rPr>
            </w:pPr>
            <w:r>
              <w:rPr>
                <w:rFonts w:hint="eastAsia"/>
                <w:color w:val="auto"/>
                <w:spacing w:val="5"/>
                <w:sz w:val="21"/>
                <w:szCs w:val="21"/>
                <w:highlight w:val="none"/>
              </w:rPr>
              <w:t>④ 法律费用每次索赔赔偿限额：在4.5万元的基础上，每增加</w:t>
            </w:r>
            <w:r>
              <w:rPr>
                <w:rFonts w:hint="eastAsia"/>
                <w:color w:val="auto"/>
                <w:spacing w:val="5"/>
                <w:sz w:val="21"/>
                <w:szCs w:val="21"/>
                <w:highlight w:val="none"/>
                <w:lang w:eastAsia="zh-CN"/>
              </w:rPr>
              <w:t>0.5</w:t>
            </w:r>
            <w:r>
              <w:rPr>
                <w:rFonts w:hint="eastAsia"/>
                <w:color w:val="auto"/>
                <w:spacing w:val="5"/>
                <w:sz w:val="21"/>
                <w:szCs w:val="21"/>
                <w:highlight w:val="none"/>
              </w:rPr>
              <w:t>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456A845C">
            <w:pPr>
              <w:pStyle w:val="92"/>
              <w:spacing w:line="264" w:lineRule="auto"/>
              <w:rPr>
                <w:color w:val="auto"/>
                <w:spacing w:val="5"/>
                <w:sz w:val="21"/>
                <w:szCs w:val="21"/>
                <w:highlight w:val="none"/>
              </w:rPr>
            </w:pPr>
            <w:r>
              <w:rPr>
                <w:rFonts w:hint="eastAsia"/>
                <w:color w:val="auto"/>
                <w:spacing w:val="5"/>
                <w:sz w:val="21"/>
                <w:szCs w:val="21"/>
                <w:highlight w:val="none"/>
              </w:rPr>
              <w:t>⑤ 精神损害每人责任限额：在9万元的基础上，每增加</w:t>
            </w:r>
            <w:r>
              <w:rPr>
                <w:rFonts w:hint="eastAsia"/>
                <w:color w:val="auto"/>
                <w:spacing w:val="5"/>
                <w:sz w:val="21"/>
                <w:szCs w:val="21"/>
                <w:highlight w:val="none"/>
                <w:lang w:eastAsia="zh-CN"/>
              </w:rPr>
              <w:t>0.5</w:t>
            </w:r>
            <w:r>
              <w:rPr>
                <w:rFonts w:hint="eastAsia"/>
                <w:color w:val="auto"/>
                <w:spacing w:val="5"/>
                <w:sz w:val="21"/>
                <w:szCs w:val="21"/>
                <w:highlight w:val="none"/>
              </w:rPr>
              <w:t>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1FF02C0F">
            <w:pPr>
              <w:pStyle w:val="92"/>
              <w:spacing w:line="264" w:lineRule="auto"/>
              <w:rPr>
                <w:color w:val="auto"/>
                <w:spacing w:val="5"/>
                <w:sz w:val="21"/>
                <w:szCs w:val="21"/>
                <w:highlight w:val="none"/>
              </w:rPr>
            </w:pPr>
            <w:r>
              <w:rPr>
                <w:rFonts w:hint="eastAsia"/>
                <w:color w:val="auto"/>
                <w:spacing w:val="5"/>
                <w:sz w:val="21"/>
                <w:szCs w:val="21"/>
                <w:highlight w:val="none"/>
              </w:rPr>
              <w:t>⑥ 医疗意外责任每人限额：在</w:t>
            </w:r>
            <w:r>
              <w:rPr>
                <w:rFonts w:hint="eastAsia"/>
                <w:color w:val="auto"/>
                <w:spacing w:val="5"/>
                <w:sz w:val="21"/>
                <w:szCs w:val="21"/>
                <w:highlight w:val="none"/>
                <w:lang w:eastAsia="zh-CN"/>
              </w:rPr>
              <w:t>9</w:t>
            </w:r>
            <w:r>
              <w:rPr>
                <w:rFonts w:hint="eastAsia"/>
                <w:color w:val="auto"/>
                <w:spacing w:val="5"/>
                <w:sz w:val="21"/>
                <w:szCs w:val="21"/>
                <w:highlight w:val="none"/>
              </w:rPr>
              <w:t>万元（30万元×3</w:t>
            </w:r>
            <w:r>
              <w:rPr>
                <w:rFonts w:hint="eastAsia"/>
                <w:color w:val="auto"/>
                <w:spacing w:val="5"/>
                <w:sz w:val="21"/>
                <w:szCs w:val="21"/>
                <w:highlight w:val="none"/>
                <w:lang w:eastAsia="zh-CN"/>
              </w:rPr>
              <w:t>0</w:t>
            </w:r>
            <w:r>
              <w:rPr>
                <w:rFonts w:hint="eastAsia"/>
                <w:color w:val="auto"/>
                <w:spacing w:val="5"/>
                <w:sz w:val="21"/>
                <w:szCs w:val="21"/>
                <w:highlight w:val="none"/>
              </w:rPr>
              <w:t>%）的基础上，每增加1万元得1分，最高得</w:t>
            </w:r>
            <w:r>
              <w:rPr>
                <w:rFonts w:hint="eastAsia"/>
                <w:color w:val="auto"/>
                <w:spacing w:val="5"/>
                <w:sz w:val="21"/>
                <w:szCs w:val="21"/>
                <w:highlight w:val="none"/>
                <w:lang w:eastAsia="zh-CN"/>
              </w:rPr>
              <w:t>2</w:t>
            </w:r>
            <w:r>
              <w:rPr>
                <w:rFonts w:hint="eastAsia"/>
                <w:color w:val="auto"/>
                <w:spacing w:val="5"/>
                <w:sz w:val="21"/>
                <w:szCs w:val="21"/>
                <w:highlight w:val="none"/>
              </w:rPr>
              <w:t>分；</w:t>
            </w:r>
          </w:p>
          <w:p w14:paraId="38A29098">
            <w:pPr>
              <w:spacing w:line="264" w:lineRule="auto"/>
              <w:rPr>
                <w:rFonts w:ascii="宋体" w:hAnsi="宋体" w:cs="宋体"/>
                <w:color w:val="auto"/>
                <w:spacing w:val="-1"/>
                <w:szCs w:val="21"/>
                <w:highlight w:val="none"/>
              </w:rPr>
            </w:pPr>
            <w:r>
              <w:rPr>
                <w:rFonts w:hint="eastAsia" w:ascii="宋体" w:hAnsi="宋体" w:cs="宋体"/>
                <w:color w:val="auto"/>
                <w:spacing w:val="5"/>
                <w:szCs w:val="21"/>
                <w:highlight w:val="none"/>
              </w:rPr>
              <w:t>⑦ 医疗意外责任年度累计限额：在60万元（200万元×30%）的基础上，每增加5万元得1分，最高得2分。</w:t>
            </w:r>
          </w:p>
        </w:tc>
        <w:tc>
          <w:tcPr>
            <w:tcW w:w="666" w:type="dxa"/>
            <w:vAlign w:val="center"/>
          </w:tcPr>
          <w:p w14:paraId="72229785">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
              <w:t>14分</w:t>
            </w:r>
          </w:p>
        </w:tc>
      </w:tr>
      <w:tr w14:paraId="54F1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4" w:hRule="atLeast"/>
          <w:jc w:val="center"/>
        </w:trPr>
        <w:tc>
          <w:tcPr>
            <w:tcW w:w="639" w:type="dxa"/>
            <w:vAlign w:val="center"/>
          </w:tcPr>
          <w:p w14:paraId="58FFE339">
            <w:pPr>
              <w:rPr>
                <w:rFonts w:ascii="宋体" w:hAnsi="宋体" w:cs="宋体"/>
                <w:color w:val="auto"/>
                <w:szCs w:val="21"/>
                <w:highlight w:val="none"/>
              </w:rPr>
            </w:pPr>
          </w:p>
        </w:tc>
        <w:tc>
          <w:tcPr>
            <w:tcW w:w="682" w:type="dxa"/>
            <w:vAlign w:val="center"/>
          </w:tcPr>
          <w:p w14:paraId="4C08189B">
            <w:pPr>
              <w:rPr>
                <w:rFonts w:ascii="宋体" w:hAnsi="宋体" w:cs="宋体"/>
                <w:color w:val="auto"/>
                <w:szCs w:val="21"/>
                <w:highlight w:val="none"/>
              </w:rPr>
            </w:pPr>
          </w:p>
        </w:tc>
        <w:tc>
          <w:tcPr>
            <w:tcW w:w="7162" w:type="dxa"/>
            <w:vAlign w:val="center"/>
          </w:tcPr>
          <w:p w14:paraId="53D74E48">
            <w:pPr>
              <w:spacing w:line="264" w:lineRule="auto"/>
              <w:rPr>
                <w:rFonts w:ascii="宋体" w:hAnsi="宋体" w:cs="宋体"/>
                <w:b/>
                <w:bCs/>
                <w:color w:val="auto"/>
                <w:spacing w:val="-1"/>
                <w:szCs w:val="21"/>
                <w:highlight w:val="none"/>
              </w:rPr>
            </w:pPr>
            <w:r>
              <w:rPr>
                <w:rFonts w:hint="eastAsia" w:ascii="宋体" w:hAnsi="宋体" w:cs="宋体"/>
                <w:b/>
                <w:bCs/>
                <w:color w:val="auto"/>
                <w:spacing w:val="7"/>
                <w:szCs w:val="21"/>
                <w:highlight w:val="none"/>
              </w:rPr>
              <w:t>6.增值服务</w:t>
            </w:r>
            <w:r>
              <w:rPr>
                <w:rFonts w:hint="eastAsia" w:ascii="宋体" w:hAnsi="宋体" w:cs="宋体"/>
                <w:b/>
                <w:bCs/>
                <w:color w:val="auto"/>
                <w:spacing w:val="-1"/>
                <w:szCs w:val="21"/>
                <w:highlight w:val="none"/>
              </w:rPr>
              <w:t>（满分</w:t>
            </w:r>
            <w:r>
              <w:rPr>
                <w:rFonts w:hint="eastAsia" w:ascii="宋体" w:hAnsi="宋体" w:cs="宋体"/>
                <w:b/>
                <w:bCs/>
                <w:color w:val="auto"/>
                <w:spacing w:val="-36"/>
                <w:szCs w:val="21"/>
                <w:highlight w:val="none"/>
              </w:rPr>
              <w:t>3</w:t>
            </w:r>
            <w:r>
              <w:rPr>
                <w:rFonts w:hint="eastAsia" w:ascii="宋体" w:hAnsi="宋体" w:cs="宋体"/>
                <w:b/>
                <w:bCs/>
                <w:color w:val="auto"/>
                <w:spacing w:val="-1"/>
                <w:szCs w:val="21"/>
                <w:highlight w:val="none"/>
              </w:rPr>
              <w:t>分）</w:t>
            </w:r>
          </w:p>
          <w:p w14:paraId="7A96C555">
            <w:pPr>
              <w:pStyle w:val="92"/>
              <w:spacing w:line="264" w:lineRule="auto"/>
              <w:rPr>
                <w:color w:val="auto"/>
                <w:spacing w:val="5"/>
                <w:sz w:val="21"/>
                <w:szCs w:val="21"/>
                <w:highlight w:val="none"/>
              </w:rPr>
            </w:pPr>
            <w:r>
              <w:rPr>
                <w:rFonts w:hint="eastAsia"/>
                <w:color w:val="auto"/>
                <w:spacing w:val="5"/>
                <w:sz w:val="21"/>
                <w:szCs w:val="21"/>
                <w:highlight w:val="none"/>
              </w:rPr>
              <w:t>一档（0分）：未针对本项目提供增值服务。</w:t>
            </w:r>
          </w:p>
          <w:p w14:paraId="27F23304">
            <w:pPr>
              <w:pStyle w:val="92"/>
              <w:spacing w:line="264" w:lineRule="auto"/>
              <w:rPr>
                <w:color w:val="auto"/>
                <w:spacing w:val="5"/>
                <w:sz w:val="21"/>
                <w:szCs w:val="21"/>
                <w:highlight w:val="none"/>
                <w:lang w:eastAsia="zh-CN"/>
              </w:rPr>
            </w:pPr>
            <w:r>
              <w:rPr>
                <w:rFonts w:hint="eastAsia"/>
                <w:color w:val="auto"/>
                <w:spacing w:val="5"/>
                <w:sz w:val="21"/>
                <w:szCs w:val="21"/>
                <w:highlight w:val="none"/>
              </w:rPr>
              <w:t>二档（</w:t>
            </w:r>
            <w:r>
              <w:rPr>
                <w:rFonts w:hint="eastAsia"/>
                <w:color w:val="auto"/>
                <w:spacing w:val="5"/>
                <w:sz w:val="21"/>
                <w:szCs w:val="21"/>
                <w:highlight w:val="none"/>
                <w:lang w:eastAsia="zh-CN"/>
              </w:rPr>
              <w:t>1</w:t>
            </w:r>
            <w:r>
              <w:rPr>
                <w:rFonts w:hint="eastAsia"/>
                <w:color w:val="auto"/>
                <w:spacing w:val="5"/>
                <w:sz w:val="21"/>
                <w:szCs w:val="21"/>
                <w:highlight w:val="none"/>
              </w:rPr>
              <w:t>分）：在满足本项目服务要求的基础上，能提供业务服务管理范围，各项业务流程内容齐全</w:t>
            </w:r>
            <w:r>
              <w:rPr>
                <w:rFonts w:hint="eastAsia"/>
                <w:color w:val="auto"/>
                <w:spacing w:val="5"/>
                <w:sz w:val="21"/>
                <w:szCs w:val="21"/>
                <w:highlight w:val="none"/>
                <w:lang w:eastAsia="zh-CN"/>
              </w:rPr>
              <w:t>且在接到采购人通知后，承诺‌24小时内派服务专员上门对接，完成保单签订、资料收集及需求确认。</w:t>
            </w:r>
          </w:p>
          <w:p w14:paraId="550290C6">
            <w:pPr>
              <w:pStyle w:val="92"/>
              <w:spacing w:line="264" w:lineRule="auto"/>
              <w:rPr>
                <w:color w:val="auto"/>
                <w:spacing w:val="5"/>
                <w:sz w:val="21"/>
                <w:szCs w:val="21"/>
                <w:highlight w:val="none"/>
                <w:lang w:eastAsia="zh-CN"/>
              </w:rPr>
            </w:pPr>
            <w:r>
              <w:rPr>
                <w:rFonts w:hint="eastAsia"/>
                <w:color w:val="auto"/>
                <w:spacing w:val="5"/>
                <w:sz w:val="21"/>
                <w:szCs w:val="21"/>
                <w:highlight w:val="none"/>
              </w:rPr>
              <w:t>三档（</w:t>
            </w:r>
            <w:r>
              <w:rPr>
                <w:rFonts w:hint="eastAsia"/>
                <w:color w:val="auto"/>
                <w:spacing w:val="5"/>
                <w:sz w:val="21"/>
                <w:szCs w:val="21"/>
                <w:highlight w:val="none"/>
                <w:lang w:eastAsia="zh-CN"/>
              </w:rPr>
              <w:t>2</w:t>
            </w:r>
            <w:r>
              <w:rPr>
                <w:rFonts w:hint="eastAsia"/>
                <w:color w:val="auto"/>
                <w:spacing w:val="5"/>
                <w:sz w:val="21"/>
                <w:szCs w:val="21"/>
                <w:highlight w:val="none"/>
              </w:rPr>
              <w:t>分）：在二档的基础上，提供具有针对性的服务承诺，承保期间至少提供2次定期回访，对各项业务流程提供详细的分解和介绍，并提供合理有效的管理措</w:t>
            </w:r>
            <w:r>
              <w:rPr>
                <w:rFonts w:hint="eastAsia"/>
                <w:color w:val="auto"/>
                <w:spacing w:val="5"/>
                <w:sz w:val="21"/>
                <w:szCs w:val="21"/>
                <w:highlight w:val="none"/>
                <w:lang w:eastAsia="zh-CN"/>
              </w:rPr>
              <w:t>且在接到采购人通知后，承诺12小时内派服务专员上门对接，完成保单签订、资料收集及需求确认。</w:t>
            </w:r>
          </w:p>
          <w:p w14:paraId="6BDD6477">
            <w:pPr>
              <w:widowControl/>
              <w:jc w:val="left"/>
              <w:rPr>
                <w:rFonts w:ascii="宋体" w:hAnsi="宋体" w:cs="宋体"/>
                <w:color w:val="auto"/>
                <w:spacing w:val="-1"/>
                <w:szCs w:val="21"/>
                <w:highlight w:val="none"/>
              </w:rPr>
            </w:pPr>
            <w:r>
              <w:rPr>
                <w:rFonts w:hint="eastAsia" w:ascii="宋体" w:hAnsi="宋体" w:cs="宋体"/>
                <w:color w:val="auto"/>
                <w:spacing w:val="5"/>
                <w:szCs w:val="21"/>
                <w:highlight w:val="none"/>
              </w:rPr>
              <w:t>四档（3分）：在三档的基础上，承保期间提供 3 次及以上定期回访，并有回访工作计划和满意度调查且在接到采购人通知后，承诺8小时内派服务专员上门对接，完成保单签订、资料收集及需求确认，</w:t>
            </w:r>
            <w:r>
              <w:rPr>
                <w:rFonts w:hint="eastAsia" w:ascii="宋体" w:hAnsi="宋体" w:cs="宋体"/>
                <w:color w:val="auto"/>
                <w:kern w:val="0"/>
                <w:sz w:val="20"/>
                <w:szCs w:val="20"/>
                <w:highlight w:val="none"/>
              </w:rPr>
              <w:t>并有回访工作计划和满意度调查。</w:t>
            </w:r>
          </w:p>
        </w:tc>
        <w:tc>
          <w:tcPr>
            <w:tcW w:w="666" w:type="dxa"/>
            <w:vAlign w:val="center"/>
          </w:tcPr>
          <w:p w14:paraId="5461A56E">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
              <w:t>3分</w:t>
            </w:r>
          </w:p>
        </w:tc>
      </w:tr>
      <w:tr w14:paraId="22CD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2" w:hRule="atLeast"/>
          <w:jc w:val="center"/>
        </w:trPr>
        <w:tc>
          <w:tcPr>
            <w:tcW w:w="639" w:type="dxa"/>
            <w:vMerge w:val="restart"/>
            <w:vAlign w:val="center"/>
          </w:tcPr>
          <w:p w14:paraId="3592001C">
            <w:pPr>
              <w:ind w:firstLine="210" w:firstLineChars="100"/>
              <w:rPr>
                <w:rFonts w:ascii="宋体" w:hAnsi="宋体" w:cs="宋体"/>
                <w:color w:val="auto"/>
                <w:szCs w:val="21"/>
                <w:highlight w:val="none"/>
              </w:rPr>
            </w:pPr>
            <w:r>
              <w:rPr>
                <w:rFonts w:hint="eastAsia" w:ascii="宋体" w:hAnsi="宋体" w:cs="宋体"/>
                <w:color w:val="auto"/>
                <w:szCs w:val="21"/>
                <w:highlight w:val="none"/>
              </w:rPr>
              <w:t>3</w:t>
            </w:r>
          </w:p>
        </w:tc>
        <w:tc>
          <w:tcPr>
            <w:tcW w:w="682" w:type="dxa"/>
            <w:vMerge w:val="restart"/>
            <w:vAlign w:val="center"/>
          </w:tcPr>
          <w:p w14:paraId="5F73C5DC">
            <w:pPr>
              <w:rPr>
                <w:rFonts w:ascii="宋体" w:hAnsi="宋体" w:cs="宋体"/>
                <w:color w:val="auto"/>
                <w:szCs w:val="21"/>
                <w:highlight w:val="none"/>
              </w:rPr>
            </w:pPr>
            <w:r>
              <w:rPr>
                <w:rFonts w:hint="eastAsia" w:ascii="宋体" w:hAnsi="宋体" w:cs="宋体"/>
                <w:color w:val="auto"/>
                <w:szCs w:val="21"/>
                <w:highlight w:val="none"/>
              </w:rPr>
              <w:t>商务分（满分14）</w:t>
            </w:r>
          </w:p>
        </w:tc>
        <w:tc>
          <w:tcPr>
            <w:tcW w:w="7162" w:type="dxa"/>
            <w:vAlign w:val="center"/>
          </w:tcPr>
          <w:p w14:paraId="02B27EB8">
            <w:pPr>
              <w:snapToGrid w:val="0"/>
              <w:spacing w:line="360" w:lineRule="auto"/>
              <w:jc w:val="left"/>
              <w:rPr>
                <w:rFonts w:ascii="宋体" w:hAnsi="宋体" w:cs="宋体"/>
                <w:b/>
                <w:bCs/>
                <w:color w:val="auto"/>
                <w:spacing w:val="-2"/>
                <w:szCs w:val="21"/>
                <w:highlight w:val="none"/>
              </w:rPr>
            </w:pPr>
            <w:r>
              <w:rPr>
                <w:rFonts w:hint="eastAsia" w:ascii="宋体" w:hAnsi="宋体" w:cs="宋体"/>
                <w:bCs/>
                <w:color w:val="auto"/>
                <w:kern w:val="0"/>
                <w:szCs w:val="21"/>
                <w:highlight w:val="none"/>
              </w:rPr>
              <w:t>供应商（或供应商所属总公司）</w:t>
            </w:r>
            <w:r>
              <w:rPr>
                <w:rFonts w:hint="eastAsia" w:ascii="宋体" w:hAnsi="宋体" w:cs="宋体"/>
                <w:color w:val="auto"/>
                <w:szCs w:val="21"/>
                <w:highlight w:val="none"/>
              </w:rPr>
              <w:t>2026年第一季度经审计的综合偿付能力充足率评分：</w:t>
            </w:r>
          </w:p>
          <w:p w14:paraId="3E19F0A0">
            <w:pPr>
              <w:rPr>
                <w:rFonts w:ascii="宋体" w:hAnsi="宋体" w:cs="宋体"/>
                <w:b/>
                <w:bCs/>
                <w:color w:val="auto"/>
                <w:spacing w:val="-2"/>
                <w:szCs w:val="21"/>
                <w:highlight w:val="none"/>
              </w:rPr>
            </w:pPr>
            <w:r>
              <w:rPr>
                <w:rFonts w:hint="eastAsia" w:ascii="宋体" w:hAnsi="宋体" w:cs="宋体"/>
                <w:b/>
                <w:bCs/>
                <w:snapToGrid w:val="0"/>
                <w:color w:val="auto"/>
                <w:spacing w:val="-2"/>
                <w:kern w:val="0"/>
                <w:szCs w:val="21"/>
                <w:highlight w:val="none"/>
              </w:rPr>
              <w:t>1</w:t>
            </w:r>
            <w:r>
              <w:rPr>
                <w:rFonts w:hint="eastAsia" w:ascii="宋体" w:hAnsi="宋体" w:cs="宋体"/>
                <w:b/>
                <w:bCs/>
                <w:snapToGrid w:val="0"/>
                <w:color w:val="auto"/>
                <w:spacing w:val="-2"/>
                <w:kern w:val="0"/>
                <w:szCs w:val="21"/>
                <w:highlight w:val="none"/>
                <w:lang w:eastAsia="en-US"/>
              </w:rPr>
              <w:t>.</w:t>
            </w:r>
            <w:r>
              <w:rPr>
                <w:rFonts w:hint="eastAsia" w:ascii="宋体" w:hAnsi="宋体" w:cs="宋体"/>
                <w:b/>
                <w:bCs/>
                <w:color w:val="auto"/>
                <w:spacing w:val="7"/>
                <w:szCs w:val="21"/>
                <w:highlight w:val="none"/>
              </w:rPr>
              <w:t>偿付能力</w:t>
            </w:r>
            <w:r>
              <w:rPr>
                <w:rFonts w:hint="eastAsia" w:ascii="宋体" w:hAnsi="宋体" w:cs="宋体"/>
                <w:b/>
                <w:bCs/>
                <w:color w:val="auto"/>
                <w:spacing w:val="-2"/>
                <w:szCs w:val="21"/>
                <w:highlight w:val="none"/>
              </w:rPr>
              <w:t>（满分4分）</w:t>
            </w:r>
          </w:p>
          <w:p w14:paraId="47E6F47B">
            <w:pPr>
              <w:pStyle w:val="92"/>
              <w:spacing w:line="264" w:lineRule="auto"/>
              <w:rPr>
                <w:color w:val="auto"/>
                <w:sz w:val="21"/>
                <w:szCs w:val="21"/>
                <w:highlight w:val="none"/>
              </w:rPr>
            </w:pPr>
            <w:r>
              <w:rPr>
                <w:rFonts w:hint="eastAsia"/>
                <w:color w:val="auto"/>
                <w:spacing w:val="5"/>
                <w:sz w:val="21"/>
                <w:szCs w:val="21"/>
                <w:highlight w:val="none"/>
              </w:rPr>
              <w:t>（1）综合偿付能力充足率低于100%的，得0分。</w:t>
            </w:r>
          </w:p>
          <w:p w14:paraId="45347ECA">
            <w:pPr>
              <w:pStyle w:val="92"/>
              <w:spacing w:line="264" w:lineRule="auto"/>
              <w:rPr>
                <w:color w:val="auto"/>
                <w:sz w:val="21"/>
                <w:szCs w:val="21"/>
                <w:highlight w:val="none"/>
              </w:rPr>
            </w:pPr>
            <w:r>
              <w:rPr>
                <w:rFonts w:hint="eastAsia"/>
                <w:color w:val="auto"/>
                <w:spacing w:val="1"/>
                <w:sz w:val="21"/>
                <w:szCs w:val="21"/>
                <w:highlight w:val="none"/>
              </w:rPr>
              <w:t>（2）综合偿付能力充足率达到100%（含）</w:t>
            </w:r>
            <w:r>
              <w:rPr>
                <w:rFonts w:hint="eastAsia"/>
                <w:color w:val="auto"/>
                <w:spacing w:val="1"/>
                <w:sz w:val="21"/>
                <w:szCs w:val="21"/>
                <w:highlight w:val="none"/>
                <w:lang w:eastAsia="zh-CN"/>
              </w:rPr>
              <w:t>-</w:t>
            </w:r>
            <w:r>
              <w:rPr>
                <w:rFonts w:hint="eastAsia"/>
                <w:color w:val="auto"/>
                <w:spacing w:val="1"/>
                <w:sz w:val="21"/>
                <w:szCs w:val="21"/>
                <w:highlight w:val="none"/>
              </w:rPr>
              <w:t>150%的，得</w:t>
            </w:r>
            <w:r>
              <w:rPr>
                <w:rFonts w:hint="eastAsia"/>
                <w:color w:val="auto"/>
                <w:spacing w:val="1"/>
                <w:sz w:val="21"/>
                <w:szCs w:val="21"/>
                <w:highlight w:val="none"/>
                <w:lang w:eastAsia="zh-CN"/>
              </w:rPr>
              <w:t>2</w:t>
            </w:r>
            <w:r>
              <w:rPr>
                <w:rFonts w:hint="eastAsia"/>
                <w:color w:val="auto"/>
                <w:spacing w:val="1"/>
                <w:sz w:val="21"/>
                <w:szCs w:val="21"/>
                <w:highlight w:val="none"/>
              </w:rPr>
              <w:t>分。</w:t>
            </w:r>
          </w:p>
          <w:p w14:paraId="6567DC04">
            <w:pPr>
              <w:pStyle w:val="92"/>
              <w:spacing w:line="264" w:lineRule="auto"/>
              <w:ind w:firstLine="7"/>
              <w:rPr>
                <w:color w:val="auto"/>
                <w:sz w:val="21"/>
                <w:szCs w:val="21"/>
                <w:highlight w:val="none"/>
              </w:rPr>
            </w:pPr>
            <w:r>
              <w:rPr>
                <w:rFonts w:hint="eastAsia"/>
                <w:color w:val="auto"/>
                <w:spacing w:val="5"/>
                <w:sz w:val="21"/>
                <w:szCs w:val="21"/>
                <w:highlight w:val="none"/>
              </w:rPr>
              <w:t>（3）综合偿付能力充足率高于150%（含）的，得</w:t>
            </w:r>
            <w:r>
              <w:rPr>
                <w:rFonts w:hint="eastAsia"/>
                <w:color w:val="auto"/>
                <w:spacing w:val="-35"/>
                <w:sz w:val="21"/>
                <w:szCs w:val="21"/>
                <w:highlight w:val="none"/>
                <w:lang w:eastAsia="zh-CN"/>
              </w:rPr>
              <w:t>4</w:t>
            </w:r>
            <w:r>
              <w:rPr>
                <w:rFonts w:hint="eastAsia"/>
                <w:color w:val="auto"/>
                <w:spacing w:val="4"/>
                <w:sz w:val="21"/>
                <w:szCs w:val="21"/>
                <w:highlight w:val="none"/>
              </w:rPr>
              <w:t>分。</w:t>
            </w:r>
          </w:p>
          <w:p w14:paraId="4A2DA3B0">
            <w:pPr>
              <w:pStyle w:val="92"/>
              <w:spacing w:line="264" w:lineRule="auto"/>
              <w:ind w:firstLine="7"/>
              <w:rPr>
                <w:color w:val="auto"/>
                <w:spacing w:val="5"/>
                <w:sz w:val="21"/>
                <w:szCs w:val="21"/>
                <w:highlight w:val="none"/>
              </w:rPr>
            </w:pPr>
            <w:r>
              <w:rPr>
                <w:rFonts w:hint="eastAsia"/>
                <w:b/>
                <w:color w:val="auto"/>
                <w:kern w:val="0"/>
                <w:sz w:val="21"/>
                <w:szCs w:val="21"/>
                <w:highlight w:val="none"/>
                <w:lang w:eastAsia="zh-CN"/>
              </w:rPr>
              <w:t>证明材料要求：</w:t>
            </w:r>
            <w:r>
              <w:rPr>
                <w:rFonts w:hint="eastAsia"/>
                <w:color w:val="auto"/>
                <w:spacing w:val="5"/>
                <w:sz w:val="21"/>
                <w:szCs w:val="21"/>
                <w:highlight w:val="none"/>
                <w:lang w:eastAsia="zh-CN"/>
              </w:rPr>
              <w:t>需提供所属总公司2026年第一季度经审计偿付能力报告扫描件，加盖供应商公章。</w:t>
            </w:r>
          </w:p>
          <w:p w14:paraId="570C5833">
            <w:pPr>
              <w:spacing w:line="360" w:lineRule="auto"/>
              <w:rPr>
                <w:rFonts w:ascii="宋体" w:hAnsi="宋体" w:cs="宋体"/>
                <w:b/>
                <w:bCs/>
                <w:color w:val="auto"/>
                <w:szCs w:val="21"/>
                <w:highlight w:val="none"/>
              </w:rPr>
            </w:pPr>
            <w:r>
              <w:rPr>
                <w:rFonts w:hint="eastAsia" w:ascii="宋体" w:hAnsi="宋体" w:cs="宋体"/>
                <w:b/>
                <w:bCs/>
                <w:color w:val="auto"/>
                <w:spacing w:val="5"/>
                <w:szCs w:val="21"/>
                <w:highlight w:val="none"/>
              </w:rPr>
              <w:t>2.</w:t>
            </w:r>
            <w:r>
              <w:rPr>
                <w:rFonts w:ascii="宋体" w:hAnsi="宋体" w:cs="宋体"/>
                <w:b/>
                <w:bCs/>
                <w:color w:val="auto"/>
                <w:szCs w:val="21"/>
                <w:highlight w:val="none"/>
              </w:rPr>
              <w:t>风险综合评级（满分</w:t>
            </w:r>
            <w:r>
              <w:rPr>
                <w:rFonts w:hint="eastAsia" w:ascii="宋体" w:hAnsi="宋体" w:cs="宋体"/>
                <w:b/>
                <w:bCs/>
                <w:color w:val="auto"/>
                <w:szCs w:val="21"/>
                <w:highlight w:val="none"/>
              </w:rPr>
              <w:t>4</w:t>
            </w:r>
            <w:r>
              <w:rPr>
                <w:rFonts w:ascii="宋体" w:hAnsi="宋体" w:cs="宋体"/>
                <w:b/>
                <w:bCs/>
                <w:color w:val="auto"/>
                <w:szCs w:val="21"/>
                <w:highlight w:val="none"/>
              </w:rPr>
              <w:t>分）</w:t>
            </w:r>
          </w:p>
          <w:p w14:paraId="4876A383">
            <w:pPr>
              <w:spacing w:line="360" w:lineRule="auto"/>
              <w:rPr>
                <w:rFonts w:ascii="宋体" w:hAnsi="宋体" w:cs="宋体"/>
                <w:color w:val="auto"/>
                <w:szCs w:val="21"/>
                <w:highlight w:val="none"/>
              </w:rPr>
            </w:pPr>
            <w:r>
              <w:rPr>
                <w:rFonts w:hint="eastAsia" w:ascii="宋体" w:hAnsi="宋体" w:cs="宋体"/>
                <w:b/>
                <w:bCs/>
                <w:color w:val="auto"/>
                <w:szCs w:val="21"/>
                <w:highlight w:val="none"/>
              </w:rPr>
              <w:t>评分规则：</w:t>
            </w:r>
            <w:r>
              <w:rPr>
                <w:rFonts w:hint="eastAsia" w:ascii="宋体" w:hAnsi="宋体" w:cs="宋体"/>
                <w:color w:val="auto"/>
                <w:szCs w:val="21"/>
                <w:highlight w:val="none"/>
              </w:rPr>
              <w:t>以供应商总公司2026年度第一季度，在国家金融监督管理总局的综合风险评价等级评定结果为依据，具体对应：</w:t>
            </w:r>
          </w:p>
          <w:p w14:paraId="24265A03">
            <w:pPr>
              <w:spacing w:line="360" w:lineRule="auto"/>
              <w:rPr>
                <w:rFonts w:ascii="宋体" w:hAnsi="宋体" w:cs="宋体"/>
                <w:color w:val="auto"/>
                <w:szCs w:val="21"/>
                <w:highlight w:val="none"/>
              </w:rPr>
            </w:pPr>
            <w:r>
              <w:rPr>
                <w:rFonts w:hint="eastAsia" w:ascii="宋体" w:hAnsi="宋体" w:cs="宋体"/>
                <w:b/>
                <w:bCs/>
                <w:color w:val="auto"/>
                <w:szCs w:val="21"/>
                <w:highlight w:val="none"/>
              </w:rPr>
              <w:t>•评级为</w:t>
            </w:r>
            <w:r>
              <w:rPr>
                <w:rFonts w:hint="eastAsia" w:ascii="宋体" w:hAnsi="宋体" w:cs="宋体"/>
                <w:color w:val="auto"/>
                <w:szCs w:val="21"/>
                <w:highlight w:val="none"/>
              </w:rPr>
              <w:t>AA及以上的，每季度得4分</w:t>
            </w:r>
          </w:p>
          <w:p w14:paraId="73FC79F1">
            <w:pPr>
              <w:spacing w:line="360" w:lineRule="auto"/>
              <w:rPr>
                <w:rFonts w:ascii="宋体" w:hAnsi="宋体" w:cs="宋体"/>
                <w:color w:val="auto"/>
                <w:szCs w:val="21"/>
                <w:highlight w:val="none"/>
              </w:rPr>
            </w:pPr>
            <w:r>
              <w:rPr>
                <w:rFonts w:hint="eastAsia" w:ascii="宋体" w:hAnsi="宋体" w:cs="宋体"/>
                <w:b/>
                <w:bCs/>
                <w:color w:val="auto"/>
                <w:szCs w:val="21"/>
                <w:highlight w:val="none"/>
              </w:rPr>
              <w:t>•评级为</w:t>
            </w:r>
            <w:r>
              <w:rPr>
                <w:rFonts w:hint="eastAsia" w:ascii="宋体" w:hAnsi="宋体" w:cs="宋体"/>
                <w:color w:val="auto"/>
                <w:szCs w:val="21"/>
                <w:highlight w:val="none"/>
              </w:rPr>
              <w:t>A的，每季度得3分</w:t>
            </w:r>
          </w:p>
          <w:p w14:paraId="658B3A69">
            <w:pPr>
              <w:spacing w:line="360" w:lineRule="auto"/>
              <w:rPr>
                <w:rFonts w:ascii="宋体" w:hAnsi="宋体" w:cs="宋体"/>
                <w:color w:val="auto"/>
                <w:szCs w:val="21"/>
                <w:highlight w:val="none"/>
              </w:rPr>
            </w:pPr>
            <w:r>
              <w:rPr>
                <w:rFonts w:hint="eastAsia" w:ascii="宋体" w:hAnsi="宋体" w:cs="宋体"/>
                <w:b/>
                <w:bCs/>
                <w:color w:val="auto"/>
                <w:szCs w:val="21"/>
                <w:highlight w:val="none"/>
              </w:rPr>
              <w:t>•评级为</w:t>
            </w:r>
            <w:r>
              <w:rPr>
                <w:rFonts w:hint="eastAsia" w:ascii="宋体" w:hAnsi="宋体" w:cs="宋体"/>
                <w:color w:val="auto"/>
                <w:szCs w:val="21"/>
                <w:highlight w:val="none"/>
              </w:rPr>
              <w:t>BBB的，每季度得2分</w:t>
            </w:r>
          </w:p>
          <w:p w14:paraId="5405FA23">
            <w:pPr>
              <w:spacing w:line="360" w:lineRule="auto"/>
              <w:rPr>
                <w:rFonts w:ascii="宋体" w:hAnsi="宋体" w:cs="宋体"/>
                <w:color w:val="auto"/>
                <w:szCs w:val="21"/>
                <w:highlight w:val="none"/>
              </w:rPr>
            </w:pPr>
            <w:r>
              <w:rPr>
                <w:rFonts w:hint="eastAsia" w:ascii="宋体" w:hAnsi="宋体" w:cs="宋体"/>
                <w:b/>
                <w:bCs/>
                <w:color w:val="auto"/>
                <w:szCs w:val="21"/>
                <w:highlight w:val="none"/>
              </w:rPr>
              <w:t>•评级为</w:t>
            </w:r>
            <w:r>
              <w:rPr>
                <w:rFonts w:hint="eastAsia" w:ascii="宋体" w:hAnsi="宋体" w:cs="宋体"/>
                <w:color w:val="auto"/>
                <w:szCs w:val="21"/>
                <w:highlight w:val="none"/>
              </w:rPr>
              <w:t>BB的，每季度得1分</w:t>
            </w:r>
          </w:p>
          <w:p w14:paraId="0401D948">
            <w:pPr>
              <w:spacing w:line="360" w:lineRule="auto"/>
              <w:rPr>
                <w:rFonts w:ascii="宋体" w:hAnsi="宋体" w:cs="宋体"/>
                <w:color w:val="auto"/>
                <w:szCs w:val="21"/>
                <w:highlight w:val="none"/>
              </w:rPr>
            </w:pPr>
            <w:r>
              <w:rPr>
                <w:rFonts w:hint="eastAsia" w:ascii="宋体" w:hAnsi="宋体" w:cs="宋体"/>
                <w:b/>
                <w:bCs/>
                <w:color w:val="auto"/>
                <w:szCs w:val="21"/>
                <w:highlight w:val="none"/>
              </w:rPr>
              <w:t>•评级为</w:t>
            </w:r>
            <w:r>
              <w:rPr>
                <w:rFonts w:hint="eastAsia" w:ascii="宋体" w:hAnsi="宋体" w:cs="宋体"/>
                <w:color w:val="auto"/>
                <w:szCs w:val="21"/>
                <w:highlight w:val="none"/>
              </w:rPr>
              <w:t>B 以下的，该季度得0分</w:t>
            </w:r>
          </w:p>
          <w:p w14:paraId="0BC66591">
            <w:pPr>
              <w:pStyle w:val="92"/>
              <w:spacing w:line="264" w:lineRule="auto"/>
              <w:rPr>
                <w:b/>
                <w:bCs/>
                <w:color w:val="auto"/>
                <w:spacing w:val="-2"/>
                <w:sz w:val="21"/>
                <w:szCs w:val="21"/>
                <w:highlight w:val="none"/>
              </w:rPr>
            </w:pPr>
            <w:r>
              <w:rPr>
                <w:rFonts w:hint="eastAsia"/>
                <w:b/>
                <w:color w:val="auto"/>
                <w:kern w:val="0"/>
                <w:sz w:val="21"/>
                <w:szCs w:val="21"/>
                <w:highlight w:val="none"/>
                <w:lang w:eastAsia="zh-CN"/>
              </w:rPr>
              <w:t>证明材料要求：</w:t>
            </w:r>
            <w:r>
              <w:rPr>
                <w:rFonts w:hint="eastAsia"/>
                <w:color w:val="auto"/>
                <w:spacing w:val="5"/>
                <w:sz w:val="21"/>
                <w:szCs w:val="21"/>
                <w:highlight w:val="none"/>
              </w:rPr>
              <w:t>须提供上述</w:t>
            </w:r>
            <w:r>
              <w:rPr>
                <w:rFonts w:hint="eastAsia"/>
                <w:color w:val="auto"/>
                <w:spacing w:val="5"/>
                <w:sz w:val="21"/>
                <w:szCs w:val="21"/>
                <w:highlight w:val="none"/>
                <w:lang w:eastAsia="zh-CN"/>
              </w:rPr>
              <w:t>第一</w:t>
            </w:r>
            <w:r>
              <w:rPr>
                <w:rFonts w:hint="eastAsia"/>
                <w:color w:val="auto"/>
                <w:spacing w:val="5"/>
                <w:sz w:val="21"/>
                <w:szCs w:val="21"/>
                <w:highlight w:val="none"/>
              </w:rPr>
              <w:t>季度的国家金融监督管理总局（原中国银保监会）偿付能力监管信息系统风险评级结果截图，加盖供应商单位公章；未按要求提供材料的，本项不得分。</w:t>
            </w:r>
          </w:p>
        </w:tc>
        <w:tc>
          <w:tcPr>
            <w:tcW w:w="666" w:type="dxa"/>
            <w:vAlign w:val="center"/>
          </w:tcPr>
          <w:p w14:paraId="15217642">
            <w:pPr>
              <w:jc w:val="center"/>
              <w:rPr>
                <w:rFonts w:ascii="宋体" w:hAnsi="宋体" w:cs="宋体"/>
                <w:color w:val="auto"/>
                <w:szCs w:val="21"/>
                <w:highlight w:val="none"/>
              </w:rPr>
            </w:pPr>
            <w:r>
              <w:rPr>
                <w:rFonts w:hint="eastAsia" w:ascii="宋体" w:hAnsi="宋体" w:cs="宋体"/>
                <w:color w:val="auto"/>
                <w:szCs w:val="21"/>
                <w:highlight w:val="none"/>
              </w:rPr>
              <w:t>8分</w:t>
            </w:r>
          </w:p>
        </w:tc>
      </w:tr>
      <w:tr w14:paraId="281C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jc w:val="center"/>
        </w:trPr>
        <w:tc>
          <w:tcPr>
            <w:tcW w:w="639" w:type="dxa"/>
            <w:vMerge w:val="continue"/>
            <w:vAlign w:val="center"/>
          </w:tcPr>
          <w:p w14:paraId="1202227C">
            <w:pPr>
              <w:rPr>
                <w:rFonts w:ascii="宋体" w:hAnsi="宋体" w:cs="宋体"/>
                <w:color w:val="auto"/>
                <w:szCs w:val="21"/>
                <w:highlight w:val="none"/>
              </w:rPr>
            </w:pPr>
          </w:p>
        </w:tc>
        <w:tc>
          <w:tcPr>
            <w:tcW w:w="682" w:type="dxa"/>
            <w:vMerge w:val="continue"/>
            <w:vAlign w:val="center"/>
          </w:tcPr>
          <w:p w14:paraId="43C4FEB7">
            <w:pPr>
              <w:rPr>
                <w:rFonts w:ascii="宋体" w:hAnsi="宋体" w:cs="宋体"/>
                <w:color w:val="auto"/>
                <w:szCs w:val="21"/>
                <w:highlight w:val="none"/>
              </w:rPr>
            </w:pPr>
          </w:p>
        </w:tc>
        <w:tc>
          <w:tcPr>
            <w:tcW w:w="7162" w:type="dxa"/>
            <w:vAlign w:val="center"/>
          </w:tcPr>
          <w:p w14:paraId="480F311A">
            <w:pPr>
              <w:pStyle w:val="92"/>
              <w:spacing w:line="264" w:lineRule="auto"/>
              <w:rPr>
                <w:b/>
                <w:bCs/>
                <w:color w:val="auto"/>
                <w:spacing w:val="7"/>
                <w:sz w:val="21"/>
                <w:szCs w:val="21"/>
                <w:highlight w:val="none"/>
              </w:rPr>
            </w:pPr>
            <w:r>
              <w:rPr>
                <w:rFonts w:hint="eastAsia"/>
                <w:b/>
                <w:bCs/>
                <w:snapToGrid w:val="0"/>
                <w:color w:val="auto"/>
                <w:spacing w:val="7"/>
                <w:kern w:val="0"/>
                <w:sz w:val="21"/>
                <w:szCs w:val="21"/>
                <w:highlight w:val="none"/>
              </w:rPr>
              <w:t>3.</w:t>
            </w:r>
            <w:r>
              <w:rPr>
                <w:rFonts w:hint="eastAsia"/>
                <w:b/>
                <w:bCs/>
                <w:color w:val="auto"/>
                <w:spacing w:val="7"/>
                <w:sz w:val="21"/>
                <w:szCs w:val="21"/>
                <w:highlight w:val="none"/>
              </w:rPr>
              <w:t>业绩分（</w:t>
            </w:r>
            <w:r>
              <w:rPr>
                <w:rFonts w:hint="eastAsia"/>
                <w:b/>
                <w:bCs/>
                <w:color w:val="auto"/>
                <w:spacing w:val="7"/>
                <w:sz w:val="21"/>
                <w:szCs w:val="21"/>
                <w:highlight w:val="none"/>
                <w:lang w:eastAsia="zh-CN"/>
              </w:rPr>
              <w:t>满分6</w:t>
            </w:r>
            <w:r>
              <w:rPr>
                <w:rFonts w:hint="eastAsia"/>
                <w:b/>
                <w:bCs/>
                <w:color w:val="auto"/>
                <w:spacing w:val="7"/>
                <w:sz w:val="21"/>
                <w:szCs w:val="21"/>
                <w:highlight w:val="none"/>
              </w:rPr>
              <w:t>分）</w:t>
            </w:r>
          </w:p>
          <w:p w14:paraId="3FED7D83">
            <w:pPr>
              <w:pStyle w:val="92"/>
              <w:spacing w:line="264" w:lineRule="auto"/>
              <w:rPr>
                <w:color w:val="auto"/>
                <w:sz w:val="21"/>
                <w:szCs w:val="21"/>
                <w:highlight w:val="none"/>
              </w:rPr>
            </w:pPr>
            <w:r>
              <w:rPr>
                <w:rFonts w:hint="eastAsia"/>
                <w:color w:val="auto"/>
                <w:spacing w:val="2"/>
                <w:sz w:val="21"/>
                <w:szCs w:val="21"/>
                <w:highlight w:val="none"/>
              </w:rPr>
              <w:t>自202</w:t>
            </w:r>
            <w:r>
              <w:rPr>
                <w:rFonts w:hint="eastAsia"/>
                <w:color w:val="auto"/>
                <w:spacing w:val="2"/>
                <w:sz w:val="21"/>
                <w:szCs w:val="21"/>
                <w:highlight w:val="none"/>
                <w:lang w:eastAsia="zh-CN"/>
              </w:rPr>
              <w:t>3</w:t>
            </w:r>
            <w:r>
              <w:rPr>
                <w:rFonts w:hint="eastAsia"/>
                <w:color w:val="auto"/>
                <w:spacing w:val="2"/>
                <w:sz w:val="21"/>
                <w:szCs w:val="21"/>
                <w:highlight w:val="none"/>
              </w:rPr>
              <w:t>年1月1日以来供应商承接过同类项目</w:t>
            </w:r>
            <w:r>
              <w:rPr>
                <w:rFonts w:hint="eastAsia"/>
                <w:color w:val="auto"/>
                <w:spacing w:val="9"/>
                <w:sz w:val="21"/>
                <w:szCs w:val="21"/>
                <w:highlight w:val="none"/>
              </w:rPr>
              <w:t>业绩（承接时间以签订合同或保单起保时间为准</w:t>
            </w:r>
            <w:r>
              <w:rPr>
                <w:rFonts w:hint="eastAsia"/>
                <w:color w:val="auto"/>
                <w:spacing w:val="16"/>
                <w:sz w:val="21"/>
                <w:szCs w:val="21"/>
                <w:highlight w:val="none"/>
              </w:rPr>
              <w:t>），</w:t>
            </w:r>
            <w:r>
              <w:rPr>
                <w:rFonts w:hint="eastAsia"/>
                <w:color w:val="auto"/>
                <w:spacing w:val="9"/>
                <w:sz w:val="21"/>
                <w:szCs w:val="21"/>
                <w:highlight w:val="none"/>
              </w:rPr>
              <w:t>每个业</w:t>
            </w:r>
            <w:r>
              <w:rPr>
                <w:rFonts w:hint="eastAsia"/>
                <w:color w:val="auto"/>
                <w:spacing w:val="1"/>
                <w:sz w:val="21"/>
                <w:szCs w:val="21"/>
                <w:highlight w:val="none"/>
              </w:rPr>
              <w:t>绩得</w:t>
            </w:r>
            <w:r>
              <w:rPr>
                <w:rFonts w:hint="eastAsia"/>
                <w:color w:val="auto"/>
                <w:spacing w:val="-33"/>
                <w:sz w:val="21"/>
                <w:szCs w:val="21"/>
                <w:highlight w:val="none"/>
                <w:lang w:eastAsia="zh-CN"/>
              </w:rPr>
              <w:t>3</w:t>
            </w:r>
            <w:r>
              <w:rPr>
                <w:rFonts w:hint="eastAsia"/>
                <w:color w:val="auto"/>
                <w:spacing w:val="1"/>
                <w:sz w:val="21"/>
                <w:szCs w:val="21"/>
                <w:highlight w:val="none"/>
              </w:rPr>
              <w:t>分，满分</w:t>
            </w:r>
            <w:r>
              <w:rPr>
                <w:rFonts w:hint="eastAsia"/>
                <w:color w:val="auto"/>
                <w:spacing w:val="1"/>
                <w:sz w:val="21"/>
                <w:szCs w:val="21"/>
                <w:highlight w:val="none"/>
                <w:lang w:eastAsia="zh-CN"/>
              </w:rPr>
              <w:t>6</w:t>
            </w:r>
            <w:r>
              <w:rPr>
                <w:rFonts w:hint="eastAsia"/>
                <w:color w:val="auto"/>
                <w:spacing w:val="1"/>
                <w:sz w:val="21"/>
                <w:szCs w:val="21"/>
                <w:highlight w:val="none"/>
              </w:rPr>
              <w:t>分。</w:t>
            </w:r>
          </w:p>
          <w:p w14:paraId="753A2226">
            <w:pPr>
              <w:rPr>
                <w:rFonts w:ascii="宋体" w:hAnsi="宋体" w:cs="宋体"/>
                <w:color w:val="auto"/>
                <w:szCs w:val="21"/>
                <w:highlight w:val="none"/>
              </w:rPr>
            </w:pPr>
            <w:r>
              <w:rPr>
                <w:rFonts w:hint="eastAsia" w:ascii="宋体" w:hAnsi="宋体" w:cs="宋体"/>
                <w:b/>
                <w:bCs/>
                <w:color w:val="auto"/>
                <w:spacing w:val="7"/>
                <w:szCs w:val="21"/>
                <w:highlight w:val="none"/>
              </w:rPr>
              <w:t>（注：供应商在响应文件中提供业绩合同或保险单扫描件并加盖供应商公章，否则不得分。）</w:t>
            </w:r>
          </w:p>
        </w:tc>
        <w:tc>
          <w:tcPr>
            <w:tcW w:w="666" w:type="dxa"/>
            <w:vAlign w:val="center"/>
          </w:tcPr>
          <w:p w14:paraId="682ECFF3">
            <w:pPr>
              <w:jc w:val="center"/>
              <w:rPr>
                <w:rFonts w:ascii="宋体" w:hAnsi="宋体" w:cs="宋体"/>
                <w:color w:val="auto"/>
                <w:szCs w:val="21"/>
                <w:highlight w:val="none"/>
              </w:rPr>
            </w:pPr>
          </w:p>
          <w:p w14:paraId="64FB584D">
            <w:pPr>
              <w:jc w:val="center"/>
              <w:rPr>
                <w:rFonts w:ascii="宋体" w:hAnsi="宋体" w:cs="宋体"/>
                <w:color w:val="auto"/>
                <w:szCs w:val="21"/>
                <w:highlight w:val="none"/>
              </w:rPr>
            </w:pPr>
            <w:r>
              <w:rPr>
                <w:rFonts w:hint="eastAsia" w:ascii="宋体" w:hAnsi="宋体" w:cs="宋体"/>
                <w:color w:val="auto"/>
                <w:szCs w:val="21"/>
                <w:highlight w:val="none"/>
              </w:rPr>
              <w:t>6分</w:t>
            </w:r>
          </w:p>
        </w:tc>
      </w:tr>
    </w:tbl>
    <w:p w14:paraId="65309001">
      <w:pPr>
        <w:widowControl/>
        <w:snapToGrid w:val="0"/>
        <w:spacing w:line="380" w:lineRule="exact"/>
        <w:ind w:left="309" w:hanging="308" w:hangingChars="147"/>
        <w:jc w:val="left"/>
        <w:rPr>
          <w:rFonts w:ascii="宋体" w:hAnsi="宋体"/>
          <w:color w:val="auto"/>
          <w:highlight w:val="none"/>
        </w:rPr>
      </w:pPr>
    </w:p>
    <w:p w14:paraId="6941A40D">
      <w:pPr>
        <w:pStyle w:val="14"/>
        <w:spacing w:beforeLines="50" w:line="400" w:lineRule="exact"/>
        <w:rPr>
          <w:rFonts w:hAnsi="宋体"/>
          <w:b/>
          <w:color w:val="auto"/>
          <w:szCs w:val="21"/>
          <w:highlight w:val="none"/>
        </w:rPr>
      </w:pPr>
      <w:r>
        <w:rPr>
          <w:rFonts w:hint="eastAsia" w:hAnsi="宋体"/>
          <w:b/>
          <w:color w:val="auto"/>
          <w:szCs w:val="21"/>
          <w:highlight w:val="none"/>
        </w:rPr>
        <w:t>说明：</w:t>
      </w:r>
    </w:p>
    <w:p w14:paraId="01F27659">
      <w:pPr>
        <w:pStyle w:val="14"/>
        <w:spacing w:line="400" w:lineRule="exact"/>
        <w:rPr>
          <w:rFonts w:hAnsi="宋体"/>
          <w:b/>
          <w:color w:val="auto"/>
          <w:szCs w:val="21"/>
          <w:highlight w:val="none"/>
        </w:rPr>
      </w:pPr>
      <w:r>
        <w:rPr>
          <w:rFonts w:hint="eastAsia" w:hAnsi="宋体"/>
          <w:b/>
          <w:color w:val="auto"/>
          <w:szCs w:val="21"/>
          <w:highlight w:val="none"/>
        </w:rPr>
        <w:t>1、</w:t>
      </w:r>
      <w:r>
        <w:rPr>
          <w:rFonts w:hAnsi="宋体"/>
          <w:b/>
          <w:color w:val="auto"/>
          <w:szCs w:val="21"/>
          <w:highlight w:val="none"/>
        </w:rPr>
        <w:t>评分分值计算保留小数点后两位，第三位四舍五入。</w:t>
      </w:r>
    </w:p>
    <w:p w14:paraId="3A6CD4CA">
      <w:pPr>
        <w:pStyle w:val="14"/>
        <w:spacing w:line="400" w:lineRule="exact"/>
        <w:ind w:left="316" w:hanging="316" w:hangingChars="150"/>
        <w:rPr>
          <w:rFonts w:hAnsi="宋体"/>
          <w:b/>
          <w:color w:val="auto"/>
          <w:szCs w:val="21"/>
          <w:highlight w:val="none"/>
        </w:rPr>
      </w:pPr>
      <w:r>
        <w:rPr>
          <w:rFonts w:hint="eastAsia" w:hAnsi="宋体"/>
          <w:b/>
          <w:color w:val="auto"/>
          <w:szCs w:val="21"/>
          <w:highlight w:val="none"/>
        </w:rPr>
        <w:t>2、评审标准中提及的证书、证件、证明、业绩材料等须根据要求提供有效的证书或证明材料复印件或扫描件或电子文件，并CA签章，否则不予赋分。</w:t>
      </w:r>
    </w:p>
    <w:p w14:paraId="01CC5B9E">
      <w:pPr>
        <w:pStyle w:val="14"/>
        <w:spacing w:line="400" w:lineRule="exact"/>
        <w:ind w:left="6"/>
        <w:rPr>
          <w:rFonts w:hAnsi="宋体"/>
          <w:b/>
          <w:bCs/>
          <w:color w:val="auto"/>
          <w:highlight w:val="none"/>
        </w:rPr>
      </w:pPr>
    </w:p>
    <w:p w14:paraId="27A82168">
      <w:pPr>
        <w:pStyle w:val="14"/>
        <w:spacing w:line="400" w:lineRule="exact"/>
        <w:ind w:left="6"/>
        <w:rPr>
          <w:rFonts w:hAnsi="宋体"/>
          <w:b/>
          <w:bCs/>
          <w:color w:val="auto"/>
          <w:highlight w:val="none"/>
        </w:rPr>
      </w:pPr>
    </w:p>
    <w:p w14:paraId="3005F8D1">
      <w:pPr>
        <w:pStyle w:val="2"/>
        <w:rPr>
          <w:color w:val="auto"/>
          <w:highlight w:val="none"/>
        </w:rPr>
      </w:pPr>
    </w:p>
    <w:p w14:paraId="3B75BF3A">
      <w:pPr>
        <w:rPr>
          <w:rFonts w:hAnsi="宋体"/>
          <w:b/>
          <w:bCs/>
          <w:color w:val="auto"/>
          <w:highlight w:val="none"/>
        </w:rPr>
      </w:pPr>
      <w:r>
        <w:rPr>
          <w:rFonts w:hAnsi="宋体"/>
          <w:b/>
          <w:bCs/>
          <w:color w:val="auto"/>
          <w:highlight w:val="none"/>
        </w:rPr>
        <w:br w:type="page"/>
      </w:r>
    </w:p>
    <w:p w14:paraId="71892FA9">
      <w:pPr>
        <w:rPr>
          <w:color w:val="auto"/>
          <w:highlight w:val="none"/>
        </w:rPr>
      </w:pPr>
    </w:p>
    <w:p w14:paraId="118B70BB">
      <w:pPr>
        <w:pStyle w:val="14"/>
        <w:spacing w:line="400" w:lineRule="exact"/>
        <w:ind w:left="6"/>
        <w:rPr>
          <w:rFonts w:hAnsi="宋体"/>
          <w:b/>
          <w:bCs/>
          <w:color w:val="auto"/>
          <w:highlight w:val="none"/>
        </w:rPr>
      </w:pPr>
    </w:p>
    <w:p w14:paraId="2AA5833F">
      <w:pPr>
        <w:pStyle w:val="14"/>
        <w:spacing w:line="400" w:lineRule="exact"/>
        <w:ind w:left="6"/>
        <w:rPr>
          <w:rFonts w:hAnsi="宋体"/>
          <w:b/>
          <w:bCs/>
          <w:color w:val="auto"/>
          <w:highlight w:val="none"/>
        </w:rPr>
      </w:pPr>
    </w:p>
    <w:p w14:paraId="01B6DDBE">
      <w:pPr>
        <w:pStyle w:val="2"/>
        <w:jc w:val="center"/>
        <w:rPr>
          <w:rFonts w:ascii="宋体" w:hAnsi="宋体"/>
          <w:bCs/>
          <w:color w:val="auto"/>
          <w:sz w:val="44"/>
          <w:highlight w:val="none"/>
        </w:rPr>
      </w:pPr>
      <w:bookmarkStart w:id="304" w:name="_Toc239839916"/>
      <w:bookmarkStart w:id="305" w:name="_Toc147248435"/>
      <w:bookmarkStart w:id="306" w:name="_Toc185702587"/>
      <w:bookmarkStart w:id="307" w:name="_Toc185703009"/>
      <w:bookmarkStart w:id="308" w:name="_Toc156106970"/>
      <w:bookmarkStart w:id="309" w:name="_Toc64706768"/>
      <w:r>
        <w:rPr>
          <w:rFonts w:hint="eastAsia" w:ascii="宋体" w:hAnsi="宋体"/>
          <w:bCs/>
          <w:color w:val="auto"/>
          <w:sz w:val="44"/>
          <w:highlight w:val="none"/>
        </w:rPr>
        <w:t>第五章  拟签订的合同文本（格式）</w:t>
      </w:r>
      <w:bookmarkEnd w:id="304"/>
      <w:bookmarkEnd w:id="305"/>
      <w:bookmarkEnd w:id="306"/>
      <w:bookmarkEnd w:id="307"/>
      <w:bookmarkEnd w:id="308"/>
      <w:bookmarkEnd w:id="309"/>
    </w:p>
    <w:p w14:paraId="320FF2D9">
      <w:pPr>
        <w:pStyle w:val="14"/>
        <w:spacing w:line="400" w:lineRule="exact"/>
        <w:ind w:firstLine="4" w:firstLineChars="2"/>
        <w:rPr>
          <w:rFonts w:hAnsi="宋体"/>
          <w:b/>
          <w:bCs/>
          <w:color w:val="auto"/>
          <w:highlight w:val="none"/>
        </w:rPr>
      </w:pPr>
    </w:p>
    <w:p w14:paraId="41AA1974">
      <w:pPr>
        <w:pStyle w:val="14"/>
        <w:spacing w:line="400" w:lineRule="exact"/>
        <w:ind w:firstLine="4" w:firstLineChars="2"/>
        <w:rPr>
          <w:rFonts w:hAnsi="宋体"/>
          <w:b/>
          <w:bCs/>
          <w:color w:val="auto"/>
          <w:szCs w:val="21"/>
          <w:highlight w:val="none"/>
        </w:rPr>
      </w:pPr>
      <w:r>
        <w:rPr>
          <w:rFonts w:hint="eastAsia" w:hAnsi="宋体"/>
          <w:b/>
          <w:bCs/>
          <w:color w:val="auto"/>
          <w:szCs w:val="21"/>
          <w:highlight w:val="none"/>
        </w:rPr>
        <w:cr/>
      </w:r>
      <w:r>
        <w:rPr>
          <w:rFonts w:hint="eastAsia" w:hAnsi="宋体"/>
          <w:b/>
          <w:bCs/>
          <w:color w:val="auto"/>
          <w:szCs w:val="21"/>
          <w:highlight w:val="none"/>
        </w:rPr>
        <w:t>（注：本合同样本仅供参考，具体内容由采购人和成交供应商协商确定，但补充和修改不得造成与本章格式内容有实质性的违背。）</w:t>
      </w:r>
    </w:p>
    <w:p w14:paraId="7FA3A0C8">
      <w:pPr>
        <w:pStyle w:val="14"/>
        <w:spacing w:line="400" w:lineRule="exact"/>
        <w:ind w:left="6"/>
        <w:rPr>
          <w:rFonts w:hAnsi="宋体"/>
          <w:b/>
          <w:bCs/>
          <w:color w:val="auto"/>
          <w:highlight w:val="none"/>
        </w:rPr>
      </w:pPr>
      <w:r>
        <w:rPr>
          <w:rFonts w:hint="eastAsia" w:hAnsi="宋体"/>
          <w:b/>
          <w:bCs/>
          <w:color w:val="auto"/>
          <w:highlight w:val="none"/>
        </w:rPr>
        <w:cr/>
      </w:r>
      <w:r>
        <w:rPr>
          <w:rFonts w:hint="eastAsia" w:hAnsi="宋体"/>
          <w:b/>
          <w:bCs/>
          <w:color w:val="auto"/>
          <w:highlight w:val="none"/>
        </w:rPr>
        <w:cr/>
      </w:r>
      <w:r>
        <w:rPr>
          <w:rFonts w:hAnsi="宋体"/>
          <w:b/>
          <w:color w:val="auto"/>
          <w:sz w:val="32"/>
          <w:highlight w:val="none"/>
        </w:rPr>
        <w:br w:type="page"/>
      </w:r>
    </w:p>
    <w:p w14:paraId="7A829646">
      <w:pPr>
        <w:pStyle w:val="14"/>
        <w:spacing w:line="400" w:lineRule="exact"/>
        <w:ind w:firstLine="4" w:firstLineChars="2"/>
        <w:rPr>
          <w:rFonts w:hAnsi="宋体"/>
          <w:b/>
          <w:bCs/>
          <w:color w:val="auto"/>
          <w:szCs w:val="21"/>
          <w:highlight w:val="none"/>
        </w:rPr>
      </w:pPr>
    </w:p>
    <w:p w14:paraId="249E045C">
      <w:pPr>
        <w:pStyle w:val="14"/>
        <w:spacing w:line="400" w:lineRule="exact"/>
        <w:ind w:firstLine="4" w:firstLineChars="2"/>
        <w:rPr>
          <w:rFonts w:hAnsi="宋体"/>
          <w:b/>
          <w:bCs/>
          <w:color w:val="auto"/>
          <w:szCs w:val="21"/>
          <w:highlight w:val="none"/>
        </w:rPr>
      </w:pPr>
    </w:p>
    <w:p w14:paraId="73B489EE">
      <w:pPr>
        <w:pStyle w:val="14"/>
        <w:spacing w:line="400" w:lineRule="exact"/>
        <w:ind w:firstLine="4" w:firstLineChars="2"/>
        <w:rPr>
          <w:rFonts w:hAnsi="宋体"/>
          <w:b/>
          <w:bCs/>
          <w:color w:val="auto"/>
          <w:szCs w:val="21"/>
          <w:highlight w:val="none"/>
        </w:rPr>
      </w:pPr>
    </w:p>
    <w:p w14:paraId="30345E6C">
      <w:pPr>
        <w:pStyle w:val="14"/>
        <w:spacing w:line="400" w:lineRule="exact"/>
        <w:ind w:firstLine="4" w:firstLineChars="2"/>
        <w:rPr>
          <w:rFonts w:hAnsi="宋体"/>
          <w:b/>
          <w:bCs/>
          <w:color w:val="auto"/>
          <w:szCs w:val="21"/>
          <w:highlight w:val="none"/>
        </w:rPr>
      </w:pPr>
    </w:p>
    <w:p w14:paraId="20B75606">
      <w:pPr>
        <w:pStyle w:val="14"/>
        <w:spacing w:line="400" w:lineRule="exact"/>
        <w:ind w:firstLine="4" w:firstLineChars="2"/>
        <w:rPr>
          <w:rFonts w:hAnsi="宋体"/>
          <w:b/>
          <w:bCs/>
          <w:color w:val="auto"/>
          <w:szCs w:val="21"/>
          <w:highlight w:val="none"/>
        </w:rPr>
      </w:pPr>
    </w:p>
    <w:p w14:paraId="6819E401">
      <w:pPr>
        <w:pStyle w:val="14"/>
        <w:jc w:val="center"/>
        <w:rPr>
          <w:rFonts w:hAnsi="宋体"/>
          <w:b/>
          <w:bCs/>
          <w:color w:val="auto"/>
          <w:sz w:val="48"/>
          <w:szCs w:val="48"/>
          <w:highlight w:val="none"/>
        </w:rPr>
      </w:pPr>
      <w:r>
        <w:rPr>
          <w:rFonts w:hint="eastAsia" w:hAnsi="宋体"/>
          <w:b/>
          <w:bCs/>
          <w:color w:val="auto"/>
          <w:sz w:val="48"/>
          <w:szCs w:val="48"/>
          <w:highlight w:val="none"/>
        </w:rPr>
        <w:t>政府采购合同</w:t>
      </w:r>
    </w:p>
    <w:p w14:paraId="068A8C0B">
      <w:pPr>
        <w:pStyle w:val="14"/>
        <w:spacing w:line="400" w:lineRule="exact"/>
        <w:ind w:firstLine="4" w:firstLineChars="2"/>
        <w:rPr>
          <w:rFonts w:hAnsi="宋体"/>
          <w:b/>
          <w:bCs/>
          <w:color w:val="auto"/>
          <w:szCs w:val="21"/>
          <w:highlight w:val="none"/>
        </w:rPr>
      </w:pPr>
    </w:p>
    <w:p w14:paraId="686A7BAB">
      <w:pPr>
        <w:pStyle w:val="14"/>
        <w:spacing w:line="400" w:lineRule="exact"/>
        <w:ind w:firstLine="4" w:firstLineChars="2"/>
        <w:rPr>
          <w:rFonts w:hAnsi="宋体"/>
          <w:b/>
          <w:bCs/>
          <w:color w:val="auto"/>
          <w:szCs w:val="21"/>
          <w:highlight w:val="none"/>
        </w:rPr>
      </w:pPr>
    </w:p>
    <w:p w14:paraId="242203ED">
      <w:pPr>
        <w:pStyle w:val="14"/>
        <w:spacing w:line="400" w:lineRule="exact"/>
        <w:ind w:firstLine="4" w:firstLineChars="2"/>
        <w:rPr>
          <w:rFonts w:hAnsi="宋体"/>
          <w:b/>
          <w:bCs/>
          <w:color w:val="auto"/>
          <w:szCs w:val="21"/>
          <w:highlight w:val="none"/>
        </w:rPr>
      </w:pPr>
    </w:p>
    <w:p w14:paraId="792C94FA">
      <w:pPr>
        <w:pStyle w:val="14"/>
        <w:spacing w:line="400" w:lineRule="exact"/>
        <w:ind w:firstLine="4" w:firstLineChars="2"/>
        <w:rPr>
          <w:rFonts w:hAnsi="宋体"/>
          <w:b/>
          <w:bCs/>
          <w:color w:val="auto"/>
          <w:szCs w:val="21"/>
          <w:highlight w:val="none"/>
        </w:rPr>
      </w:pPr>
    </w:p>
    <w:p w14:paraId="3997411D">
      <w:pPr>
        <w:pStyle w:val="14"/>
        <w:spacing w:line="400" w:lineRule="exact"/>
        <w:ind w:firstLine="4" w:firstLineChars="2"/>
        <w:rPr>
          <w:rFonts w:hAnsi="宋体"/>
          <w:b/>
          <w:bCs/>
          <w:color w:val="auto"/>
          <w:szCs w:val="21"/>
          <w:highlight w:val="none"/>
        </w:rPr>
      </w:pPr>
    </w:p>
    <w:p w14:paraId="2CE7D317">
      <w:pPr>
        <w:pStyle w:val="14"/>
        <w:spacing w:line="400" w:lineRule="exact"/>
        <w:ind w:firstLine="4" w:firstLineChars="2"/>
        <w:rPr>
          <w:rFonts w:hAnsi="宋体"/>
          <w:b/>
          <w:bCs/>
          <w:color w:val="auto"/>
          <w:szCs w:val="21"/>
          <w:highlight w:val="none"/>
        </w:rPr>
      </w:pPr>
    </w:p>
    <w:p w14:paraId="25BBD713">
      <w:pPr>
        <w:pStyle w:val="14"/>
        <w:spacing w:line="400" w:lineRule="exact"/>
        <w:ind w:firstLine="4" w:firstLineChars="2"/>
        <w:rPr>
          <w:rFonts w:hAnsi="宋体"/>
          <w:b/>
          <w:bCs/>
          <w:color w:val="auto"/>
          <w:szCs w:val="21"/>
          <w:highlight w:val="none"/>
        </w:rPr>
      </w:pPr>
    </w:p>
    <w:p w14:paraId="2BCF3410">
      <w:pPr>
        <w:pStyle w:val="14"/>
        <w:ind w:left="840" w:leftChars="400"/>
        <w:rPr>
          <w:rFonts w:hAnsi="宋体"/>
          <w:b/>
          <w:bCs/>
          <w:color w:val="auto"/>
          <w:sz w:val="32"/>
          <w:szCs w:val="32"/>
          <w:highlight w:val="none"/>
          <w:u w:val="single"/>
        </w:rPr>
      </w:pPr>
      <w:r>
        <w:rPr>
          <w:rFonts w:hint="eastAsia" w:hAnsi="宋体"/>
          <w:b/>
          <w:bCs/>
          <w:color w:val="auto"/>
          <w:sz w:val="32"/>
          <w:szCs w:val="32"/>
          <w:highlight w:val="none"/>
        </w:rPr>
        <w:t>合同名称：</w:t>
      </w:r>
    </w:p>
    <w:p w14:paraId="0CCB1912">
      <w:pPr>
        <w:pStyle w:val="14"/>
        <w:ind w:left="840" w:leftChars="400"/>
        <w:rPr>
          <w:rFonts w:hAnsi="宋体"/>
          <w:b/>
          <w:bCs/>
          <w:color w:val="auto"/>
          <w:sz w:val="32"/>
          <w:szCs w:val="32"/>
          <w:highlight w:val="none"/>
          <w:u w:val="single"/>
        </w:rPr>
      </w:pPr>
      <w:r>
        <w:rPr>
          <w:rFonts w:hint="eastAsia" w:hAnsi="宋体"/>
          <w:b/>
          <w:bCs/>
          <w:color w:val="auto"/>
          <w:sz w:val="32"/>
          <w:szCs w:val="32"/>
          <w:highlight w:val="none"/>
        </w:rPr>
        <w:t>合同编号：</w:t>
      </w:r>
    </w:p>
    <w:p w14:paraId="1F849B57">
      <w:pPr>
        <w:pStyle w:val="14"/>
        <w:ind w:left="840" w:leftChars="400"/>
        <w:rPr>
          <w:rFonts w:hAnsi="宋体"/>
          <w:b/>
          <w:bCs/>
          <w:color w:val="auto"/>
          <w:sz w:val="32"/>
          <w:szCs w:val="32"/>
          <w:highlight w:val="none"/>
          <w:u w:val="single"/>
        </w:rPr>
      </w:pPr>
      <w:r>
        <w:rPr>
          <w:rFonts w:hint="eastAsia" w:hAnsi="宋体"/>
          <w:b/>
          <w:bCs/>
          <w:color w:val="auto"/>
          <w:sz w:val="32"/>
          <w:szCs w:val="32"/>
          <w:highlight w:val="none"/>
        </w:rPr>
        <w:t>甲方（采购人）：</w:t>
      </w:r>
    </w:p>
    <w:p w14:paraId="46D58BD9">
      <w:pPr>
        <w:pStyle w:val="14"/>
        <w:ind w:left="840" w:leftChars="400"/>
        <w:rPr>
          <w:rFonts w:hAnsi="宋体"/>
          <w:b/>
          <w:bCs/>
          <w:color w:val="auto"/>
          <w:sz w:val="32"/>
          <w:szCs w:val="32"/>
          <w:highlight w:val="none"/>
        </w:rPr>
      </w:pPr>
      <w:r>
        <w:rPr>
          <w:rFonts w:hint="eastAsia" w:hAnsi="宋体"/>
          <w:b/>
          <w:bCs/>
          <w:color w:val="auto"/>
          <w:sz w:val="32"/>
          <w:szCs w:val="32"/>
          <w:highlight w:val="none"/>
        </w:rPr>
        <w:t>乙方（成交供应商）：</w:t>
      </w:r>
    </w:p>
    <w:p w14:paraId="35576210">
      <w:pPr>
        <w:pStyle w:val="14"/>
        <w:ind w:left="840" w:leftChars="400"/>
        <w:rPr>
          <w:rFonts w:hAnsi="宋体"/>
          <w:b/>
          <w:bCs/>
          <w:color w:val="auto"/>
          <w:sz w:val="32"/>
          <w:szCs w:val="32"/>
          <w:highlight w:val="none"/>
        </w:rPr>
      </w:pPr>
      <w:r>
        <w:rPr>
          <w:rFonts w:hint="eastAsia" w:hAnsi="宋体"/>
          <w:b/>
          <w:bCs/>
          <w:color w:val="auto"/>
          <w:sz w:val="32"/>
          <w:szCs w:val="32"/>
          <w:highlight w:val="none"/>
        </w:rPr>
        <w:t>签订地点：</w:t>
      </w:r>
    </w:p>
    <w:p w14:paraId="354D3875">
      <w:pPr>
        <w:pStyle w:val="14"/>
        <w:ind w:left="840" w:leftChars="400"/>
        <w:rPr>
          <w:rFonts w:hAnsi="宋体"/>
          <w:b/>
          <w:bCs/>
          <w:color w:val="auto"/>
          <w:sz w:val="32"/>
          <w:szCs w:val="32"/>
          <w:highlight w:val="none"/>
        </w:rPr>
      </w:pPr>
      <w:r>
        <w:rPr>
          <w:rFonts w:hint="eastAsia" w:hAnsi="宋体"/>
          <w:b/>
          <w:bCs/>
          <w:color w:val="auto"/>
          <w:sz w:val="32"/>
          <w:szCs w:val="32"/>
          <w:highlight w:val="none"/>
        </w:rPr>
        <w:t>签订日期：</w:t>
      </w:r>
      <w:r>
        <w:rPr>
          <w:rFonts w:hint="eastAsia" w:hAnsi="宋体"/>
          <w:b/>
          <w:bCs/>
          <w:color w:val="auto"/>
          <w:sz w:val="32"/>
          <w:szCs w:val="32"/>
          <w:highlight w:val="none"/>
          <w:u w:val="single"/>
        </w:rPr>
        <w:t xml:space="preserve">        年   月   日</w:t>
      </w:r>
    </w:p>
    <w:p w14:paraId="723689FD">
      <w:pPr>
        <w:pStyle w:val="14"/>
        <w:spacing w:line="400" w:lineRule="exact"/>
        <w:ind w:firstLine="4" w:firstLineChars="2"/>
        <w:rPr>
          <w:rFonts w:hAnsi="宋体"/>
          <w:b/>
          <w:bCs/>
          <w:color w:val="auto"/>
          <w:szCs w:val="21"/>
          <w:highlight w:val="none"/>
        </w:rPr>
      </w:pPr>
    </w:p>
    <w:p w14:paraId="2F330491">
      <w:pPr>
        <w:pStyle w:val="14"/>
        <w:spacing w:line="400" w:lineRule="exact"/>
        <w:ind w:firstLine="4" w:firstLineChars="2"/>
        <w:rPr>
          <w:rFonts w:hAnsi="宋体"/>
          <w:b/>
          <w:bCs/>
          <w:color w:val="auto"/>
          <w:szCs w:val="21"/>
          <w:highlight w:val="none"/>
        </w:rPr>
      </w:pPr>
    </w:p>
    <w:p w14:paraId="26693EB2">
      <w:pPr>
        <w:pStyle w:val="14"/>
        <w:spacing w:line="300" w:lineRule="exact"/>
        <w:rPr>
          <w:rFonts w:hAnsi="宋体"/>
          <w:color w:val="auto"/>
          <w:highlight w:val="none"/>
        </w:rPr>
      </w:pPr>
      <w:r>
        <w:rPr>
          <w:rFonts w:hAnsi="宋体"/>
          <w:b/>
          <w:color w:val="auto"/>
          <w:sz w:val="32"/>
          <w:highlight w:val="none"/>
        </w:rPr>
        <w:br w:type="page"/>
      </w:r>
    </w:p>
    <w:p w14:paraId="64DA6153">
      <w:pPr>
        <w:jc w:val="center"/>
        <w:rPr>
          <w:color w:val="auto"/>
          <w:highlight w:val="none"/>
        </w:rPr>
      </w:pPr>
      <w:r>
        <w:rPr>
          <w:rFonts w:hint="eastAsia"/>
          <w:b/>
          <w:bCs/>
          <w:color w:val="auto"/>
          <w:sz w:val="32"/>
          <w:szCs w:val="32"/>
          <w:highlight w:val="none"/>
        </w:rPr>
        <w:t>《2026年度职工团体补偿医疗保险》</w:t>
      </w:r>
    </w:p>
    <w:p w14:paraId="75EDD3A8">
      <w:pPr>
        <w:snapToGrid w:val="0"/>
        <w:spacing w:line="360" w:lineRule="auto"/>
        <w:rPr>
          <w:rFonts w:ascii="宋体" w:hAnsi="宋体" w:cs="宋体"/>
          <w:color w:val="auto"/>
          <w:szCs w:val="21"/>
          <w:highlight w:val="none"/>
        </w:rPr>
      </w:pPr>
    </w:p>
    <w:p w14:paraId="29C8FAC9">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梧州市工人医院 </w:t>
      </w:r>
    </w:p>
    <w:p w14:paraId="10F02CE5">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pacing w:val="-20"/>
          <w:szCs w:val="21"/>
          <w:highlight w:val="none"/>
        </w:rPr>
        <w:t>合  同  编  号</w:t>
      </w:r>
    </w:p>
    <w:p w14:paraId="3593BC4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签  订  地  点  </w:t>
      </w:r>
    </w:p>
    <w:p w14:paraId="38ECDFB1">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 订 时 间</w:t>
      </w:r>
      <w:r>
        <w:rPr>
          <w:rFonts w:hint="eastAsia" w:ascii="宋体" w:hAnsi="宋体" w:cs="宋体"/>
          <w:color w:val="auto"/>
          <w:szCs w:val="21"/>
          <w:highlight w:val="none"/>
          <w:u w:val="single"/>
        </w:rPr>
        <w:t xml:space="preserve">年   月   日 </w:t>
      </w:r>
    </w:p>
    <w:p w14:paraId="0D562D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甲、乙双方根据《中华人民共和国政府采购法》《中华人民共和国民法典》《中华人民共和国保险法》《中华人民共和国个人信息保护法》等法律法规规定，按照采购文件规定条款和乙方投标/响应承诺，本着平等自愿、平等、诚实信用的原则签订本合同，供双方共同遵守。</w:t>
      </w:r>
    </w:p>
    <w:p w14:paraId="417E8E3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29"/>
        <w:tblW w:w="0" w:type="auto"/>
        <w:tblInd w:w="55" w:type="dxa"/>
        <w:tblLayout w:type="fixed"/>
        <w:tblCellMar>
          <w:top w:w="0" w:type="dxa"/>
          <w:left w:w="0" w:type="dxa"/>
          <w:bottom w:w="0" w:type="dxa"/>
          <w:right w:w="0" w:type="dxa"/>
        </w:tblCellMar>
      </w:tblPr>
      <w:tblGrid>
        <w:gridCol w:w="2410"/>
        <w:gridCol w:w="3510"/>
        <w:gridCol w:w="1905"/>
        <w:gridCol w:w="960"/>
      </w:tblGrid>
      <w:tr w14:paraId="28773211">
        <w:tblPrEx>
          <w:tblCellMar>
            <w:top w:w="0" w:type="dxa"/>
            <w:left w:w="0" w:type="dxa"/>
            <w:bottom w:w="0" w:type="dxa"/>
            <w:right w:w="0" w:type="dxa"/>
          </w:tblCellMar>
        </w:tblPrEx>
        <w:trPr>
          <w:trHeight w:val="23" w:hRule="atLeast"/>
        </w:trPr>
        <w:tc>
          <w:tcPr>
            <w:tcW w:w="2410" w:type="dxa"/>
            <w:tcBorders>
              <w:top w:val="single" w:color="000000" w:sz="4" w:space="0"/>
              <w:left w:val="single" w:color="000000" w:sz="4" w:space="0"/>
              <w:bottom w:val="single" w:color="000000" w:sz="4" w:space="0"/>
              <w:right w:val="single" w:color="000000" w:sz="4" w:space="0"/>
            </w:tcBorders>
            <w:vAlign w:val="center"/>
          </w:tcPr>
          <w:p w14:paraId="31DC72B7">
            <w:pPr>
              <w:pStyle w:val="93"/>
              <w:kinsoku w:val="0"/>
              <w:overflowPunct w:val="0"/>
              <w:spacing w:line="360" w:lineRule="auto"/>
              <w:jc w:val="center"/>
              <w:rPr>
                <w:color w:val="auto"/>
                <w:sz w:val="21"/>
                <w:szCs w:val="21"/>
                <w:highlight w:val="none"/>
              </w:rPr>
            </w:pPr>
            <w:r>
              <w:rPr>
                <w:rFonts w:hint="eastAsia"/>
                <w:color w:val="auto"/>
                <w:sz w:val="21"/>
                <w:szCs w:val="21"/>
                <w:highlight w:val="none"/>
              </w:rPr>
              <w:t>服务名称</w:t>
            </w:r>
          </w:p>
        </w:tc>
        <w:tc>
          <w:tcPr>
            <w:tcW w:w="3510" w:type="dxa"/>
            <w:tcBorders>
              <w:top w:val="single" w:color="000000" w:sz="4" w:space="0"/>
              <w:left w:val="single" w:color="000000" w:sz="4" w:space="0"/>
              <w:bottom w:val="single" w:color="000000" w:sz="4" w:space="0"/>
              <w:right w:val="single" w:color="000000" w:sz="4" w:space="0"/>
            </w:tcBorders>
            <w:vAlign w:val="center"/>
          </w:tcPr>
          <w:p w14:paraId="3EB9B8F0">
            <w:pPr>
              <w:pStyle w:val="93"/>
              <w:kinsoku w:val="0"/>
              <w:overflowPunct w:val="0"/>
              <w:spacing w:line="360" w:lineRule="auto"/>
              <w:ind w:right="-56"/>
              <w:jc w:val="center"/>
              <w:rPr>
                <w:color w:val="auto"/>
                <w:sz w:val="21"/>
                <w:szCs w:val="21"/>
                <w:highlight w:val="none"/>
              </w:rPr>
            </w:pPr>
            <w:r>
              <w:rPr>
                <w:rFonts w:hint="eastAsia"/>
                <w:color w:val="auto"/>
                <w:sz w:val="21"/>
                <w:szCs w:val="21"/>
                <w:highlight w:val="none"/>
              </w:rPr>
              <w:t>服务内容</w:t>
            </w:r>
          </w:p>
        </w:tc>
        <w:tc>
          <w:tcPr>
            <w:tcW w:w="1905" w:type="dxa"/>
            <w:tcBorders>
              <w:top w:val="single" w:color="000000" w:sz="4" w:space="0"/>
              <w:left w:val="single" w:color="000000" w:sz="4" w:space="0"/>
              <w:bottom w:val="single" w:color="000000" w:sz="4" w:space="0"/>
              <w:right w:val="single" w:color="000000" w:sz="4" w:space="0"/>
            </w:tcBorders>
            <w:vAlign w:val="center"/>
          </w:tcPr>
          <w:p w14:paraId="22E4805C">
            <w:pPr>
              <w:pStyle w:val="93"/>
              <w:kinsoku w:val="0"/>
              <w:overflowPunct w:val="0"/>
              <w:spacing w:line="360" w:lineRule="auto"/>
              <w:ind w:right="197"/>
              <w:jc w:val="center"/>
              <w:rPr>
                <w:color w:val="auto"/>
                <w:sz w:val="21"/>
                <w:szCs w:val="21"/>
                <w:highlight w:val="none"/>
              </w:rPr>
            </w:pPr>
            <w:r>
              <w:rPr>
                <w:rFonts w:hint="eastAsia"/>
                <w:color w:val="auto"/>
                <w:sz w:val="21"/>
                <w:szCs w:val="21"/>
                <w:highlight w:val="none"/>
              </w:rPr>
              <w:t>单价（元）/人</w:t>
            </w:r>
          </w:p>
        </w:tc>
        <w:tc>
          <w:tcPr>
            <w:tcW w:w="960" w:type="dxa"/>
            <w:tcBorders>
              <w:top w:val="single" w:color="000000" w:sz="4" w:space="0"/>
              <w:left w:val="single" w:color="000000" w:sz="4" w:space="0"/>
              <w:bottom w:val="single" w:color="000000" w:sz="4" w:space="0"/>
              <w:right w:val="single" w:color="000000" w:sz="4" w:space="0"/>
            </w:tcBorders>
            <w:vAlign w:val="center"/>
          </w:tcPr>
          <w:p w14:paraId="2CEEEC38">
            <w:pPr>
              <w:pStyle w:val="93"/>
              <w:kinsoku w:val="0"/>
              <w:overflowPunct w:val="0"/>
              <w:spacing w:line="360" w:lineRule="auto"/>
              <w:jc w:val="center"/>
              <w:rPr>
                <w:color w:val="auto"/>
                <w:sz w:val="21"/>
                <w:szCs w:val="21"/>
                <w:highlight w:val="none"/>
              </w:rPr>
            </w:pPr>
            <w:r>
              <w:rPr>
                <w:rFonts w:hint="eastAsia"/>
                <w:color w:val="auto"/>
                <w:sz w:val="21"/>
                <w:szCs w:val="21"/>
                <w:highlight w:val="none"/>
              </w:rPr>
              <w:t>备注</w:t>
            </w:r>
          </w:p>
        </w:tc>
      </w:tr>
      <w:tr w14:paraId="51C2CCC5">
        <w:tblPrEx>
          <w:tblCellMar>
            <w:top w:w="0" w:type="dxa"/>
            <w:left w:w="0" w:type="dxa"/>
            <w:bottom w:w="0" w:type="dxa"/>
            <w:right w:w="0" w:type="dxa"/>
          </w:tblCellMar>
        </w:tblPrEx>
        <w:trPr>
          <w:trHeight w:val="23" w:hRule="atLeast"/>
        </w:trPr>
        <w:tc>
          <w:tcPr>
            <w:tcW w:w="2410" w:type="dxa"/>
            <w:tcBorders>
              <w:top w:val="single" w:color="000000" w:sz="4" w:space="0"/>
              <w:left w:val="single" w:color="000000" w:sz="4" w:space="0"/>
              <w:bottom w:val="single" w:color="000000" w:sz="4" w:space="0"/>
              <w:right w:val="single" w:color="000000" w:sz="4" w:space="0"/>
            </w:tcBorders>
            <w:vAlign w:val="center"/>
          </w:tcPr>
          <w:p w14:paraId="7030DF1F">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梧州市工人医院2026年度职工团体补偿医疗保险</w:t>
            </w:r>
          </w:p>
        </w:tc>
        <w:tc>
          <w:tcPr>
            <w:tcW w:w="3510" w:type="dxa"/>
            <w:tcBorders>
              <w:top w:val="single" w:color="000000" w:sz="4" w:space="0"/>
              <w:left w:val="single" w:color="000000" w:sz="4" w:space="0"/>
              <w:bottom w:val="single" w:color="000000" w:sz="4" w:space="0"/>
              <w:right w:val="single" w:color="000000" w:sz="4" w:space="0"/>
            </w:tcBorders>
            <w:vAlign w:val="center"/>
          </w:tcPr>
          <w:p w14:paraId="178C9464">
            <w:pPr>
              <w:pStyle w:val="93"/>
              <w:kinsoku w:val="0"/>
              <w:overflowPunct w:val="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具体保障范围、赔付标准及服务流程以《竞争性磋商采购文件》第三章 服务要求为准</w:t>
            </w:r>
          </w:p>
        </w:tc>
        <w:tc>
          <w:tcPr>
            <w:tcW w:w="1905" w:type="dxa"/>
            <w:tcBorders>
              <w:top w:val="single" w:color="000000" w:sz="4" w:space="0"/>
              <w:left w:val="single" w:color="000000" w:sz="4" w:space="0"/>
              <w:bottom w:val="single" w:color="000000" w:sz="4" w:space="0"/>
              <w:right w:val="single" w:color="000000" w:sz="4" w:space="0"/>
            </w:tcBorders>
            <w:vAlign w:val="center"/>
          </w:tcPr>
          <w:p w14:paraId="68037BDF">
            <w:pPr>
              <w:pStyle w:val="93"/>
              <w:kinsoku w:val="0"/>
              <w:overflowPunct w:val="0"/>
              <w:spacing w:line="360" w:lineRule="auto"/>
              <w:ind w:right="197"/>
              <w:jc w:val="center"/>
              <w:rPr>
                <w:color w:val="auto"/>
                <w:sz w:val="21"/>
                <w:szCs w:val="21"/>
                <w:highlight w:val="none"/>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35412E43">
            <w:pPr>
              <w:pStyle w:val="93"/>
              <w:kinsoku w:val="0"/>
              <w:overflowPunct w:val="0"/>
              <w:spacing w:line="360" w:lineRule="auto"/>
              <w:jc w:val="center"/>
              <w:rPr>
                <w:rFonts w:ascii="Times New Roman" w:cs="Times New Roman"/>
                <w:color w:val="auto"/>
                <w:sz w:val="20"/>
                <w:szCs w:val="20"/>
                <w:highlight w:val="none"/>
              </w:rPr>
            </w:pPr>
          </w:p>
        </w:tc>
      </w:tr>
    </w:tbl>
    <w:p w14:paraId="53388A99">
      <w:pPr>
        <w:spacing w:line="360" w:lineRule="auto"/>
        <w:ind w:firstLine="420" w:firstLineChars="200"/>
        <w:rPr>
          <w:rFonts w:ascii="宋体" w:hAnsi="宋体" w:cs="宋体"/>
          <w:color w:val="auto"/>
          <w:highlight w:val="none"/>
        </w:rPr>
      </w:pPr>
    </w:p>
    <w:p w14:paraId="544709E1">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根据《</w:t>
      </w:r>
      <w:r>
        <w:rPr>
          <w:rFonts w:hint="eastAsia"/>
          <w:color w:val="auto"/>
          <w:szCs w:val="21"/>
          <w:highlight w:val="none"/>
        </w:rPr>
        <w:t>成交</w:t>
      </w:r>
      <w:r>
        <w:rPr>
          <w:rFonts w:hint="eastAsia" w:ascii="宋体" w:hAnsi="宋体" w:cs="宋体"/>
          <w:color w:val="auto"/>
          <w:highlight w:val="none"/>
        </w:rPr>
        <w:t>通知书》的中标内容，合同的总金额（暂定）为：</w:t>
      </w:r>
      <w:r>
        <w:rPr>
          <w:rFonts w:hint="eastAsia" w:ascii="宋体" w:hAnsi="宋体" w:cs="宋体"/>
          <w:color w:val="auto"/>
          <w:highlight w:val="none"/>
          <w:u w:val="single"/>
        </w:rPr>
        <w:t>（大写）          人民币（￥       ）（最终结算金额=成交单价×实际参保人数）</w:t>
      </w:r>
      <w:r>
        <w:rPr>
          <w:rFonts w:hint="eastAsia" w:ascii="宋体" w:hAnsi="宋体" w:cs="宋体"/>
          <w:color w:val="auto"/>
          <w:highlight w:val="none"/>
        </w:rPr>
        <w:t>。合同总金额包括</w:t>
      </w:r>
      <w:r>
        <w:rPr>
          <w:rFonts w:hint="eastAsia" w:ascii="宋体" w:hAnsi="宋体" w:cs="宋体"/>
          <w:color w:val="auto"/>
          <w:szCs w:val="21"/>
          <w:highlight w:val="none"/>
        </w:rPr>
        <w:t>本次采购范围</w:t>
      </w:r>
      <w:r>
        <w:rPr>
          <w:rFonts w:hint="eastAsia" w:ascii="宋体" w:hAnsi="宋体" w:cs="宋体"/>
          <w:color w:val="auto"/>
          <w:highlight w:val="none"/>
        </w:rPr>
        <w:t>内的全部采购需求所应提供的服务价款、技术及服务培训、服务保障、保险及税金、培训、人工、差旅费等所有费用总和</w:t>
      </w:r>
      <w:r>
        <w:rPr>
          <w:rFonts w:hint="eastAsia" w:ascii="宋体" w:hAnsi="宋体" w:cs="宋体"/>
          <w:color w:val="auto"/>
          <w:szCs w:val="21"/>
          <w:highlight w:val="none"/>
        </w:rPr>
        <w:t>。若无双方协商一致达成书面补充协议，本合同单价金额为固定价格，不因参保人数变动、政策调整或乙方成本变化而调整。</w:t>
      </w:r>
    </w:p>
    <w:p w14:paraId="3AC2DC9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084E98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1、乙方所提供的服务及服务内容必须与响应文件承诺相一致，有国家强制性标准的，还必须符合国家强制性标准的规定，没有国家强制性标准但有其他强制性标准的，必须符合其他强制性标准的规定。</w:t>
      </w:r>
    </w:p>
    <w:p w14:paraId="08A03E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2、乙方承诺服务内容须完全响应采购文件要求，且不得低于国家或行业相关标准。若服务未达标，甲方有权要求乙方限期整改，整改费用由乙方承担。</w:t>
      </w:r>
    </w:p>
    <w:p w14:paraId="34276EE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因乙方理赔失误、拒赔不当、服务失职等问题，造成甲方职工产生索赔纠纷、经济损失、名誉损失的，由乙方承担全部责任，包括赔偿损失及承担由此产生的诉讼费、律师费、差旅费、鉴定费、保全费、执行费等一切衍生费用。</w:t>
      </w:r>
    </w:p>
    <w:p w14:paraId="3BD64D2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4、乙方须严格执行保险条款及双方约定的赔付标准，不得无故缩减保障范围、设置不合理赔付门槛。</w:t>
      </w:r>
    </w:p>
    <w:p w14:paraId="24ECB557">
      <w:pPr>
        <w:spacing w:line="360" w:lineRule="auto"/>
        <w:ind w:firstLine="422" w:firstLineChars="200"/>
        <w:rPr>
          <w:rFonts w:ascii="宋体" w:hAnsi="宋体" w:cs="宋体" w:eastAsiaTheme="minorEastAsia"/>
          <w:color w:val="auto"/>
          <w:szCs w:val="21"/>
          <w:highlight w:val="none"/>
        </w:rPr>
      </w:pPr>
      <w:r>
        <w:rPr>
          <w:rFonts w:hint="eastAsia" w:ascii="宋体" w:hAnsi="宋体" w:cs="宋体"/>
          <w:b/>
          <w:color w:val="auto"/>
          <w:szCs w:val="21"/>
          <w:highlight w:val="none"/>
        </w:rPr>
        <w:t>第三条　权利保证和保密义务</w:t>
      </w:r>
    </w:p>
    <w:p w14:paraId="30F0662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1、乙方保证本合同项下服务不侵犯任何第三方专利权、商标权、知识产权及其他合法权利，如引发侵权纠纷，全部责任由乙方承担。</w:t>
      </w:r>
    </w:p>
    <w:p w14:paraId="0FE4388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4D1CD2D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3、乙方为履行本合同所提交的所有成果（包括方案、数据、报告等）知识产权归甲方所有，乙方不得擅自使用或向第三方披露。</w:t>
      </w:r>
    </w:p>
    <w:p w14:paraId="202A82A5">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5365FB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1、服务期限：，服务地点：。</w:t>
      </w:r>
    </w:p>
    <w:p w14:paraId="010ADF5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2E1B52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3、乙方提供不符合响应文件和本合同规定的服务成果及资料，甲方有权拒绝接受。</w:t>
      </w:r>
    </w:p>
    <w:p w14:paraId="117CB3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逾期不开始验收的，乙方可视同验收合格，但甲方保留事后发现隐性问题的追责权利。验收合格后由甲乙双方签署验收单并加盖采购人公章，甲乙双方各执一份。</w:t>
      </w:r>
    </w:p>
    <w:p w14:paraId="0247E1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5、甲乙双方应按照采购文件、双方合同、响应文件验收，验收不合格的，乙方需在5个工作日内整改完毕，否则视为重大违约。</w:t>
      </w:r>
    </w:p>
    <w:p w14:paraId="00FB4F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63B9E7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6CD4CB82">
      <w:pPr>
        <w:spacing w:line="360" w:lineRule="auto"/>
        <w:ind w:firstLine="420" w:firstLineChars="200"/>
        <w:rPr>
          <w:rFonts w:ascii="宋体" w:hAnsi="宋体" w:cs="宋体"/>
          <w:color w:val="auto"/>
          <w:szCs w:val="21"/>
          <w:highlight w:val="none"/>
        </w:rPr>
      </w:pPr>
    </w:p>
    <w:p w14:paraId="2730636E">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2330AAC7">
      <w:pPr>
        <w:snapToGrid w:val="0"/>
        <w:spacing w:line="360" w:lineRule="auto"/>
        <w:ind w:firstLine="420" w:firstLineChars="200"/>
        <w:rPr>
          <w:rFonts w:ascii="Segoe UI" w:hAnsi="Segoe UI" w:cs="Segoe UI"/>
          <w:color w:val="auto"/>
          <w:szCs w:val="21"/>
          <w:highlight w:val="none"/>
          <w:shd w:val="clear" w:color="auto" w:fill="FFFFFF"/>
        </w:rPr>
      </w:pPr>
      <w:r>
        <w:rPr>
          <w:rFonts w:hint="eastAsia" w:ascii="宋体" w:hAnsi="宋体" w:cs="宋体"/>
          <w:color w:val="auto"/>
          <w:szCs w:val="21"/>
          <w:highlight w:val="none"/>
        </w:rPr>
        <w:t>1、乙方应按照国家有关法律法规和本合同所附的《服务承诺》要求为甲方提供相应的提供投保及保险理赔上门服务，</w:t>
      </w:r>
      <w:r>
        <w:rPr>
          <w:rFonts w:ascii="Segoe UI" w:hAnsi="Segoe UI" w:eastAsia="Segoe UI" w:cs="Segoe UI"/>
          <w:color w:val="auto"/>
          <w:szCs w:val="21"/>
          <w:highlight w:val="none"/>
          <w:shd w:val="clear" w:color="auto" w:fill="FFFFFF"/>
        </w:rPr>
        <w:t>需提供7×24小时理赔服务热线，接到甲方职工理赔申请后，须在2小时内响应，10个工作日内完成赔付</w:t>
      </w:r>
      <w:r>
        <w:rPr>
          <w:rFonts w:hint="eastAsia" w:ascii="Segoe UI" w:hAnsi="Segoe UI" w:cs="Segoe UI"/>
          <w:color w:val="auto"/>
          <w:szCs w:val="21"/>
          <w:highlight w:val="none"/>
          <w:shd w:val="clear" w:color="auto" w:fill="FFFFFF"/>
        </w:rPr>
        <w:t>。</w:t>
      </w:r>
    </w:p>
    <w:p w14:paraId="6F6F9B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2、乙方负责甲方有关人员的培训。培训时间、地点：</w:t>
      </w:r>
      <w:r>
        <w:rPr>
          <w:rFonts w:hint="eastAsia" w:ascii="宋体" w:hAnsi="宋体" w:cs="宋体"/>
          <w:color w:val="auto"/>
          <w:szCs w:val="21"/>
          <w:highlight w:val="none"/>
          <w:u w:val="single"/>
        </w:rPr>
        <w:t xml:space="preserve">   甲方根据具体情况安排  </w:t>
      </w:r>
      <w:r>
        <w:rPr>
          <w:rFonts w:hint="eastAsia" w:ascii="宋体" w:hAnsi="宋体" w:cs="宋体"/>
          <w:color w:val="auto"/>
          <w:szCs w:val="21"/>
          <w:highlight w:val="none"/>
        </w:rPr>
        <w:t>。</w:t>
      </w:r>
      <w:r>
        <w:rPr>
          <w:rFonts w:ascii="Segoe UI" w:hAnsi="Segoe UI" w:eastAsia="Segoe UI" w:cs="Segoe UI"/>
          <w:color w:val="auto"/>
          <w:szCs w:val="21"/>
          <w:highlight w:val="none"/>
          <w:shd w:val="clear" w:color="auto" w:fill="FFFFFF"/>
        </w:rPr>
        <w:t>乙方需为甲方职工及管理人员提供至少2次免费保险知识培训，未履行的按合同总金额1%扣减费用</w:t>
      </w:r>
      <w:r>
        <w:rPr>
          <w:rFonts w:hint="eastAsia" w:ascii="Segoe UI" w:hAnsi="Segoe UI" w:cs="Segoe UI"/>
          <w:color w:val="auto"/>
          <w:szCs w:val="21"/>
          <w:highlight w:val="none"/>
          <w:shd w:val="clear" w:color="auto" w:fill="FFFFFF"/>
        </w:rPr>
        <w:t>。</w:t>
      </w:r>
    </w:p>
    <w:p w14:paraId="2FFDD15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548E42AD">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甲乙双方同意本合同金额的支付按以下第</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项约定执行：</w:t>
      </w:r>
    </w:p>
    <w:p w14:paraId="1B02CA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1、一次性支付：</w:t>
      </w:r>
      <w:r>
        <w:rPr>
          <w:rFonts w:hint="eastAsia" w:ascii="宋体" w:hAnsi="宋体" w:cs="宋体"/>
          <w:color w:val="auto"/>
          <w:szCs w:val="21"/>
          <w:highlight w:val="none"/>
          <w:u w:val="single"/>
        </w:rPr>
        <w:t>本项目无预付款，项目自签订合同后30日内采购人一次性将保费拨付给承保人。</w:t>
      </w:r>
    </w:p>
    <w:p w14:paraId="3D037EE5">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2、分期支付</w:t>
      </w:r>
      <w:r>
        <w:rPr>
          <w:rFonts w:hint="eastAsia" w:ascii="宋体" w:hAnsi="宋体" w:cs="宋体"/>
          <w:color w:val="auto"/>
          <w:szCs w:val="21"/>
          <w:highlight w:val="none"/>
          <w:u w:val="single"/>
        </w:rPr>
        <w:t xml:space="preserve">    /   </w:t>
      </w:r>
    </w:p>
    <w:p w14:paraId="182048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3、甲方付款前，乙方需根据甲方需求的发票类型向甲方提供足额且符合税法规定的发票，乙方未按要求迟延提供发票导致甲方迟延付款的，甲方无需承担逾期付款违约责任。</w:t>
      </w:r>
    </w:p>
    <w:p w14:paraId="701B0F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4、合同签署的乙方名称、发票开具单位和收款单位必须一致，在合同执行过程中，乙方不得以其他不正当理由要求调整发票开具单位或收款单位，否则视为乙方违约。</w:t>
      </w:r>
    </w:p>
    <w:p w14:paraId="77FCA9D6">
      <w:pPr>
        <w:pStyle w:val="28"/>
        <w:ind w:firstLine="422"/>
        <w:rPr>
          <w:rFonts w:ascii="宋体" w:hAnsi="宋体" w:cs="宋体"/>
          <w:b/>
          <w:color w:val="auto"/>
          <w:sz w:val="21"/>
          <w:szCs w:val="21"/>
          <w:highlight w:val="none"/>
        </w:rPr>
      </w:pPr>
      <w:r>
        <w:rPr>
          <w:rFonts w:hint="eastAsia" w:ascii="宋体" w:hAnsi="宋体" w:cs="宋体"/>
          <w:b/>
          <w:color w:val="auto"/>
          <w:sz w:val="21"/>
          <w:szCs w:val="21"/>
          <w:highlight w:val="none"/>
        </w:rPr>
        <w:t>第七条　履约保证金</w:t>
      </w:r>
    </w:p>
    <w:p w14:paraId="66480B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本项目不收取履约保证金。</w:t>
      </w:r>
    </w:p>
    <w:p w14:paraId="25670EE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6A1820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118C9F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6D26864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1、除不可抗力外，乙方未按合同约定提供服务、履行理赔义务的，每逾期一日，按合同总金额万分之五向甲方支付违约金，违约金累计最高不超过合同总金额的20%。逾期超过 30日的，甲方有权单方解除合同，并追究乙方全部损失。</w:t>
      </w:r>
    </w:p>
    <w:p w14:paraId="6928386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2、乙方提供的服务如侵犯了第三方合法权益而引发的任何纠纷或者诉讼，均由乙方负责交涉并承担全部责任，甲方因此产生的差旅费、鉴定费、诉讼费、律师费、财产保全申请费和保函费等费用由乙方承担。</w:t>
      </w:r>
    </w:p>
    <w:p w14:paraId="0161AB6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3、甲方无正当理由延期付款的，每天向乙方支付延期款额的万分之五违约金，但违约金累计不得超过延期款额5%。</w:t>
      </w:r>
    </w:p>
    <w:p w14:paraId="3994114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乙方存在无故拖延赔付、违规拒赔、泄露甲方职工个人信息、违反保密义务、培训未达标等其他违约行为的，应按合同总金额20%向甲方支付违约金；违约金不足以弥补实际损失的，违约方还需补足全部损失（含律师费、诉讼费、差旅费、财产保全申请费、保函费、名誉损失等）。</w:t>
      </w:r>
    </w:p>
    <w:p w14:paraId="4C27EF1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25DBA8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7CAD5E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C2027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47B037B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第十一条  合同争议解决</w:t>
      </w:r>
    </w:p>
    <w:p w14:paraId="444EEED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1、因履行本合同引起的或者与本合同有关的争议，甲乙双方应首先通过友好协商解决，如果协商不能解决，可向甲方所在地有管辖权的人民法院提起诉讼。</w:t>
      </w:r>
    </w:p>
    <w:p w14:paraId="622EA48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2、诉讼期间，本合同继续履行。</w:t>
      </w:r>
    </w:p>
    <w:p w14:paraId="7E9EEEE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0EF174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60546C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2、合同执行中涉及采购资金和采购内容修改或者补充的，须经采购人监督部门审批，并签书面补充协议，方可作为主合同不可分割的一部分。</w:t>
      </w:r>
    </w:p>
    <w:p w14:paraId="027638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落款载明的联系方式适用于双方各类通知、信件的往来，同时适用于法院、律师事务所送达诉讼文书、法律文书，一方变更联系方式的应及时通知另一方，未通知的，另一方有权按原约定联系方式联系，一方按约定地址邮寄送达的，另一方拒绝签收或者无法送达的，自交邮之日起届满5日即视为送达。</w:t>
      </w:r>
    </w:p>
    <w:p w14:paraId="514D00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4、本合同未尽事宜，遵照《中华人民共和国民法典》有关条文执行。</w:t>
      </w:r>
    </w:p>
    <w:p w14:paraId="13209820">
      <w:pPr>
        <w:pStyle w:val="28"/>
        <w:rPr>
          <w:rFonts w:eastAsia="宋体"/>
          <w:color w:val="auto"/>
          <w:sz w:val="21"/>
          <w:szCs w:val="21"/>
          <w:highlight w:val="none"/>
        </w:rPr>
      </w:pPr>
      <w:r>
        <w:rPr>
          <w:rFonts w:hint="eastAsia" w:ascii="Segoe UI" w:hAnsi="Segoe UI" w:eastAsia="宋体" w:cs="Segoe UI"/>
          <w:color w:val="auto"/>
          <w:sz w:val="21"/>
          <w:szCs w:val="21"/>
          <w:highlight w:val="none"/>
          <w:shd w:val="clear" w:color="auto" w:fill="FFFFFF"/>
        </w:rPr>
        <w:t>5、</w:t>
      </w:r>
      <w:r>
        <w:rPr>
          <w:rFonts w:ascii="Segoe UI" w:hAnsi="Segoe UI" w:eastAsia="Segoe UI" w:cs="Segoe UI"/>
          <w:color w:val="auto"/>
          <w:sz w:val="21"/>
          <w:szCs w:val="21"/>
          <w:highlight w:val="none"/>
          <w:shd w:val="clear" w:color="auto" w:fill="FFFFFF"/>
        </w:rPr>
        <w:t>乙方需对甲方职工个人信息严格保密，若发生数据泄露，乙方需承担全部法律责任及赔偿</w:t>
      </w:r>
      <w:r>
        <w:rPr>
          <w:rFonts w:hint="eastAsia" w:ascii="Segoe UI" w:hAnsi="Segoe UI" w:eastAsia="宋体" w:cs="Segoe UI"/>
          <w:color w:val="auto"/>
          <w:sz w:val="21"/>
          <w:szCs w:val="21"/>
          <w:highlight w:val="none"/>
          <w:shd w:val="clear" w:color="auto" w:fill="FFFFFF"/>
        </w:rPr>
        <w:t>。</w:t>
      </w:r>
    </w:p>
    <w:p w14:paraId="1C31E5D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684110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1、本合同一经签订，甲乙双方不得擅自变更、中止或者终止。</w:t>
      </w:r>
    </w:p>
    <w:p w14:paraId="00872D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5F42BE9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合同附件</w:t>
      </w:r>
    </w:p>
    <w:p w14:paraId="6E724D4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以下合同附件为本合同不可分割的部分，与本合同具有同等效力</w:t>
      </w:r>
    </w:p>
    <w:p w14:paraId="0BA19F2F">
      <w:pPr>
        <w:spacing w:line="360" w:lineRule="auto"/>
        <w:ind w:firstLine="420" w:firstLineChars="200"/>
        <w:rPr>
          <w:rFonts w:ascii="宋体" w:hAnsi="宋体" w:cs="宋体"/>
          <w:color w:val="auto"/>
          <w:szCs w:val="21"/>
          <w:highlight w:val="none"/>
          <w:lang w:eastAsia="ar-SA"/>
        </w:rPr>
      </w:pPr>
      <w:r>
        <w:rPr>
          <w:rFonts w:hint="eastAsia" w:ascii="宋体" w:hAnsi="宋体" w:cs="宋体"/>
          <w:color w:val="auto"/>
          <w:szCs w:val="21"/>
          <w:highlight w:val="none"/>
        </w:rPr>
        <w:t>1、</w:t>
      </w:r>
      <w:r>
        <w:rPr>
          <w:rFonts w:hint="eastAsia" w:ascii="宋体" w:hAnsi="宋体" w:cs="宋体"/>
          <w:color w:val="auto"/>
          <w:szCs w:val="21"/>
          <w:highlight w:val="none"/>
          <w:lang w:eastAsia="ar-SA"/>
        </w:rPr>
        <w:t>中标（成交）通知书；</w:t>
      </w:r>
    </w:p>
    <w:p w14:paraId="2F877A88">
      <w:pPr>
        <w:spacing w:line="360" w:lineRule="auto"/>
        <w:ind w:firstLine="420" w:firstLineChars="200"/>
        <w:rPr>
          <w:rFonts w:ascii="宋体" w:hAnsi="宋体" w:cs="宋体"/>
          <w:color w:val="auto"/>
          <w:szCs w:val="21"/>
          <w:highlight w:val="none"/>
          <w:lang w:eastAsia="ar-SA"/>
        </w:rPr>
      </w:pPr>
      <w:r>
        <w:rPr>
          <w:rFonts w:hint="eastAsia" w:ascii="宋体" w:hAnsi="宋体" w:cs="宋体"/>
          <w:color w:val="auto"/>
          <w:szCs w:val="21"/>
          <w:highlight w:val="none"/>
        </w:rPr>
        <w:t>2、</w:t>
      </w:r>
      <w:r>
        <w:rPr>
          <w:rFonts w:hint="eastAsia" w:ascii="宋体" w:hAnsi="宋体" w:cs="宋体"/>
          <w:color w:val="auto"/>
          <w:szCs w:val="21"/>
          <w:highlight w:val="none"/>
          <w:lang w:eastAsia="ar-SA"/>
        </w:rPr>
        <w:t>乙方提供的投标（响应）文件</w:t>
      </w:r>
      <w:r>
        <w:rPr>
          <w:rFonts w:hint="eastAsia" w:ascii="宋体" w:hAnsi="宋体" w:cs="宋体"/>
          <w:color w:val="auto"/>
          <w:szCs w:val="21"/>
          <w:highlight w:val="none"/>
        </w:rPr>
        <w:t>、服务承诺</w:t>
      </w:r>
      <w:r>
        <w:rPr>
          <w:rFonts w:hint="eastAsia" w:ascii="宋体" w:hAnsi="宋体" w:cs="宋体"/>
          <w:color w:val="auto"/>
          <w:szCs w:val="21"/>
          <w:highlight w:val="none"/>
          <w:lang w:eastAsia="ar-SA"/>
        </w:rPr>
        <w:t>；</w:t>
      </w:r>
    </w:p>
    <w:p w14:paraId="5E4C85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3、竞争性磋商采购文件。</w:t>
      </w:r>
    </w:p>
    <w:p w14:paraId="03EC7D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5、上述合同文件互相补充和解释。如果合同文件之间存在矛盾或者不一致之处，以上述文件的排列顺序在先者为准。</w:t>
      </w:r>
    </w:p>
    <w:p w14:paraId="6C925C66">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本合同壹式伍份，具有同等法律效力，甲方贰份、乙方贰份、采购代理机构壹份。</w:t>
      </w:r>
    </w:p>
    <w:p w14:paraId="61B6AD52">
      <w:pPr>
        <w:rPr>
          <w:color w:val="auto"/>
          <w:highlight w:val="none"/>
        </w:rPr>
      </w:pPr>
    </w:p>
    <w:p w14:paraId="750B01F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（以下为签章页，无正文）</w:t>
      </w:r>
    </w:p>
    <w:p w14:paraId="62F2D7F2">
      <w:pPr>
        <w:rPr>
          <w:color w:val="auto"/>
          <w:highlight w:val="none"/>
        </w:rPr>
      </w:pPr>
    </w:p>
    <w:p w14:paraId="3AA8EDFE">
      <w:pPr>
        <w:rPr>
          <w:color w:val="auto"/>
          <w:highlight w:val="none"/>
        </w:rPr>
      </w:pPr>
    </w:p>
    <w:tbl>
      <w:tblPr>
        <w:tblStyle w:val="29"/>
        <w:tblpPr w:leftFromText="180" w:rightFromText="180" w:vertAnchor="text" w:horzAnchor="margin" w:tblpY="214"/>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569"/>
      </w:tblGrid>
      <w:tr w14:paraId="03A8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7" w:hRule="atLeast"/>
        </w:trPr>
        <w:tc>
          <w:tcPr>
            <w:tcW w:w="4568" w:type="dxa"/>
            <w:tcBorders>
              <w:top w:val="single" w:color="auto" w:sz="4" w:space="0"/>
              <w:left w:val="single" w:color="auto" w:sz="4" w:space="0"/>
              <w:bottom w:val="single" w:color="auto" w:sz="4" w:space="0"/>
              <w:right w:val="single" w:color="auto" w:sz="4" w:space="0"/>
            </w:tcBorders>
            <w:vAlign w:val="center"/>
          </w:tcPr>
          <w:p w14:paraId="4AADDC2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甲方（章）梧州市工人医院 </w:t>
            </w:r>
          </w:p>
          <w:p w14:paraId="2887F5C0">
            <w:pPr>
              <w:snapToGrid w:val="0"/>
              <w:spacing w:line="360" w:lineRule="auto"/>
              <w:rPr>
                <w:rFonts w:ascii="宋体" w:hAnsi="宋体" w:cs="宋体"/>
                <w:color w:val="auto"/>
                <w:szCs w:val="21"/>
                <w:highlight w:val="none"/>
              </w:rPr>
            </w:pPr>
          </w:p>
          <w:p w14:paraId="19C72FE0">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20    年   月   日</w:t>
            </w:r>
          </w:p>
        </w:tc>
        <w:tc>
          <w:tcPr>
            <w:tcW w:w="4569" w:type="dxa"/>
            <w:tcBorders>
              <w:top w:val="single" w:color="auto" w:sz="4" w:space="0"/>
              <w:left w:val="single" w:color="auto" w:sz="4" w:space="0"/>
              <w:bottom w:val="single" w:color="auto" w:sz="4" w:space="0"/>
              <w:right w:val="single" w:color="auto" w:sz="4" w:space="0"/>
            </w:tcBorders>
            <w:vAlign w:val="center"/>
          </w:tcPr>
          <w:p w14:paraId="011D0B0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471343B3">
            <w:pPr>
              <w:snapToGrid w:val="0"/>
              <w:spacing w:line="360" w:lineRule="auto"/>
              <w:rPr>
                <w:rFonts w:ascii="宋体" w:hAnsi="宋体" w:cs="宋体"/>
                <w:color w:val="auto"/>
                <w:szCs w:val="21"/>
                <w:highlight w:val="none"/>
              </w:rPr>
            </w:pPr>
          </w:p>
          <w:p w14:paraId="724E11E3">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20    年   月   日</w:t>
            </w:r>
          </w:p>
        </w:tc>
      </w:tr>
      <w:tr w14:paraId="049D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vAlign w:val="center"/>
          </w:tcPr>
          <w:p w14:paraId="7B33714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单位地址：广西梧州市高地路南三巷1号</w:t>
            </w:r>
          </w:p>
        </w:tc>
        <w:tc>
          <w:tcPr>
            <w:tcW w:w="4569" w:type="dxa"/>
            <w:tcBorders>
              <w:top w:val="single" w:color="auto" w:sz="4" w:space="0"/>
              <w:left w:val="single" w:color="auto" w:sz="4" w:space="0"/>
              <w:bottom w:val="single" w:color="auto" w:sz="4" w:space="0"/>
              <w:right w:val="single" w:color="auto" w:sz="4" w:space="0"/>
            </w:tcBorders>
            <w:vAlign w:val="center"/>
          </w:tcPr>
          <w:p w14:paraId="77BF132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19E5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4568" w:type="dxa"/>
            <w:tcBorders>
              <w:top w:val="single" w:color="auto" w:sz="4" w:space="0"/>
              <w:left w:val="single" w:color="auto" w:sz="4" w:space="0"/>
              <w:right w:val="single" w:color="auto" w:sz="4" w:space="0"/>
            </w:tcBorders>
            <w:vAlign w:val="center"/>
          </w:tcPr>
          <w:p w14:paraId="6A6648D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69" w:type="dxa"/>
            <w:tcBorders>
              <w:top w:val="single" w:color="auto" w:sz="4" w:space="0"/>
              <w:left w:val="single" w:color="auto" w:sz="4" w:space="0"/>
              <w:bottom w:val="single" w:color="auto" w:sz="4" w:space="0"/>
              <w:right w:val="single" w:color="auto" w:sz="4" w:space="0"/>
            </w:tcBorders>
            <w:vAlign w:val="center"/>
          </w:tcPr>
          <w:p w14:paraId="5174594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法定代表人（负责人或自然人）：</w:t>
            </w:r>
          </w:p>
        </w:tc>
      </w:tr>
      <w:tr w14:paraId="41FE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vAlign w:val="center"/>
          </w:tcPr>
          <w:p w14:paraId="6263699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69" w:type="dxa"/>
            <w:tcBorders>
              <w:top w:val="single" w:color="auto" w:sz="4" w:space="0"/>
              <w:left w:val="single" w:color="auto" w:sz="4" w:space="0"/>
              <w:bottom w:val="single" w:color="auto" w:sz="4" w:space="0"/>
              <w:right w:val="single" w:color="auto" w:sz="4" w:space="0"/>
            </w:tcBorders>
            <w:vAlign w:val="center"/>
          </w:tcPr>
          <w:p w14:paraId="61BAA59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0E47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vAlign w:val="center"/>
          </w:tcPr>
          <w:p w14:paraId="3EF266C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联系人：     电话：</w:t>
            </w:r>
          </w:p>
        </w:tc>
        <w:tc>
          <w:tcPr>
            <w:tcW w:w="4569" w:type="dxa"/>
            <w:tcBorders>
              <w:top w:val="single" w:color="auto" w:sz="4" w:space="0"/>
              <w:left w:val="single" w:color="auto" w:sz="4" w:space="0"/>
              <w:bottom w:val="single" w:color="auto" w:sz="4" w:space="0"/>
              <w:right w:val="single" w:color="auto" w:sz="4" w:space="0"/>
            </w:tcBorders>
            <w:vAlign w:val="center"/>
          </w:tcPr>
          <w:p w14:paraId="04DE3A5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联系人：      电话：</w:t>
            </w:r>
          </w:p>
        </w:tc>
      </w:tr>
      <w:tr w14:paraId="4B56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vAlign w:val="center"/>
          </w:tcPr>
          <w:p w14:paraId="39A568F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电子邮箱： </w:t>
            </w:r>
          </w:p>
        </w:tc>
        <w:tc>
          <w:tcPr>
            <w:tcW w:w="4569" w:type="dxa"/>
            <w:tcBorders>
              <w:top w:val="single" w:color="auto" w:sz="4" w:space="0"/>
              <w:left w:val="single" w:color="auto" w:sz="4" w:space="0"/>
              <w:bottom w:val="single" w:color="auto" w:sz="4" w:space="0"/>
              <w:right w:val="single" w:color="auto" w:sz="4" w:space="0"/>
            </w:tcBorders>
            <w:vAlign w:val="center"/>
          </w:tcPr>
          <w:p w14:paraId="1F7E5E3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电子邮箱：</w:t>
            </w:r>
          </w:p>
        </w:tc>
      </w:tr>
      <w:tr w14:paraId="2419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vAlign w:val="center"/>
          </w:tcPr>
          <w:p w14:paraId="727F51C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p>
        </w:tc>
        <w:tc>
          <w:tcPr>
            <w:tcW w:w="4569" w:type="dxa"/>
            <w:tcBorders>
              <w:top w:val="single" w:color="auto" w:sz="4" w:space="0"/>
              <w:left w:val="single" w:color="auto" w:sz="4" w:space="0"/>
              <w:bottom w:val="single" w:color="auto" w:sz="4" w:space="0"/>
              <w:right w:val="single" w:color="auto" w:sz="4" w:space="0"/>
            </w:tcBorders>
            <w:vAlign w:val="center"/>
          </w:tcPr>
          <w:p w14:paraId="7D724FF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bl>
    <w:p w14:paraId="63C70E4E">
      <w:pPr>
        <w:rPr>
          <w:color w:val="auto"/>
          <w:highlight w:val="none"/>
        </w:rPr>
      </w:pPr>
    </w:p>
    <w:p w14:paraId="43928E50">
      <w:pPr>
        <w:rPr>
          <w:color w:val="auto"/>
          <w:highlight w:val="none"/>
        </w:rPr>
      </w:pPr>
    </w:p>
    <w:p w14:paraId="17DAB936">
      <w:pPr>
        <w:rPr>
          <w:rFonts w:ascii="宋体" w:hAnsi="宋体"/>
          <w:color w:val="auto"/>
          <w:szCs w:val="21"/>
          <w:highlight w:val="none"/>
        </w:rPr>
      </w:pPr>
      <w:r>
        <w:rPr>
          <w:rFonts w:ascii="宋体" w:hAnsi="宋体"/>
          <w:color w:val="auto"/>
          <w:szCs w:val="21"/>
          <w:highlight w:val="none"/>
        </w:rPr>
        <w:br w:type="page"/>
      </w:r>
    </w:p>
    <w:p w14:paraId="4EB9B585">
      <w:pPr>
        <w:jc w:val="center"/>
        <w:rPr>
          <w:b/>
          <w:bCs/>
          <w:color w:val="auto"/>
          <w:sz w:val="32"/>
          <w:szCs w:val="32"/>
          <w:highlight w:val="none"/>
        </w:rPr>
      </w:pPr>
      <w:r>
        <w:rPr>
          <w:rFonts w:hint="eastAsia"/>
          <w:b/>
          <w:bCs/>
          <w:color w:val="auto"/>
          <w:sz w:val="32"/>
          <w:szCs w:val="32"/>
          <w:highlight w:val="none"/>
        </w:rPr>
        <w:t>《2026年医疗责任保险》</w:t>
      </w:r>
    </w:p>
    <w:p w14:paraId="3FA36850">
      <w:pPr>
        <w:wordWrap w:val="0"/>
        <w:spacing w:line="500" w:lineRule="exact"/>
        <w:ind w:right="800"/>
        <w:rPr>
          <w:rFonts w:ascii="宋体" w:hAnsi="宋体" w:cs="宋体"/>
          <w:bCs/>
          <w:color w:val="auto"/>
          <w:szCs w:val="21"/>
          <w:highlight w:val="none"/>
          <w:u w:val="single"/>
        </w:rPr>
      </w:pPr>
      <w:r>
        <w:rPr>
          <w:rFonts w:hint="eastAsia" w:ascii="宋体" w:hAnsi="宋体" w:cs="宋体"/>
          <w:bCs/>
          <w:color w:val="auto"/>
          <w:szCs w:val="21"/>
          <w:highlight w:val="none"/>
        </w:rPr>
        <w:t>合同编号：</w:t>
      </w:r>
    </w:p>
    <w:p w14:paraId="372616B9">
      <w:pPr>
        <w:spacing w:line="500" w:lineRule="exact"/>
        <w:rPr>
          <w:rFonts w:ascii="宋体" w:hAnsi="宋体" w:cs="宋体"/>
          <w:color w:val="auto"/>
          <w:szCs w:val="21"/>
          <w:highlight w:val="none"/>
          <w:u w:val="single"/>
        </w:rPr>
      </w:pPr>
      <w:r>
        <w:rPr>
          <w:rFonts w:hint="eastAsia" w:ascii="宋体" w:hAnsi="宋体" w:cs="宋体"/>
          <w:color w:val="auto"/>
          <w:szCs w:val="21"/>
          <w:highlight w:val="none"/>
        </w:rPr>
        <w:t>采购人（甲方）：   供应商（乙方）：</w:t>
      </w:r>
    </w:p>
    <w:p w14:paraId="678AE446">
      <w:pPr>
        <w:spacing w:line="500" w:lineRule="exact"/>
        <w:rPr>
          <w:rFonts w:ascii="宋体" w:hAnsi="宋体" w:cs="宋体"/>
          <w:b/>
          <w:color w:val="auto"/>
          <w:szCs w:val="21"/>
          <w:highlight w:val="none"/>
        </w:rPr>
      </w:pPr>
      <w:r>
        <w:rPr>
          <w:rFonts w:hint="eastAsia" w:ascii="宋体" w:hAnsi="宋体" w:cs="宋体"/>
          <w:color w:val="auto"/>
          <w:szCs w:val="21"/>
          <w:highlight w:val="none"/>
        </w:rPr>
        <w:t>签订地点：   签订时间：</w:t>
      </w:r>
    </w:p>
    <w:p w14:paraId="4500311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以及国家、自治区卫生健康委有关医疗责任保险文件、政策规定，按照竞争性磋商文件规定条款和乙方响应文件及其承诺，甲乙双方签订本合同。</w:t>
      </w:r>
    </w:p>
    <w:p w14:paraId="2B9353E1">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4C66CBC0">
      <w:pPr>
        <w:numPr>
          <w:ilvl w:val="0"/>
          <w:numId w:val="4"/>
        </w:numPr>
        <w:spacing w:line="440" w:lineRule="exact"/>
        <w:rPr>
          <w:rFonts w:ascii="宋体" w:hAnsi="宋体" w:cs="宋体"/>
          <w:color w:val="auto"/>
          <w:szCs w:val="21"/>
          <w:highlight w:val="none"/>
        </w:rPr>
      </w:pPr>
      <w:r>
        <w:rPr>
          <w:rFonts w:hint="eastAsia" w:ascii="宋体" w:hAnsi="宋体" w:cs="宋体"/>
          <w:color w:val="auto"/>
          <w:szCs w:val="21"/>
          <w:highlight w:val="none"/>
        </w:rPr>
        <w:t>项目一览表</w:t>
      </w:r>
    </w:p>
    <w:tbl>
      <w:tblPr>
        <w:tblStyle w:val="2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2520"/>
        <w:gridCol w:w="1262"/>
        <w:gridCol w:w="1588"/>
        <w:gridCol w:w="1542"/>
      </w:tblGrid>
      <w:tr w14:paraId="7CE8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1DFC140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28" w:type="dxa"/>
            <w:tcBorders>
              <w:top w:val="single" w:color="auto" w:sz="4" w:space="0"/>
              <w:left w:val="single" w:color="auto" w:sz="4" w:space="0"/>
              <w:bottom w:val="single" w:color="auto" w:sz="4" w:space="0"/>
              <w:right w:val="single" w:color="auto" w:sz="4" w:space="0"/>
            </w:tcBorders>
            <w:vAlign w:val="center"/>
          </w:tcPr>
          <w:p w14:paraId="68AA2C7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520" w:type="dxa"/>
            <w:tcBorders>
              <w:top w:val="single" w:color="auto" w:sz="4" w:space="0"/>
              <w:left w:val="single" w:color="auto" w:sz="4" w:space="0"/>
              <w:bottom w:val="single" w:color="auto" w:sz="4" w:space="0"/>
              <w:right w:val="single" w:color="auto" w:sz="4" w:space="0"/>
            </w:tcBorders>
            <w:vAlign w:val="center"/>
          </w:tcPr>
          <w:p w14:paraId="70F2CA3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262" w:type="dxa"/>
            <w:tcBorders>
              <w:top w:val="single" w:color="auto" w:sz="4" w:space="0"/>
              <w:left w:val="single" w:color="auto" w:sz="4" w:space="0"/>
              <w:bottom w:val="single" w:color="auto" w:sz="4" w:space="0"/>
              <w:right w:val="single" w:color="auto" w:sz="4" w:space="0"/>
            </w:tcBorders>
            <w:vAlign w:val="center"/>
          </w:tcPr>
          <w:p w14:paraId="0478D03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588" w:type="dxa"/>
            <w:tcBorders>
              <w:top w:val="single" w:color="auto" w:sz="4" w:space="0"/>
              <w:left w:val="single" w:color="auto" w:sz="4" w:space="0"/>
              <w:bottom w:val="single" w:color="auto" w:sz="4" w:space="0"/>
              <w:right w:val="single" w:color="auto" w:sz="4" w:space="0"/>
            </w:tcBorders>
            <w:vAlign w:val="center"/>
          </w:tcPr>
          <w:p w14:paraId="6C5D63C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单  价</w:t>
            </w:r>
          </w:p>
          <w:p w14:paraId="0335082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542" w:type="dxa"/>
            <w:tcBorders>
              <w:top w:val="single" w:color="auto" w:sz="4" w:space="0"/>
              <w:left w:val="single" w:color="auto" w:sz="4" w:space="0"/>
              <w:bottom w:val="single" w:color="auto" w:sz="4" w:space="0"/>
              <w:right w:val="single" w:color="auto" w:sz="4" w:space="0"/>
            </w:tcBorders>
            <w:vAlign w:val="center"/>
          </w:tcPr>
          <w:p w14:paraId="46B6A292">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总  价</w:t>
            </w:r>
          </w:p>
          <w:p w14:paraId="4FC40A5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r>
      <w:tr w14:paraId="06D5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45D86D7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728" w:type="dxa"/>
            <w:tcBorders>
              <w:top w:val="single" w:color="auto" w:sz="4" w:space="0"/>
              <w:left w:val="single" w:color="auto" w:sz="4" w:space="0"/>
              <w:bottom w:val="single" w:color="auto" w:sz="4" w:space="0"/>
              <w:right w:val="single" w:color="auto" w:sz="4" w:space="0"/>
            </w:tcBorders>
            <w:vAlign w:val="center"/>
          </w:tcPr>
          <w:p w14:paraId="07FFF6F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2026年医疗责任保险</w:t>
            </w:r>
          </w:p>
        </w:tc>
        <w:tc>
          <w:tcPr>
            <w:tcW w:w="2520" w:type="dxa"/>
            <w:tcBorders>
              <w:top w:val="single" w:color="auto" w:sz="4" w:space="0"/>
              <w:left w:val="single" w:color="auto" w:sz="4" w:space="0"/>
              <w:bottom w:val="single" w:color="auto" w:sz="4" w:space="0"/>
              <w:right w:val="single" w:color="auto" w:sz="4" w:space="0"/>
            </w:tcBorders>
            <w:vAlign w:val="center"/>
          </w:tcPr>
          <w:p w14:paraId="16CA0A17">
            <w:pPr>
              <w:spacing w:line="440" w:lineRule="exact"/>
              <w:rPr>
                <w:rFonts w:ascii="宋体" w:hAnsi="宋体" w:cs="宋体"/>
                <w:color w:val="auto"/>
                <w:szCs w:val="21"/>
                <w:highlight w:val="none"/>
              </w:rPr>
            </w:pPr>
            <w:r>
              <w:rPr>
                <w:rFonts w:hint="eastAsia" w:ascii="宋体" w:hAnsi="宋体" w:cs="宋体"/>
                <w:color w:val="auto"/>
                <w:szCs w:val="21"/>
                <w:highlight w:val="none"/>
              </w:rPr>
              <w:t>主险：医疗责任保险</w:t>
            </w:r>
          </w:p>
          <w:p w14:paraId="5D044AEE">
            <w:pPr>
              <w:spacing w:line="440" w:lineRule="exact"/>
              <w:rPr>
                <w:rFonts w:ascii="宋体" w:hAnsi="宋体" w:cs="宋体"/>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87ACC2E">
            <w:pPr>
              <w:spacing w:line="440" w:lineRule="exact"/>
              <w:jc w:val="center"/>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项</w:t>
            </w:r>
          </w:p>
        </w:tc>
        <w:tc>
          <w:tcPr>
            <w:tcW w:w="1588" w:type="dxa"/>
            <w:tcBorders>
              <w:top w:val="single" w:color="auto" w:sz="4" w:space="0"/>
              <w:left w:val="single" w:color="auto" w:sz="4" w:space="0"/>
              <w:bottom w:val="single" w:color="auto" w:sz="4" w:space="0"/>
              <w:right w:val="single" w:color="auto" w:sz="4" w:space="0"/>
            </w:tcBorders>
            <w:vAlign w:val="center"/>
          </w:tcPr>
          <w:p w14:paraId="444A3B9B">
            <w:pPr>
              <w:spacing w:line="440" w:lineRule="exact"/>
              <w:jc w:val="center"/>
              <w:rPr>
                <w:rFonts w:ascii="宋体" w:hAnsi="宋体" w:cs="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14:paraId="0B8BB1BE">
            <w:pPr>
              <w:spacing w:line="440" w:lineRule="exact"/>
              <w:jc w:val="center"/>
              <w:rPr>
                <w:rFonts w:ascii="宋体" w:hAnsi="宋体" w:cs="宋体"/>
                <w:color w:val="auto"/>
                <w:szCs w:val="21"/>
                <w:highlight w:val="none"/>
              </w:rPr>
            </w:pPr>
          </w:p>
        </w:tc>
      </w:tr>
      <w:tr w14:paraId="1113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vAlign w:val="center"/>
          </w:tcPr>
          <w:p w14:paraId="0B5B9E85">
            <w:pPr>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人民币合计金额（大写）：元整（¥）              </w:t>
            </w:r>
          </w:p>
        </w:tc>
      </w:tr>
    </w:tbl>
    <w:p w14:paraId="63CBAED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2、合计金额包含保险费、服务费、人工费、税费、全部风险及责任等一切费用，为固定包干价。</w:t>
      </w:r>
    </w:p>
    <w:p w14:paraId="4107D925">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主险赔偿限额</w:t>
      </w:r>
    </w:p>
    <w:p w14:paraId="5CF1AF98">
      <w:pPr>
        <w:spacing w:line="440" w:lineRule="exact"/>
        <w:ind w:firstLine="420" w:firstLineChars="200"/>
        <w:rPr>
          <w:rFonts w:ascii="宋体" w:hAnsi="宋体" w:cs="宋体"/>
          <w:bCs/>
          <w:color w:val="auto"/>
          <w:szCs w:val="21"/>
          <w:highlight w:val="none"/>
        </w:rPr>
      </w:pPr>
      <w:bookmarkStart w:id="310" w:name="_Toc420928327"/>
      <w:bookmarkStart w:id="311" w:name="_Toc435918376"/>
      <w:r>
        <w:rPr>
          <w:rFonts w:hint="eastAsia" w:ascii="宋体" w:hAnsi="宋体" w:cs="宋体"/>
          <w:bCs/>
          <w:color w:val="auto"/>
          <w:szCs w:val="21"/>
          <w:highlight w:val="none"/>
        </w:rPr>
        <w:t>（一）基准赔偿限额及基准保费</w:t>
      </w:r>
      <w:bookmarkEnd w:id="310"/>
      <w:bookmarkEnd w:id="311"/>
    </w:p>
    <w:tbl>
      <w:tblPr>
        <w:tblStyle w:val="29"/>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27"/>
        <w:gridCol w:w="1092"/>
        <w:gridCol w:w="1091"/>
        <w:gridCol w:w="1091"/>
        <w:gridCol w:w="1091"/>
        <w:gridCol w:w="1091"/>
        <w:gridCol w:w="3125"/>
      </w:tblGrid>
      <w:tr w14:paraId="0661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0" w:hRule="atLeast"/>
          <w:jc w:val="center"/>
        </w:trPr>
        <w:tc>
          <w:tcPr>
            <w:tcW w:w="1170" w:type="dxa"/>
            <w:vMerge w:val="restart"/>
            <w:shd w:val="clear" w:color="auto" w:fill="FFFFFF"/>
            <w:vAlign w:val="center"/>
          </w:tcPr>
          <w:p w14:paraId="589DCD84">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类别</w:t>
            </w:r>
          </w:p>
        </w:tc>
        <w:tc>
          <w:tcPr>
            <w:tcW w:w="1134" w:type="dxa"/>
            <w:gridSpan w:val="6"/>
            <w:shd w:val="clear" w:color="auto" w:fill="FFFFFF"/>
            <w:vAlign w:val="center"/>
          </w:tcPr>
          <w:p w14:paraId="21833F1F">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基准赔偿限额</w:t>
            </w:r>
          </w:p>
        </w:tc>
      </w:tr>
      <w:tr w14:paraId="62E2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atLeast"/>
          <w:jc w:val="center"/>
        </w:trPr>
        <w:tc>
          <w:tcPr>
            <w:tcW w:w="1170" w:type="dxa"/>
            <w:vMerge w:val="continue"/>
            <w:shd w:val="clear" w:color="auto" w:fill="FFFFFF"/>
            <w:vAlign w:val="center"/>
          </w:tcPr>
          <w:p w14:paraId="2766B4A9">
            <w:pPr>
              <w:spacing w:line="440" w:lineRule="exact"/>
              <w:jc w:val="center"/>
              <w:rPr>
                <w:rFonts w:ascii="宋体" w:hAnsi="宋体" w:cs="宋体"/>
                <w:bCs/>
                <w:color w:val="auto"/>
                <w:szCs w:val="21"/>
                <w:highlight w:val="none"/>
              </w:rPr>
            </w:pPr>
          </w:p>
        </w:tc>
        <w:tc>
          <w:tcPr>
            <w:tcW w:w="1134" w:type="dxa"/>
            <w:shd w:val="clear" w:color="auto" w:fill="FFFFFF"/>
            <w:vAlign w:val="center"/>
          </w:tcPr>
          <w:p w14:paraId="0AE9DAD7">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医疗责任每人赔偿限额</w:t>
            </w:r>
          </w:p>
        </w:tc>
        <w:tc>
          <w:tcPr>
            <w:tcW w:w="1134" w:type="dxa"/>
            <w:shd w:val="clear" w:color="auto" w:fill="FFFFFF"/>
            <w:vAlign w:val="center"/>
          </w:tcPr>
          <w:p w14:paraId="4F603879">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医疗责任累计赔偿限额</w:t>
            </w:r>
          </w:p>
        </w:tc>
        <w:tc>
          <w:tcPr>
            <w:tcW w:w="1134" w:type="dxa"/>
            <w:shd w:val="clear" w:color="auto" w:fill="FFFFFF"/>
            <w:vAlign w:val="center"/>
          </w:tcPr>
          <w:p w14:paraId="24F9877A">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法律费用累计赔偿限额</w:t>
            </w:r>
          </w:p>
        </w:tc>
        <w:tc>
          <w:tcPr>
            <w:tcW w:w="1134" w:type="dxa"/>
            <w:shd w:val="clear" w:color="auto" w:fill="FFFFFF"/>
            <w:vAlign w:val="center"/>
          </w:tcPr>
          <w:p w14:paraId="20064C12">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法律费用每次索赔赔偿限额</w:t>
            </w:r>
          </w:p>
        </w:tc>
        <w:tc>
          <w:tcPr>
            <w:tcW w:w="1134" w:type="dxa"/>
            <w:shd w:val="clear" w:color="auto" w:fill="FFFFFF"/>
            <w:vAlign w:val="center"/>
          </w:tcPr>
          <w:p w14:paraId="4B74BA26">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精神损害每人赔偿限额</w:t>
            </w:r>
          </w:p>
        </w:tc>
        <w:tc>
          <w:tcPr>
            <w:tcW w:w="3269" w:type="dxa"/>
            <w:shd w:val="clear" w:color="auto" w:fill="FFFFFF"/>
            <w:vAlign w:val="center"/>
          </w:tcPr>
          <w:p w14:paraId="2E4CCDC3">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医疗意外责任限额</w:t>
            </w:r>
          </w:p>
        </w:tc>
      </w:tr>
      <w:tr w14:paraId="324B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51" w:hRule="atLeast"/>
          <w:jc w:val="center"/>
        </w:trPr>
        <w:tc>
          <w:tcPr>
            <w:tcW w:w="1170" w:type="dxa"/>
            <w:shd w:val="clear" w:color="auto" w:fill="FFFFFF"/>
            <w:vAlign w:val="center"/>
          </w:tcPr>
          <w:p w14:paraId="40A86FB4">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医疗责任保险</w:t>
            </w:r>
          </w:p>
        </w:tc>
        <w:tc>
          <w:tcPr>
            <w:tcW w:w="1134" w:type="dxa"/>
            <w:shd w:val="clear" w:color="auto" w:fill="FFFFFF"/>
            <w:vAlign w:val="center"/>
          </w:tcPr>
          <w:p w14:paraId="336E926B">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万元</w:t>
            </w:r>
          </w:p>
        </w:tc>
        <w:tc>
          <w:tcPr>
            <w:tcW w:w="1134" w:type="dxa"/>
            <w:shd w:val="clear" w:color="auto" w:fill="FFFFFF"/>
            <w:vAlign w:val="center"/>
          </w:tcPr>
          <w:p w14:paraId="497EC4E8">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万元</w:t>
            </w:r>
          </w:p>
        </w:tc>
        <w:tc>
          <w:tcPr>
            <w:tcW w:w="1134" w:type="dxa"/>
            <w:shd w:val="clear" w:color="auto" w:fill="FFFFFF"/>
            <w:vAlign w:val="center"/>
          </w:tcPr>
          <w:p w14:paraId="76F14D28">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万元</w:t>
            </w:r>
          </w:p>
        </w:tc>
        <w:tc>
          <w:tcPr>
            <w:tcW w:w="1134" w:type="dxa"/>
            <w:shd w:val="clear" w:color="auto" w:fill="FFFFFF"/>
            <w:vAlign w:val="center"/>
          </w:tcPr>
          <w:p w14:paraId="27CD7E31">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万元</w:t>
            </w:r>
          </w:p>
        </w:tc>
        <w:tc>
          <w:tcPr>
            <w:tcW w:w="1134" w:type="dxa"/>
            <w:shd w:val="clear" w:color="auto" w:fill="FFFFFF"/>
            <w:vAlign w:val="center"/>
          </w:tcPr>
          <w:p w14:paraId="021324E0">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万元</w:t>
            </w:r>
          </w:p>
        </w:tc>
        <w:tc>
          <w:tcPr>
            <w:tcW w:w="3269" w:type="dxa"/>
            <w:shd w:val="clear" w:color="auto" w:fill="FFFFFF"/>
          </w:tcPr>
          <w:p w14:paraId="5624D1F8">
            <w:pPr>
              <w:spacing w:line="440" w:lineRule="exact"/>
              <w:rPr>
                <w:rFonts w:ascii="宋体" w:hAnsi="宋体" w:cs="宋体"/>
                <w:bCs/>
                <w:color w:val="auto"/>
                <w:szCs w:val="21"/>
                <w:highlight w:val="none"/>
              </w:rPr>
            </w:pPr>
          </w:p>
        </w:tc>
      </w:tr>
    </w:tbl>
    <w:p w14:paraId="6E23FB5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注：本合同所称医务人员，包括执业（助理）医师、注册护士、药师（士）、检验技师、影像技师（士）等卫生专业人员，以及医疗管理人员、进修医务人员、外聘医务人员、外请会诊医务人员、符合多点执业条件的医务人员医疗机构人员等。无论其处于何岗位，只要实际从事具体医疗服务活动，便属于医务人员。保险人同意投保医疗机构投保时可不提供外请医务人员名单。</w:t>
      </w:r>
    </w:p>
    <w:p w14:paraId="130B878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（二）赔偿限额说明：</w:t>
      </w:r>
    </w:p>
    <w:p w14:paraId="09099E4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（1）每人赔偿限额是指在保险年度内，被保险医疗机构造成每一名患者人身损害，在保险责任范围内获得的最高赔偿金额。</w:t>
      </w:r>
    </w:p>
    <w:p w14:paraId="668CDB25">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累计赔偿限额是指被保险医疗机构在保险年度内获得的最高赔偿金额。若保险年度内被保险医疗机构累计获得的赔款等于累计赔偿限额，则该医疗机构的保险单项下的相应保险责任终止。医疗机构选择的累计赔偿限额不得低于每人赔偿限额。</w:t>
      </w:r>
    </w:p>
    <w:p w14:paraId="197EA766">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（3）精神损害每人责任限额为医疗责任每人责任限额的30%，并包含在医疗责任每人责任限额之内。</w:t>
      </w:r>
    </w:p>
    <w:p w14:paraId="1680B651">
      <w:pPr>
        <w:spacing w:line="440" w:lineRule="exact"/>
        <w:ind w:firstLine="420" w:firstLineChars="200"/>
        <w:rPr>
          <w:rFonts w:ascii="宋体" w:hAnsi="宋体" w:cs="宋体"/>
          <w:b/>
          <w:color w:val="auto"/>
          <w:szCs w:val="21"/>
          <w:highlight w:val="none"/>
        </w:rPr>
      </w:pPr>
      <w:r>
        <w:rPr>
          <w:rFonts w:hint="eastAsia" w:ascii="宋体" w:hAnsi="宋体" w:cs="宋体"/>
          <w:bCs/>
          <w:color w:val="auto"/>
          <w:szCs w:val="21"/>
          <w:highlight w:val="none"/>
        </w:rPr>
        <w:t>（4）法律费用每次事故赔偿限额以及法律费用累计赔偿限额均为累计赔偿限额的15%，且在累计赔偿限额之外计算。</w:t>
      </w:r>
    </w:p>
    <w:p w14:paraId="66B8F76F">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第三条　付款方式</w:t>
      </w:r>
    </w:p>
    <w:p w14:paraId="1AB9252D">
      <w:pPr>
        <w:spacing w:line="440" w:lineRule="exact"/>
        <w:ind w:firstLine="420" w:firstLineChars="200"/>
        <w:rPr>
          <w:rFonts w:hAnsi="宋体" w:cs="宋体"/>
          <w:bCs/>
          <w:color w:val="auto"/>
          <w:highlight w:val="none"/>
        </w:rPr>
      </w:pPr>
      <w:r>
        <w:rPr>
          <w:rFonts w:hint="eastAsia" w:hAnsi="宋体" w:cs="宋体"/>
          <w:bCs/>
          <w:color w:val="auto"/>
          <w:highlight w:val="none"/>
        </w:rPr>
        <w:t>本合同采用一次性付款方式结算,甲方付款前，乙方应开具经甲方核定的合同标的金额的增值税发票（足额并符合税法规定) 给甲方，甲方核对发票无误后支付合同款至乙方指定对公银行帐户，因乙方向甲方提供发票致使甲方迟延付款的，甲方不承担违约责任。</w:t>
      </w:r>
    </w:p>
    <w:p w14:paraId="05C052FC">
      <w:pPr>
        <w:spacing w:line="440" w:lineRule="exact"/>
        <w:ind w:firstLine="420" w:firstLineChars="200"/>
        <w:rPr>
          <w:rFonts w:hAnsi="宋体" w:cs="宋体"/>
          <w:bCs/>
          <w:color w:val="auto"/>
          <w:highlight w:val="none"/>
        </w:rPr>
      </w:pPr>
      <w:r>
        <w:rPr>
          <w:rFonts w:hint="eastAsia" w:hAnsi="宋体" w:cs="宋体"/>
          <w:bCs/>
          <w:color w:val="auto"/>
          <w:highlight w:val="none"/>
        </w:rPr>
        <w:t>在合同生效之日起一个月内，乙方向甲方开具100%合同金额的发票和付款申请后，甲方应在收到发票后30个工作日内向乙方支付100%的合同款项。</w:t>
      </w:r>
    </w:p>
    <w:p w14:paraId="36ECFC5A">
      <w:pPr>
        <w:spacing w:line="440" w:lineRule="exact"/>
        <w:ind w:firstLine="420" w:firstLineChars="200"/>
        <w:rPr>
          <w:rFonts w:hAnsi="宋体" w:cs="宋体"/>
          <w:bCs/>
          <w:color w:val="auto"/>
          <w:highlight w:val="none"/>
        </w:rPr>
      </w:pPr>
      <w:r>
        <w:rPr>
          <w:rFonts w:hint="eastAsia" w:hAnsi="宋体" w:cs="宋体"/>
          <w:bCs/>
          <w:color w:val="auto"/>
          <w:highlight w:val="none"/>
        </w:rPr>
        <w:t>合同签署的乙方名称、发票开具单位和收款单位必须一致，在合同执行过程中，乙方不得以其他不正当理由要求调整发票开具单位或收款单位，否则视为乙方违约。</w:t>
      </w:r>
    </w:p>
    <w:p w14:paraId="0BBFD2D1">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第四条　履约保证金：无</w:t>
      </w:r>
    </w:p>
    <w:p w14:paraId="5339E603">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税费</w:t>
      </w:r>
    </w:p>
    <w:p w14:paraId="54189F8C">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本合同执行中相关的一切税费均由乙方负担，合同另有约定的除外。</w:t>
      </w:r>
    </w:p>
    <w:p w14:paraId="1A90CB5C">
      <w:pPr>
        <w:spacing w:after="120" w:line="440" w:lineRule="exact"/>
        <w:ind w:left="420"/>
        <w:rPr>
          <w:rFonts w:ascii="宋体" w:hAnsi="宋体" w:cs="宋体"/>
          <w:b/>
          <w:color w:val="auto"/>
          <w:szCs w:val="21"/>
          <w:highlight w:val="none"/>
        </w:rPr>
      </w:pPr>
      <w:r>
        <w:rPr>
          <w:rFonts w:hint="eastAsia" w:ascii="宋体" w:hAnsi="宋体" w:cs="宋体"/>
          <w:b/>
          <w:color w:val="auto"/>
          <w:szCs w:val="21"/>
          <w:highlight w:val="none"/>
        </w:rPr>
        <w:t>第六条 特别约定</w:t>
      </w:r>
    </w:p>
    <w:p w14:paraId="367AF9A3">
      <w:pPr>
        <w:widowControl/>
        <w:spacing w:line="440" w:lineRule="exact"/>
        <w:ind w:left="481"/>
        <w:rPr>
          <w:rFonts w:ascii="宋体" w:hAnsi="宋体" w:cs="宋体"/>
          <w:color w:val="auto"/>
          <w:kern w:val="0"/>
          <w:szCs w:val="21"/>
          <w:highlight w:val="none"/>
        </w:rPr>
      </w:pPr>
      <w:r>
        <w:rPr>
          <w:rFonts w:hint="eastAsia" w:ascii="宋体" w:hAnsi="宋体" w:cs="宋体"/>
          <w:color w:val="auto"/>
          <w:kern w:val="0"/>
          <w:szCs w:val="21"/>
          <w:highlight w:val="none"/>
        </w:rPr>
        <w:t>（一）发生保险事故后，按下列方式确定的赔偿责任、赔偿金额予以赔付：</w:t>
      </w:r>
    </w:p>
    <w:p w14:paraId="778E9D83">
      <w:pPr>
        <w:widowControl/>
        <w:spacing w:line="440" w:lineRule="exact"/>
        <w:ind w:firstLine="630" w:firstLineChars="300"/>
        <w:rPr>
          <w:rFonts w:ascii="宋体" w:hAnsi="宋体" w:cs="宋体"/>
          <w:bCs/>
          <w:color w:val="auto"/>
          <w:kern w:val="0"/>
          <w:szCs w:val="21"/>
          <w:highlight w:val="none"/>
        </w:rPr>
      </w:pPr>
      <w:r>
        <w:rPr>
          <w:rFonts w:hint="eastAsia" w:ascii="宋体" w:hAnsi="宋体" w:cs="宋体"/>
          <w:bCs/>
          <w:color w:val="auto"/>
          <w:kern w:val="0"/>
          <w:szCs w:val="21"/>
          <w:highlight w:val="none"/>
        </w:rPr>
        <w:t>1、医患双方协商达成的协议；</w:t>
      </w:r>
    </w:p>
    <w:p w14:paraId="46D66D3F">
      <w:pPr>
        <w:widowControl/>
        <w:spacing w:line="440" w:lineRule="exact"/>
        <w:ind w:firstLine="630" w:firstLineChars="300"/>
        <w:rPr>
          <w:rFonts w:ascii="宋体" w:hAnsi="宋体" w:cs="宋体"/>
          <w:bCs/>
          <w:color w:val="auto"/>
          <w:kern w:val="0"/>
          <w:szCs w:val="21"/>
          <w:highlight w:val="none"/>
        </w:rPr>
      </w:pPr>
      <w:r>
        <w:rPr>
          <w:rFonts w:hint="eastAsia" w:ascii="宋体" w:hAnsi="宋体" w:cs="宋体"/>
          <w:bCs/>
          <w:color w:val="auto"/>
          <w:kern w:val="0"/>
          <w:szCs w:val="21"/>
          <w:highlight w:val="none"/>
        </w:rPr>
        <w:t>2、医疗纠纷人民调解委员会调解达成的调解协议；</w:t>
      </w:r>
    </w:p>
    <w:p w14:paraId="11690A0C">
      <w:pPr>
        <w:widowControl/>
        <w:spacing w:line="440" w:lineRule="exact"/>
        <w:ind w:firstLine="630" w:firstLineChars="300"/>
        <w:rPr>
          <w:rFonts w:ascii="宋体" w:hAnsi="宋体" w:cs="宋体"/>
          <w:bCs/>
          <w:color w:val="auto"/>
          <w:kern w:val="0"/>
          <w:szCs w:val="21"/>
          <w:highlight w:val="none"/>
        </w:rPr>
      </w:pPr>
      <w:r>
        <w:rPr>
          <w:rFonts w:hint="eastAsia" w:ascii="宋体" w:hAnsi="宋体" w:cs="宋体"/>
          <w:bCs/>
          <w:color w:val="auto"/>
          <w:kern w:val="0"/>
          <w:szCs w:val="21"/>
          <w:highlight w:val="none"/>
        </w:rPr>
        <w:t>2、人民法院裁决、判决、调解或仲裁机构裁决；</w:t>
      </w:r>
    </w:p>
    <w:p w14:paraId="20143A9E">
      <w:pPr>
        <w:widowControl/>
        <w:spacing w:line="440" w:lineRule="exact"/>
        <w:ind w:firstLine="630" w:firstLineChars="300"/>
        <w:rPr>
          <w:rFonts w:ascii="宋体" w:hAnsi="宋体" w:cs="宋体"/>
          <w:b/>
          <w:color w:val="auto"/>
          <w:kern w:val="0"/>
          <w:szCs w:val="21"/>
          <w:highlight w:val="none"/>
        </w:rPr>
      </w:pPr>
      <w:r>
        <w:rPr>
          <w:rFonts w:hint="eastAsia" w:ascii="宋体" w:hAnsi="宋体" w:cs="宋体"/>
          <w:bCs/>
          <w:color w:val="auto"/>
          <w:kern w:val="0"/>
          <w:szCs w:val="21"/>
          <w:highlight w:val="none"/>
        </w:rPr>
        <w:t>3、保险人认可的其它方式。</w:t>
      </w:r>
    </w:p>
    <w:p w14:paraId="1BEE7170">
      <w:pPr>
        <w:numPr>
          <w:ilvl w:val="0"/>
          <w:numId w:val="5"/>
        </w:numPr>
        <w:spacing w:after="120" w:line="440" w:lineRule="exact"/>
        <w:ind w:left="420"/>
        <w:rPr>
          <w:rFonts w:ascii="宋体" w:hAnsi="宋体" w:cs="宋体"/>
          <w:color w:val="auto"/>
          <w:szCs w:val="21"/>
          <w:highlight w:val="none"/>
        </w:rPr>
      </w:pPr>
      <w:r>
        <w:rPr>
          <w:rFonts w:hint="eastAsia" w:ascii="宋体" w:hAnsi="宋体" w:cs="宋体"/>
          <w:b/>
          <w:color w:val="auto"/>
          <w:szCs w:val="21"/>
          <w:highlight w:val="none"/>
        </w:rPr>
        <w:t>服务承诺</w:t>
      </w:r>
    </w:p>
    <w:p w14:paraId="01B4D849">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1、对于索赔金额在人民币 2 万元（含）以下的案件，医患双方可直接自行协商，定责定损。理赔服务中心依据医患双方自行协商的结果直接全额定损。</w:t>
      </w:r>
    </w:p>
    <w:p w14:paraId="26CD52E9">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2、索赔金额在2万元以上的，医患双方当事人可以向医疗纠纷人民调解组织、卫生行政部门申请调解、或向人民法院提起民事诉讼等途径解决。</w:t>
      </w:r>
    </w:p>
    <w:p w14:paraId="61D4C4C3">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3、2万以上10万以下的，依据调解协议无须事前经保险人同意，在保险责任范围内100%赔付。</w:t>
      </w:r>
    </w:p>
    <w:p w14:paraId="5A7946C9">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4、10万以上的，经医疗损害责任相关鉴定、司法确认（即法院裁决）或法院判决的，无须经保险人同意，在保险责任范围内100%赔付。</w:t>
      </w:r>
    </w:p>
    <w:p w14:paraId="08BFEA86">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对于2万以上，医患双方协商解决的，必须事先征得保险人同意，保险人在接到报案后5个工作日内作出理赔意见。对于未经医疗损害责任相关鉴定、或未经得保险人同意，而由医患双方自行协商赔偿的，保险人有权重新核定该事故是否属于保险责任以及重新核定损失金额。</w:t>
      </w:r>
    </w:p>
    <w:p w14:paraId="7B45B99F">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响应时限。医患双方院内调解的案件，保险人在接到完整报案材料（若保险人认为报案材料不完整的，应当在收到报案材料当日一次性书面告知需要补正的全部材料，否则视为所提供的报案材料完整；下同）后3个工作日内完成案件的审核，并向被保险人出具《理赔意见书》；由行政调解、人民调解受理的案件，保险人在接到完整报案材料后5个工作日内完成案件的审核，并向被保险人出具《理赔意见书》；经医疗事故鉴定、司法鉴定或法院裁判决的案件，保险人在接到完整报案材料后5个工作日内完成案件的审核，并向被保险人出具《理赔意见书》。</w:t>
      </w:r>
    </w:p>
    <w:p w14:paraId="0188CB84">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7、理赔时间。对于通过审核的案件，保险人应在接到完整理赔申请材料后3个工作日内，将赔款支付给被保人或经被保人同意的患者或其他相关利益人/法定继承人。</w:t>
      </w:r>
    </w:p>
    <w:p w14:paraId="673AD6D4">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8、指派名服务人员配合采购人医院成立服务小组，为医院提供包含且不限于以下的服务：协助医院处理突发性事件的调查、处理，医责险理赔材料的收集、递交及理赔跟进等工作。</w:t>
      </w:r>
    </w:p>
    <w:p w14:paraId="5C1EA395">
      <w:pPr>
        <w:widowControl/>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（三）理赔服务流程</w:t>
      </w:r>
    </w:p>
    <w:p w14:paraId="34E47354">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理赔服务流程按照案件实际情况，由甲乙双方协商确定。</w:t>
      </w:r>
    </w:p>
    <w:p w14:paraId="07857D0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第七条  保险追溯期</w:t>
      </w:r>
    </w:p>
    <w:p w14:paraId="45D50505">
      <w:pPr>
        <w:widowControl/>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1、连续投保追溯期设定：连续投保本保险的，追溯期从保险期限起始日向前计算，最长不超过3年；</w:t>
      </w:r>
    </w:p>
    <w:p w14:paraId="204F9A6B">
      <w:pPr>
        <w:widowControl/>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2、如果投保人中途未续保，给予续保宽限期6个月（自保险期间截止日开始计算），超过宽限期后投保，追溯期需重新计算。</w:t>
      </w:r>
    </w:p>
    <w:p w14:paraId="06E94F3F">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违约责任</w:t>
      </w:r>
    </w:p>
    <w:p w14:paraId="7A6CF35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1、除不可抗力原因外，乙方没有按照合同规定的时间提供服务的，甲方可要求乙方支付违约金。每推迟一天按合同金额的千分之一支付违约金，违约金不足以弥补甲方损失的，乙方应当继续赔偿至达到弥补甲方全部损失为止（包括但不限于甲方向第三方的赔偿、律师费、差旅费、诉讼费、保全费、保全担保费、执行费、鉴定费、评估费等费用支出；下同） </w:t>
      </w:r>
    </w:p>
    <w:p w14:paraId="3E46E733">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乙方提供的服务如侵犯了第三方合法权益而引发的任何纠纷或诉讼，均由乙方负责交涉并承担全部责任。若甲方收到任何第三方有关权益的主张、索赔或诉讼，乙方应在收到甲方通知后，以甲方名义并在甲方的协助下，自负费用处理与第三方的索赔或诉讼，并赔偿甲方因此发生的费用和遭受的损失。若乙方拒绝处理前述索赔或诉讼或在收到甲方通知后5日内未作表示，甲方可以自己的名义进行这些索赔或诉讼，因此发生的费用和甲方遭受的全部损失由乙方承担。</w:t>
      </w:r>
    </w:p>
    <w:p w14:paraId="1E52E7E4">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3、甲方延期付款的，每天向乙方偿付延期款额千分之一违约金，但违约金累计不得超过延期款额5%。</w:t>
      </w:r>
    </w:p>
    <w:p w14:paraId="3EBCBC9A">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4、如因乙方未按本合同履行或未按本合同赔付，甲方需要诉讼维权的，甲方所支出的诉讼费用（包括但不限于律师费、诉讼费等）由乙方承担。</w:t>
      </w:r>
    </w:p>
    <w:p w14:paraId="5052B0A3">
      <w:pPr>
        <w:widowControl/>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对于通过审核的案件，保险人应在接到完整理赔申请材料后3个工作日内，将赔款支付给被保人或经被保人同意的患者或其他相关利益人/法定继承人。逾期不支付的，每逾期一日，乙方按逾期金额的千分之一向甲方支付违约金。</w:t>
      </w:r>
    </w:p>
    <w:p w14:paraId="51D9F14E">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不可抗力事件处理</w:t>
      </w:r>
    </w:p>
    <w:p w14:paraId="05500CF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1、在合同有效期内，任何一方因不可抗力事件导致不能履行合同，则合同履行期可延长，其延长期与不可抗力影响期相同。</w:t>
      </w:r>
    </w:p>
    <w:p w14:paraId="01B055F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2、不可抗力事件发生后，应立即通知对方，并寄送有关权威机构出具的证明。</w:t>
      </w:r>
    </w:p>
    <w:p w14:paraId="2BFED4CA">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3、不可抗力事件延续一百二十天以上，双方应通过友好协商，确定是否继续履行合同。</w:t>
      </w:r>
    </w:p>
    <w:p w14:paraId="065A121E">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合同争议解决</w:t>
      </w:r>
    </w:p>
    <w:p w14:paraId="462DE565">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因履行本合同引起的或与本合同有关的争议，甲乙双方应首先通过友好协商解决，如果协商不能解决，可向本合同履行地即甲方所在地人民法院提起诉讼。</w:t>
      </w:r>
    </w:p>
    <w:p w14:paraId="07C300A6">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合同生效及其它</w:t>
      </w:r>
    </w:p>
    <w:p w14:paraId="194FC7EB">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1、合同经双方法定代表人或授权代表签字并加盖单位公章后生效（委托代理人签字的需后附法定代表人授权委托书，格式自拟）。</w:t>
      </w:r>
    </w:p>
    <w:p w14:paraId="3C76D28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2、本合同未尽事宜，甲乙双方可签订补充协议，补充协议与本合同具有同等法律效力。</w:t>
      </w:r>
    </w:p>
    <w:p w14:paraId="48277D37">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3、乙方不得擅自转让其应履行的合同义务。</w:t>
      </w:r>
    </w:p>
    <w:p w14:paraId="28B62074">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本合同中涉及各类通知、信函、协议等文件以及就合同发生纠纷时相关文件和法律文书送达时，必须采用书面形式，应由专人送达或以中国邮政特快专递方式按照本合同所载明的地址及联系人进行送达。由专人送达的，交付当日视为已送达；以中国邮政特快专递方式送达的，信件投寄之日起的第三日视为已送达。送达地址若发生变更，变更方应及时书面告知对方，因未告知而导致文书被退回的，亦视为已送达。</w:t>
      </w:r>
    </w:p>
    <w:p w14:paraId="5A0FE2F5">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签订本合同依据</w:t>
      </w:r>
    </w:p>
    <w:p w14:paraId="3CFB2B06">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1、成交通知书；</w:t>
      </w:r>
    </w:p>
    <w:p w14:paraId="23B9EE16">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2、报价表；</w:t>
      </w:r>
    </w:p>
    <w:p w14:paraId="5583458D">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3、服务要求响应表；</w:t>
      </w:r>
    </w:p>
    <w:p w14:paraId="58244EBE">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4、响应文件中的其他相关文件。</w:t>
      </w:r>
    </w:p>
    <w:p w14:paraId="77CA7472">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5、上述合同文件互相补充和解释。如果合同文件之间存在矛盾或不一致之处，以上述文件的排列顺序在先者为准。</w:t>
      </w:r>
    </w:p>
    <w:p w14:paraId="291CBCEA">
      <w:pPr>
        <w:spacing w:line="44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第十三条　</w:t>
      </w:r>
      <w:r>
        <w:rPr>
          <w:rFonts w:hint="eastAsia" w:ascii="宋体" w:hAnsi="宋体" w:cs="宋体"/>
          <w:color w:val="auto"/>
          <w:szCs w:val="21"/>
          <w:highlight w:val="none"/>
        </w:rPr>
        <w:t>本合同壹式伍份，具有同等法律效力，甲方贰份、乙方贰份、采购代理机构壹份。</w:t>
      </w:r>
    </w:p>
    <w:p w14:paraId="62480A41">
      <w:pPr>
        <w:spacing w:line="400" w:lineRule="exact"/>
        <w:ind w:left="6"/>
        <w:jc w:val="center"/>
        <w:rPr>
          <w:rFonts w:ascii="宋体" w:hAnsi="宋体"/>
          <w:color w:val="auto"/>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7872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14:paraId="688C8044">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甲方（章）</w:t>
            </w:r>
          </w:p>
          <w:p w14:paraId="230C0EE0">
            <w:pPr>
              <w:snapToGrid w:val="0"/>
              <w:spacing w:line="400" w:lineRule="exact"/>
              <w:ind w:left="420" w:hanging="420" w:hangingChars="200"/>
              <w:rPr>
                <w:rFonts w:ascii="宋体" w:hAnsi="宋体"/>
                <w:bCs/>
                <w:color w:val="auto"/>
                <w:szCs w:val="21"/>
                <w:highlight w:val="none"/>
              </w:rPr>
            </w:pPr>
          </w:p>
          <w:p w14:paraId="08A2D0FD">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年   月   日</w:t>
            </w:r>
          </w:p>
        </w:tc>
        <w:tc>
          <w:tcPr>
            <w:tcW w:w="4517" w:type="dxa"/>
            <w:vAlign w:val="center"/>
          </w:tcPr>
          <w:p w14:paraId="0E25BC15">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乙方（章）</w:t>
            </w:r>
          </w:p>
          <w:p w14:paraId="327963F6">
            <w:pPr>
              <w:snapToGrid w:val="0"/>
              <w:spacing w:line="400" w:lineRule="exact"/>
              <w:ind w:left="420" w:hanging="420" w:hangingChars="200"/>
              <w:rPr>
                <w:rFonts w:ascii="宋体" w:hAnsi="宋体"/>
                <w:bCs/>
                <w:color w:val="auto"/>
                <w:szCs w:val="21"/>
                <w:highlight w:val="none"/>
              </w:rPr>
            </w:pPr>
          </w:p>
          <w:p w14:paraId="284A3F82">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 xml:space="preserve"> 年   月   日</w:t>
            </w:r>
          </w:p>
        </w:tc>
      </w:tr>
      <w:tr w14:paraId="1DB8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68542E1C">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单位地址：</w:t>
            </w:r>
          </w:p>
        </w:tc>
        <w:tc>
          <w:tcPr>
            <w:tcW w:w="4517" w:type="dxa"/>
            <w:vAlign w:val="center"/>
          </w:tcPr>
          <w:p w14:paraId="1D8A9FF2">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单位地址：</w:t>
            </w:r>
          </w:p>
        </w:tc>
      </w:tr>
      <w:tr w14:paraId="7B29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0C6BB900">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法定代表人（负责人）：</w:t>
            </w:r>
          </w:p>
        </w:tc>
        <w:tc>
          <w:tcPr>
            <w:tcW w:w="4517" w:type="dxa"/>
            <w:vAlign w:val="center"/>
          </w:tcPr>
          <w:p w14:paraId="2246B30B">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法定代表人</w:t>
            </w:r>
            <w:r>
              <w:rPr>
                <w:rFonts w:hint="eastAsia" w:ascii="宋体" w:hAnsi="宋体"/>
                <w:color w:val="auto"/>
                <w:szCs w:val="21"/>
                <w:highlight w:val="none"/>
              </w:rPr>
              <w:t>（负责人）</w:t>
            </w:r>
            <w:r>
              <w:rPr>
                <w:rFonts w:hint="eastAsia" w:ascii="宋体" w:hAnsi="宋体"/>
                <w:bCs/>
                <w:color w:val="auto"/>
                <w:szCs w:val="21"/>
                <w:highlight w:val="none"/>
              </w:rPr>
              <w:t>：</w:t>
            </w:r>
          </w:p>
        </w:tc>
      </w:tr>
      <w:tr w14:paraId="75CB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7875FC54">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委托代理人：</w:t>
            </w:r>
          </w:p>
        </w:tc>
        <w:tc>
          <w:tcPr>
            <w:tcW w:w="4517" w:type="dxa"/>
            <w:vAlign w:val="center"/>
          </w:tcPr>
          <w:p w14:paraId="35EE430F">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委托代理人：</w:t>
            </w:r>
          </w:p>
        </w:tc>
      </w:tr>
      <w:tr w14:paraId="5580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74B0DCF2">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电    话：</w:t>
            </w:r>
          </w:p>
        </w:tc>
        <w:tc>
          <w:tcPr>
            <w:tcW w:w="4517" w:type="dxa"/>
            <w:vAlign w:val="center"/>
          </w:tcPr>
          <w:p w14:paraId="4BDD5A20">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电    话：</w:t>
            </w:r>
          </w:p>
        </w:tc>
      </w:tr>
      <w:tr w14:paraId="787C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59A54AB1">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电子邮箱：</w:t>
            </w:r>
          </w:p>
        </w:tc>
        <w:tc>
          <w:tcPr>
            <w:tcW w:w="4517" w:type="dxa"/>
            <w:vAlign w:val="center"/>
          </w:tcPr>
          <w:p w14:paraId="3D38B90E">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电子邮箱：</w:t>
            </w:r>
          </w:p>
        </w:tc>
      </w:tr>
      <w:tr w14:paraId="0BDC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5A310A3A">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开户银行：</w:t>
            </w:r>
          </w:p>
        </w:tc>
        <w:tc>
          <w:tcPr>
            <w:tcW w:w="4517" w:type="dxa"/>
            <w:vAlign w:val="center"/>
          </w:tcPr>
          <w:p w14:paraId="0B734F52">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开户银行：</w:t>
            </w:r>
          </w:p>
        </w:tc>
      </w:tr>
      <w:tr w14:paraId="042B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7655C4D0">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账    号：</w:t>
            </w:r>
          </w:p>
        </w:tc>
        <w:tc>
          <w:tcPr>
            <w:tcW w:w="4517" w:type="dxa"/>
            <w:vAlign w:val="center"/>
          </w:tcPr>
          <w:p w14:paraId="771942E6">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账    号：</w:t>
            </w:r>
          </w:p>
        </w:tc>
      </w:tr>
      <w:tr w14:paraId="7A14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16" w:type="dxa"/>
            <w:vAlign w:val="center"/>
          </w:tcPr>
          <w:p w14:paraId="6068D262">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邮政编码：</w:t>
            </w:r>
          </w:p>
        </w:tc>
        <w:tc>
          <w:tcPr>
            <w:tcW w:w="4517" w:type="dxa"/>
            <w:vAlign w:val="center"/>
          </w:tcPr>
          <w:p w14:paraId="6A4A6EA6">
            <w:pPr>
              <w:snapToGrid w:val="0"/>
              <w:spacing w:line="400" w:lineRule="exact"/>
              <w:ind w:left="420" w:hanging="420" w:hangingChars="200"/>
              <w:rPr>
                <w:rFonts w:ascii="宋体" w:hAnsi="宋体"/>
                <w:bCs/>
                <w:color w:val="auto"/>
                <w:szCs w:val="21"/>
                <w:highlight w:val="none"/>
              </w:rPr>
            </w:pPr>
            <w:r>
              <w:rPr>
                <w:rFonts w:hint="eastAsia" w:ascii="宋体" w:hAnsi="宋体"/>
                <w:bCs/>
                <w:color w:val="auto"/>
                <w:szCs w:val="21"/>
                <w:highlight w:val="none"/>
              </w:rPr>
              <w:t>邮政编码：</w:t>
            </w:r>
          </w:p>
        </w:tc>
      </w:tr>
    </w:tbl>
    <w:p w14:paraId="62CC7BB6">
      <w:pPr>
        <w:rPr>
          <w:rFonts w:ascii="宋体" w:hAnsi="宋体"/>
          <w:color w:val="auto"/>
          <w:szCs w:val="21"/>
          <w:highlight w:val="none"/>
        </w:rPr>
      </w:pPr>
      <w:r>
        <w:rPr>
          <w:rFonts w:ascii="宋体" w:hAnsi="宋体"/>
          <w:color w:val="auto"/>
          <w:szCs w:val="21"/>
          <w:highlight w:val="none"/>
        </w:rPr>
        <w:br w:type="page"/>
      </w:r>
    </w:p>
    <w:p w14:paraId="790537E0">
      <w:pPr>
        <w:spacing w:line="400" w:lineRule="exact"/>
        <w:rPr>
          <w:rFonts w:ascii="宋体" w:hAnsi="宋体" w:cs="仿宋"/>
          <w:b/>
          <w:color w:val="auto"/>
          <w:szCs w:val="21"/>
          <w:highlight w:val="none"/>
        </w:rPr>
      </w:pPr>
      <w:r>
        <w:rPr>
          <w:rFonts w:hint="eastAsia" w:ascii="宋体" w:hAnsi="宋体" w:cs="仿宋"/>
          <w:b/>
          <w:color w:val="auto"/>
          <w:szCs w:val="21"/>
          <w:highlight w:val="none"/>
        </w:rPr>
        <w:t>合同附件1：</w:t>
      </w:r>
    </w:p>
    <w:p w14:paraId="2C7FB3E6">
      <w:pPr>
        <w:spacing w:line="400" w:lineRule="exact"/>
        <w:jc w:val="center"/>
        <w:rPr>
          <w:rFonts w:ascii="宋体" w:hAnsi="宋体"/>
          <w:b/>
          <w:color w:val="auto"/>
          <w:sz w:val="30"/>
          <w:szCs w:val="30"/>
          <w:highlight w:val="none"/>
        </w:rPr>
      </w:pPr>
      <w:r>
        <w:rPr>
          <w:rFonts w:hint="eastAsia" w:ascii="宋体" w:hAnsi="宋体"/>
          <w:b/>
          <w:color w:val="auto"/>
          <w:sz w:val="30"/>
          <w:szCs w:val="30"/>
          <w:highlight w:val="none"/>
        </w:rPr>
        <w:t>履约验收方案</w:t>
      </w:r>
    </w:p>
    <w:p w14:paraId="4858C10A">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（1）履约验收主体</w:t>
      </w:r>
    </w:p>
    <w:p w14:paraId="7F8DBDCE">
      <w:pPr>
        <w:snapToGrid w:val="0"/>
        <w:spacing w:line="400" w:lineRule="exact"/>
        <w:ind w:firstLine="422" w:firstLineChars="200"/>
        <w:jc w:val="left"/>
        <w:rPr>
          <w:rFonts w:ascii="宋体" w:hAnsi="宋体"/>
          <w:color w:val="auto"/>
          <w:szCs w:val="21"/>
          <w:highlight w:val="none"/>
          <w:u w:val="single"/>
        </w:rPr>
      </w:pPr>
      <w:r>
        <w:rPr>
          <w:rFonts w:ascii="宋体" w:hAnsi="宋体" w:cs="MS Mincho"/>
          <w:b/>
          <w:color w:val="auto"/>
          <w:szCs w:val="21"/>
          <w:highlight w:val="none"/>
        </w:rPr>
        <w:fldChar w:fldCharType="begin"/>
      </w:r>
      <w:r>
        <w:rPr>
          <w:rFonts w:hint="eastAsia" w:ascii="宋体" w:hAnsi="宋体" w:cs="MS Mincho"/>
          <w:b/>
          <w:color w:val="auto"/>
          <w:szCs w:val="21"/>
          <w:highlight w:val="none"/>
        </w:rPr>
        <w:instrText xml:space="preserve">eq \o\ac(□,</w:instrText>
      </w:r>
      <w:r>
        <w:rPr>
          <w:rFonts w:hint="eastAsia" w:ascii="宋体" w:hAnsi="宋体" w:cs="MS Mincho"/>
          <w:b/>
          <w:color w:val="auto"/>
          <w:position w:val="2"/>
          <w:szCs w:val="21"/>
          <w:highlight w:val="none"/>
        </w:rPr>
        <w:instrText xml:space="preserve">√</w:instrText>
      </w:r>
      <w:r>
        <w:rPr>
          <w:rFonts w:hint="eastAsia" w:ascii="宋体" w:hAnsi="宋体" w:cs="MS Mincho"/>
          <w:b/>
          <w:color w:val="auto"/>
          <w:szCs w:val="21"/>
          <w:highlight w:val="none"/>
        </w:rPr>
        <w:instrText xml:space="preserve">)</w:instrText>
      </w:r>
      <w:r>
        <w:rPr>
          <w:rFonts w:ascii="宋体" w:hAnsi="宋体" w:cs="MS Mincho"/>
          <w:b/>
          <w:color w:val="auto"/>
          <w:szCs w:val="21"/>
          <w:highlight w:val="none"/>
        </w:rPr>
        <w:fldChar w:fldCharType="end"/>
      </w:r>
      <w:r>
        <w:rPr>
          <w:rFonts w:hint="eastAsia" w:ascii="宋体" w:hAnsi="宋体"/>
          <w:color w:val="auto"/>
          <w:szCs w:val="21"/>
          <w:highlight w:val="none"/>
        </w:rPr>
        <w:t>采购人：</w:t>
      </w:r>
      <w:r>
        <w:rPr>
          <w:rFonts w:hint="eastAsia" w:ascii="宋体" w:hAnsi="宋体"/>
          <w:color w:val="auto"/>
          <w:szCs w:val="21"/>
          <w:highlight w:val="none"/>
          <w:u w:val="single"/>
        </w:rPr>
        <w:t>按照采购合同规定的技术、服务等要求组织对供应商履约的验收，并出具验收书。验收书应当包括每一项技术、服务等要求的履约情况。大型或者复杂的项目，应当邀请国家认可的质量检测机构参加验收。验收方成员应当在验收书上签字，并承担相应的法律责任。</w:t>
      </w:r>
    </w:p>
    <w:p w14:paraId="4CA97545">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□采购代理机构：</w:t>
      </w:r>
      <w:r>
        <w:rPr>
          <w:rFonts w:ascii="宋体" w:hAnsi="宋体"/>
          <w:color w:val="auto"/>
          <w:szCs w:val="21"/>
          <w:highlight w:val="none"/>
          <w:u w:val="single"/>
        </w:rPr>
        <w:t xml:space="preserve"> /</w:t>
      </w:r>
    </w:p>
    <w:p w14:paraId="2F1CD472">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□本项目的其他供应商：</w:t>
      </w:r>
      <w:r>
        <w:rPr>
          <w:rFonts w:ascii="宋体" w:hAnsi="宋体"/>
          <w:color w:val="auto"/>
          <w:szCs w:val="21"/>
          <w:highlight w:val="none"/>
          <w:u w:val="single"/>
        </w:rPr>
        <w:t xml:space="preserve"> /</w:t>
      </w:r>
    </w:p>
    <w:p w14:paraId="4B511B05">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□第三方专业机构：</w:t>
      </w:r>
      <w:r>
        <w:rPr>
          <w:rFonts w:ascii="宋体" w:hAnsi="宋体"/>
          <w:color w:val="auto"/>
          <w:szCs w:val="21"/>
          <w:highlight w:val="none"/>
          <w:u w:val="single"/>
        </w:rPr>
        <w:t xml:space="preserve"> /</w:t>
      </w:r>
    </w:p>
    <w:p w14:paraId="73CB36E6">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□专家：</w:t>
      </w:r>
      <w:r>
        <w:rPr>
          <w:rFonts w:ascii="宋体" w:hAnsi="宋体"/>
          <w:color w:val="auto"/>
          <w:szCs w:val="21"/>
          <w:highlight w:val="none"/>
          <w:u w:val="single"/>
        </w:rPr>
        <w:t xml:space="preserve"> /</w:t>
      </w:r>
    </w:p>
    <w:p w14:paraId="5CC90A9C">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□服务对象：</w:t>
      </w:r>
    </w:p>
    <w:p w14:paraId="1735E444">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□其他：</w:t>
      </w:r>
    </w:p>
    <w:p w14:paraId="40B89704">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（2）履约验收时间</w:t>
      </w:r>
    </w:p>
    <w:p w14:paraId="249846EC">
      <w:pPr>
        <w:snapToGrid w:val="0"/>
        <w:spacing w:line="400" w:lineRule="exact"/>
        <w:ind w:firstLine="420" w:firstLineChars="200"/>
        <w:jc w:val="left"/>
        <w:rPr>
          <w:rFonts w:ascii="宋体" w:hAnsi="宋体"/>
          <w:color w:val="auto"/>
          <w:szCs w:val="21"/>
          <w:highlight w:val="none"/>
          <w:u w:val="single"/>
        </w:rPr>
      </w:pPr>
      <w:r>
        <w:rPr>
          <w:rFonts w:ascii="宋体" w:hAnsi="宋体"/>
          <w:color w:val="auto"/>
          <w:szCs w:val="21"/>
          <w:highlight w:val="none"/>
        </w:rPr>
        <w:t>自中标、成交供应商履行完合同义务之日起七个工作日内组织验收，并提出验收意见。大型、复杂或者技术性很强的政府采购项目，可适当延长验收时间。采购合同约定分阶段验收的，应按合同进行分段验收和出具分段验收书。</w:t>
      </w:r>
    </w:p>
    <w:p w14:paraId="3143F752">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（3）履约验收方式</w:t>
      </w:r>
    </w:p>
    <w:p w14:paraId="728E3D7B">
      <w:pPr>
        <w:snapToGrid w:val="0"/>
        <w:spacing w:line="400" w:lineRule="exact"/>
        <w:ind w:firstLine="422" w:firstLineChars="200"/>
        <w:jc w:val="left"/>
        <w:rPr>
          <w:rFonts w:ascii="宋体" w:hAnsi="宋体"/>
          <w:color w:val="auto"/>
          <w:szCs w:val="21"/>
          <w:highlight w:val="none"/>
          <w:u w:val="single"/>
        </w:rPr>
      </w:pPr>
      <w:r>
        <w:rPr>
          <w:rFonts w:ascii="宋体" w:hAnsi="宋体" w:cs="MS Mincho"/>
          <w:b/>
          <w:color w:val="auto"/>
          <w:szCs w:val="21"/>
          <w:highlight w:val="none"/>
        </w:rPr>
        <w:fldChar w:fldCharType="begin"/>
      </w:r>
      <w:r>
        <w:rPr>
          <w:rFonts w:hint="eastAsia" w:ascii="宋体" w:hAnsi="宋体" w:cs="MS Mincho"/>
          <w:b/>
          <w:color w:val="auto"/>
          <w:szCs w:val="21"/>
          <w:highlight w:val="none"/>
        </w:rPr>
        <w:instrText xml:space="preserve">eq \o\ac(□,√)</w:instrText>
      </w:r>
      <w:r>
        <w:rPr>
          <w:rFonts w:ascii="宋体" w:hAnsi="宋体" w:cs="MS Mincho"/>
          <w:b/>
          <w:color w:val="auto"/>
          <w:szCs w:val="21"/>
          <w:highlight w:val="none"/>
        </w:rPr>
        <w:fldChar w:fldCharType="end"/>
      </w:r>
      <w:r>
        <w:rPr>
          <w:rFonts w:hint="eastAsia" w:ascii="宋体" w:hAnsi="宋体"/>
          <w:color w:val="auto"/>
          <w:szCs w:val="21"/>
          <w:highlight w:val="none"/>
        </w:rPr>
        <w:t>自行验收：采购人自行组织验收。</w:t>
      </w:r>
      <w:r>
        <w:rPr>
          <w:rFonts w:ascii="宋体" w:hAnsi="宋体"/>
          <w:color w:val="auto"/>
          <w:szCs w:val="21"/>
          <w:highlight w:val="none"/>
        </w:rPr>
        <w:t>根据项目</w:t>
      </w:r>
      <w:r>
        <w:rPr>
          <w:rFonts w:hint="eastAsia" w:ascii="宋体" w:hAnsi="宋体"/>
          <w:color w:val="auto"/>
          <w:szCs w:val="21"/>
          <w:highlight w:val="none"/>
        </w:rPr>
        <w:t>服务的完成进度</w:t>
      </w:r>
      <w:r>
        <w:rPr>
          <w:rFonts w:ascii="宋体" w:hAnsi="宋体"/>
          <w:color w:val="auto"/>
          <w:szCs w:val="21"/>
          <w:highlight w:val="none"/>
        </w:rPr>
        <w:t>对</w:t>
      </w:r>
      <w:r>
        <w:rPr>
          <w:rFonts w:hint="eastAsia" w:ascii="宋体" w:hAnsi="宋体"/>
          <w:color w:val="auto"/>
          <w:szCs w:val="21"/>
          <w:highlight w:val="none"/>
        </w:rPr>
        <w:t>成交供应商在</w:t>
      </w:r>
      <w:r>
        <w:rPr>
          <w:rFonts w:ascii="宋体" w:hAnsi="宋体"/>
          <w:color w:val="auto"/>
          <w:szCs w:val="21"/>
          <w:highlight w:val="none"/>
        </w:rPr>
        <w:t>服务期内的服务实施情况进行</w:t>
      </w:r>
      <w:r>
        <w:rPr>
          <w:rFonts w:hint="eastAsia" w:ascii="宋体" w:hAnsi="宋体"/>
          <w:color w:val="auto"/>
          <w:szCs w:val="21"/>
          <w:highlight w:val="none"/>
        </w:rPr>
        <w:t>验收，</w:t>
      </w:r>
      <w:r>
        <w:rPr>
          <w:rFonts w:ascii="宋体" w:hAnsi="宋体"/>
          <w:color w:val="auto"/>
          <w:szCs w:val="21"/>
          <w:highlight w:val="none"/>
        </w:rPr>
        <w:t>结合考核情况</w:t>
      </w:r>
      <w:r>
        <w:rPr>
          <w:rFonts w:hint="eastAsia" w:ascii="宋体" w:hAnsi="宋体"/>
          <w:color w:val="auto"/>
          <w:szCs w:val="21"/>
          <w:highlight w:val="none"/>
        </w:rPr>
        <w:t>、</w:t>
      </w:r>
      <w:r>
        <w:rPr>
          <w:rFonts w:ascii="宋体" w:hAnsi="宋体"/>
          <w:color w:val="auto"/>
          <w:szCs w:val="21"/>
          <w:highlight w:val="none"/>
        </w:rPr>
        <w:t>服务效果</w:t>
      </w:r>
      <w:r>
        <w:rPr>
          <w:rFonts w:hint="eastAsia" w:ascii="宋体" w:hAnsi="宋体"/>
          <w:color w:val="auto"/>
          <w:szCs w:val="21"/>
          <w:highlight w:val="none"/>
        </w:rPr>
        <w:t>，对竞争性磋商文件服务内容和要求、供应商响应和承诺内容等有关标准</w:t>
      </w:r>
      <w:r>
        <w:rPr>
          <w:rFonts w:ascii="宋体" w:hAnsi="宋体"/>
          <w:color w:val="auto"/>
          <w:szCs w:val="21"/>
          <w:highlight w:val="none"/>
        </w:rPr>
        <w:t>进行验收</w:t>
      </w:r>
      <w:r>
        <w:rPr>
          <w:rFonts w:hint="eastAsia" w:ascii="宋体" w:hAnsi="宋体"/>
          <w:color w:val="auto"/>
          <w:szCs w:val="21"/>
          <w:highlight w:val="none"/>
        </w:rPr>
        <w:t>，达不到要求的不予验收。</w:t>
      </w:r>
    </w:p>
    <w:p w14:paraId="701CE4F2">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委托验收：</w:t>
      </w:r>
      <w:r>
        <w:rPr>
          <w:rFonts w:ascii="宋体" w:hAnsi="宋体"/>
          <w:color w:val="auto"/>
          <w:szCs w:val="21"/>
          <w:highlight w:val="none"/>
          <w:u w:val="single"/>
        </w:rPr>
        <w:t>/</w:t>
      </w:r>
    </w:p>
    <w:p w14:paraId="2B34BD41">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（4）履约验收程序</w:t>
      </w:r>
    </w:p>
    <w:p w14:paraId="51DB1EF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采购人成立验收小组，按照采购合同的约定对成交供应商履约情况进行验收。验收时，按照政府采购合同的约定对每一项技术、服务、安全标准的履约情况进行确认。验收结束后，应当出具验收书，列明各项标准的验收情况及项目总体评价，由验收双方共同签署。</w:t>
      </w:r>
    </w:p>
    <w:p w14:paraId="02C8EF10">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（5）履约验收内容</w:t>
      </w:r>
    </w:p>
    <w:p w14:paraId="53633A88">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验收内容包括采购项目的每一项技术要求和商务要求、合同与补充合同的约定。</w:t>
      </w:r>
    </w:p>
    <w:p w14:paraId="72E9B2A0">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（6）履约验收验收标准</w:t>
      </w:r>
    </w:p>
    <w:p w14:paraId="2D743364">
      <w:pPr>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结合考核情况</w:t>
      </w:r>
      <w:r>
        <w:rPr>
          <w:rFonts w:hint="eastAsia" w:ascii="宋体" w:hAnsi="宋体"/>
          <w:color w:val="auto"/>
          <w:szCs w:val="21"/>
          <w:highlight w:val="none"/>
        </w:rPr>
        <w:t>、</w:t>
      </w:r>
      <w:r>
        <w:rPr>
          <w:rFonts w:ascii="宋体" w:hAnsi="宋体"/>
          <w:color w:val="auto"/>
          <w:szCs w:val="21"/>
          <w:highlight w:val="none"/>
        </w:rPr>
        <w:t>服务效果</w:t>
      </w:r>
      <w:r>
        <w:rPr>
          <w:rFonts w:hint="eastAsia" w:ascii="宋体" w:hAnsi="宋体"/>
          <w:color w:val="auto"/>
          <w:szCs w:val="21"/>
          <w:highlight w:val="none"/>
        </w:rPr>
        <w:t>，对磋商文件服务内容和要求、供应商响应和承诺内容等有关标准</w:t>
      </w:r>
      <w:r>
        <w:rPr>
          <w:rFonts w:ascii="宋体" w:hAnsi="宋体"/>
          <w:color w:val="auto"/>
          <w:szCs w:val="21"/>
          <w:highlight w:val="none"/>
        </w:rPr>
        <w:t>进行验收</w:t>
      </w:r>
      <w:r>
        <w:rPr>
          <w:rFonts w:hint="eastAsia" w:ascii="宋体" w:hAnsi="宋体"/>
          <w:color w:val="auto"/>
          <w:szCs w:val="21"/>
          <w:highlight w:val="none"/>
        </w:rPr>
        <w:t>，达不到要求的不予验收。</w:t>
      </w:r>
    </w:p>
    <w:p w14:paraId="38CEEBF9">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（7）履约验收其他事项</w:t>
      </w:r>
    </w:p>
    <w:p w14:paraId="5906A0C8">
      <w:pPr>
        <w:snapToGrid w:val="0"/>
        <w:spacing w:line="400" w:lineRule="exact"/>
        <w:ind w:firstLine="420" w:firstLineChars="200"/>
        <w:jc w:val="left"/>
        <w:rPr>
          <w:rFonts w:ascii="宋体" w:hAnsi="宋体"/>
          <w:color w:val="auto"/>
          <w:szCs w:val="21"/>
          <w:highlight w:val="none"/>
          <w:u w:val="single"/>
        </w:rPr>
      </w:pPr>
      <w:r>
        <w:rPr>
          <w:rFonts w:ascii="宋体" w:hAnsi="宋体"/>
          <w:color w:val="auto"/>
          <w:szCs w:val="21"/>
          <w:highlight w:val="none"/>
          <w:u w:val="single"/>
        </w:rPr>
        <w:t>/</w:t>
      </w:r>
    </w:p>
    <w:p w14:paraId="22060FE6">
      <w:pPr>
        <w:widowControl/>
        <w:spacing w:before="61" w:line="312" w:lineRule="auto"/>
        <w:ind w:left="102"/>
        <w:jc w:val="left"/>
        <w:rPr>
          <w:rFonts w:ascii="宋体" w:hAnsi="宋体"/>
          <w:color w:val="auto"/>
          <w:szCs w:val="21"/>
          <w:highlight w:val="none"/>
        </w:rPr>
      </w:pPr>
      <w:r>
        <w:rPr>
          <w:rFonts w:ascii="宋体" w:hAnsi="宋体"/>
          <w:color w:val="auto"/>
          <w:szCs w:val="21"/>
          <w:highlight w:val="none"/>
        </w:rPr>
        <w:br w:type="page"/>
      </w:r>
    </w:p>
    <w:p w14:paraId="6B399C75">
      <w:pPr>
        <w:spacing w:line="300" w:lineRule="exact"/>
        <w:rPr>
          <w:rFonts w:ascii="宋体" w:hAnsi="宋体"/>
          <w:color w:val="auto"/>
          <w:szCs w:val="21"/>
          <w:highlight w:val="none"/>
        </w:rPr>
      </w:pPr>
    </w:p>
    <w:p w14:paraId="15314E65">
      <w:pPr>
        <w:widowControl/>
        <w:snapToGrid w:val="0"/>
        <w:spacing w:line="360" w:lineRule="exact"/>
        <w:ind w:left="2" w:firstLine="424" w:firstLineChars="201"/>
        <w:jc w:val="left"/>
        <w:rPr>
          <w:rFonts w:ascii="宋体" w:hAnsi="宋体" w:cs="仿宋"/>
          <w:b/>
          <w:color w:val="auto"/>
          <w:szCs w:val="21"/>
          <w:highlight w:val="none"/>
        </w:rPr>
      </w:pPr>
      <w:r>
        <w:rPr>
          <w:rFonts w:hint="eastAsia" w:ascii="宋体" w:hAnsi="宋体" w:cs="仿宋"/>
          <w:b/>
          <w:color w:val="auto"/>
          <w:szCs w:val="21"/>
          <w:highlight w:val="none"/>
        </w:rPr>
        <w:t>合同附件2：</w:t>
      </w:r>
    </w:p>
    <w:p w14:paraId="33983BB3">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响应承诺书</w:t>
      </w:r>
    </w:p>
    <w:p w14:paraId="5AF8D2D2">
      <w:pPr>
        <w:snapToGrid w:val="0"/>
        <w:spacing w:line="360" w:lineRule="exact"/>
        <w:rPr>
          <w:rFonts w:ascii="宋体" w:hAnsi="宋体"/>
          <w:b/>
          <w:color w:val="auto"/>
          <w:sz w:val="24"/>
          <w:highlight w:val="none"/>
        </w:rPr>
      </w:pPr>
      <w:r>
        <w:rPr>
          <w:rFonts w:hint="eastAsia" w:ascii="宋体" w:hAnsi="宋体"/>
          <w:b/>
          <w:color w:val="auto"/>
          <w:sz w:val="24"/>
          <w:highlight w:val="none"/>
        </w:rPr>
        <w:t>服务类</w:t>
      </w:r>
    </w:p>
    <w:tbl>
      <w:tblPr>
        <w:tblStyle w:val="29"/>
        <w:tblW w:w="0" w:type="auto"/>
        <w:jc w:val="center"/>
        <w:tblLayout w:type="fixed"/>
        <w:tblCellMar>
          <w:top w:w="0" w:type="dxa"/>
          <w:left w:w="108" w:type="dxa"/>
          <w:bottom w:w="0" w:type="dxa"/>
          <w:right w:w="108" w:type="dxa"/>
        </w:tblCellMar>
      </w:tblPr>
      <w:tblGrid>
        <w:gridCol w:w="4248"/>
        <w:gridCol w:w="4274"/>
      </w:tblGrid>
      <w:tr w14:paraId="109DF83F">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14:paraId="7CA44C77">
            <w:pPr>
              <w:snapToGrid w:val="0"/>
              <w:spacing w:line="360" w:lineRule="exact"/>
              <w:rPr>
                <w:rFonts w:ascii="宋体" w:hAnsi="宋体"/>
                <w:b/>
                <w:color w:val="auto"/>
                <w:highlight w:val="none"/>
              </w:rPr>
            </w:pPr>
            <w:r>
              <w:rPr>
                <w:rFonts w:hint="eastAsia" w:ascii="宋体" w:hAnsi="宋体"/>
                <w:b/>
                <w:color w:val="auto"/>
                <w:sz w:val="24"/>
                <w:highlight w:val="none"/>
              </w:rPr>
              <w:t>1、供应商承诺具体事项：</w:t>
            </w:r>
          </w:p>
        </w:tc>
      </w:tr>
      <w:tr w14:paraId="54F12F58">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779348A8">
            <w:pPr>
              <w:snapToGrid w:val="0"/>
              <w:spacing w:line="360" w:lineRule="exact"/>
              <w:rPr>
                <w:rFonts w:ascii="宋体" w:hAnsi="宋体"/>
                <w:b/>
                <w:color w:val="auto"/>
                <w:highlight w:val="none"/>
              </w:rPr>
            </w:pPr>
            <w:r>
              <w:rPr>
                <w:rFonts w:hint="eastAsia" w:ascii="宋体" w:hAnsi="宋体"/>
                <w:b/>
                <w:color w:val="auto"/>
                <w:sz w:val="24"/>
                <w:highlight w:val="none"/>
              </w:rPr>
              <w:t>2、服务方案或进度的具体事项：</w:t>
            </w:r>
          </w:p>
        </w:tc>
      </w:tr>
      <w:tr w14:paraId="57304D1C">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12E83591">
            <w:pPr>
              <w:snapToGrid w:val="0"/>
              <w:spacing w:line="360" w:lineRule="exact"/>
              <w:rPr>
                <w:rFonts w:ascii="宋体" w:hAnsi="宋体"/>
                <w:b/>
                <w:color w:val="auto"/>
                <w:highlight w:val="none"/>
              </w:rPr>
            </w:pPr>
            <w:r>
              <w:rPr>
                <w:rFonts w:hint="eastAsia" w:ascii="宋体" w:hAnsi="宋体"/>
                <w:b/>
                <w:color w:val="auto"/>
                <w:sz w:val="24"/>
                <w:highlight w:val="none"/>
              </w:rPr>
              <w:t>3、拟投入的服务团队人员情况：</w:t>
            </w:r>
          </w:p>
        </w:tc>
      </w:tr>
      <w:tr w14:paraId="4D68B00C">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7DB9D0FD">
            <w:pPr>
              <w:snapToGrid w:val="0"/>
              <w:spacing w:line="360" w:lineRule="exact"/>
              <w:rPr>
                <w:rFonts w:ascii="宋体" w:hAnsi="宋体"/>
                <w:b/>
                <w:color w:val="auto"/>
                <w:highlight w:val="none"/>
              </w:rPr>
            </w:pPr>
            <w:r>
              <w:rPr>
                <w:rFonts w:hint="eastAsia" w:ascii="宋体" w:hAnsi="宋体"/>
                <w:b/>
                <w:color w:val="auto"/>
                <w:sz w:val="24"/>
                <w:highlight w:val="none"/>
              </w:rPr>
              <w:t>4、其他具体事项：</w:t>
            </w:r>
          </w:p>
        </w:tc>
      </w:tr>
      <w:tr w14:paraId="44563BC4">
        <w:tblPrEx>
          <w:tblCellMar>
            <w:top w:w="0" w:type="dxa"/>
            <w:left w:w="108" w:type="dxa"/>
            <w:bottom w:w="0" w:type="dxa"/>
            <w:right w:w="108" w:type="dxa"/>
          </w:tblCellMar>
        </w:tblPrEx>
        <w:trPr>
          <w:trHeight w:val="3126" w:hRule="atLeast"/>
          <w:jc w:val="center"/>
        </w:trPr>
        <w:tc>
          <w:tcPr>
            <w:tcW w:w="4248" w:type="dxa"/>
            <w:tcBorders>
              <w:top w:val="single" w:color="auto" w:sz="4" w:space="0"/>
              <w:left w:val="single" w:color="auto" w:sz="4" w:space="0"/>
              <w:bottom w:val="single" w:color="auto" w:sz="4" w:space="0"/>
              <w:right w:val="single" w:color="auto" w:sz="4" w:space="0"/>
            </w:tcBorders>
            <w:vAlign w:val="center"/>
          </w:tcPr>
          <w:p w14:paraId="0FD08CF1">
            <w:pPr>
              <w:snapToGrid w:val="0"/>
              <w:spacing w:line="360" w:lineRule="exact"/>
              <w:rPr>
                <w:rFonts w:ascii="宋体" w:hAnsi="宋体"/>
                <w:b/>
                <w:color w:val="auto"/>
                <w:highlight w:val="none"/>
              </w:rPr>
            </w:pPr>
            <w:r>
              <w:rPr>
                <w:rFonts w:hint="eastAsia" w:ascii="宋体" w:hAnsi="宋体"/>
                <w:b/>
                <w:color w:val="auto"/>
                <w:sz w:val="24"/>
                <w:highlight w:val="none"/>
              </w:rPr>
              <w:t>甲方（章）</w:t>
            </w:r>
          </w:p>
          <w:p w14:paraId="459B5404">
            <w:pPr>
              <w:snapToGrid w:val="0"/>
              <w:spacing w:line="360" w:lineRule="exact"/>
              <w:rPr>
                <w:rFonts w:ascii="宋体" w:hAnsi="宋体"/>
                <w:b/>
                <w:color w:val="auto"/>
                <w:highlight w:val="none"/>
              </w:rPr>
            </w:pPr>
          </w:p>
          <w:p w14:paraId="4CBFC4EB">
            <w:pPr>
              <w:snapToGrid w:val="0"/>
              <w:spacing w:line="360" w:lineRule="exact"/>
              <w:rPr>
                <w:rFonts w:ascii="宋体" w:hAnsi="宋体"/>
                <w:b/>
                <w:color w:val="auto"/>
                <w:highlight w:val="none"/>
              </w:rPr>
            </w:pPr>
          </w:p>
          <w:p w14:paraId="0395C7A0">
            <w:pPr>
              <w:snapToGrid w:val="0"/>
              <w:spacing w:line="360" w:lineRule="exact"/>
              <w:rPr>
                <w:rFonts w:ascii="宋体" w:hAnsi="宋体"/>
                <w:b/>
                <w:color w:val="auto"/>
                <w:highlight w:val="none"/>
              </w:rPr>
            </w:pPr>
          </w:p>
          <w:p w14:paraId="3680A9D6">
            <w:pPr>
              <w:snapToGrid w:val="0"/>
              <w:spacing w:line="360" w:lineRule="exact"/>
              <w:rPr>
                <w:rFonts w:ascii="宋体" w:hAnsi="宋体"/>
                <w:b/>
                <w:color w:val="auto"/>
                <w:highlight w:val="none"/>
              </w:rPr>
            </w:pPr>
          </w:p>
          <w:p w14:paraId="500A7A93">
            <w:pPr>
              <w:snapToGrid w:val="0"/>
              <w:spacing w:line="360" w:lineRule="exact"/>
              <w:rPr>
                <w:rFonts w:ascii="宋体" w:hAnsi="宋体"/>
                <w:b/>
                <w:color w:val="auto"/>
                <w:highlight w:val="none"/>
              </w:rPr>
            </w:pPr>
          </w:p>
          <w:p w14:paraId="1ABBB72C">
            <w:pPr>
              <w:snapToGrid w:val="0"/>
              <w:spacing w:line="360" w:lineRule="exact"/>
              <w:ind w:firstLine="1662" w:firstLineChars="690"/>
              <w:rPr>
                <w:rFonts w:ascii="宋体" w:hAnsi="宋体"/>
                <w:b/>
                <w:color w:val="auto"/>
                <w:highlight w:val="none"/>
              </w:rPr>
            </w:pPr>
            <w:r>
              <w:rPr>
                <w:rFonts w:hint="eastAsia" w:ascii="宋体" w:hAnsi="宋体"/>
                <w:b/>
                <w:color w:val="auto"/>
                <w:sz w:val="24"/>
                <w:highlight w:val="none"/>
              </w:rPr>
              <w:t>年    月    日</w:t>
            </w:r>
          </w:p>
        </w:tc>
        <w:tc>
          <w:tcPr>
            <w:tcW w:w="4274" w:type="dxa"/>
            <w:tcBorders>
              <w:top w:val="single" w:color="auto" w:sz="4" w:space="0"/>
              <w:left w:val="single" w:color="auto" w:sz="4" w:space="0"/>
              <w:bottom w:val="single" w:color="auto" w:sz="4" w:space="0"/>
              <w:right w:val="single" w:color="auto" w:sz="4" w:space="0"/>
            </w:tcBorders>
            <w:vAlign w:val="center"/>
          </w:tcPr>
          <w:p w14:paraId="40774605">
            <w:pPr>
              <w:snapToGrid w:val="0"/>
              <w:spacing w:line="360" w:lineRule="exact"/>
              <w:rPr>
                <w:rFonts w:ascii="宋体" w:hAnsi="宋体"/>
                <w:b/>
                <w:color w:val="auto"/>
                <w:highlight w:val="none"/>
              </w:rPr>
            </w:pPr>
            <w:r>
              <w:rPr>
                <w:rFonts w:hint="eastAsia" w:ascii="宋体" w:hAnsi="宋体"/>
                <w:b/>
                <w:color w:val="auto"/>
                <w:sz w:val="24"/>
                <w:highlight w:val="none"/>
              </w:rPr>
              <w:t>乙方（章）</w:t>
            </w:r>
          </w:p>
          <w:p w14:paraId="3C597CE7">
            <w:pPr>
              <w:snapToGrid w:val="0"/>
              <w:spacing w:line="360" w:lineRule="exact"/>
              <w:rPr>
                <w:rFonts w:ascii="宋体" w:hAnsi="宋体"/>
                <w:b/>
                <w:color w:val="auto"/>
                <w:highlight w:val="none"/>
              </w:rPr>
            </w:pPr>
          </w:p>
          <w:p w14:paraId="2BB102E8">
            <w:pPr>
              <w:snapToGrid w:val="0"/>
              <w:spacing w:line="360" w:lineRule="exact"/>
              <w:rPr>
                <w:rFonts w:ascii="宋体" w:hAnsi="宋体"/>
                <w:b/>
                <w:color w:val="auto"/>
                <w:highlight w:val="none"/>
              </w:rPr>
            </w:pPr>
          </w:p>
          <w:p w14:paraId="55AE7E15">
            <w:pPr>
              <w:snapToGrid w:val="0"/>
              <w:spacing w:line="360" w:lineRule="exact"/>
              <w:rPr>
                <w:rFonts w:ascii="宋体" w:hAnsi="宋体"/>
                <w:b/>
                <w:color w:val="auto"/>
                <w:highlight w:val="none"/>
              </w:rPr>
            </w:pPr>
          </w:p>
          <w:p w14:paraId="0142CAE9">
            <w:pPr>
              <w:snapToGrid w:val="0"/>
              <w:spacing w:line="360" w:lineRule="exact"/>
              <w:rPr>
                <w:rFonts w:ascii="宋体" w:hAnsi="宋体"/>
                <w:b/>
                <w:color w:val="auto"/>
                <w:highlight w:val="none"/>
              </w:rPr>
            </w:pPr>
          </w:p>
          <w:p w14:paraId="033D7978">
            <w:pPr>
              <w:snapToGrid w:val="0"/>
              <w:spacing w:line="360" w:lineRule="exact"/>
              <w:rPr>
                <w:rFonts w:ascii="宋体" w:hAnsi="宋体"/>
                <w:b/>
                <w:color w:val="auto"/>
                <w:highlight w:val="none"/>
              </w:rPr>
            </w:pPr>
          </w:p>
          <w:p w14:paraId="62304189">
            <w:pPr>
              <w:snapToGrid w:val="0"/>
              <w:spacing w:line="360" w:lineRule="exact"/>
              <w:ind w:firstLine="1662" w:firstLineChars="690"/>
              <w:rPr>
                <w:rFonts w:ascii="宋体" w:hAnsi="宋体"/>
                <w:b/>
                <w:color w:val="auto"/>
                <w:highlight w:val="none"/>
              </w:rPr>
            </w:pPr>
            <w:r>
              <w:rPr>
                <w:rFonts w:hint="eastAsia" w:ascii="宋体" w:hAnsi="宋体"/>
                <w:b/>
                <w:color w:val="auto"/>
                <w:sz w:val="24"/>
                <w:highlight w:val="none"/>
              </w:rPr>
              <w:t>年    月    日</w:t>
            </w:r>
          </w:p>
        </w:tc>
      </w:tr>
    </w:tbl>
    <w:p w14:paraId="6C2E5501">
      <w:pPr>
        <w:snapToGrid w:val="0"/>
        <w:spacing w:line="360" w:lineRule="exact"/>
        <w:jc w:val="left"/>
        <w:rPr>
          <w:rFonts w:ascii="宋体" w:hAnsi="宋体"/>
          <w:color w:val="auto"/>
          <w:szCs w:val="21"/>
          <w:highlight w:val="none"/>
        </w:rPr>
      </w:pPr>
    </w:p>
    <w:p w14:paraId="6F162B7F">
      <w:pPr>
        <w:snapToGrid w:val="0"/>
        <w:spacing w:line="360" w:lineRule="exact"/>
        <w:jc w:val="left"/>
        <w:rPr>
          <w:rFonts w:ascii="宋体" w:hAnsi="宋体"/>
          <w:color w:val="auto"/>
          <w:szCs w:val="21"/>
          <w:highlight w:val="none"/>
        </w:rPr>
      </w:pPr>
      <w:r>
        <w:rPr>
          <w:rFonts w:hint="eastAsia" w:ascii="宋体" w:hAnsi="宋体"/>
          <w:color w:val="auto"/>
          <w:szCs w:val="21"/>
          <w:highlight w:val="none"/>
        </w:rPr>
        <w:t>注：服务事项填不下时可另加附页</w:t>
      </w:r>
    </w:p>
    <w:p w14:paraId="7D2E2C69">
      <w:pPr>
        <w:spacing w:line="300" w:lineRule="exact"/>
        <w:rPr>
          <w:rFonts w:ascii="宋体" w:hAnsi="宋体"/>
          <w:color w:val="auto"/>
          <w:szCs w:val="21"/>
          <w:highlight w:val="none"/>
        </w:rPr>
      </w:pPr>
    </w:p>
    <w:p w14:paraId="3BA2D11E">
      <w:pPr>
        <w:spacing w:line="300" w:lineRule="exact"/>
        <w:rPr>
          <w:rFonts w:ascii="宋体" w:hAnsi="宋体"/>
          <w:color w:val="auto"/>
          <w:szCs w:val="21"/>
          <w:highlight w:val="none"/>
        </w:rPr>
      </w:pPr>
    </w:p>
    <w:p w14:paraId="41AA375D">
      <w:pPr>
        <w:widowControl/>
        <w:snapToGrid w:val="0"/>
        <w:spacing w:line="360" w:lineRule="exact"/>
        <w:ind w:left="2" w:firstLine="422" w:firstLineChars="201"/>
        <w:jc w:val="left"/>
        <w:rPr>
          <w:rFonts w:ascii="宋体" w:hAnsi="宋体" w:cs="仿宋"/>
          <w:b/>
          <w:color w:val="auto"/>
          <w:szCs w:val="21"/>
          <w:highlight w:val="none"/>
        </w:rPr>
      </w:pPr>
      <w:r>
        <w:rPr>
          <w:rFonts w:ascii="宋体" w:hAnsi="宋体"/>
          <w:color w:val="auto"/>
          <w:szCs w:val="21"/>
          <w:highlight w:val="none"/>
        </w:rPr>
        <w:br w:type="page"/>
      </w:r>
      <w:r>
        <w:rPr>
          <w:rFonts w:hint="eastAsia" w:ascii="宋体" w:hAnsi="宋体" w:cs="仿宋"/>
          <w:b/>
          <w:color w:val="auto"/>
          <w:szCs w:val="21"/>
          <w:highlight w:val="none"/>
        </w:rPr>
        <w:t xml:space="preserve">合同附件3： </w:t>
      </w:r>
    </w:p>
    <w:p w14:paraId="611E8807">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项目采购廉洁承诺书</w:t>
      </w:r>
    </w:p>
    <w:p w14:paraId="6DD1A29D">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为深入贯彻落实国家卫生健康委等部门《关于印发医疗机构工作人员廉洁从业九项准则的通知》（国卫医发〔2021〕37号）、《广西壮族自治区医疗卫生机构及其工作人员廉洁从业规定》（桂卫发[2020]11号）及《中华人民共和国政府采购法》等文件精神，进一步规范医疗机构项目（包括货物、服务、工程等）采购行为，从源头上遏制和预防项目采购贿赂行为，营造风清气正的购销环境，我公司及所属业务人员作出以下不向医院工作人员赠送“回扣”“红包”等廉洁承诺：</w:t>
      </w:r>
    </w:p>
    <w:p w14:paraId="1CE6F0B5">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一、严格遵守国家的法律法规，依法依规处理项目采购业务，保证不进行违法乱纪活动，自觉接受执法执纪部门的监督检查。</w:t>
      </w:r>
    </w:p>
    <w:p w14:paraId="36721D74">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二、保证严格按照民法典及项目采购合同约定履行。</w:t>
      </w:r>
    </w:p>
    <w:p w14:paraId="6E368994">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三、在项目采购活动中，保证不以任何借口向医院及其工作人员（含工作人员的近亲属和其他关系人）给予回扣，主要包括以下内容：</w:t>
      </w:r>
    </w:p>
    <w:p w14:paraId="050A1E86">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（一）以各种名义所送礼品、礼金、有价证券和支付凭证等财物；</w:t>
      </w:r>
    </w:p>
    <w:p w14:paraId="6AD7965A">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（二）报销应当由医院及其工作人员与其近亲属和其他关系人支付的费用；</w:t>
      </w:r>
    </w:p>
    <w:p w14:paraId="0FC8014F">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（三）向医院及其工作人员提供旅游、考察、宴请、健身、娱乐等活动；</w:t>
      </w:r>
    </w:p>
    <w:p w14:paraId="58925145">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（四）在医疗活动中向临床提供促销费、开单（药品、检验、耗材等）提成费、推介费等；</w:t>
      </w:r>
    </w:p>
    <w:p w14:paraId="2E267B09">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（五）让医院及其工作人员进行以商业目的的处方统计或为其统计提供便利，获取药品、医用设备和医用耗材的用量信息，给予不正当利益的；</w:t>
      </w:r>
    </w:p>
    <w:p w14:paraId="2CCD6CD2">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（六）法律法规规定禁止的其他不正当行为。</w:t>
      </w:r>
    </w:p>
    <w:p w14:paraId="5C20CDFA">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四、保证不到住院部、门诊部、医技科室等推销产品、项目，不借故到医疗机构相关领导、部门负责人及相关工作人员家中访谈并提供任何好处费。</w:t>
      </w:r>
    </w:p>
    <w:p w14:paraId="1E4C2BD3">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五、维护正常的医疗秩序，保证不以宴请、到营业性娱乐场所娱乐活动、提供旅游等手段影响医疗机构工作人员的项目（包括货物、服务、工程等）采购选择权。</w:t>
      </w:r>
    </w:p>
    <w:p w14:paraId="1FDED623">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六、保证不以任何理由要求医院及其工作人员利用任何途径和方式统计医师个人及临床科室有关药品、耗材、后勤物资等的用量信息，或要求为营销人员统计提供便利。</w:t>
      </w:r>
    </w:p>
    <w:p w14:paraId="5EDFD6D1">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七、如有违反上述承诺，我们愿意接受按照《国家卫生计生委关于建立医药购销领域商业贿赂不良记录的规定》（国卫法制发（2013）50号）相关规定处理，以及执法执纪部门的其他处理。</w:t>
      </w:r>
    </w:p>
    <w:p w14:paraId="53187576">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八、本承诺书一式两份，我公司和医疗机构各执一份。</w:t>
      </w:r>
    </w:p>
    <w:p w14:paraId="343F4F8A">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公司名称（盖章）：</w:t>
      </w:r>
    </w:p>
    <w:p w14:paraId="6CC9C2D3">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法定代表人：</w:t>
      </w:r>
    </w:p>
    <w:p w14:paraId="364F1316">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经办人签名：</w:t>
      </w:r>
    </w:p>
    <w:p w14:paraId="3634AFD4">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日期：</w:t>
      </w:r>
    </w:p>
    <w:p w14:paraId="7DAAF3F1">
      <w:pPr>
        <w:widowControl/>
        <w:snapToGrid w:val="0"/>
        <w:spacing w:line="360" w:lineRule="exact"/>
        <w:ind w:left="2" w:firstLine="422" w:firstLineChars="201"/>
        <w:jc w:val="left"/>
        <w:rPr>
          <w:rFonts w:ascii="宋体" w:hAnsi="宋体" w:cs="仿宋"/>
          <w:bCs/>
          <w:color w:val="auto"/>
          <w:szCs w:val="21"/>
          <w:highlight w:val="none"/>
        </w:rPr>
      </w:pPr>
    </w:p>
    <w:p w14:paraId="57FA2FDA">
      <w:pPr>
        <w:widowControl/>
        <w:snapToGrid w:val="0"/>
        <w:spacing w:line="360" w:lineRule="exact"/>
        <w:ind w:left="2" w:firstLine="422" w:firstLineChars="201"/>
        <w:jc w:val="left"/>
        <w:rPr>
          <w:rFonts w:ascii="宋体" w:hAnsi="宋体" w:cs="仿宋"/>
          <w:bCs/>
          <w:color w:val="auto"/>
          <w:szCs w:val="21"/>
          <w:highlight w:val="none"/>
        </w:rPr>
      </w:pPr>
    </w:p>
    <w:p w14:paraId="07027D99">
      <w:pPr>
        <w:widowControl/>
        <w:snapToGrid w:val="0"/>
        <w:spacing w:line="360" w:lineRule="exact"/>
        <w:ind w:left="2" w:firstLine="422" w:firstLineChars="201"/>
        <w:jc w:val="left"/>
        <w:rPr>
          <w:rFonts w:ascii="宋体" w:hAnsi="宋体" w:cs="仿宋"/>
          <w:bCs/>
          <w:color w:val="auto"/>
          <w:szCs w:val="21"/>
          <w:highlight w:val="none"/>
        </w:rPr>
      </w:pPr>
    </w:p>
    <w:p w14:paraId="347E62C1">
      <w:pPr>
        <w:widowControl/>
        <w:snapToGrid w:val="0"/>
        <w:spacing w:line="360" w:lineRule="exact"/>
        <w:ind w:left="2" w:firstLine="424" w:firstLineChars="201"/>
        <w:jc w:val="left"/>
        <w:rPr>
          <w:rFonts w:ascii="宋体" w:hAnsi="宋体" w:cs="仿宋"/>
          <w:b/>
          <w:color w:val="auto"/>
          <w:szCs w:val="21"/>
          <w:highlight w:val="none"/>
        </w:rPr>
      </w:pPr>
    </w:p>
    <w:p w14:paraId="57E31A36">
      <w:pPr>
        <w:widowControl/>
        <w:snapToGrid w:val="0"/>
        <w:spacing w:line="360" w:lineRule="exact"/>
        <w:ind w:left="2" w:firstLine="424" w:firstLineChars="201"/>
        <w:jc w:val="left"/>
        <w:rPr>
          <w:rFonts w:ascii="宋体" w:hAnsi="宋体" w:cs="仿宋"/>
          <w:b/>
          <w:color w:val="auto"/>
          <w:szCs w:val="21"/>
          <w:highlight w:val="none"/>
        </w:rPr>
      </w:pPr>
    </w:p>
    <w:p w14:paraId="062D99E9">
      <w:pPr>
        <w:widowControl/>
        <w:snapToGrid w:val="0"/>
        <w:spacing w:line="360" w:lineRule="exact"/>
        <w:ind w:left="2" w:firstLine="424" w:firstLineChars="201"/>
        <w:jc w:val="left"/>
        <w:rPr>
          <w:rFonts w:ascii="宋体" w:hAnsi="宋体" w:cs="仿宋"/>
          <w:b/>
          <w:color w:val="auto"/>
          <w:szCs w:val="21"/>
          <w:highlight w:val="none"/>
        </w:rPr>
      </w:pPr>
    </w:p>
    <w:p w14:paraId="66305F42">
      <w:pPr>
        <w:widowControl/>
        <w:snapToGrid w:val="0"/>
        <w:spacing w:line="360" w:lineRule="exact"/>
        <w:ind w:left="2" w:firstLine="424" w:firstLineChars="201"/>
        <w:jc w:val="left"/>
        <w:rPr>
          <w:rFonts w:ascii="宋体" w:hAnsi="宋体" w:cs="仿宋"/>
          <w:b/>
          <w:color w:val="auto"/>
          <w:szCs w:val="21"/>
          <w:highlight w:val="none"/>
        </w:rPr>
      </w:pPr>
    </w:p>
    <w:p w14:paraId="34C005F8">
      <w:pPr>
        <w:rPr>
          <w:rFonts w:ascii="宋体" w:hAnsi="宋体" w:cs="仿宋"/>
          <w:b/>
          <w:color w:val="auto"/>
          <w:szCs w:val="21"/>
          <w:highlight w:val="none"/>
        </w:rPr>
      </w:pPr>
      <w:r>
        <w:rPr>
          <w:rFonts w:hint="eastAsia" w:ascii="宋体" w:hAnsi="宋体" w:cs="仿宋"/>
          <w:b/>
          <w:color w:val="auto"/>
          <w:szCs w:val="21"/>
          <w:highlight w:val="none"/>
        </w:rPr>
        <w:br w:type="page"/>
      </w:r>
    </w:p>
    <w:p w14:paraId="2036FD1B">
      <w:pPr>
        <w:widowControl/>
        <w:snapToGrid w:val="0"/>
        <w:spacing w:line="360" w:lineRule="exact"/>
        <w:ind w:left="2" w:firstLine="424" w:firstLineChars="201"/>
        <w:jc w:val="left"/>
        <w:rPr>
          <w:rFonts w:ascii="宋体" w:hAnsi="宋体" w:cs="仿宋"/>
          <w:b/>
          <w:color w:val="auto"/>
          <w:szCs w:val="21"/>
          <w:highlight w:val="none"/>
        </w:rPr>
      </w:pPr>
      <w:r>
        <w:rPr>
          <w:rFonts w:hint="eastAsia" w:ascii="宋体" w:hAnsi="宋体" w:cs="仿宋"/>
          <w:b/>
          <w:color w:val="auto"/>
          <w:szCs w:val="21"/>
          <w:highlight w:val="none"/>
        </w:rPr>
        <w:t>合同附件4：</w:t>
      </w:r>
    </w:p>
    <w:p w14:paraId="1CEF5443">
      <w:pPr>
        <w:snapToGrid w:val="0"/>
        <w:spacing w:line="360" w:lineRule="exact"/>
        <w:jc w:val="center"/>
        <w:rPr>
          <w:rFonts w:ascii="宋体" w:hAnsi="宋体"/>
          <w:b/>
          <w:color w:val="auto"/>
          <w:sz w:val="32"/>
          <w:szCs w:val="32"/>
          <w:highlight w:val="none"/>
        </w:rPr>
      </w:pPr>
    </w:p>
    <w:p w14:paraId="6E3791C0">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广西壮族自治区医疗卫生机构项目采购廉洁协议</w:t>
      </w:r>
    </w:p>
    <w:p w14:paraId="64FEA51D">
      <w:pPr>
        <w:widowControl/>
        <w:snapToGrid w:val="0"/>
        <w:spacing w:line="360" w:lineRule="exact"/>
        <w:ind w:left="2" w:firstLine="422" w:firstLineChars="201"/>
        <w:jc w:val="left"/>
        <w:rPr>
          <w:rFonts w:ascii="宋体" w:hAnsi="宋体" w:cs="仿宋"/>
          <w:bCs/>
          <w:color w:val="auto"/>
          <w:szCs w:val="21"/>
          <w:highlight w:val="none"/>
        </w:rPr>
      </w:pPr>
    </w:p>
    <w:p w14:paraId="297B0869">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甲方：梧州市工人医院</w:t>
      </w:r>
    </w:p>
    <w:p w14:paraId="2226A1C4">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乙方：</w:t>
      </w:r>
    </w:p>
    <w:p w14:paraId="0F134517">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为进一步加强医疗卫生行风建设，规范医疗卫生机构医药购销行为，有效防范商业贿赂行为，营造公平交易、诚实守信的购销环境，经甲、乙双方协商，同意签订本协议，并共同遵守：</w:t>
      </w:r>
    </w:p>
    <w:p w14:paraId="492A4638">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一、甲乙双方按照《中华人民共和国民法典》、《中华人民共和国政府采购法》及采购合同约定履行合同内容。</w:t>
      </w:r>
    </w:p>
    <w:p w14:paraId="2CF2CF5B">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二、甲方应当严格执行货物、服务、工程类采购合同验收、入库制度，对采购内容及发票进行查验，不得违反有关规定合同外采购、违价采购或从非规定渠道采购。</w:t>
      </w:r>
    </w:p>
    <w:p w14:paraId="5C6C44DA">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三、甲方严禁接受乙方以任何名义、形式给予的回扣，不得将接受捐赠、资助与采购挂钩。甲方工作人员不得参加乙方安排并支付费用的营业性娱乐场所的娱乐活动，不得以任何形式向乙方索要和收受现金、有价证券、支付凭证和贵重礼品等。被迫接受乙方给予的钱物，应予退还，无法退还的，有责任如实向有关纪检监察部门反映情况。</w:t>
      </w:r>
    </w:p>
    <w:p w14:paraId="508FFFA8">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四、乙方不得以回扣、宴请等方式影响甲方工作人员的采购工作，不得在学术活动中提供旅游、超标准支付食宿费用。</w:t>
      </w:r>
    </w:p>
    <w:p w14:paraId="3D677356">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五、乙方不得以围标、相互串通投标，或者排挤其他服务商的公平竞争，损害招标人或者其他服务商的合法权益，严禁以他人名义投标或允许他人以自己的名义投标，不得提供虚假资料参与投标或以其他方式弄虚作假、骗取中标。甲方发现乙方违反规定者，按甲方有关管理规定，列入医院招投标不良行为黑名单。</w:t>
      </w:r>
    </w:p>
    <w:p w14:paraId="3F7C9F4C">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六、乙方指定作为授权代表对接业务。授权代表必须在工作时间到甲方指定地点联系对接。不得借故到甲方相关领导、部门负责人及相关工作人员家中访谈并提供任何好处费，甲方发现乙方违反规定者，列入医院招投标不良行为黑名单。</w:t>
      </w:r>
    </w:p>
    <w:p w14:paraId="3425925D">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七、乙方如违反本协议，一经发现，甲方有权终止购销合同，并向有关卫生健康行政部门报告。如乙方被列入商业贿赂不良记录，则严格按照《国家卫生计生委关于建立医药购销领域商业贿赂不良记录的规定》（国卫法制发〔2013〕50号）、《广西壮族自治区医药购销领域商业贿赂不良记录实施办法》（桂卫药政发〔2014〕2号）及《中华人民共和国政府采购法》等相关规定处理。</w:t>
      </w:r>
    </w:p>
    <w:p w14:paraId="35E2A58C">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八、本协议作为项目采购合同的重要组成部分，与项目采购合同一并执行，具有同等的法律效力,从签订之日起生效。</w:t>
      </w:r>
    </w:p>
    <w:tbl>
      <w:tblPr>
        <w:tblStyle w:val="29"/>
        <w:tblW w:w="8419" w:type="dxa"/>
        <w:jc w:val="center"/>
        <w:tblLayout w:type="fixed"/>
        <w:tblCellMar>
          <w:top w:w="0" w:type="dxa"/>
          <w:left w:w="108" w:type="dxa"/>
          <w:bottom w:w="0" w:type="dxa"/>
          <w:right w:w="108" w:type="dxa"/>
        </w:tblCellMar>
      </w:tblPr>
      <w:tblGrid>
        <w:gridCol w:w="4189"/>
        <w:gridCol w:w="4230"/>
      </w:tblGrid>
      <w:tr w14:paraId="7B033B64">
        <w:tblPrEx>
          <w:tblCellMar>
            <w:top w:w="0" w:type="dxa"/>
            <w:left w:w="108" w:type="dxa"/>
            <w:bottom w:w="0" w:type="dxa"/>
            <w:right w:w="108" w:type="dxa"/>
          </w:tblCellMar>
        </w:tblPrEx>
        <w:trPr>
          <w:trHeight w:val="666" w:hRule="atLeast"/>
          <w:jc w:val="center"/>
        </w:trPr>
        <w:tc>
          <w:tcPr>
            <w:tcW w:w="4189" w:type="dxa"/>
            <w:tcBorders>
              <w:top w:val="single" w:color="auto" w:sz="4" w:space="0"/>
              <w:left w:val="single" w:color="auto" w:sz="4" w:space="0"/>
              <w:bottom w:val="single" w:color="auto" w:sz="4" w:space="0"/>
              <w:right w:val="single" w:color="auto" w:sz="4" w:space="0"/>
            </w:tcBorders>
          </w:tcPr>
          <w:p w14:paraId="38902111">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甲方（盖章）：梧州市工人医院</w:t>
            </w:r>
          </w:p>
        </w:tc>
        <w:tc>
          <w:tcPr>
            <w:tcW w:w="4230" w:type="dxa"/>
            <w:tcBorders>
              <w:top w:val="single" w:color="auto" w:sz="4" w:space="0"/>
              <w:left w:val="single" w:color="auto" w:sz="4" w:space="0"/>
              <w:bottom w:val="single" w:color="auto" w:sz="4" w:space="0"/>
              <w:right w:val="single" w:color="auto" w:sz="4" w:space="0"/>
            </w:tcBorders>
          </w:tcPr>
          <w:p w14:paraId="2FD4661F">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乙方（盖章）：</w:t>
            </w:r>
          </w:p>
        </w:tc>
      </w:tr>
      <w:tr w14:paraId="1E419974">
        <w:tblPrEx>
          <w:tblCellMar>
            <w:top w:w="0" w:type="dxa"/>
            <w:left w:w="108" w:type="dxa"/>
            <w:bottom w:w="0" w:type="dxa"/>
            <w:right w:w="108" w:type="dxa"/>
          </w:tblCellMar>
        </w:tblPrEx>
        <w:trPr>
          <w:trHeight w:val="1118" w:hRule="atLeast"/>
          <w:jc w:val="center"/>
        </w:trPr>
        <w:tc>
          <w:tcPr>
            <w:tcW w:w="4189" w:type="dxa"/>
            <w:tcBorders>
              <w:top w:val="single" w:color="auto" w:sz="4" w:space="0"/>
              <w:left w:val="single" w:color="auto" w:sz="4" w:space="0"/>
              <w:bottom w:val="single" w:color="auto" w:sz="4" w:space="0"/>
              <w:right w:val="single" w:color="auto" w:sz="4" w:space="0"/>
            </w:tcBorders>
          </w:tcPr>
          <w:p w14:paraId="4F0D944A">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法定代表人/负责人/授权</w:t>
            </w:r>
          </w:p>
          <w:p w14:paraId="0A65AF7D">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代表签字或盖章：</w:t>
            </w:r>
          </w:p>
        </w:tc>
        <w:tc>
          <w:tcPr>
            <w:tcW w:w="4230" w:type="dxa"/>
            <w:tcBorders>
              <w:top w:val="single" w:color="auto" w:sz="4" w:space="0"/>
              <w:left w:val="single" w:color="auto" w:sz="4" w:space="0"/>
              <w:bottom w:val="single" w:color="auto" w:sz="4" w:space="0"/>
              <w:right w:val="single" w:color="auto" w:sz="4" w:space="0"/>
            </w:tcBorders>
          </w:tcPr>
          <w:p w14:paraId="79C5A30B">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法定代表人/负责人/授权</w:t>
            </w:r>
          </w:p>
          <w:p w14:paraId="4EE2285C">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代表签字或盖章：</w:t>
            </w:r>
          </w:p>
        </w:tc>
      </w:tr>
      <w:tr w14:paraId="60BCE9E8">
        <w:tblPrEx>
          <w:tblCellMar>
            <w:top w:w="0" w:type="dxa"/>
            <w:left w:w="108" w:type="dxa"/>
            <w:bottom w:w="0" w:type="dxa"/>
            <w:right w:w="108" w:type="dxa"/>
          </w:tblCellMar>
        </w:tblPrEx>
        <w:trPr>
          <w:trHeight w:val="584" w:hRule="atLeast"/>
          <w:jc w:val="center"/>
        </w:trPr>
        <w:tc>
          <w:tcPr>
            <w:tcW w:w="4189" w:type="dxa"/>
            <w:tcBorders>
              <w:top w:val="single" w:color="auto" w:sz="4" w:space="0"/>
              <w:left w:val="single" w:color="auto" w:sz="4" w:space="0"/>
              <w:bottom w:val="single" w:color="auto" w:sz="4" w:space="0"/>
              <w:right w:val="single" w:color="auto" w:sz="4" w:space="0"/>
            </w:tcBorders>
          </w:tcPr>
          <w:p w14:paraId="4C91B1AC">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年   月   日</w:t>
            </w:r>
          </w:p>
        </w:tc>
        <w:tc>
          <w:tcPr>
            <w:tcW w:w="4230" w:type="dxa"/>
            <w:tcBorders>
              <w:top w:val="single" w:color="auto" w:sz="4" w:space="0"/>
              <w:left w:val="single" w:color="auto" w:sz="4" w:space="0"/>
              <w:bottom w:val="single" w:color="auto" w:sz="4" w:space="0"/>
              <w:right w:val="single" w:color="auto" w:sz="4" w:space="0"/>
            </w:tcBorders>
          </w:tcPr>
          <w:p w14:paraId="584D78C1">
            <w:pPr>
              <w:widowControl/>
              <w:snapToGrid w:val="0"/>
              <w:spacing w:line="360" w:lineRule="exact"/>
              <w:ind w:left="2" w:firstLine="422" w:firstLineChars="201"/>
              <w:jc w:val="left"/>
              <w:rPr>
                <w:rFonts w:ascii="宋体" w:hAnsi="宋体" w:cs="仿宋"/>
                <w:bCs/>
                <w:color w:val="auto"/>
                <w:szCs w:val="21"/>
                <w:highlight w:val="none"/>
              </w:rPr>
            </w:pPr>
            <w:r>
              <w:rPr>
                <w:rFonts w:hint="eastAsia" w:ascii="宋体" w:hAnsi="宋体" w:cs="仿宋"/>
                <w:bCs/>
                <w:color w:val="auto"/>
                <w:szCs w:val="21"/>
                <w:highlight w:val="none"/>
              </w:rPr>
              <w:t xml:space="preserve">          年   月   日</w:t>
            </w:r>
          </w:p>
        </w:tc>
      </w:tr>
    </w:tbl>
    <w:p w14:paraId="22B9CFE1">
      <w:pPr>
        <w:rPr>
          <w:rFonts w:ascii="宋体" w:hAnsi="宋体"/>
          <w:color w:val="auto"/>
          <w:szCs w:val="21"/>
          <w:highlight w:val="none"/>
        </w:rPr>
      </w:pPr>
      <w:r>
        <w:rPr>
          <w:rFonts w:ascii="宋体" w:hAnsi="宋体"/>
          <w:color w:val="auto"/>
          <w:szCs w:val="21"/>
          <w:highlight w:val="none"/>
        </w:rPr>
        <w:br w:type="page"/>
      </w:r>
    </w:p>
    <w:p w14:paraId="1B1D5B34">
      <w:pPr>
        <w:spacing w:line="300" w:lineRule="exact"/>
        <w:rPr>
          <w:rFonts w:ascii="宋体" w:hAnsi="宋体"/>
          <w:color w:val="auto"/>
          <w:szCs w:val="21"/>
          <w:highlight w:val="none"/>
        </w:rPr>
      </w:pPr>
    </w:p>
    <w:p w14:paraId="62C028DA">
      <w:pPr>
        <w:spacing w:line="400" w:lineRule="exact"/>
        <w:rPr>
          <w:rFonts w:ascii="宋体" w:hAnsi="宋体"/>
          <w:color w:val="auto"/>
          <w:highlight w:val="none"/>
        </w:rPr>
      </w:pPr>
    </w:p>
    <w:p w14:paraId="60DC8581">
      <w:pPr>
        <w:spacing w:line="400" w:lineRule="exact"/>
        <w:rPr>
          <w:rFonts w:ascii="宋体" w:hAnsi="宋体"/>
          <w:color w:val="auto"/>
          <w:highlight w:val="none"/>
        </w:rPr>
      </w:pPr>
    </w:p>
    <w:p w14:paraId="36B17C44">
      <w:pPr>
        <w:spacing w:line="400" w:lineRule="exact"/>
        <w:rPr>
          <w:rFonts w:ascii="宋体" w:hAnsi="宋体"/>
          <w:color w:val="auto"/>
          <w:highlight w:val="none"/>
        </w:rPr>
      </w:pPr>
    </w:p>
    <w:p w14:paraId="54E23E8E">
      <w:pPr>
        <w:spacing w:line="400" w:lineRule="exact"/>
        <w:rPr>
          <w:rFonts w:ascii="宋体" w:hAnsi="宋体"/>
          <w:color w:val="auto"/>
          <w:highlight w:val="none"/>
        </w:rPr>
      </w:pPr>
    </w:p>
    <w:p w14:paraId="596FBC27">
      <w:pPr>
        <w:spacing w:line="400" w:lineRule="exact"/>
        <w:rPr>
          <w:rFonts w:ascii="宋体" w:hAnsi="宋体"/>
          <w:color w:val="auto"/>
          <w:highlight w:val="none"/>
        </w:rPr>
      </w:pPr>
    </w:p>
    <w:p w14:paraId="29A1A131">
      <w:pPr>
        <w:pStyle w:val="2"/>
        <w:jc w:val="center"/>
        <w:rPr>
          <w:rFonts w:ascii="宋体" w:hAnsi="宋体"/>
          <w:bCs/>
          <w:color w:val="auto"/>
          <w:sz w:val="44"/>
          <w:highlight w:val="none"/>
        </w:rPr>
      </w:pPr>
      <w:bookmarkStart w:id="312" w:name="_Toc147248437"/>
      <w:bookmarkStart w:id="313" w:name="_Toc185703035"/>
      <w:bookmarkStart w:id="314" w:name="_Toc185702613"/>
      <w:bookmarkStart w:id="315" w:name="_Toc239839919"/>
      <w:bookmarkStart w:id="316" w:name="_Toc64706769"/>
      <w:bookmarkStart w:id="317" w:name="_Toc156106972"/>
      <w:r>
        <w:rPr>
          <w:rFonts w:hint="eastAsia" w:ascii="宋体" w:hAnsi="宋体"/>
          <w:bCs/>
          <w:color w:val="auto"/>
          <w:sz w:val="44"/>
          <w:highlight w:val="none"/>
        </w:rPr>
        <w:t>第六章  响应文件（部分格式）</w:t>
      </w:r>
      <w:bookmarkEnd w:id="312"/>
      <w:bookmarkEnd w:id="313"/>
      <w:bookmarkEnd w:id="314"/>
      <w:bookmarkEnd w:id="315"/>
      <w:bookmarkEnd w:id="316"/>
      <w:bookmarkEnd w:id="317"/>
    </w:p>
    <w:p w14:paraId="39E524A5">
      <w:pPr>
        <w:spacing w:line="400" w:lineRule="exact"/>
        <w:rPr>
          <w:rFonts w:ascii="宋体" w:hAnsi="宋体"/>
          <w:color w:val="auto"/>
          <w:highlight w:val="none"/>
        </w:rPr>
      </w:pPr>
    </w:p>
    <w:p w14:paraId="3F6B11C1">
      <w:pPr>
        <w:spacing w:line="400" w:lineRule="exact"/>
        <w:rPr>
          <w:rFonts w:ascii="宋体" w:hAnsi="宋体"/>
          <w:color w:val="auto"/>
          <w:highlight w:val="none"/>
        </w:rPr>
      </w:pPr>
    </w:p>
    <w:p w14:paraId="3BDADD5B">
      <w:pPr>
        <w:autoSpaceDE w:val="0"/>
        <w:autoSpaceDN w:val="0"/>
        <w:adjustRightInd w:val="0"/>
        <w:spacing w:line="360" w:lineRule="auto"/>
        <w:rPr>
          <w:rFonts w:ascii="宋体" w:hAnsi="宋体"/>
          <w:b/>
          <w:color w:val="auto"/>
          <w:szCs w:val="21"/>
          <w:highlight w:val="none"/>
        </w:rPr>
      </w:pPr>
      <w:r>
        <w:rPr>
          <w:rFonts w:hint="eastAsia" w:ascii="宋体" w:hAnsi="宋体" w:cs="宋体"/>
          <w:b/>
          <w:color w:val="auto"/>
          <w:szCs w:val="21"/>
          <w:highlight w:val="none"/>
          <w:lang w:val="zh-CN"/>
        </w:rPr>
        <w:t>说明：</w:t>
      </w:r>
    </w:p>
    <w:p w14:paraId="04150F70">
      <w:pPr>
        <w:pStyle w:val="14"/>
        <w:spacing w:line="400" w:lineRule="exact"/>
        <w:ind w:left="315" w:hanging="315" w:hangingChars="150"/>
        <w:rPr>
          <w:rFonts w:hAnsi="宋体"/>
          <w:color w:val="auto"/>
          <w:szCs w:val="21"/>
          <w:highlight w:val="none"/>
        </w:rPr>
      </w:pPr>
      <w:r>
        <w:rPr>
          <w:rFonts w:hint="eastAsia" w:hAnsi="宋体" w:cs="宋体"/>
          <w:color w:val="auto"/>
          <w:szCs w:val="21"/>
          <w:highlight w:val="none"/>
          <w:lang w:val="zh-CN"/>
        </w:rPr>
        <w:t>1、</w:t>
      </w:r>
      <w:r>
        <w:rPr>
          <w:rFonts w:hint="eastAsia" w:hAnsi="宋体"/>
          <w:color w:val="auto"/>
          <w:szCs w:val="21"/>
          <w:highlight w:val="none"/>
        </w:rPr>
        <w:t>本章所列的部分文件格式</w:t>
      </w:r>
      <w:r>
        <w:rPr>
          <w:rFonts w:hint="eastAsia" w:hAnsi="宋体" w:cs="宋体"/>
          <w:color w:val="auto"/>
          <w:szCs w:val="21"/>
          <w:highlight w:val="none"/>
          <w:lang w:val="zh-CN"/>
        </w:rPr>
        <w:t>，供应商可根据自身情况进行补充、修改和扩展，但补充和修改不得造成与本章格式内容有实质性的违背。</w:t>
      </w:r>
    </w:p>
    <w:p w14:paraId="53DB4F4A">
      <w:pPr>
        <w:pStyle w:val="14"/>
        <w:spacing w:line="400" w:lineRule="exact"/>
        <w:ind w:left="315" w:hanging="315" w:hangingChars="150"/>
        <w:rPr>
          <w:rFonts w:hAnsi="宋体" w:cs="宋体"/>
          <w:color w:val="auto"/>
          <w:szCs w:val="21"/>
          <w:highlight w:val="none"/>
          <w:lang w:val="zh-CN"/>
        </w:rPr>
      </w:pPr>
      <w:r>
        <w:rPr>
          <w:rFonts w:hint="eastAsia" w:hAnsi="宋体" w:cs="宋体"/>
          <w:color w:val="auto"/>
          <w:szCs w:val="21"/>
          <w:highlight w:val="none"/>
          <w:lang w:val="zh-CN"/>
        </w:rPr>
        <w:t>2、“授权书”填写要求：</w:t>
      </w:r>
    </w:p>
    <w:p w14:paraId="2BF2E831">
      <w:pPr>
        <w:pStyle w:val="14"/>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1）授权书所签发的代理期限必须涵盖代理人所有签字为有效时间。</w:t>
      </w:r>
    </w:p>
    <w:p w14:paraId="10E81D27">
      <w:pPr>
        <w:pStyle w:val="14"/>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2）授权书内容填写要明确，文字要工整清楚，涂改无效。</w:t>
      </w:r>
    </w:p>
    <w:p w14:paraId="4B2C3387">
      <w:pPr>
        <w:pStyle w:val="14"/>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3）授权书不得转借、转让，不得买卖。</w:t>
      </w:r>
    </w:p>
    <w:p w14:paraId="09B90FF9">
      <w:pPr>
        <w:pStyle w:val="14"/>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4）代理人根据授权范围，以委托单位的名义签订合同，并将此委托书提交给对方作为合同附件。</w:t>
      </w:r>
    </w:p>
    <w:p w14:paraId="4F97A881">
      <w:pPr>
        <w:pStyle w:val="14"/>
        <w:spacing w:line="400" w:lineRule="exact"/>
        <w:ind w:left="315" w:hanging="315" w:hangingChars="150"/>
        <w:rPr>
          <w:rFonts w:hAnsi="宋体" w:cs="宋体"/>
          <w:color w:val="auto"/>
          <w:szCs w:val="21"/>
          <w:highlight w:val="none"/>
          <w:lang w:val="zh-CN"/>
        </w:rPr>
      </w:pPr>
    </w:p>
    <w:p w14:paraId="3744C869">
      <w:pPr>
        <w:spacing w:line="400" w:lineRule="exact"/>
        <w:rPr>
          <w:rFonts w:ascii="宋体" w:hAnsi="宋体"/>
          <w:color w:val="auto"/>
          <w:highlight w:val="none"/>
        </w:rPr>
      </w:pPr>
    </w:p>
    <w:p w14:paraId="6FD5B1EC">
      <w:pPr>
        <w:spacing w:line="400" w:lineRule="exact"/>
        <w:rPr>
          <w:rFonts w:ascii="宋体" w:hAnsi="宋体"/>
          <w:color w:val="auto"/>
          <w:highlight w:val="none"/>
        </w:rPr>
      </w:pPr>
      <w:r>
        <w:rPr>
          <w:rFonts w:ascii="宋体" w:hAnsi="宋体"/>
          <w:color w:val="auto"/>
          <w:highlight w:val="none"/>
        </w:rPr>
        <w:br w:type="page"/>
      </w:r>
    </w:p>
    <w:p w14:paraId="66E12157">
      <w:pPr>
        <w:pStyle w:val="14"/>
        <w:jc w:val="left"/>
        <w:rPr>
          <w:rFonts w:hAnsi="宋体"/>
          <w:color w:val="auto"/>
          <w:sz w:val="24"/>
          <w:szCs w:val="24"/>
          <w:highlight w:val="none"/>
        </w:rPr>
      </w:pPr>
    </w:p>
    <w:p w14:paraId="5AEDB498">
      <w:pPr>
        <w:pStyle w:val="14"/>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《资格资信证明文件》封面格式（如有）</w:t>
      </w:r>
    </w:p>
    <w:p w14:paraId="685EB596">
      <w:pPr>
        <w:pStyle w:val="14"/>
        <w:jc w:val="left"/>
        <w:rPr>
          <w:rFonts w:hAnsi="宋体"/>
          <w:color w:val="auto"/>
          <w:sz w:val="24"/>
          <w:szCs w:val="24"/>
          <w:highlight w:val="none"/>
        </w:rPr>
      </w:pPr>
    </w:p>
    <w:p w14:paraId="1EDC179E">
      <w:pPr>
        <w:pStyle w:val="14"/>
        <w:jc w:val="left"/>
        <w:rPr>
          <w:rFonts w:hAnsi="宋体"/>
          <w:color w:val="auto"/>
          <w:sz w:val="24"/>
          <w:szCs w:val="24"/>
          <w:highlight w:val="none"/>
        </w:rPr>
      </w:pPr>
    </w:p>
    <w:p w14:paraId="6F31E5F2">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2772BDF0">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6C873352">
      <w:pPr>
        <w:pStyle w:val="14"/>
        <w:jc w:val="left"/>
        <w:rPr>
          <w:rFonts w:hAnsi="宋体"/>
          <w:color w:val="auto"/>
          <w:sz w:val="24"/>
          <w:szCs w:val="24"/>
          <w:highlight w:val="none"/>
        </w:rPr>
      </w:pPr>
    </w:p>
    <w:p w14:paraId="6108B1BA">
      <w:pPr>
        <w:pStyle w:val="14"/>
        <w:jc w:val="left"/>
        <w:rPr>
          <w:rFonts w:hAnsi="宋体"/>
          <w:color w:val="auto"/>
          <w:sz w:val="24"/>
          <w:szCs w:val="24"/>
          <w:highlight w:val="none"/>
        </w:rPr>
      </w:pPr>
    </w:p>
    <w:p w14:paraId="60F20F24">
      <w:pPr>
        <w:pStyle w:val="14"/>
        <w:jc w:val="center"/>
        <w:rPr>
          <w:rFonts w:hAnsi="宋体"/>
          <w:b/>
          <w:color w:val="auto"/>
          <w:sz w:val="72"/>
          <w:szCs w:val="72"/>
          <w:highlight w:val="none"/>
        </w:rPr>
      </w:pPr>
      <w:r>
        <w:rPr>
          <w:rFonts w:hint="eastAsia" w:hAnsi="宋体"/>
          <w:b/>
          <w:color w:val="auto"/>
          <w:sz w:val="72"/>
          <w:szCs w:val="72"/>
          <w:highlight w:val="none"/>
        </w:rPr>
        <w:t>响应文件</w:t>
      </w:r>
    </w:p>
    <w:p w14:paraId="158B8E3B">
      <w:pPr>
        <w:pStyle w:val="14"/>
        <w:jc w:val="center"/>
        <w:rPr>
          <w:rFonts w:hAnsi="宋体" w:cs="宋体"/>
          <w:b/>
          <w:color w:val="auto"/>
          <w:sz w:val="44"/>
          <w:szCs w:val="44"/>
          <w:highlight w:val="none"/>
        </w:rPr>
      </w:pPr>
      <w:r>
        <w:rPr>
          <w:rFonts w:hAnsi="宋体" w:cs="宋体"/>
          <w:b/>
          <w:color w:val="auto"/>
          <w:sz w:val="44"/>
          <w:szCs w:val="44"/>
          <w:highlight w:val="none"/>
        </w:rPr>
        <w:t>（</w:t>
      </w:r>
      <w:r>
        <w:rPr>
          <w:rFonts w:hint="eastAsia" w:hAnsi="宋体" w:cs="宋体"/>
          <w:b/>
          <w:color w:val="auto"/>
          <w:sz w:val="44"/>
          <w:szCs w:val="44"/>
          <w:highlight w:val="none"/>
        </w:rPr>
        <w:t>资格资信证明文件</w:t>
      </w:r>
      <w:r>
        <w:rPr>
          <w:rFonts w:hAnsi="宋体" w:cs="宋体"/>
          <w:b/>
          <w:color w:val="auto"/>
          <w:sz w:val="44"/>
          <w:szCs w:val="44"/>
          <w:highlight w:val="none"/>
        </w:rPr>
        <w:t>）</w:t>
      </w:r>
    </w:p>
    <w:p w14:paraId="26C22BA8">
      <w:pPr>
        <w:pStyle w:val="14"/>
        <w:jc w:val="left"/>
        <w:rPr>
          <w:rFonts w:hAnsi="宋体"/>
          <w:color w:val="auto"/>
          <w:sz w:val="24"/>
          <w:szCs w:val="24"/>
          <w:highlight w:val="none"/>
        </w:rPr>
      </w:pPr>
    </w:p>
    <w:p w14:paraId="38C2D364">
      <w:pPr>
        <w:pStyle w:val="14"/>
        <w:jc w:val="left"/>
        <w:rPr>
          <w:rFonts w:hAnsi="宋体"/>
          <w:color w:val="auto"/>
          <w:sz w:val="24"/>
          <w:szCs w:val="24"/>
          <w:highlight w:val="none"/>
        </w:rPr>
      </w:pPr>
    </w:p>
    <w:p w14:paraId="2F81A405">
      <w:pPr>
        <w:pStyle w:val="14"/>
        <w:jc w:val="left"/>
        <w:rPr>
          <w:rFonts w:hAnsi="宋体"/>
          <w:color w:val="auto"/>
          <w:sz w:val="24"/>
          <w:szCs w:val="24"/>
          <w:highlight w:val="none"/>
        </w:rPr>
      </w:pPr>
    </w:p>
    <w:p w14:paraId="1D652EA6">
      <w:pPr>
        <w:pStyle w:val="14"/>
        <w:jc w:val="left"/>
        <w:rPr>
          <w:rFonts w:hAnsi="宋体"/>
          <w:color w:val="auto"/>
          <w:sz w:val="24"/>
          <w:szCs w:val="24"/>
          <w:highlight w:val="none"/>
        </w:rPr>
      </w:pPr>
    </w:p>
    <w:p w14:paraId="791FD69C">
      <w:pPr>
        <w:pStyle w:val="14"/>
        <w:jc w:val="left"/>
        <w:rPr>
          <w:rFonts w:hAnsi="宋体"/>
          <w:color w:val="auto"/>
          <w:sz w:val="24"/>
          <w:szCs w:val="24"/>
          <w:highlight w:val="none"/>
        </w:rPr>
      </w:pPr>
    </w:p>
    <w:p w14:paraId="71EA8B53">
      <w:pPr>
        <w:pStyle w:val="14"/>
        <w:jc w:val="left"/>
        <w:rPr>
          <w:rFonts w:hAnsi="宋体"/>
          <w:color w:val="auto"/>
          <w:sz w:val="24"/>
          <w:szCs w:val="24"/>
          <w:highlight w:val="none"/>
        </w:rPr>
      </w:pPr>
    </w:p>
    <w:p w14:paraId="1B9794E4">
      <w:pPr>
        <w:pStyle w:val="14"/>
        <w:jc w:val="left"/>
        <w:rPr>
          <w:rFonts w:hAnsi="宋体"/>
          <w:color w:val="auto"/>
          <w:sz w:val="24"/>
          <w:szCs w:val="24"/>
          <w:highlight w:val="none"/>
        </w:rPr>
      </w:pPr>
    </w:p>
    <w:p w14:paraId="7A197DE7">
      <w:pPr>
        <w:pStyle w:val="14"/>
        <w:jc w:val="left"/>
        <w:rPr>
          <w:rFonts w:hAnsi="宋体"/>
          <w:color w:val="auto"/>
          <w:sz w:val="24"/>
          <w:szCs w:val="24"/>
          <w:highlight w:val="none"/>
        </w:rPr>
      </w:pPr>
    </w:p>
    <w:p w14:paraId="7DF5F04A">
      <w:pPr>
        <w:pStyle w:val="14"/>
        <w:jc w:val="left"/>
        <w:rPr>
          <w:rFonts w:hAnsi="宋体"/>
          <w:color w:val="auto"/>
          <w:sz w:val="24"/>
          <w:szCs w:val="24"/>
          <w:highlight w:val="none"/>
        </w:rPr>
      </w:pPr>
    </w:p>
    <w:p w14:paraId="73D4FABA">
      <w:pPr>
        <w:pStyle w:val="14"/>
        <w:jc w:val="left"/>
        <w:rPr>
          <w:rFonts w:hAnsi="宋体"/>
          <w:color w:val="auto"/>
          <w:sz w:val="24"/>
          <w:szCs w:val="24"/>
          <w:highlight w:val="none"/>
        </w:rPr>
      </w:pPr>
    </w:p>
    <w:p w14:paraId="6E72216A">
      <w:pPr>
        <w:pStyle w:val="14"/>
        <w:jc w:val="left"/>
        <w:rPr>
          <w:rFonts w:hAnsi="宋体"/>
          <w:color w:val="auto"/>
          <w:sz w:val="24"/>
          <w:szCs w:val="24"/>
          <w:highlight w:val="none"/>
        </w:rPr>
      </w:pPr>
    </w:p>
    <w:p w14:paraId="702980D4">
      <w:pPr>
        <w:pStyle w:val="14"/>
        <w:jc w:val="left"/>
        <w:rPr>
          <w:rFonts w:hAnsi="宋体"/>
          <w:color w:val="auto"/>
          <w:sz w:val="24"/>
          <w:szCs w:val="24"/>
          <w:highlight w:val="none"/>
        </w:rPr>
      </w:pPr>
    </w:p>
    <w:p w14:paraId="1351307A">
      <w:pPr>
        <w:pStyle w:val="14"/>
        <w:jc w:val="left"/>
        <w:rPr>
          <w:rFonts w:hAnsi="宋体"/>
          <w:color w:val="auto"/>
          <w:sz w:val="24"/>
          <w:szCs w:val="24"/>
          <w:highlight w:val="none"/>
        </w:rPr>
      </w:pPr>
    </w:p>
    <w:p w14:paraId="3F25A7F4">
      <w:pPr>
        <w:pStyle w:val="14"/>
        <w:jc w:val="left"/>
        <w:rPr>
          <w:rFonts w:hAnsi="宋体"/>
          <w:color w:val="auto"/>
          <w:sz w:val="24"/>
          <w:szCs w:val="24"/>
          <w:highlight w:val="none"/>
        </w:rPr>
      </w:pPr>
    </w:p>
    <w:p w14:paraId="450F3310">
      <w:pPr>
        <w:pStyle w:val="14"/>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0C7BF8B0">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269DEE4C">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30FE213F">
      <w:pPr>
        <w:pStyle w:val="14"/>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63B55022">
      <w:pPr>
        <w:pStyle w:val="14"/>
        <w:jc w:val="left"/>
        <w:rPr>
          <w:rFonts w:hAnsi="宋体"/>
          <w:bCs/>
          <w:color w:val="auto"/>
          <w:sz w:val="24"/>
          <w:highlight w:val="none"/>
        </w:rPr>
      </w:pPr>
      <w:r>
        <w:rPr>
          <w:rFonts w:hAnsi="宋体"/>
          <w:color w:val="auto"/>
          <w:sz w:val="32"/>
          <w:szCs w:val="32"/>
          <w:highlight w:val="none"/>
        </w:rPr>
        <w:br w:type="page"/>
      </w:r>
    </w:p>
    <w:p w14:paraId="43679A21">
      <w:pPr>
        <w:snapToGrid w:val="0"/>
        <w:spacing w:beforeLines="5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0B93BF2E">
      <w:pPr>
        <w:snapToGrid w:val="0"/>
        <w:spacing w:beforeLines="5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44822F98">
      <w:pPr>
        <w:snapToGrid w:val="0"/>
        <w:spacing w:before="50" w:afterLines="50"/>
        <w:jc w:val="center"/>
        <w:rPr>
          <w:rFonts w:ascii="宋体" w:hAnsi="宋体"/>
          <w:b/>
          <w:color w:val="auto"/>
          <w:sz w:val="32"/>
          <w:szCs w:val="32"/>
          <w:highlight w:val="none"/>
        </w:rPr>
      </w:pPr>
    </w:p>
    <w:tbl>
      <w:tblPr>
        <w:tblStyle w:val="29"/>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2DF764B">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9851988">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F0148B7">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4D96BDE">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B5F34DF">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BEA8B83">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2F0FA29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7E1FF8D">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9E4D7FA">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642F181">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B5A5E12">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FCB0EC3">
            <w:pPr>
              <w:widowControl/>
              <w:spacing w:line="360" w:lineRule="auto"/>
              <w:jc w:val="center"/>
              <w:rPr>
                <w:rFonts w:ascii="宋体" w:hAnsi="宋体" w:cs="宋体"/>
                <w:color w:val="auto"/>
                <w:kern w:val="0"/>
                <w:sz w:val="28"/>
                <w:szCs w:val="28"/>
                <w:highlight w:val="none"/>
              </w:rPr>
            </w:pPr>
          </w:p>
        </w:tc>
      </w:tr>
      <w:tr w14:paraId="1736526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5BF25D1">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7C8DE0">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26394B">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C90ADFF">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0FE2E1E">
            <w:pPr>
              <w:widowControl/>
              <w:spacing w:line="360" w:lineRule="auto"/>
              <w:jc w:val="center"/>
              <w:rPr>
                <w:rFonts w:ascii="宋体" w:hAnsi="宋体" w:cs="宋体"/>
                <w:color w:val="auto"/>
                <w:kern w:val="0"/>
                <w:sz w:val="28"/>
                <w:szCs w:val="28"/>
                <w:highlight w:val="none"/>
              </w:rPr>
            </w:pPr>
          </w:p>
        </w:tc>
      </w:tr>
      <w:tr w14:paraId="4CD8182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FCCDED4">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00804F">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B224579">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ADDA7F6">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FCDCE84">
            <w:pPr>
              <w:widowControl/>
              <w:spacing w:line="360" w:lineRule="auto"/>
              <w:jc w:val="center"/>
              <w:rPr>
                <w:rFonts w:ascii="宋体" w:hAnsi="宋体" w:cs="宋体"/>
                <w:color w:val="auto"/>
                <w:kern w:val="0"/>
                <w:sz w:val="28"/>
                <w:szCs w:val="28"/>
                <w:highlight w:val="none"/>
              </w:rPr>
            </w:pPr>
          </w:p>
        </w:tc>
      </w:tr>
      <w:tr w14:paraId="3F1AF0B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0795013">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8B17426">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E8F32A">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B6447E">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79A799F">
            <w:pPr>
              <w:widowControl/>
              <w:spacing w:line="360" w:lineRule="auto"/>
              <w:jc w:val="center"/>
              <w:rPr>
                <w:rFonts w:ascii="宋体" w:hAnsi="宋体" w:cs="宋体"/>
                <w:color w:val="auto"/>
                <w:kern w:val="0"/>
                <w:sz w:val="28"/>
                <w:szCs w:val="28"/>
                <w:highlight w:val="none"/>
              </w:rPr>
            </w:pPr>
          </w:p>
        </w:tc>
      </w:tr>
    </w:tbl>
    <w:p w14:paraId="1E0B09E8">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52DA33E4">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持有股份的比例虽然不足百分之五十，但依其出资额或者持有的股份所享有的表决权已足以对股东会、股东大会的决议产生重大影响的股东。</w:t>
      </w:r>
    </w:p>
    <w:p w14:paraId="35E1131C">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3993330">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3.供应商不存在直接控股股东的，则在“直接控股股东名称”里填“无”。</w:t>
      </w:r>
    </w:p>
    <w:p w14:paraId="18402C6F">
      <w:pPr>
        <w:spacing w:line="360" w:lineRule="auto"/>
        <w:ind w:firstLine="420" w:firstLineChars="200"/>
        <w:contextualSpacing/>
        <w:jc w:val="left"/>
        <w:rPr>
          <w:rFonts w:ascii="宋体" w:hAnsi="宋体" w:cs="宋体"/>
          <w:color w:val="auto"/>
          <w:szCs w:val="21"/>
          <w:highlight w:val="none"/>
        </w:rPr>
      </w:pPr>
    </w:p>
    <w:p w14:paraId="24D9B291">
      <w:pPr>
        <w:spacing w:line="360" w:lineRule="auto"/>
        <w:ind w:firstLine="560" w:firstLineChars="200"/>
        <w:contextualSpacing/>
        <w:jc w:val="left"/>
        <w:rPr>
          <w:rFonts w:ascii="宋体" w:hAnsi="宋体" w:cs="宋体"/>
          <w:color w:val="auto"/>
          <w:sz w:val="28"/>
          <w:szCs w:val="28"/>
          <w:highlight w:val="none"/>
        </w:rPr>
      </w:pPr>
    </w:p>
    <w:p w14:paraId="3B7101F1">
      <w:pPr>
        <w:pStyle w:val="14"/>
        <w:spacing w:line="400" w:lineRule="exact"/>
        <w:ind w:firstLine="3880" w:firstLineChars="1617"/>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747CB695">
      <w:pPr>
        <w:spacing w:line="360" w:lineRule="auto"/>
        <w:ind w:right="480"/>
        <w:contextualSpacing/>
        <w:jc w:val="center"/>
        <w:rPr>
          <w:rFonts w:ascii="宋体" w:hAnsi="宋体"/>
          <w:b/>
          <w:color w:val="auto"/>
          <w:sz w:val="28"/>
          <w:szCs w:val="28"/>
          <w:highlight w:val="none"/>
        </w:rPr>
      </w:pPr>
      <w:r>
        <w:rPr>
          <w:rFonts w:hint="eastAsia" w:hAnsi="宋体"/>
          <w:color w:val="auto"/>
          <w:sz w:val="24"/>
          <w:highlight w:val="none"/>
        </w:rPr>
        <w:t>磋商日期：</w:t>
      </w:r>
    </w:p>
    <w:p w14:paraId="27E0B3C0">
      <w:pPr>
        <w:rPr>
          <w:rFonts w:ascii="宋体" w:hAnsi="宋体"/>
          <w:b/>
          <w:color w:val="auto"/>
          <w:sz w:val="32"/>
          <w:szCs w:val="32"/>
          <w:highlight w:val="none"/>
        </w:rPr>
      </w:pPr>
      <w:r>
        <w:rPr>
          <w:rFonts w:hint="eastAsia" w:ascii="宋体" w:hAnsi="宋体"/>
          <w:b/>
          <w:color w:val="auto"/>
          <w:sz w:val="32"/>
          <w:szCs w:val="32"/>
          <w:highlight w:val="none"/>
        </w:rPr>
        <w:br w:type="page"/>
      </w:r>
    </w:p>
    <w:p w14:paraId="02BB9BDD">
      <w:pPr>
        <w:snapToGrid w:val="0"/>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0889E2BB">
      <w:pPr>
        <w:snapToGrid w:val="0"/>
        <w:jc w:val="center"/>
        <w:rPr>
          <w:rFonts w:ascii="宋体" w:hAnsi="宋体"/>
          <w:b/>
          <w:color w:val="auto"/>
          <w:sz w:val="32"/>
          <w:szCs w:val="32"/>
          <w:highlight w:val="none"/>
        </w:rPr>
      </w:pPr>
    </w:p>
    <w:tbl>
      <w:tblPr>
        <w:tblStyle w:val="29"/>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E277940">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0B048CE">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4B54BE9">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8C4D011">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3C5C04E">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48063F1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60FBFC8">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D13990D">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4DEF9F1">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572AF21">
            <w:pPr>
              <w:widowControl/>
              <w:wordWrap w:val="0"/>
              <w:spacing w:line="200" w:lineRule="atLeast"/>
              <w:jc w:val="center"/>
              <w:rPr>
                <w:rFonts w:ascii="宋体" w:hAnsi="宋体" w:cs="宋体"/>
                <w:color w:val="auto"/>
                <w:kern w:val="0"/>
                <w:sz w:val="28"/>
                <w:szCs w:val="28"/>
                <w:highlight w:val="none"/>
              </w:rPr>
            </w:pPr>
          </w:p>
        </w:tc>
      </w:tr>
      <w:tr w14:paraId="765859F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6329E00">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5F8403">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3DE103E">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30E88F5">
            <w:pPr>
              <w:widowControl/>
              <w:wordWrap w:val="0"/>
              <w:spacing w:line="200" w:lineRule="atLeast"/>
              <w:jc w:val="center"/>
              <w:rPr>
                <w:rFonts w:ascii="宋体" w:hAnsi="宋体" w:cs="宋体"/>
                <w:color w:val="auto"/>
                <w:kern w:val="0"/>
                <w:sz w:val="28"/>
                <w:szCs w:val="28"/>
                <w:highlight w:val="none"/>
              </w:rPr>
            </w:pPr>
          </w:p>
        </w:tc>
      </w:tr>
      <w:tr w14:paraId="4411E82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1591DA">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1E0C5C8">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9A24D40">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14F9DC">
            <w:pPr>
              <w:widowControl/>
              <w:wordWrap w:val="0"/>
              <w:spacing w:line="200" w:lineRule="atLeast"/>
              <w:jc w:val="center"/>
              <w:rPr>
                <w:rFonts w:ascii="宋体" w:hAnsi="宋体" w:cs="宋体"/>
                <w:color w:val="auto"/>
                <w:kern w:val="0"/>
                <w:sz w:val="28"/>
                <w:szCs w:val="28"/>
                <w:highlight w:val="none"/>
              </w:rPr>
            </w:pPr>
          </w:p>
        </w:tc>
      </w:tr>
      <w:tr w14:paraId="756F72A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16E5BC">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31E5A55">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28978CC">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01A51F4">
            <w:pPr>
              <w:widowControl/>
              <w:wordWrap w:val="0"/>
              <w:spacing w:line="200" w:lineRule="atLeast"/>
              <w:jc w:val="center"/>
              <w:rPr>
                <w:rFonts w:ascii="宋体" w:hAnsi="宋体" w:cs="宋体"/>
                <w:color w:val="auto"/>
                <w:kern w:val="0"/>
                <w:sz w:val="28"/>
                <w:szCs w:val="28"/>
                <w:highlight w:val="none"/>
              </w:rPr>
            </w:pPr>
          </w:p>
        </w:tc>
      </w:tr>
    </w:tbl>
    <w:p w14:paraId="38CABB8A">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40DEC60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75BC1F7">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DC34365">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3.供应商不存在直接管理关系的，则在“直接管理关系单位名称”里填“无”。</w:t>
      </w:r>
    </w:p>
    <w:p w14:paraId="18657178">
      <w:pPr>
        <w:spacing w:line="360" w:lineRule="auto"/>
        <w:contextualSpacing/>
        <w:jc w:val="left"/>
        <w:rPr>
          <w:rFonts w:ascii="宋体" w:hAnsi="宋体"/>
          <w:color w:val="auto"/>
          <w:sz w:val="28"/>
          <w:szCs w:val="28"/>
          <w:highlight w:val="none"/>
        </w:rPr>
      </w:pPr>
    </w:p>
    <w:p w14:paraId="0D52ADC4">
      <w:pPr>
        <w:spacing w:line="360" w:lineRule="auto"/>
        <w:contextualSpacing/>
        <w:jc w:val="left"/>
        <w:rPr>
          <w:rFonts w:ascii="宋体" w:hAnsi="宋体"/>
          <w:color w:val="auto"/>
          <w:sz w:val="28"/>
          <w:szCs w:val="28"/>
          <w:highlight w:val="none"/>
        </w:rPr>
      </w:pPr>
    </w:p>
    <w:p w14:paraId="6783137B">
      <w:pPr>
        <w:spacing w:line="360" w:lineRule="auto"/>
        <w:contextualSpacing/>
        <w:jc w:val="left"/>
        <w:rPr>
          <w:rFonts w:ascii="宋体" w:hAnsi="宋体"/>
          <w:color w:val="auto"/>
          <w:sz w:val="28"/>
          <w:szCs w:val="28"/>
          <w:highlight w:val="none"/>
        </w:rPr>
      </w:pPr>
    </w:p>
    <w:p w14:paraId="08F5DCE3">
      <w:pPr>
        <w:pStyle w:val="14"/>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24020B01">
      <w:pPr>
        <w:pStyle w:val="14"/>
        <w:spacing w:line="600" w:lineRule="exact"/>
        <w:ind w:firstLine="4212" w:firstLineChars="1755"/>
        <w:rPr>
          <w:rFonts w:hAnsi="宋体" w:cs="宋体"/>
          <w:color w:val="auto"/>
          <w:szCs w:val="21"/>
          <w:highlight w:val="none"/>
          <w:u w:val="single"/>
        </w:rPr>
      </w:pPr>
      <w:r>
        <w:rPr>
          <w:rFonts w:hint="eastAsia" w:hAnsi="宋体"/>
          <w:color w:val="auto"/>
          <w:sz w:val="24"/>
          <w:szCs w:val="24"/>
          <w:highlight w:val="none"/>
        </w:rPr>
        <w:t>磋商日期：</w:t>
      </w:r>
    </w:p>
    <w:p w14:paraId="6CB599BA">
      <w:pPr>
        <w:rPr>
          <w:rFonts w:hAnsi="宋体"/>
          <w:color w:val="auto"/>
          <w:sz w:val="24"/>
          <w:highlight w:val="none"/>
        </w:rPr>
      </w:pPr>
      <w:r>
        <w:rPr>
          <w:rFonts w:hint="eastAsia" w:ascii="宋体" w:hAnsi="宋体" w:cs="宋体"/>
          <w:b/>
          <w:color w:val="auto"/>
          <w:sz w:val="32"/>
          <w:szCs w:val="20"/>
          <w:highlight w:val="none"/>
        </w:rPr>
        <w:br w:type="page"/>
      </w:r>
    </w:p>
    <w:p w14:paraId="48829A4F">
      <w:pPr>
        <w:pStyle w:val="14"/>
        <w:jc w:val="left"/>
        <w:rPr>
          <w:rFonts w:hAnsi="宋体"/>
          <w:color w:val="auto"/>
          <w:sz w:val="24"/>
          <w:szCs w:val="24"/>
          <w:highlight w:val="none"/>
        </w:rPr>
      </w:pPr>
    </w:p>
    <w:p w14:paraId="0E5796DC">
      <w:pPr>
        <w:pStyle w:val="14"/>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《报价文件》封面格式</w:t>
      </w:r>
    </w:p>
    <w:p w14:paraId="0F4814AD">
      <w:pPr>
        <w:pStyle w:val="14"/>
        <w:jc w:val="left"/>
        <w:rPr>
          <w:rFonts w:hAnsi="宋体"/>
          <w:color w:val="auto"/>
          <w:sz w:val="24"/>
          <w:szCs w:val="24"/>
          <w:highlight w:val="none"/>
        </w:rPr>
      </w:pPr>
    </w:p>
    <w:p w14:paraId="0B7864FD">
      <w:pPr>
        <w:pStyle w:val="14"/>
        <w:jc w:val="left"/>
        <w:rPr>
          <w:rFonts w:hAnsi="宋体"/>
          <w:color w:val="auto"/>
          <w:sz w:val="24"/>
          <w:szCs w:val="24"/>
          <w:highlight w:val="none"/>
        </w:rPr>
      </w:pPr>
    </w:p>
    <w:p w14:paraId="4D65AFF4">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427E914D">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2642E810">
      <w:pPr>
        <w:pStyle w:val="14"/>
        <w:jc w:val="left"/>
        <w:rPr>
          <w:rFonts w:hAnsi="宋体"/>
          <w:color w:val="auto"/>
          <w:sz w:val="24"/>
          <w:szCs w:val="24"/>
          <w:highlight w:val="none"/>
        </w:rPr>
      </w:pPr>
    </w:p>
    <w:p w14:paraId="7A0D7F9A">
      <w:pPr>
        <w:pStyle w:val="14"/>
        <w:jc w:val="left"/>
        <w:rPr>
          <w:rFonts w:hAnsi="宋体"/>
          <w:color w:val="auto"/>
          <w:sz w:val="24"/>
          <w:szCs w:val="24"/>
          <w:highlight w:val="none"/>
        </w:rPr>
      </w:pPr>
    </w:p>
    <w:p w14:paraId="73723B83">
      <w:pPr>
        <w:pStyle w:val="14"/>
        <w:jc w:val="center"/>
        <w:rPr>
          <w:rFonts w:hAnsi="宋体"/>
          <w:b/>
          <w:color w:val="auto"/>
          <w:sz w:val="72"/>
          <w:szCs w:val="72"/>
          <w:highlight w:val="none"/>
        </w:rPr>
      </w:pPr>
      <w:r>
        <w:rPr>
          <w:rFonts w:hint="eastAsia" w:hAnsi="宋体"/>
          <w:b/>
          <w:color w:val="auto"/>
          <w:sz w:val="72"/>
          <w:szCs w:val="72"/>
          <w:highlight w:val="none"/>
        </w:rPr>
        <w:t>响应文件</w:t>
      </w:r>
    </w:p>
    <w:p w14:paraId="706314B8">
      <w:pPr>
        <w:pStyle w:val="14"/>
        <w:jc w:val="center"/>
        <w:rPr>
          <w:rFonts w:hAnsi="宋体" w:cs="宋体"/>
          <w:b/>
          <w:color w:val="auto"/>
          <w:sz w:val="44"/>
          <w:szCs w:val="44"/>
          <w:highlight w:val="none"/>
        </w:rPr>
      </w:pPr>
      <w:r>
        <w:rPr>
          <w:rFonts w:hAnsi="宋体" w:cs="宋体"/>
          <w:b/>
          <w:color w:val="auto"/>
          <w:sz w:val="44"/>
          <w:szCs w:val="44"/>
          <w:highlight w:val="none"/>
        </w:rPr>
        <w:t>（报价文件）</w:t>
      </w:r>
    </w:p>
    <w:p w14:paraId="0D824A4F">
      <w:pPr>
        <w:pStyle w:val="14"/>
        <w:jc w:val="left"/>
        <w:rPr>
          <w:rFonts w:hAnsi="宋体"/>
          <w:color w:val="auto"/>
          <w:sz w:val="24"/>
          <w:szCs w:val="24"/>
          <w:highlight w:val="none"/>
        </w:rPr>
      </w:pPr>
    </w:p>
    <w:p w14:paraId="0CC362D3">
      <w:pPr>
        <w:pStyle w:val="14"/>
        <w:jc w:val="left"/>
        <w:rPr>
          <w:rFonts w:hAnsi="宋体"/>
          <w:color w:val="auto"/>
          <w:sz w:val="24"/>
          <w:szCs w:val="24"/>
          <w:highlight w:val="none"/>
        </w:rPr>
      </w:pPr>
    </w:p>
    <w:p w14:paraId="23E02709">
      <w:pPr>
        <w:pStyle w:val="14"/>
        <w:jc w:val="left"/>
        <w:rPr>
          <w:rFonts w:hAnsi="宋体"/>
          <w:color w:val="auto"/>
          <w:sz w:val="24"/>
          <w:szCs w:val="24"/>
          <w:highlight w:val="none"/>
        </w:rPr>
      </w:pPr>
    </w:p>
    <w:p w14:paraId="17604305">
      <w:pPr>
        <w:pStyle w:val="14"/>
        <w:jc w:val="left"/>
        <w:rPr>
          <w:rFonts w:hAnsi="宋体"/>
          <w:color w:val="auto"/>
          <w:sz w:val="24"/>
          <w:szCs w:val="24"/>
          <w:highlight w:val="none"/>
        </w:rPr>
      </w:pPr>
    </w:p>
    <w:p w14:paraId="77BF76D8">
      <w:pPr>
        <w:pStyle w:val="14"/>
        <w:jc w:val="left"/>
        <w:rPr>
          <w:rFonts w:hAnsi="宋体"/>
          <w:color w:val="auto"/>
          <w:sz w:val="24"/>
          <w:szCs w:val="24"/>
          <w:highlight w:val="none"/>
        </w:rPr>
      </w:pPr>
    </w:p>
    <w:p w14:paraId="78413E23">
      <w:pPr>
        <w:pStyle w:val="14"/>
        <w:jc w:val="left"/>
        <w:rPr>
          <w:rFonts w:hAnsi="宋体"/>
          <w:color w:val="auto"/>
          <w:sz w:val="24"/>
          <w:szCs w:val="24"/>
          <w:highlight w:val="none"/>
        </w:rPr>
      </w:pPr>
    </w:p>
    <w:p w14:paraId="34D750D4">
      <w:pPr>
        <w:pStyle w:val="14"/>
        <w:jc w:val="left"/>
        <w:rPr>
          <w:rFonts w:hAnsi="宋体"/>
          <w:color w:val="auto"/>
          <w:sz w:val="24"/>
          <w:szCs w:val="24"/>
          <w:highlight w:val="none"/>
        </w:rPr>
      </w:pPr>
    </w:p>
    <w:p w14:paraId="37EE1E58">
      <w:pPr>
        <w:pStyle w:val="14"/>
        <w:jc w:val="left"/>
        <w:rPr>
          <w:rFonts w:hAnsi="宋体"/>
          <w:color w:val="auto"/>
          <w:sz w:val="24"/>
          <w:szCs w:val="24"/>
          <w:highlight w:val="none"/>
        </w:rPr>
      </w:pPr>
    </w:p>
    <w:p w14:paraId="0E40C5DC">
      <w:pPr>
        <w:pStyle w:val="14"/>
        <w:jc w:val="left"/>
        <w:rPr>
          <w:rFonts w:hAnsi="宋体"/>
          <w:color w:val="auto"/>
          <w:sz w:val="24"/>
          <w:szCs w:val="24"/>
          <w:highlight w:val="none"/>
        </w:rPr>
      </w:pPr>
    </w:p>
    <w:p w14:paraId="7B0D5F83">
      <w:pPr>
        <w:pStyle w:val="14"/>
        <w:jc w:val="left"/>
        <w:rPr>
          <w:rFonts w:hAnsi="宋体"/>
          <w:color w:val="auto"/>
          <w:sz w:val="24"/>
          <w:szCs w:val="24"/>
          <w:highlight w:val="none"/>
        </w:rPr>
      </w:pPr>
    </w:p>
    <w:p w14:paraId="39C3E2E6">
      <w:pPr>
        <w:pStyle w:val="14"/>
        <w:jc w:val="left"/>
        <w:rPr>
          <w:rFonts w:hAnsi="宋体"/>
          <w:color w:val="auto"/>
          <w:sz w:val="24"/>
          <w:szCs w:val="24"/>
          <w:highlight w:val="none"/>
        </w:rPr>
      </w:pPr>
    </w:p>
    <w:p w14:paraId="24634588">
      <w:pPr>
        <w:pStyle w:val="14"/>
        <w:jc w:val="left"/>
        <w:rPr>
          <w:rFonts w:hAnsi="宋体"/>
          <w:color w:val="auto"/>
          <w:sz w:val="24"/>
          <w:szCs w:val="24"/>
          <w:highlight w:val="none"/>
        </w:rPr>
      </w:pPr>
    </w:p>
    <w:p w14:paraId="1ECB0147">
      <w:pPr>
        <w:pStyle w:val="14"/>
        <w:jc w:val="left"/>
        <w:rPr>
          <w:rFonts w:hAnsi="宋体"/>
          <w:color w:val="auto"/>
          <w:sz w:val="24"/>
          <w:szCs w:val="24"/>
          <w:highlight w:val="none"/>
        </w:rPr>
      </w:pPr>
    </w:p>
    <w:p w14:paraId="09C46934">
      <w:pPr>
        <w:pStyle w:val="14"/>
        <w:jc w:val="left"/>
        <w:rPr>
          <w:rFonts w:hAnsi="宋体"/>
          <w:color w:val="auto"/>
          <w:sz w:val="24"/>
          <w:szCs w:val="24"/>
          <w:highlight w:val="none"/>
        </w:rPr>
      </w:pPr>
    </w:p>
    <w:p w14:paraId="0ACE91F8">
      <w:pPr>
        <w:pStyle w:val="14"/>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51494916">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4BB0E244">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05A164DA">
      <w:pPr>
        <w:pStyle w:val="14"/>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1781956F">
      <w:pPr>
        <w:pStyle w:val="14"/>
        <w:jc w:val="left"/>
        <w:rPr>
          <w:rFonts w:hAnsi="宋体"/>
          <w:bCs/>
          <w:color w:val="auto"/>
          <w:sz w:val="24"/>
          <w:highlight w:val="none"/>
        </w:rPr>
      </w:pPr>
      <w:r>
        <w:rPr>
          <w:rFonts w:hAnsi="宋体"/>
          <w:color w:val="auto"/>
          <w:sz w:val="32"/>
          <w:szCs w:val="32"/>
          <w:highlight w:val="none"/>
        </w:rPr>
        <w:br w:type="page"/>
      </w:r>
    </w:p>
    <w:p w14:paraId="12497AE0">
      <w:pPr>
        <w:pStyle w:val="14"/>
        <w:rPr>
          <w:rFonts w:hAnsi="宋体"/>
          <w:color w:val="auto"/>
          <w:sz w:val="24"/>
          <w:highlight w:val="none"/>
        </w:rPr>
      </w:pPr>
    </w:p>
    <w:p w14:paraId="176262DB">
      <w:pPr>
        <w:pStyle w:val="14"/>
        <w:spacing w:line="400" w:lineRule="exact"/>
        <w:jc w:val="center"/>
        <w:rPr>
          <w:rFonts w:hAnsi="宋体"/>
          <w:b/>
          <w:color w:val="auto"/>
          <w:sz w:val="32"/>
          <w:highlight w:val="none"/>
        </w:rPr>
      </w:pPr>
      <w:r>
        <w:rPr>
          <w:rFonts w:hint="eastAsia" w:hAnsi="宋体"/>
          <w:b/>
          <w:color w:val="auto"/>
          <w:sz w:val="32"/>
          <w:highlight w:val="none"/>
        </w:rPr>
        <w:t>磋商报价表</w:t>
      </w:r>
    </w:p>
    <w:p w14:paraId="3DDF6C33">
      <w:pPr>
        <w:spacing w:line="360" w:lineRule="auto"/>
        <w:rPr>
          <w:rFonts w:ascii="宋体" w:hAnsi="宋体"/>
          <w:b/>
          <w:color w:val="auto"/>
          <w:sz w:val="24"/>
          <w:highlight w:val="none"/>
          <w:u w:val="single"/>
        </w:rPr>
      </w:pPr>
      <w:r>
        <w:rPr>
          <w:rFonts w:hint="eastAsia" w:ascii="宋体" w:hAnsi="宋体"/>
          <w:b/>
          <w:color w:val="auto"/>
          <w:sz w:val="24"/>
          <w:highlight w:val="none"/>
        </w:rPr>
        <w:t>项目名称：</w:t>
      </w:r>
    </w:p>
    <w:p w14:paraId="7AC32718">
      <w:pPr>
        <w:spacing w:line="360" w:lineRule="auto"/>
        <w:rPr>
          <w:rFonts w:ascii="宋体" w:hAnsi="宋体"/>
          <w:b/>
          <w:color w:val="auto"/>
          <w:sz w:val="24"/>
          <w:highlight w:val="none"/>
          <w:u w:val="single"/>
        </w:rPr>
      </w:pPr>
      <w:r>
        <w:rPr>
          <w:rFonts w:hint="eastAsia" w:ascii="宋体" w:hAnsi="宋体"/>
          <w:b/>
          <w:color w:val="auto"/>
          <w:sz w:val="24"/>
          <w:highlight w:val="none"/>
        </w:rPr>
        <w:t>项目编号：</w:t>
      </w:r>
    </w:p>
    <w:p w14:paraId="1D0A2FA4">
      <w:pPr>
        <w:pStyle w:val="14"/>
        <w:spacing w:line="360" w:lineRule="auto"/>
        <w:rPr>
          <w:rFonts w:hAnsi="宋体"/>
          <w:color w:val="auto"/>
          <w:sz w:val="24"/>
          <w:highlight w:val="none"/>
        </w:rPr>
      </w:pPr>
      <w:r>
        <w:rPr>
          <w:rFonts w:hint="eastAsia" w:hAnsi="宋体"/>
          <w:b/>
          <w:color w:val="auto"/>
          <w:sz w:val="24"/>
          <w:highlight w:val="none"/>
        </w:rPr>
        <w:t>分标：</w:t>
      </w:r>
      <w:r>
        <w:rPr>
          <w:rFonts w:hint="eastAsia" w:hAnsi="宋体"/>
          <w:b/>
          <w:color w:val="auto"/>
          <w:sz w:val="24"/>
          <w:highlight w:val="none"/>
          <w:u w:val="single"/>
        </w:rPr>
        <w:t>1</w:t>
      </w:r>
    </w:p>
    <w:tbl>
      <w:tblPr>
        <w:tblStyle w:val="30"/>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2552"/>
        <w:gridCol w:w="3112"/>
        <w:gridCol w:w="3112"/>
      </w:tblGrid>
      <w:tr w14:paraId="0182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65" w:type="dxa"/>
            <w:vAlign w:val="center"/>
          </w:tcPr>
          <w:p w14:paraId="12272E56">
            <w:pPr>
              <w:snapToGrid w:val="0"/>
              <w:ind w:left="-105" w:leftChars="-50" w:right="-105" w:rightChars="-50"/>
              <w:jc w:val="center"/>
              <w:rPr>
                <w:rFonts w:ascii="宋体" w:hAnsi="宋体"/>
                <w:color w:val="auto"/>
                <w:kern w:val="0"/>
                <w:sz w:val="24"/>
                <w:highlight w:val="none"/>
              </w:rPr>
            </w:pPr>
            <w:r>
              <w:rPr>
                <w:rFonts w:hint="eastAsia" w:ascii="宋体" w:hAnsi="宋体"/>
                <w:color w:val="auto"/>
                <w:kern w:val="0"/>
                <w:sz w:val="24"/>
                <w:highlight w:val="none"/>
              </w:rPr>
              <w:t>序号</w:t>
            </w:r>
          </w:p>
        </w:tc>
        <w:tc>
          <w:tcPr>
            <w:tcW w:w="2552" w:type="dxa"/>
            <w:vAlign w:val="center"/>
          </w:tcPr>
          <w:p w14:paraId="1B656AD2">
            <w:pPr>
              <w:snapToGrid w:val="0"/>
              <w:jc w:val="center"/>
              <w:rPr>
                <w:rFonts w:ascii="宋体" w:hAnsi="宋体"/>
                <w:color w:val="auto"/>
                <w:kern w:val="0"/>
                <w:sz w:val="24"/>
                <w:highlight w:val="none"/>
              </w:rPr>
            </w:pPr>
            <w:r>
              <w:rPr>
                <w:rFonts w:hint="eastAsia" w:ascii="宋体" w:hAnsi="宋体"/>
                <w:color w:val="auto"/>
                <w:kern w:val="0"/>
                <w:sz w:val="24"/>
                <w:highlight w:val="none"/>
              </w:rPr>
              <w:t>标的名称</w:t>
            </w:r>
          </w:p>
        </w:tc>
        <w:tc>
          <w:tcPr>
            <w:tcW w:w="3112" w:type="dxa"/>
            <w:vAlign w:val="center"/>
          </w:tcPr>
          <w:p w14:paraId="09D64C55">
            <w:pPr>
              <w:pStyle w:val="14"/>
              <w:snapToGrid w:val="0"/>
              <w:jc w:val="center"/>
              <w:rPr>
                <w:rFonts w:hAnsi="宋体"/>
                <w:color w:val="auto"/>
                <w:kern w:val="0"/>
                <w:sz w:val="24"/>
                <w:highlight w:val="none"/>
              </w:rPr>
            </w:pPr>
            <w:r>
              <w:rPr>
                <w:rFonts w:hint="eastAsia" w:hAnsi="宋体"/>
                <w:color w:val="auto"/>
                <w:kern w:val="0"/>
                <w:sz w:val="24"/>
                <w:highlight w:val="none"/>
              </w:rPr>
              <w:t>单价（元/人）</w:t>
            </w:r>
          </w:p>
        </w:tc>
        <w:tc>
          <w:tcPr>
            <w:tcW w:w="3112" w:type="dxa"/>
            <w:vAlign w:val="center"/>
          </w:tcPr>
          <w:p w14:paraId="053ECDE6">
            <w:pPr>
              <w:pStyle w:val="14"/>
              <w:snapToGrid w:val="0"/>
              <w:jc w:val="center"/>
              <w:rPr>
                <w:rFonts w:hAnsi="宋体"/>
                <w:color w:val="auto"/>
                <w:kern w:val="0"/>
                <w:sz w:val="24"/>
                <w:highlight w:val="none"/>
              </w:rPr>
            </w:pPr>
            <w:r>
              <w:rPr>
                <w:rFonts w:hint="eastAsia" w:hAnsi="宋体"/>
                <w:color w:val="auto"/>
                <w:kern w:val="0"/>
                <w:sz w:val="24"/>
                <w:highlight w:val="none"/>
              </w:rPr>
              <w:t>总报价（元）</w:t>
            </w:r>
          </w:p>
        </w:tc>
      </w:tr>
      <w:tr w14:paraId="37B3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Align w:val="center"/>
          </w:tcPr>
          <w:p w14:paraId="1EB0ABC1">
            <w:pPr>
              <w:snapToGrid w:val="0"/>
              <w:jc w:val="center"/>
              <w:rPr>
                <w:rFonts w:ascii="宋体" w:hAnsi="宋体"/>
                <w:color w:val="auto"/>
                <w:kern w:val="0"/>
                <w:sz w:val="24"/>
                <w:highlight w:val="none"/>
              </w:rPr>
            </w:pPr>
            <w:r>
              <w:rPr>
                <w:rFonts w:hint="eastAsia" w:ascii="宋体" w:hAnsi="宋体"/>
                <w:color w:val="auto"/>
                <w:kern w:val="0"/>
                <w:sz w:val="24"/>
                <w:highlight w:val="none"/>
              </w:rPr>
              <w:t>1</w:t>
            </w:r>
          </w:p>
        </w:tc>
        <w:tc>
          <w:tcPr>
            <w:tcW w:w="2552" w:type="dxa"/>
            <w:vAlign w:val="center"/>
          </w:tcPr>
          <w:p w14:paraId="21E890EF">
            <w:pPr>
              <w:snapToGrid w:val="0"/>
              <w:jc w:val="center"/>
              <w:rPr>
                <w:rFonts w:ascii="宋体" w:hAnsi="宋体"/>
                <w:color w:val="auto"/>
                <w:kern w:val="0"/>
                <w:sz w:val="24"/>
                <w:highlight w:val="none"/>
              </w:rPr>
            </w:pPr>
            <w:r>
              <w:rPr>
                <w:rFonts w:hint="eastAsia" w:ascii="宋体" w:hAnsi="宋体"/>
                <w:color w:val="auto"/>
                <w:kern w:val="0"/>
                <w:sz w:val="24"/>
                <w:highlight w:val="none"/>
              </w:rPr>
              <w:t>2026年度职工团体补偿医疗保险</w:t>
            </w:r>
          </w:p>
        </w:tc>
        <w:tc>
          <w:tcPr>
            <w:tcW w:w="3112" w:type="dxa"/>
            <w:vAlign w:val="center"/>
          </w:tcPr>
          <w:p w14:paraId="61740076">
            <w:pPr>
              <w:snapToGrid w:val="0"/>
              <w:jc w:val="center"/>
              <w:rPr>
                <w:rFonts w:ascii="宋体" w:hAnsi="宋体"/>
                <w:color w:val="auto"/>
                <w:kern w:val="0"/>
                <w:sz w:val="24"/>
                <w:highlight w:val="none"/>
              </w:rPr>
            </w:pPr>
          </w:p>
        </w:tc>
        <w:tc>
          <w:tcPr>
            <w:tcW w:w="3112" w:type="dxa"/>
            <w:vAlign w:val="center"/>
          </w:tcPr>
          <w:p w14:paraId="576E87AF">
            <w:pPr>
              <w:snapToGrid w:val="0"/>
              <w:jc w:val="center"/>
              <w:rPr>
                <w:rFonts w:ascii="宋体" w:hAnsi="宋体"/>
                <w:color w:val="auto"/>
                <w:kern w:val="0"/>
                <w:sz w:val="24"/>
                <w:highlight w:val="none"/>
              </w:rPr>
            </w:pPr>
          </w:p>
        </w:tc>
      </w:tr>
      <w:tr w14:paraId="0519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17" w:type="dxa"/>
            <w:gridSpan w:val="2"/>
            <w:vAlign w:val="center"/>
          </w:tcPr>
          <w:p w14:paraId="53EAA79A">
            <w:pPr>
              <w:snapToGrid w:val="0"/>
              <w:jc w:val="center"/>
              <w:rPr>
                <w:rFonts w:ascii="宋体" w:hAnsi="宋体"/>
                <w:color w:val="auto"/>
                <w:kern w:val="0"/>
                <w:sz w:val="24"/>
                <w:highlight w:val="none"/>
              </w:rPr>
            </w:pPr>
            <w:bookmarkStart w:id="318" w:name="OLE_LINK2"/>
            <w:r>
              <w:rPr>
                <w:rFonts w:hint="eastAsia" w:ascii="宋体" w:hAnsi="宋体"/>
                <w:color w:val="auto"/>
                <w:kern w:val="0"/>
                <w:sz w:val="24"/>
                <w:highlight w:val="none"/>
              </w:rPr>
              <w:t>合同履行期限</w:t>
            </w:r>
            <w:bookmarkEnd w:id="318"/>
          </w:p>
          <w:p w14:paraId="50ED2DB2">
            <w:pPr>
              <w:snapToGrid w:val="0"/>
              <w:jc w:val="center"/>
              <w:rPr>
                <w:rFonts w:ascii="宋体" w:hAnsi="宋体"/>
                <w:color w:val="auto"/>
                <w:kern w:val="0"/>
                <w:sz w:val="24"/>
                <w:highlight w:val="none"/>
              </w:rPr>
            </w:pPr>
            <w:r>
              <w:rPr>
                <w:rFonts w:hint="eastAsia" w:ascii="宋体" w:hAnsi="宋体"/>
                <w:color w:val="auto"/>
                <w:kern w:val="0"/>
                <w:sz w:val="24"/>
                <w:highlight w:val="none"/>
              </w:rPr>
              <w:t>（</w:t>
            </w:r>
            <w:bookmarkStart w:id="319" w:name="OLE_LINK18"/>
            <w:bookmarkStart w:id="320" w:name="OLE_LINK7"/>
            <w:r>
              <w:rPr>
                <w:rFonts w:hint="eastAsia" w:ascii="宋体" w:hAnsi="宋体"/>
                <w:color w:val="auto"/>
                <w:kern w:val="0"/>
                <w:sz w:val="24"/>
                <w:highlight w:val="none"/>
              </w:rPr>
              <w:t>服务期限</w:t>
            </w:r>
            <w:bookmarkEnd w:id="319"/>
            <w:bookmarkEnd w:id="320"/>
            <w:r>
              <w:rPr>
                <w:rFonts w:hint="eastAsia" w:ascii="宋体" w:hAnsi="宋体"/>
                <w:color w:val="auto"/>
                <w:kern w:val="0"/>
                <w:sz w:val="24"/>
                <w:highlight w:val="none"/>
              </w:rPr>
              <w:t>）</w:t>
            </w:r>
          </w:p>
        </w:tc>
        <w:tc>
          <w:tcPr>
            <w:tcW w:w="6224" w:type="dxa"/>
            <w:gridSpan w:val="2"/>
            <w:vAlign w:val="center"/>
          </w:tcPr>
          <w:p w14:paraId="10037FC3">
            <w:pPr>
              <w:snapToGrid w:val="0"/>
              <w:rPr>
                <w:rFonts w:ascii="宋体" w:hAnsi="宋体"/>
                <w:color w:val="auto"/>
                <w:kern w:val="0"/>
                <w:sz w:val="24"/>
                <w:highlight w:val="none"/>
              </w:rPr>
            </w:pPr>
          </w:p>
        </w:tc>
      </w:tr>
      <w:tr w14:paraId="4ED6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17" w:type="dxa"/>
            <w:gridSpan w:val="2"/>
            <w:vAlign w:val="center"/>
          </w:tcPr>
          <w:p w14:paraId="59BCAC85">
            <w:pPr>
              <w:snapToGrid w:val="0"/>
              <w:jc w:val="center"/>
              <w:rPr>
                <w:rFonts w:ascii="宋体" w:hAnsi="宋体"/>
                <w:color w:val="auto"/>
                <w:kern w:val="0"/>
                <w:sz w:val="24"/>
                <w:highlight w:val="none"/>
              </w:rPr>
            </w:pPr>
            <w:bookmarkStart w:id="321" w:name="OLE_LINK25"/>
            <w:bookmarkStart w:id="322" w:name="OLE_LINK19"/>
            <w:r>
              <w:rPr>
                <w:rFonts w:hint="eastAsia" w:ascii="宋体" w:hAnsi="宋体"/>
                <w:color w:val="auto"/>
                <w:kern w:val="0"/>
                <w:sz w:val="24"/>
                <w:highlight w:val="none"/>
              </w:rPr>
              <w:t>服务地点</w:t>
            </w:r>
            <w:bookmarkEnd w:id="321"/>
            <w:bookmarkEnd w:id="322"/>
          </w:p>
        </w:tc>
        <w:tc>
          <w:tcPr>
            <w:tcW w:w="6224" w:type="dxa"/>
            <w:gridSpan w:val="2"/>
            <w:vAlign w:val="center"/>
          </w:tcPr>
          <w:p w14:paraId="3DDE3A12">
            <w:pPr>
              <w:snapToGrid w:val="0"/>
              <w:rPr>
                <w:rFonts w:ascii="宋体" w:hAnsi="宋体"/>
                <w:color w:val="auto"/>
                <w:kern w:val="0"/>
                <w:sz w:val="24"/>
                <w:highlight w:val="none"/>
                <w:u w:val="single"/>
              </w:rPr>
            </w:pPr>
          </w:p>
        </w:tc>
      </w:tr>
      <w:tr w14:paraId="24BE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17" w:type="dxa"/>
            <w:gridSpan w:val="2"/>
            <w:vAlign w:val="center"/>
          </w:tcPr>
          <w:p w14:paraId="1770DE92">
            <w:pPr>
              <w:snapToGrid w:val="0"/>
              <w:jc w:val="center"/>
              <w:rPr>
                <w:rFonts w:ascii="宋体" w:hAnsi="宋体"/>
                <w:color w:val="auto"/>
                <w:kern w:val="0"/>
                <w:sz w:val="24"/>
                <w:highlight w:val="none"/>
              </w:rPr>
            </w:pPr>
            <w:r>
              <w:rPr>
                <w:rFonts w:hint="eastAsia" w:ascii="宋体" w:hAnsi="宋体"/>
                <w:color w:val="auto"/>
                <w:kern w:val="0"/>
                <w:sz w:val="24"/>
                <w:highlight w:val="none"/>
              </w:rPr>
              <w:t>备注</w:t>
            </w:r>
          </w:p>
        </w:tc>
        <w:tc>
          <w:tcPr>
            <w:tcW w:w="6224" w:type="dxa"/>
            <w:gridSpan w:val="2"/>
            <w:vAlign w:val="center"/>
          </w:tcPr>
          <w:p w14:paraId="0BACA63B">
            <w:pPr>
              <w:snapToGrid w:val="0"/>
              <w:rPr>
                <w:rFonts w:ascii="宋体" w:hAnsi="宋体"/>
                <w:color w:val="auto"/>
                <w:kern w:val="0"/>
                <w:sz w:val="24"/>
                <w:highlight w:val="none"/>
                <w:u w:val="single"/>
              </w:rPr>
            </w:pPr>
          </w:p>
        </w:tc>
      </w:tr>
    </w:tbl>
    <w:p w14:paraId="27F2D065">
      <w:pPr>
        <w:pStyle w:val="14"/>
        <w:rPr>
          <w:rFonts w:hAnsi="宋体"/>
          <w:color w:val="auto"/>
          <w:sz w:val="24"/>
          <w:highlight w:val="none"/>
        </w:rPr>
      </w:pPr>
    </w:p>
    <w:p w14:paraId="6BCEF634">
      <w:pPr>
        <w:pStyle w:val="14"/>
        <w:rPr>
          <w:rFonts w:hAnsi="宋体"/>
          <w:color w:val="auto"/>
          <w:sz w:val="24"/>
          <w:highlight w:val="none"/>
        </w:rPr>
      </w:pPr>
    </w:p>
    <w:p w14:paraId="51751D9A">
      <w:pPr>
        <w:pStyle w:val="14"/>
        <w:rPr>
          <w:rFonts w:hAnsi="宋体"/>
          <w:bCs/>
          <w:color w:val="auto"/>
          <w:sz w:val="24"/>
          <w:szCs w:val="24"/>
          <w:highlight w:val="none"/>
        </w:rPr>
      </w:pPr>
    </w:p>
    <w:p w14:paraId="6372790B">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18CB2BDA">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174F4796">
      <w:pPr>
        <w:pStyle w:val="14"/>
        <w:spacing w:line="300" w:lineRule="exact"/>
        <w:rPr>
          <w:rFonts w:hAnsi="宋体"/>
          <w:bCs/>
          <w:color w:val="auto"/>
          <w:sz w:val="24"/>
          <w:szCs w:val="24"/>
          <w:highlight w:val="none"/>
        </w:rPr>
      </w:pPr>
    </w:p>
    <w:p w14:paraId="4B35A3AE">
      <w:pPr>
        <w:pStyle w:val="14"/>
        <w:spacing w:line="300" w:lineRule="exact"/>
        <w:rPr>
          <w:rFonts w:hAnsi="宋体"/>
          <w:bCs/>
          <w:color w:val="auto"/>
          <w:sz w:val="24"/>
          <w:szCs w:val="24"/>
          <w:highlight w:val="none"/>
        </w:rPr>
      </w:pPr>
    </w:p>
    <w:p w14:paraId="17D62502">
      <w:pPr>
        <w:pStyle w:val="14"/>
        <w:spacing w:line="300" w:lineRule="exact"/>
        <w:rPr>
          <w:rFonts w:hAnsi="宋体"/>
          <w:bCs/>
          <w:color w:val="auto"/>
          <w:sz w:val="24"/>
          <w:szCs w:val="24"/>
          <w:highlight w:val="none"/>
        </w:rPr>
      </w:pPr>
    </w:p>
    <w:p w14:paraId="4C4F61ED">
      <w:pPr>
        <w:pStyle w:val="14"/>
        <w:spacing w:line="300" w:lineRule="exact"/>
        <w:rPr>
          <w:rFonts w:hAnsi="宋体"/>
          <w:bCs/>
          <w:color w:val="auto"/>
          <w:sz w:val="24"/>
          <w:szCs w:val="24"/>
          <w:highlight w:val="none"/>
        </w:rPr>
      </w:pPr>
    </w:p>
    <w:p w14:paraId="059E353B">
      <w:pPr>
        <w:pStyle w:val="14"/>
        <w:spacing w:line="300" w:lineRule="exact"/>
        <w:rPr>
          <w:rFonts w:hAnsi="宋体"/>
          <w:bCs/>
          <w:color w:val="auto"/>
          <w:sz w:val="24"/>
          <w:szCs w:val="24"/>
          <w:highlight w:val="none"/>
        </w:rPr>
      </w:pPr>
    </w:p>
    <w:p w14:paraId="659D2999">
      <w:pPr>
        <w:pStyle w:val="14"/>
        <w:spacing w:line="300" w:lineRule="exact"/>
        <w:rPr>
          <w:rFonts w:hAnsi="宋体"/>
          <w:bCs/>
          <w:color w:val="auto"/>
          <w:sz w:val="24"/>
          <w:szCs w:val="24"/>
          <w:highlight w:val="none"/>
        </w:rPr>
      </w:pPr>
    </w:p>
    <w:p w14:paraId="492C1C99">
      <w:pPr>
        <w:pStyle w:val="14"/>
        <w:spacing w:line="300" w:lineRule="exact"/>
        <w:rPr>
          <w:rFonts w:hAnsi="宋体"/>
          <w:bCs/>
          <w:color w:val="auto"/>
          <w:sz w:val="24"/>
          <w:szCs w:val="24"/>
          <w:highlight w:val="none"/>
        </w:rPr>
      </w:pPr>
    </w:p>
    <w:p w14:paraId="3D23C5CE">
      <w:pPr>
        <w:pStyle w:val="14"/>
        <w:spacing w:line="300" w:lineRule="exact"/>
        <w:rPr>
          <w:rFonts w:hAnsi="宋体"/>
          <w:bCs/>
          <w:color w:val="auto"/>
          <w:sz w:val="24"/>
          <w:szCs w:val="24"/>
          <w:highlight w:val="none"/>
        </w:rPr>
      </w:pPr>
    </w:p>
    <w:p w14:paraId="5F5A48DA">
      <w:pPr>
        <w:pStyle w:val="14"/>
        <w:spacing w:line="300" w:lineRule="exact"/>
        <w:rPr>
          <w:rFonts w:hAnsi="宋体"/>
          <w:bCs/>
          <w:color w:val="auto"/>
          <w:sz w:val="24"/>
          <w:szCs w:val="24"/>
          <w:highlight w:val="none"/>
        </w:rPr>
      </w:pPr>
    </w:p>
    <w:p w14:paraId="4D724AC2">
      <w:pPr>
        <w:pStyle w:val="14"/>
        <w:spacing w:line="300" w:lineRule="exact"/>
        <w:rPr>
          <w:rFonts w:hAnsi="宋体"/>
          <w:bCs/>
          <w:color w:val="auto"/>
          <w:sz w:val="24"/>
          <w:szCs w:val="24"/>
          <w:highlight w:val="none"/>
        </w:rPr>
      </w:pPr>
    </w:p>
    <w:p w14:paraId="553CCD4F">
      <w:pPr>
        <w:pStyle w:val="14"/>
        <w:spacing w:line="300" w:lineRule="exact"/>
        <w:rPr>
          <w:rFonts w:hAnsi="宋体"/>
          <w:bCs/>
          <w:color w:val="auto"/>
          <w:sz w:val="24"/>
          <w:szCs w:val="24"/>
          <w:highlight w:val="none"/>
        </w:rPr>
      </w:pPr>
    </w:p>
    <w:p w14:paraId="5B08EF11">
      <w:pPr>
        <w:pStyle w:val="14"/>
        <w:spacing w:line="300" w:lineRule="exact"/>
        <w:rPr>
          <w:rFonts w:hAnsi="宋体"/>
          <w:bCs/>
          <w:color w:val="auto"/>
          <w:sz w:val="24"/>
          <w:szCs w:val="24"/>
          <w:highlight w:val="none"/>
        </w:rPr>
      </w:pPr>
    </w:p>
    <w:p w14:paraId="533BE4AB">
      <w:pPr>
        <w:pStyle w:val="14"/>
        <w:spacing w:line="300" w:lineRule="exact"/>
        <w:rPr>
          <w:rFonts w:hAnsi="宋体"/>
          <w:bCs/>
          <w:color w:val="auto"/>
          <w:sz w:val="24"/>
          <w:szCs w:val="24"/>
          <w:highlight w:val="none"/>
        </w:rPr>
      </w:pPr>
    </w:p>
    <w:p w14:paraId="6323C319">
      <w:pPr>
        <w:pStyle w:val="14"/>
        <w:spacing w:line="300" w:lineRule="exact"/>
        <w:rPr>
          <w:rFonts w:hAnsi="宋体"/>
          <w:bCs/>
          <w:color w:val="auto"/>
          <w:sz w:val="24"/>
          <w:szCs w:val="24"/>
          <w:highlight w:val="none"/>
        </w:rPr>
      </w:pPr>
    </w:p>
    <w:p w14:paraId="25E9B6DE">
      <w:pPr>
        <w:pStyle w:val="14"/>
        <w:spacing w:line="300" w:lineRule="exact"/>
        <w:rPr>
          <w:rFonts w:hAnsi="宋体"/>
          <w:bCs/>
          <w:color w:val="auto"/>
          <w:sz w:val="24"/>
          <w:szCs w:val="24"/>
          <w:highlight w:val="none"/>
        </w:rPr>
      </w:pPr>
    </w:p>
    <w:p w14:paraId="6C345142">
      <w:pPr>
        <w:pStyle w:val="14"/>
        <w:spacing w:line="300" w:lineRule="exact"/>
        <w:rPr>
          <w:rFonts w:hAnsi="宋体"/>
          <w:bCs/>
          <w:color w:val="auto"/>
          <w:sz w:val="24"/>
          <w:szCs w:val="24"/>
          <w:highlight w:val="none"/>
        </w:rPr>
      </w:pPr>
    </w:p>
    <w:p w14:paraId="7E1A74FA">
      <w:pPr>
        <w:pStyle w:val="14"/>
        <w:pBdr>
          <w:bottom w:val="single" w:color="auto" w:sz="6" w:space="1"/>
        </w:pBdr>
        <w:spacing w:line="320" w:lineRule="exact"/>
        <w:rPr>
          <w:rFonts w:hAnsi="宋体"/>
          <w:color w:val="auto"/>
          <w:sz w:val="24"/>
          <w:szCs w:val="24"/>
          <w:highlight w:val="none"/>
        </w:rPr>
      </w:pPr>
    </w:p>
    <w:p w14:paraId="45FBEC33">
      <w:pPr>
        <w:pStyle w:val="14"/>
        <w:spacing w:line="400" w:lineRule="exact"/>
        <w:ind w:left="422" w:hanging="422" w:hangingChars="200"/>
        <w:rPr>
          <w:rFonts w:hAnsi="宋体"/>
          <w:b/>
          <w:bCs/>
          <w:color w:val="auto"/>
          <w:highlight w:val="none"/>
        </w:rPr>
      </w:pPr>
      <w:r>
        <w:rPr>
          <w:rFonts w:hint="eastAsia" w:hAnsi="宋体"/>
          <w:b/>
          <w:bCs/>
          <w:color w:val="auto"/>
          <w:highlight w:val="none"/>
        </w:rPr>
        <w:t>说明：</w:t>
      </w:r>
    </w:p>
    <w:p w14:paraId="069FE1B7">
      <w:pPr>
        <w:spacing w:line="300" w:lineRule="exact"/>
        <w:ind w:left="315" w:hanging="315" w:hangingChars="150"/>
        <w:rPr>
          <w:rFonts w:ascii="宋体" w:hAnsi="宋体"/>
          <w:color w:val="auto"/>
          <w:szCs w:val="21"/>
          <w:highlight w:val="none"/>
        </w:rPr>
      </w:pPr>
      <w:r>
        <w:rPr>
          <w:rFonts w:hint="eastAsia" w:ascii="宋体" w:hAnsi="宋体"/>
          <w:color w:val="auto"/>
          <w:szCs w:val="21"/>
          <w:highlight w:val="none"/>
        </w:rPr>
        <w:t>1、所有价格均系用人民币表示，单位为元，精确到小数点后两位；</w:t>
      </w:r>
    </w:p>
    <w:p w14:paraId="4D442E92">
      <w:pPr>
        <w:spacing w:line="300" w:lineRule="exact"/>
        <w:ind w:left="315" w:hanging="315" w:hangingChars="150"/>
        <w:rPr>
          <w:rFonts w:ascii="宋体" w:hAnsi="宋体"/>
          <w:color w:val="auto"/>
          <w:sz w:val="32"/>
          <w:highlight w:val="none"/>
        </w:rPr>
      </w:pPr>
      <w:r>
        <w:rPr>
          <w:rFonts w:hint="eastAsia" w:ascii="宋体" w:hAnsi="宋体"/>
          <w:color w:val="auto"/>
          <w:szCs w:val="21"/>
          <w:highlight w:val="none"/>
        </w:rPr>
        <w:t>2、当本表为多页构成时，逐页均必须加盖供应商</w:t>
      </w:r>
      <w:r>
        <w:rPr>
          <w:rFonts w:hint="eastAsia" w:ascii="宋体" w:hAnsi="宋体"/>
          <w:color w:val="auto"/>
          <w:spacing w:val="-4"/>
          <w:highlight w:val="none"/>
        </w:rPr>
        <w:t>CA电子签章</w:t>
      </w:r>
      <w:r>
        <w:rPr>
          <w:rFonts w:hint="eastAsia" w:ascii="宋体" w:hAnsi="宋体"/>
          <w:color w:val="auto"/>
          <w:szCs w:val="21"/>
          <w:highlight w:val="none"/>
        </w:rPr>
        <w:t>，否</w:t>
      </w:r>
      <w:r>
        <w:rPr>
          <w:rFonts w:hint="eastAsia" w:ascii="宋体" w:hAnsi="宋体"/>
          <w:bCs/>
          <w:color w:val="auto"/>
          <w:highlight w:val="none"/>
        </w:rPr>
        <w:t>则视为无效响应。</w:t>
      </w:r>
      <w:r>
        <w:rPr>
          <w:rFonts w:ascii="宋体" w:hAnsi="宋体"/>
          <w:color w:val="auto"/>
          <w:sz w:val="32"/>
          <w:highlight w:val="none"/>
        </w:rPr>
        <w:br w:type="page"/>
      </w:r>
    </w:p>
    <w:p w14:paraId="4FF9772A">
      <w:pPr>
        <w:pStyle w:val="14"/>
        <w:spacing w:line="400" w:lineRule="exact"/>
        <w:jc w:val="center"/>
        <w:rPr>
          <w:rFonts w:hAnsi="宋体"/>
          <w:b/>
          <w:color w:val="auto"/>
          <w:sz w:val="32"/>
          <w:highlight w:val="none"/>
        </w:rPr>
      </w:pPr>
      <w:r>
        <w:rPr>
          <w:rFonts w:hint="eastAsia" w:hAnsi="宋体"/>
          <w:b/>
          <w:color w:val="auto"/>
          <w:sz w:val="32"/>
          <w:highlight w:val="none"/>
        </w:rPr>
        <w:t>磋商报价表</w:t>
      </w:r>
    </w:p>
    <w:p w14:paraId="0F6C517C">
      <w:pPr>
        <w:spacing w:line="360" w:lineRule="auto"/>
        <w:rPr>
          <w:rFonts w:ascii="宋体" w:hAnsi="宋体"/>
          <w:b/>
          <w:color w:val="auto"/>
          <w:sz w:val="24"/>
          <w:highlight w:val="none"/>
        </w:rPr>
      </w:pPr>
    </w:p>
    <w:p w14:paraId="69FA1A7E">
      <w:pPr>
        <w:spacing w:line="360" w:lineRule="auto"/>
        <w:rPr>
          <w:rFonts w:ascii="宋体" w:hAnsi="宋体"/>
          <w:b/>
          <w:color w:val="auto"/>
          <w:sz w:val="24"/>
          <w:highlight w:val="none"/>
          <w:u w:val="single"/>
        </w:rPr>
      </w:pPr>
      <w:r>
        <w:rPr>
          <w:rFonts w:hint="eastAsia" w:ascii="宋体" w:hAnsi="宋体"/>
          <w:b/>
          <w:color w:val="auto"/>
          <w:sz w:val="24"/>
          <w:highlight w:val="none"/>
        </w:rPr>
        <w:t>项目名称：</w:t>
      </w:r>
    </w:p>
    <w:p w14:paraId="7374C12A">
      <w:pPr>
        <w:spacing w:line="360" w:lineRule="auto"/>
        <w:rPr>
          <w:rFonts w:ascii="宋体" w:hAnsi="宋体"/>
          <w:b/>
          <w:color w:val="auto"/>
          <w:sz w:val="24"/>
          <w:highlight w:val="none"/>
          <w:u w:val="single"/>
        </w:rPr>
      </w:pPr>
      <w:r>
        <w:rPr>
          <w:rFonts w:hint="eastAsia" w:ascii="宋体" w:hAnsi="宋体"/>
          <w:b/>
          <w:color w:val="auto"/>
          <w:sz w:val="24"/>
          <w:highlight w:val="none"/>
        </w:rPr>
        <w:t>项目编号：</w:t>
      </w:r>
    </w:p>
    <w:p w14:paraId="1AFFCF5D">
      <w:pPr>
        <w:pStyle w:val="14"/>
        <w:spacing w:line="360" w:lineRule="auto"/>
        <w:rPr>
          <w:rFonts w:hAnsi="宋体"/>
          <w:color w:val="auto"/>
          <w:sz w:val="24"/>
          <w:highlight w:val="none"/>
        </w:rPr>
      </w:pPr>
      <w:r>
        <w:rPr>
          <w:rFonts w:hint="eastAsia" w:hAnsi="宋体"/>
          <w:b/>
          <w:color w:val="auto"/>
          <w:sz w:val="24"/>
          <w:highlight w:val="none"/>
        </w:rPr>
        <w:t>分标：</w:t>
      </w:r>
      <w:r>
        <w:rPr>
          <w:rFonts w:hint="eastAsia" w:hAnsi="宋体"/>
          <w:b/>
          <w:color w:val="auto"/>
          <w:sz w:val="24"/>
          <w:highlight w:val="none"/>
          <w:u w:val="single"/>
        </w:rPr>
        <w:t>2</w:t>
      </w:r>
    </w:p>
    <w:tbl>
      <w:tblPr>
        <w:tblStyle w:val="2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62"/>
        <w:gridCol w:w="3676"/>
        <w:gridCol w:w="1796"/>
        <w:gridCol w:w="2410"/>
      </w:tblGrid>
      <w:tr w14:paraId="20A9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20" w:type="dxa"/>
            <w:tcBorders>
              <w:top w:val="single" w:color="auto" w:sz="4" w:space="0"/>
              <w:left w:val="single" w:color="auto" w:sz="4" w:space="0"/>
              <w:bottom w:val="single" w:color="auto" w:sz="4" w:space="0"/>
              <w:right w:val="single" w:color="auto" w:sz="4" w:space="0"/>
            </w:tcBorders>
            <w:vAlign w:val="center"/>
          </w:tcPr>
          <w:p w14:paraId="5D8398AF">
            <w:pPr>
              <w:pStyle w:val="14"/>
              <w:rPr>
                <w:rFonts w:hAnsi="宋体"/>
                <w:color w:val="auto"/>
                <w:highlight w:val="none"/>
              </w:rPr>
            </w:pPr>
            <w:r>
              <w:rPr>
                <w:rFonts w:hAnsi="宋体"/>
                <w:color w:val="auto"/>
                <w:highlight w:val="none"/>
              </w:rPr>
              <w:t>序号</w:t>
            </w:r>
          </w:p>
        </w:tc>
        <w:tc>
          <w:tcPr>
            <w:tcW w:w="4538" w:type="dxa"/>
            <w:gridSpan w:val="2"/>
            <w:tcBorders>
              <w:top w:val="single" w:color="auto" w:sz="4" w:space="0"/>
              <w:left w:val="single" w:color="auto" w:sz="4" w:space="0"/>
              <w:bottom w:val="single" w:color="auto" w:sz="4" w:space="0"/>
              <w:right w:val="single" w:color="auto" w:sz="4" w:space="0"/>
            </w:tcBorders>
            <w:vAlign w:val="center"/>
          </w:tcPr>
          <w:p w14:paraId="0F02C75B">
            <w:pPr>
              <w:pStyle w:val="14"/>
              <w:jc w:val="center"/>
              <w:rPr>
                <w:rFonts w:hAnsi="宋体"/>
                <w:color w:val="auto"/>
                <w:highlight w:val="none"/>
              </w:rPr>
            </w:pPr>
            <w:r>
              <w:rPr>
                <w:rFonts w:hAnsi="宋体"/>
                <w:color w:val="auto"/>
                <w:highlight w:val="none"/>
              </w:rPr>
              <w:t>标的名称</w:t>
            </w:r>
          </w:p>
        </w:tc>
        <w:tc>
          <w:tcPr>
            <w:tcW w:w="1796" w:type="dxa"/>
            <w:tcBorders>
              <w:top w:val="single" w:color="auto" w:sz="4" w:space="0"/>
              <w:left w:val="single" w:color="auto" w:sz="4" w:space="0"/>
              <w:bottom w:val="single" w:color="auto" w:sz="4" w:space="0"/>
              <w:right w:val="single" w:color="auto" w:sz="4" w:space="0"/>
            </w:tcBorders>
            <w:vAlign w:val="center"/>
          </w:tcPr>
          <w:p w14:paraId="31A1BD2E">
            <w:pPr>
              <w:pStyle w:val="14"/>
              <w:jc w:val="center"/>
              <w:rPr>
                <w:rFonts w:hAnsi="宋体"/>
                <w:color w:val="auto"/>
                <w:highlight w:val="none"/>
              </w:rPr>
            </w:pPr>
            <w:r>
              <w:rPr>
                <w:rFonts w:hAnsi="宋体"/>
                <w:color w:val="auto"/>
                <w:highlight w:val="none"/>
              </w:rPr>
              <w:t>数量</w:t>
            </w:r>
          </w:p>
        </w:tc>
        <w:tc>
          <w:tcPr>
            <w:tcW w:w="2410" w:type="dxa"/>
            <w:tcBorders>
              <w:top w:val="single" w:color="auto" w:sz="4" w:space="0"/>
              <w:left w:val="single" w:color="auto" w:sz="4" w:space="0"/>
              <w:bottom w:val="single" w:color="auto" w:sz="4" w:space="0"/>
              <w:right w:val="single" w:color="auto" w:sz="4" w:space="0"/>
            </w:tcBorders>
            <w:vAlign w:val="center"/>
          </w:tcPr>
          <w:p w14:paraId="09E8B15E">
            <w:pPr>
              <w:pStyle w:val="14"/>
              <w:jc w:val="center"/>
              <w:rPr>
                <w:rFonts w:hAnsi="宋体"/>
                <w:color w:val="auto"/>
                <w:highlight w:val="none"/>
              </w:rPr>
            </w:pPr>
            <w:r>
              <w:rPr>
                <w:rFonts w:hAnsi="宋体"/>
                <w:color w:val="auto"/>
                <w:highlight w:val="none"/>
              </w:rPr>
              <w:t>金额（元）</w:t>
            </w:r>
          </w:p>
        </w:tc>
      </w:tr>
      <w:tr w14:paraId="2F00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720" w:type="dxa"/>
            <w:tcBorders>
              <w:top w:val="single" w:color="auto" w:sz="4" w:space="0"/>
              <w:left w:val="single" w:color="auto" w:sz="4" w:space="0"/>
              <w:bottom w:val="single" w:color="auto" w:sz="4" w:space="0"/>
              <w:right w:val="single" w:color="auto" w:sz="4" w:space="0"/>
            </w:tcBorders>
            <w:vAlign w:val="center"/>
          </w:tcPr>
          <w:p w14:paraId="58EA6072">
            <w:pPr>
              <w:pStyle w:val="14"/>
              <w:rPr>
                <w:rFonts w:hAnsi="宋体"/>
                <w:color w:val="auto"/>
                <w:highlight w:val="none"/>
              </w:rPr>
            </w:pPr>
            <w:r>
              <w:rPr>
                <w:rFonts w:hAnsi="宋体"/>
                <w:color w:val="auto"/>
                <w:highlight w:val="none"/>
              </w:rPr>
              <w:t>1</w:t>
            </w:r>
          </w:p>
        </w:tc>
        <w:tc>
          <w:tcPr>
            <w:tcW w:w="4538" w:type="dxa"/>
            <w:gridSpan w:val="2"/>
            <w:tcBorders>
              <w:top w:val="single" w:color="auto" w:sz="4" w:space="0"/>
              <w:left w:val="single" w:color="auto" w:sz="4" w:space="0"/>
              <w:bottom w:val="single" w:color="auto" w:sz="4" w:space="0"/>
              <w:right w:val="single" w:color="auto" w:sz="4" w:space="0"/>
            </w:tcBorders>
            <w:vAlign w:val="center"/>
          </w:tcPr>
          <w:p w14:paraId="2A453ED4">
            <w:pPr>
              <w:pStyle w:val="14"/>
              <w:rPr>
                <w:rFonts w:hAnsi="宋体"/>
                <w:color w:val="auto"/>
                <w:highlight w:val="none"/>
              </w:rPr>
            </w:pPr>
            <w:r>
              <w:rPr>
                <w:rFonts w:hint="eastAsia" w:hAnsi="宋体"/>
                <w:color w:val="auto"/>
                <w:highlight w:val="none"/>
              </w:rPr>
              <w:t>2026年医疗责任保险</w:t>
            </w:r>
          </w:p>
        </w:tc>
        <w:tc>
          <w:tcPr>
            <w:tcW w:w="1796" w:type="dxa"/>
            <w:tcBorders>
              <w:top w:val="single" w:color="auto" w:sz="4" w:space="0"/>
              <w:left w:val="single" w:color="auto" w:sz="4" w:space="0"/>
              <w:bottom w:val="single" w:color="auto" w:sz="4" w:space="0"/>
              <w:right w:val="single" w:color="auto" w:sz="4" w:space="0"/>
            </w:tcBorders>
            <w:vAlign w:val="center"/>
          </w:tcPr>
          <w:p w14:paraId="785E57D1">
            <w:pPr>
              <w:pStyle w:val="14"/>
              <w:jc w:val="center"/>
              <w:rPr>
                <w:rFonts w:hAnsi="宋体"/>
                <w:color w:val="auto"/>
                <w:highlight w:val="none"/>
              </w:rPr>
            </w:pPr>
            <w:r>
              <w:rPr>
                <w:rFonts w:hAnsi="宋体"/>
                <w:color w:val="auto"/>
                <w:highlight w:val="none"/>
              </w:rPr>
              <w:t>1项</w:t>
            </w:r>
          </w:p>
        </w:tc>
        <w:tc>
          <w:tcPr>
            <w:tcW w:w="2410" w:type="dxa"/>
            <w:tcBorders>
              <w:top w:val="single" w:color="auto" w:sz="4" w:space="0"/>
              <w:left w:val="single" w:color="auto" w:sz="4" w:space="0"/>
              <w:bottom w:val="single" w:color="auto" w:sz="4" w:space="0"/>
              <w:right w:val="single" w:color="auto" w:sz="4" w:space="0"/>
            </w:tcBorders>
            <w:vAlign w:val="center"/>
          </w:tcPr>
          <w:p w14:paraId="5F50DD70">
            <w:pPr>
              <w:pStyle w:val="14"/>
              <w:rPr>
                <w:rFonts w:hAnsi="宋体"/>
                <w:color w:val="auto"/>
                <w:highlight w:val="none"/>
              </w:rPr>
            </w:pPr>
          </w:p>
        </w:tc>
      </w:tr>
      <w:tr w14:paraId="233F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1" w:hRule="atLeast"/>
        </w:trPr>
        <w:tc>
          <w:tcPr>
            <w:tcW w:w="9464" w:type="dxa"/>
            <w:gridSpan w:val="5"/>
            <w:tcBorders>
              <w:top w:val="single" w:color="auto" w:sz="4" w:space="0"/>
              <w:left w:val="single" w:color="auto" w:sz="4" w:space="0"/>
              <w:bottom w:val="single" w:color="auto" w:sz="4" w:space="0"/>
              <w:right w:val="single" w:color="auto" w:sz="4" w:space="0"/>
            </w:tcBorders>
            <w:vAlign w:val="center"/>
          </w:tcPr>
          <w:p w14:paraId="749791F8">
            <w:pPr>
              <w:pStyle w:val="14"/>
              <w:jc w:val="left"/>
              <w:rPr>
                <w:rFonts w:hAnsi="宋体"/>
                <w:color w:val="auto"/>
                <w:highlight w:val="none"/>
              </w:rPr>
            </w:pPr>
            <w:r>
              <w:rPr>
                <w:rFonts w:hAnsi="宋体"/>
                <w:color w:val="auto"/>
                <w:highlight w:val="none"/>
              </w:rPr>
              <w:t>总报价：（大写）人民币（</w:t>
            </w:r>
            <w:r>
              <w:rPr>
                <w:rFonts w:hAnsi="宋体" w:cs="宋体"/>
                <w:color w:val="auto"/>
                <w:highlight w:val="none"/>
              </w:rPr>
              <w:t xml:space="preserve">￥ </w:t>
            </w:r>
            <w:r>
              <w:rPr>
                <w:rFonts w:hAnsi="宋体"/>
                <w:color w:val="auto"/>
                <w:highlight w:val="none"/>
              </w:rPr>
              <w:t xml:space="preserve">        元）</w:t>
            </w:r>
          </w:p>
        </w:tc>
      </w:tr>
      <w:tr w14:paraId="7FDC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1582" w:type="dxa"/>
            <w:gridSpan w:val="2"/>
            <w:tcBorders>
              <w:top w:val="single" w:color="auto" w:sz="4" w:space="0"/>
              <w:left w:val="single" w:color="auto" w:sz="4" w:space="0"/>
              <w:bottom w:val="single" w:color="auto" w:sz="4" w:space="0"/>
              <w:right w:val="single" w:color="auto" w:sz="4" w:space="0"/>
            </w:tcBorders>
            <w:vAlign w:val="center"/>
          </w:tcPr>
          <w:p w14:paraId="312FE1BD">
            <w:pPr>
              <w:pStyle w:val="14"/>
              <w:rPr>
                <w:rFonts w:hAnsi="宋体"/>
                <w:color w:val="auto"/>
                <w:highlight w:val="none"/>
              </w:rPr>
            </w:pPr>
            <w:r>
              <w:rPr>
                <w:rFonts w:hint="eastAsia" w:hAnsi="宋体"/>
                <w:color w:val="auto"/>
                <w:highlight w:val="none"/>
              </w:rPr>
              <w:t>合同履行期限</w:t>
            </w:r>
          </w:p>
          <w:p w14:paraId="573325CE">
            <w:pPr>
              <w:pStyle w:val="14"/>
              <w:rPr>
                <w:rFonts w:hAnsi="宋体"/>
                <w:color w:val="auto"/>
                <w:highlight w:val="none"/>
              </w:rPr>
            </w:pPr>
            <w:r>
              <w:rPr>
                <w:rFonts w:hint="eastAsia" w:hAnsi="宋体"/>
                <w:color w:val="auto"/>
                <w:highlight w:val="none"/>
              </w:rPr>
              <w:t>（服务期限）</w:t>
            </w:r>
          </w:p>
        </w:tc>
        <w:tc>
          <w:tcPr>
            <w:tcW w:w="7882" w:type="dxa"/>
            <w:gridSpan w:val="3"/>
            <w:tcBorders>
              <w:top w:val="single" w:color="auto" w:sz="4" w:space="0"/>
              <w:left w:val="single" w:color="auto" w:sz="4" w:space="0"/>
              <w:bottom w:val="single" w:color="auto" w:sz="4" w:space="0"/>
              <w:right w:val="single" w:color="auto" w:sz="4" w:space="0"/>
            </w:tcBorders>
            <w:vAlign w:val="center"/>
          </w:tcPr>
          <w:p w14:paraId="4C0711A2">
            <w:pPr>
              <w:pStyle w:val="14"/>
              <w:rPr>
                <w:rFonts w:hAnsi="宋体"/>
                <w:color w:val="auto"/>
                <w:highlight w:val="none"/>
              </w:rPr>
            </w:pPr>
          </w:p>
        </w:tc>
      </w:tr>
      <w:tr w14:paraId="391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0" w:hRule="atLeast"/>
        </w:trPr>
        <w:tc>
          <w:tcPr>
            <w:tcW w:w="1582" w:type="dxa"/>
            <w:gridSpan w:val="2"/>
            <w:tcBorders>
              <w:top w:val="single" w:color="auto" w:sz="4" w:space="0"/>
              <w:left w:val="single" w:color="auto" w:sz="4" w:space="0"/>
              <w:bottom w:val="single" w:color="auto" w:sz="4" w:space="0"/>
              <w:right w:val="single" w:color="auto" w:sz="4" w:space="0"/>
            </w:tcBorders>
            <w:vAlign w:val="center"/>
          </w:tcPr>
          <w:p w14:paraId="584C7811">
            <w:pPr>
              <w:pStyle w:val="14"/>
              <w:rPr>
                <w:rFonts w:hAnsi="宋体"/>
                <w:color w:val="auto"/>
                <w:highlight w:val="none"/>
              </w:rPr>
            </w:pPr>
            <w:r>
              <w:rPr>
                <w:rFonts w:hint="eastAsia" w:hAnsi="宋体"/>
                <w:color w:val="auto"/>
                <w:highlight w:val="none"/>
              </w:rPr>
              <w:t>服务地点</w:t>
            </w:r>
          </w:p>
        </w:tc>
        <w:tc>
          <w:tcPr>
            <w:tcW w:w="7882" w:type="dxa"/>
            <w:gridSpan w:val="3"/>
            <w:tcBorders>
              <w:top w:val="single" w:color="auto" w:sz="4" w:space="0"/>
              <w:left w:val="single" w:color="auto" w:sz="4" w:space="0"/>
              <w:bottom w:val="single" w:color="auto" w:sz="4" w:space="0"/>
              <w:right w:val="single" w:color="auto" w:sz="4" w:space="0"/>
            </w:tcBorders>
            <w:vAlign w:val="center"/>
          </w:tcPr>
          <w:p w14:paraId="5E07A372">
            <w:pPr>
              <w:pStyle w:val="14"/>
              <w:rPr>
                <w:rFonts w:hAnsi="宋体"/>
                <w:color w:val="auto"/>
                <w:highlight w:val="none"/>
              </w:rPr>
            </w:pPr>
          </w:p>
        </w:tc>
      </w:tr>
      <w:tr w14:paraId="2FC8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6" w:hRule="atLeast"/>
        </w:trPr>
        <w:tc>
          <w:tcPr>
            <w:tcW w:w="1582" w:type="dxa"/>
            <w:gridSpan w:val="2"/>
            <w:tcBorders>
              <w:top w:val="single" w:color="auto" w:sz="4" w:space="0"/>
              <w:left w:val="single" w:color="auto" w:sz="4" w:space="0"/>
              <w:bottom w:val="single" w:color="auto" w:sz="4" w:space="0"/>
              <w:right w:val="single" w:color="auto" w:sz="4" w:space="0"/>
            </w:tcBorders>
            <w:vAlign w:val="center"/>
          </w:tcPr>
          <w:p w14:paraId="12A0596D">
            <w:pPr>
              <w:pStyle w:val="14"/>
              <w:rPr>
                <w:rFonts w:hAnsi="宋体"/>
                <w:color w:val="auto"/>
                <w:highlight w:val="none"/>
              </w:rPr>
            </w:pPr>
            <w:r>
              <w:rPr>
                <w:rFonts w:hint="eastAsia" w:hAnsi="宋体"/>
                <w:color w:val="auto"/>
                <w:highlight w:val="none"/>
              </w:rPr>
              <w:t>备注</w:t>
            </w:r>
          </w:p>
        </w:tc>
        <w:tc>
          <w:tcPr>
            <w:tcW w:w="7882" w:type="dxa"/>
            <w:gridSpan w:val="3"/>
            <w:tcBorders>
              <w:top w:val="single" w:color="auto" w:sz="4" w:space="0"/>
              <w:left w:val="single" w:color="auto" w:sz="4" w:space="0"/>
              <w:bottom w:val="single" w:color="auto" w:sz="4" w:space="0"/>
              <w:right w:val="single" w:color="auto" w:sz="4" w:space="0"/>
            </w:tcBorders>
            <w:vAlign w:val="center"/>
          </w:tcPr>
          <w:p w14:paraId="4FC286E9">
            <w:pPr>
              <w:pStyle w:val="14"/>
              <w:rPr>
                <w:rFonts w:hAnsi="宋体"/>
                <w:color w:val="auto"/>
                <w:highlight w:val="none"/>
              </w:rPr>
            </w:pPr>
          </w:p>
        </w:tc>
      </w:tr>
    </w:tbl>
    <w:p w14:paraId="01012273">
      <w:pPr>
        <w:rPr>
          <w:b/>
          <w:color w:val="auto"/>
          <w:sz w:val="32"/>
          <w:szCs w:val="32"/>
          <w:highlight w:val="none"/>
        </w:rPr>
      </w:pPr>
    </w:p>
    <w:p w14:paraId="03C338EE">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019DF895">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7AA2D80C">
      <w:pPr>
        <w:pStyle w:val="14"/>
        <w:spacing w:line="300" w:lineRule="exact"/>
        <w:rPr>
          <w:rFonts w:hAnsi="宋体"/>
          <w:bCs/>
          <w:color w:val="auto"/>
          <w:sz w:val="24"/>
          <w:szCs w:val="24"/>
          <w:highlight w:val="none"/>
        </w:rPr>
      </w:pPr>
    </w:p>
    <w:p w14:paraId="12910888">
      <w:pPr>
        <w:pStyle w:val="14"/>
        <w:spacing w:line="300" w:lineRule="exact"/>
        <w:rPr>
          <w:rFonts w:hAnsi="宋体"/>
          <w:bCs/>
          <w:color w:val="auto"/>
          <w:sz w:val="24"/>
          <w:szCs w:val="24"/>
          <w:highlight w:val="none"/>
        </w:rPr>
      </w:pPr>
    </w:p>
    <w:p w14:paraId="479F70E2">
      <w:pPr>
        <w:pStyle w:val="14"/>
        <w:spacing w:line="300" w:lineRule="exact"/>
        <w:rPr>
          <w:rFonts w:hAnsi="宋体"/>
          <w:bCs/>
          <w:color w:val="auto"/>
          <w:sz w:val="24"/>
          <w:szCs w:val="24"/>
          <w:highlight w:val="none"/>
        </w:rPr>
      </w:pPr>
    </w:p>
    <w:p w14:paraId="234CD7E3">
      <w:pPr>
        <w:pStyle w:val="14"/>
        <w:spacing w:line="300" w:lineRule="exact"/>
        <w:rPr>
          <w:rFonts w:hAnsi="宋体"/>
          <w:bCs/>
          <w:color w:val="auto"/>
          <w:sz w:val="24"/>
          <w:szCs w:val="24"/>
          <w:highlight w:val="none"/>
        </w:rPr>
      </w:pPr>
    </w:p>
    <w:p w14:paraId="4AD6FE52">
      <w:pPr>
        <w:pStyle w:val="14"/>
        <w:spacing w:line="300" w:lineRule="exact"/>
        <w:rPr>
          <w:rFonts w:hAnsi="宋体"/>
          <w:bCs/>
          <w:color w:val="auto"/>
          <w:sz w:val="24"/>
          <w:szCs w:val="24"/>
          <w:highlight w:val="none"/>
        </w:rPr>
      </w:pPr>
    </w:p>
    <w:p w14:paraId="53BBD2A6">
      <w:pPr>
        <w:pStyle w:val="14"/>
        <w:spacing w:line="300" w:lineRule="exact"/>
        <w:rPr>
          <w:rFonts w:hAnsi="宋体"/>
          <w:bCs/>
          <w:color w:val="auto"/>
          <w:sz w:val="24"/>
          <w:szCs w:val="24"/>
          <w:highlight w:val="none"/>
        </w:rPr>
      </w:pPr>
    </w:p>
    <w:p w14:paraId="32B60B7B">
      <w:pPr>
        <w:pStyle w:val="14"/>
        <w:spacing w:line="300" w:lineRule="exact"/>
        <w:rPr>
          <w:rFonts w:hAnsi="宋体"/>
          <w:bCs/>
          <w:color w:val="auto"/>
          <w:sz w:val="24"/>
          <w:szCs w:val="24"/>
          <w:highlight w:val="none"/>
        </w:rPr>
      </w:pPr>
    </w:p>
    <w:p w14:paraId="3F1C7614">
      <w:pPr>
        <w:pStyle w:val="14"/>
        <w:spacing w:line="300" w:lineRule="exact"/>
        <w:rPr>
          <w:rFonts w:hAnsi="宋体"/>
          <w:bCs/>
          <w:color w:val="auto"/>
          <w:sz w:val="24"/>
          <w:szCs w:val="24"/>
          <w:highlight w:val="none"/>
        </w:rPr>
      </w:pPr>
    </w:p>
    <w:p w14:paraId="133FB35A">
      <w:pPr>
        <w:pStyle w:val="14"/>
        <w:spacing w:line="300" w:lineRule="exact"/>
        <w:rPr>
          <w:rFonts w:hAnsi="宋体"/>
          <w:bCs/>
          <w:color w:val="auto"/>
          <w:sz w:val="24"/>
          <w:szCs w:val="24"/>
          <w:highlight w:val="none"/>
        </w:rPr>
      </w:pPr>
    </w:p>
    <w:p w14:paraId="54DAD37A">
      <w:pPr>
        <w:pStyle w:val="14"/>
        <w:spacing w:line="300" w:lineRule="exact"/>
        <w:rPr>
          <w:rFonts w:hAnsi="宋体"/>
          <w:bCs/>
          <w:color w:val="auto"/>
          <w:sz w:val="24"/>
          <w:szCs w:val="24"/>
          <w:highlight w:val="none"/>
        </w:rPr>
      </w:pPr>
    </w:p>
    <w:p w14:paraId="658ADAD7">
      <w:pPr>
        <w:pStyle w:val="14"/>
        <w:pBdr>
          <w:bottom w:val="single" w:color="auto" w:sz="6" w:space="1"/>
        </w:pBdr>
        <w:spacing w:line="320" w:lineRule="exact"/>
        <w:rPr>
          <w:rFonts w:hAnsi="宋体"/>
          <w:color w:val="auto"/>
          <w:sz w:val="24"/>
          <w:szCs w:val="24"/>
          <w:highlight w:val="none"/>
        </w:rPr>
      </w:pPr>
    </w:p>
    <w:p w14:paraId="054537D5">
      <w:pPr>
        <w:pStyle w:val="14"/>
        <w:spacing w:line="400" w:lineRule="exact"/>
        <w:ind w:left="422" w:hanging="422" w:hangingChars="200"/>
        <w:rPr>
          <w:rFonts w:hAnsi="宋体"/>
          <w:b/>
          <w:bCs/>
          <w:color w:val="auto"/>
          <w:highlight w:val="none"/>
        </w:rPr>
      </w:pPr>
      <w:r>
        <w:rPr>
          <w:rFonts w:hint="eastAsia" w:hAnsi="宋体"/>
          <w:b/>
          <w:bCs/>
          <w:color w:val="auto"/>
          <w:highlight w:val="none"/>
        </w:rPr>
        <w:t>说明：</w:t>
      </w:r>
    </w:p>
    <w:p w14:paraId="1974D243">
      <w:pPr>
        <w:spacing w:line="300" w:lineRule="exact"/>
        <w:ind w:left="315" w:hanging="315" w:hangingChars="150"/>
        <w:rPr>
          <w:rFonts w:ascii="宋体" w:hAnsi="宋体"/>
          <w:color w:val="auto"/>
          <w:szCs w:val="21"/>
          <w:highlight w:val="none"/>
        </w:rPr>
      </w:pPr>
      <w:r>
        <w:rPr>
          <w:rFonts w:hint="eastAsia" w:ascii="宋体" w:hAnsi="宋体"/>
          <w:color w:val="auto"/>
          <w:szCs w:val="21"/>
          <w:highlight w:val="none"/>
        </w:rPr>
        <w:t>1、所有价格均系用人民币表示，单位为元，精确到小数点后两位；</w:t>
      </w:r>
    </w:p>
    <w:p w14:paraId="423DD7A3">
      <w:pPr>
        <w:rPr>
          <w:b/>
          <w:color w:val="auto"/>
          <w:sz w:val="32"/>
          <w:szCs w:val="32"/>
          <w:highlight w:val="none"/>
        </w:rPr>
      </w:pPr>
      <w:r>
        <w:rPr>
          <w:rFonts w:hint="eastAsia" w:ascii="宋体" w:hAnsi="宋体"/>
          <w:color w:val="auto"/>
          <w:szCs w:val="21"/>
          <w:highlight w:val="none"/>
        </w:rPr>
        <w:t>2、当本表为多页构成时，逐页均必须加盖供应商</w:t>
      </w:r>
      <w:r>
        <w:rPr>
          <w:rFonts w:hint="eastAsia" w:ascii="宋体" w:hAnsi="宋体"/>
          <w:color w:val="auto"/>
          <w:spacing w:val="-4"/>
          <w:highlight w:val="none"/>
        </w:rPr>
        <w:t>CA电子签章</w:t>
      </w:r>
      <w:r>
        <w:rPr>
          <w:rFonts w:hint="eastAsia" w:ascii="宋体" w:hAnsi="宋体"/>
          <w:color w:val="auto"/>
          <w:szCs w:val="21"/>
          <w:highlight w:val="none"/>
        </w:rPr>
        <w:t>，否</w:t>
      </w:r>
      <w:r>
        <w:rPr>
          <w:rFonts w:hint="eastAsia" w:ascii="宋体" w:hAnsi="宋体"/>
          <w:bCs/>
          <w:color w:val="auto"/>
          <w:highlight w:val="none"/>
        </w:rPr>
        <w:t>则视为无效响应。</w:t>
      </w:r>
    </w:p>
    <w:p w14:paraId="5F3A24DF">
      <w:pPr>
        <w:pStyle w:val="69"/>
        <w:shd w:val="clear" w:color="auto" w:fill="FFFFFF"/>
        <w:spacing w:before="0" w:beforeAutospacing="0" w:after="0" w:afterAutospacing="0"/>
        <w:jc w:val="center"/>
        <w:rPr>
          <w:b/>
          <w:color w:val="auto"/>
          <w:sz w:val="32"/>
          <w:szCs w:val="32"/>
          <w:highlight w:val="none"/>
        </w:rPr>
      </w:pPr>
    </w:p>
    <w:p w14:paraId="6A3CD0A2">
      <w:pPr>
        <w:pStyle w:val="69"/>
        <w:shd w:val="clear" w:color="auto" w:fill="FFFFFF"/>
        <w:spacing w:before="0" w:beforeAutospacing="0" w:after="0" w:afterAutospacing="0"/>
        <w:jc w:val="center"/>
        <w:rPr>
          <w:b/>
          <w:color w:val="auto"/>
          <w:sz w:val="32"/>
          <w:szCs w:val="32"/>
          <w:highlight w:val="none"/>
        </w:rPr>
      </w:pPr>
    </w:p>
    <w:p w14:paraId="35858399">
      <w:pPr>
        <w:pStyle w:val="69"/>
        <w:shd w:val="clear" w:color="auto" w:fill="FFFFFF"/>
        <w:spacing w:before="0" w:beforeAutospacing="0" w:after="0" w:afterAutospacing="0"/>
        <w:jc w:val="center"/>
        <w:rPr>
          <w:b/>
          <w:color w:val="auto"/>
          <w:sz w:val="32"/>
          <w:szCs w:val="32"/>
          <w:highlight w:val="none"/>
        </w:rPr>
      </w:pPr>
    </w:p>
    <w:p w14:paraId="3E97332F">
      <w:pPr>
        <w:pStyle w:val="69"/>
        <w:shd w:val="clear" w:color="auto" w:fill="FFFFFF"/>
        <w:spacing w:before="0" w:beforeAutospacing="0" w:after="0" w:afterAutospacing="0"/>
        <w:jc w:val="center"/>
        <w:rPr>
          <w:b/>
          <w:color w:val="auto"/>
          <w:sz w:val="32"/>
          <w:szCs w:val="32"/>
          <w:highlight w:val="none"/>
        </w:rPr>
      </w:pPr>
      <w:r>
        <w:rPr>
          <w:rFonts w:hint="eastAsia"/>
          <w:b/>
          <w:color w:val="auto"/>
          <w:sz w:val="32"/>
          <w:szCs w:val="32"/>
          <w:highlight w:val="none"/>
        </w:rPr>
        <w:t>中小企业声明函（服务格式）</w:t>
      </w:r>
    </w:p>
    <w:p w14:paraId="322ADE56">
      <w:pPr>
        <w:pStyle w:val="25"/>
        <w:shd w:val="clear" w:color="auto" w:fill="FFFFFF"/>
        <w:spacing w:before="0" w:beforeAutospacing="0" w:after="0" w:afterAutospacing="0" w:line="460" w:lineRule="exact"/>
        <w:ind w:firstLine="480" w:firstLineChars="200"/>
        <w:rPr>
          <w:color w:val="auto"/>
          <w:highlight w:val="none"/>
        </w:rPr>
      </w:pPr>
    </w:p>
    <w:p w14:paraId="5D538D50">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本公司（联合体）郑重声明，根据《政府采购促进中小企业发展管理办法》（财库﹝2020﹞46号）的规定，本公司（联合体）参加</w:t>
      </w:r>
      <w:r>
        <w:rPr>
          <w:rFonts w:hAnsi="宋体"/>
          <w:b/>
          <w:i/>
          <w:color w:val="auto"/>
          <w:sz w:val="24"/>
          <w:szCs w:val="24"/>
          <w:highlight w:val="none"/>
          <w:u w:val="single"/>
        </w:rPr>
        <w:t>（单位名称）</w:t>
      </w:r>
      <w:r>
        <w:rPr>
          <w:rFonts w:hAnsi="宋体"/>
          <w:color w:val="auto"/>
          <w:sz w:val="24"/>
          <w:szCs w:val="24"/>
          <w:highlight w:val="none"/>
        </w:rPr>
        <w:t>的</w:t>
      </w:r>
      <w:r>
        <w:rPr>
          <w:rFonts w:hAnsi="宋体"/>
          <w:b/>
          <w:i/>
          <w:color w:val="auto"/>
          <w:sz w:val="24"/>
          <w:szCs w:val="24"/>
          <w:highlight w:val="none"/>
          <w:u w:val="single"/>
        </w:rPr>
        <w:t>（项目名称）</w:t>
      </w:r>
      <w:r>
        <w:rPr>
          <w:rFonts w:hAnsi="宋体"/>
          <w:color w:val="auto"/>
          <w:sz w:val="24"/>
          <w:szCs w:val="24"/>
          <w:highlight w:val="none"/>
        </w:rPr>
        <w:t>采购活动，服务全部由符合政策要求的中小企业承接。相关企业的具体情况如下：</w:t>
      </w:r>
    </w:p>
    <w:p w14:paraId="4180829F">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w:t>
      </w:r>
      <w:r>
        <w:rPr>
          <w:rFonts w:hAnsi="宋体"/>
          <w:b/>
          <w:i/>
          <w:color w:val="auto"/>
          <w:sz w:val="24"/>
          <w:szCs w:val="24"/>
          <w:highlight w:val="none"/>
          <w:u w:val="single"/>
        </w:rPr>
        <w:t>（标的名称）</w:t>
      </w:r>
      <w:r>
        <w:rPr>
          <w:rFonts w:hAnsi="宋体"/>
          <w:color w:val="auto"/>
          <w:sz w:val="24"/>
          <w:szCs w:val="24"/>
          <w:highlight w:val="none"/>
        </w:rPr>
        <w:t>，属于</w:t>
      </w:r>
      <w:r>
        <w:rPr>
          <w:rFonts w:hAnsi="宋体"/>
          <w:b/>
          <w:i/>
          <w:color w:val="auto"/>
          <w:sz w:val="24"/>
          <w:szCs w:val="24"/>
          <w:highlight w:val="none"/>
          <w:u w:val="single"/>
        </w:rPr>
        <w:t>（采购文件中明确的所属行业）</w:t>
      </w:r>
      <w:r>
        <w:rPr>
          <w:rFonts w:hAnsi="宋体"/>
          <w:color w:val="auto"/>
          <w:sz w:val="24"/>
          <w:szCs w:val="24"/>
          <w:highlight w:val="none"/>
        </w:rPr>
        <w:t>；承接企业为</w:t>
      </w:r>
      <w:r>
        <w:rPr>
          <w:rFonts w:hAnsi="宋体"/>
          <w:b/>
          <w:i/>
          <w:color w:val="auto"/>
          <w:sz w:val="24"/>
          <w:szCs w:val="24"/>
          <w:highlight w:val="none"/>
          <w:u w:val="single"/>
        </w:rPr>
        <w:t>（企业名称）</w:t>
      </w:r>
      <w:r>
        <w:rPr>
          <w:rFonts w:hAnsi="宋体"/>
          <w:color w:val="auto"/>
          <w:sz w:val="24"/>
          <w:szCs w:val="24"/>
          <w:highlight w:val="none"/>
        </w:rPr>
        <w:t>，从业人员人，营业收入为万元，资产总额为万元，属于</w:t>
      </w:r>
      <w:r>
        <w:rPr>
          <w:rFonts w:hAnsi="宋体"/>
          <w:b/>
          <w:i/>
          <w:color w:val="auto"/>
          <w:sz w:val="24"/>
          <w:szCs w:val="24"/>
          <w:highlight w:val="none"/>
          <w:u w:val="single"/>
        </w:rPr>
        <w:t>（中型企业、小型企业、微型企业）</w:t>
      </w:r>
      <w:r>
        <w:rPr>
          <w:rFonts w:hAnsi="宋体"/>
          <w:color w:val="auto"/>
          <w:sz w:val="24"/>
          <w:szCs w:val="24"/>
          <w:highlight w:val="none"/>
        </w:rPr>
        <w:t>；</w:t>
      </w:r>
    </w:p>
    <w:p w14:paraId="484AEC0F">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2</w:t>
      </w:r>
      <w:r>
        <w:rPr>
          <w:rFonts w:hint="eastAsia" w:hAnsi="宋体"/>
          <w:color w:val="auto"/>
          <w:sz w:val="24"/>
          <w:szCs w:val="24"/>
          <w:highlight w:val="none"/>
        </w:rPr>
        <w:t>、</w:t>
      </w:r>
      <w:r>
        <w:rPr>
          <w:rFonts w:hAnsi="宋体"/>
          <w:b/>
          <w:i/>
          <w:color w:val="auto"/>
          <w:sz w:val="24"/>
          <w:szCs w:val="24"/>
          <w:highlight w:val="none"/>
          <w:u w:val="single"/>
        </w:rPr>
        <w:t>（标的名称）</w:t>
      </w:r>
      <w:r>
        <w:rPr>
          <w:rFonts w:hAnsi="宋体"/>
          <w:color w:val="auto"/>
          <w:sz w:val="24"/>
          <w:szCs w:val="24"/>
          <w:highlight w:val="none"/>
        </w:rPr>
        <w:t>，属于</w:t>
      </w:r>
      <w:r>
        <w:rPr>
          <w:rFonts w:hAnsi="宋体"/>
          <w:b/>
          <w:i/>
          <w:color w:val="auto"/>
          <w:sz w:val="24"/>
          <w:szCs w:val="24"/>
          <w:highlight w:val="none"/>
          <w:u w:val="single"/>
        </w:rPr>
        <w:t>（采购文件中明确的所属行业）</w:t>
      </w:r>
      <w:r>
        <w:rPr>
          <w:rFonts w:hAnsi="宋体"/>
          <w:color w:val="auto"/>
          <w:sz w:val="24"/>
          <w:szCs w:val="24"/>
          <w:highlight w:val="none"/>
        </w:rPr>
        <w:t>；承接企业为</w:t>
      </w:r>
      <w:r>
        <w:rPr>
          <w:rFonts w:hAnsi="宋体"/>
          <w:b/>
          <w:i/>
          <w:color w:val="auto"/>
          <w:sz w:val="24"/>
          <w:szCs w:val="24"/>
          <w:highlight w:val="none"/>
          <w:u w:val="single"/>
        </w:rPr>
        <w:t>（企业名称）</w:t>
      </w:r>
      <w:r>
        <w:rPr>
          <w:rFonts w:hAnsi="宋体"/>
          <w:color w:val="auto"/>
          <w:sz w:val="24"/>
          <w:szCs w:val="24"/>
          <w:highlight w:val="none"/>
        </w:rPr>
        <w:t>，从业人员人，营业收入为万元，资产总额为万元，属于</w:t>
      </w:r>
      <w:r>
        <w:rPr>
          <w:rFonts w:hAnsi="宋体"/>
          <w:b/>
          <w:i/>
          <w:color w:val="auto"/>
          <w:sz w:val="24"/>
          <w:szCs w:val="24"/>
          <w:highlight w:val="none"/>
          <w:u w:val="single"/>
        </w:rPr>
        <w:t>（中型企业、小型企业、微型企业）</w:t>
      </w:r>
      <w:r>
        <w:rPr>
          <w:rFonts w:hAnsi="宋体"/>
          <w:color w:val="auto"/>
          <w:sz w:val="24"/>
          <w:szCs w:val="24"/>
          <w:highlight w:val="none"/>
        </w:rPr>
        <w:t>；</w:t>
      </w:r>
    </w:p>
    <w:p w14:paraId="466A8315">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w:t>
      </w:r>
    </w:p>
    <w:p w14:paraId="54709644">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以上企业，不属于大企业的分支机构，不存在控股股东为大企业的情形，也不存在与大企业的负责人为同一人的情形。</w:t>
      </w:r>
    </w:p>
    <w:p w14:paraId="3D3E5232">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本企业对上述声明内容的真实性负责。如有虚假，将依法承担相应责任。</w:t>
      </w:r>
    </w:p>
    <w:p w14:paraId="37DFCDC3">
      <w:pPr>
        <w:pStyle w:val="14"/>
        <w:spacing w:line="440" w:lineRule="exact"/>
        <w:rPr>
          <w:rFonts w:hAnsi="宋体"/>
          <w:color w:val="auto"/>
          <w:sz w:val="24"/>
          <w:szCs w:val="24"/>
          <w:highlight w:val="none"/>
        </w:rPr>
      </w:pPr>
    </w:p>
    <w:p w14:paraId="691FAC8E">
      <w:pPr>
        <w:pStyle w:val="14"/>
        <w:spacing w:line="440" w:lineRule="exact"/>
        <w:rPr>
          <w:rFonts w:hAnsi="宋体"/>
          <w:color w:val="auto"/>
          <w:sz w:val="24"/>
          <w:szCs w:val="24"/>
          <w:highlight w:val="none"/>
        </w:rPr>
      </w:pPr>
    </w:p>
    <w:p w14:paraId="5B52E240">
      <w:pPr>
        <w:pStyle w:val="14"/>
        <w:spacing w:line="440" w:lineRule="exact"/>
        <w:rPr>
          <w:rFonts w:hAnsi="宋体"/>
          <w:color w:val="auto"/>
          <w:sz w:val="24"/>
          <w:szCs w:val="24"/>
          <w:highlight w:val="none"/>
        </w:rPr>
      </w:pPr>
    </w:p>
    <w:p w14:paraId="3D0CADFE">
      <w:pPr>
        <w:pStyle w:val="14"/>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企业名称（</w:t>
      </w:r>
      <w:r>
        <w:rPr>
          <w:rFonts w:hint="eastAsia" w:hAnsi="宋体"/>
          <w:color w:val="auto"/>
          <w:sz w:val="24"/>
          <w:szCs w:val="24"/>
          <w:highlight w:val="none"/>
        </w:rPr>
        <w:t>盖CA电子签章</w:t>
      </w:r>
      <w:r>
        <w:rPr>
          <w:rFonts w:hAnsi="宋体"/>
          <w:color w:val="auto"/>
          <w:sz w:val="24"/>
          <w:szCs w:val="24"/>
          <w:highlight w:val="none"/>
        </w:rPr>
        <w:t>）：</w:t>
      </w:r>
    </w:p>
    <w:p w14:paraId="085F074B">
      <w:pPr>
        <w:pStyle w:val="14"/>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日期：</w:t>
      </w:r>
    </w:p>
    <w:p w14:paraId="46CFCA91">
      <w:pPr>
        <w:widowControl/>
        <w:jc w:val="left"/>
        <w:rPr>
          <w:rFonts w:ascii="宋体" w:hAnsi="宋体" w:cs="宋体"/>
          <w:color w:val="auto"/>
          <w:kern w:val="0"/>
          <w:sz w:val="24"/>
          <w:highlight w:val="none"/>
        </w:rPr>
      </w:pPr>
    </w:p>
    <w:p w14:paraId="406A7736">
      <w:pPr>
        <w:widowControl/>
        <w:jc w:val="left"/>
        <w:rPr>
          <w:rFonts w:ascii="宋体" w:hAnsi="宋体" w:cs="宋体"/>
          <w:color w:val="auto"/>
          <w:kern w:val="0"/>
          <w:sz w:val="24"/>
          <w:highlight w:val="none"/>
        </w:rPr>
      </w:pPr>
    </w:p>
    <w:p w14:paraId="1041BBB3">
      <w:pPr>
        <w:widowControl/>
        <w:jc w:val="left"/>
        <w:rPr>
          <w:rFonts w:ascii="宋体" w:hAnsi="宋体" w:cs="宋体"/>
          <w:color w:val="auto"/>
          <w:kern w:val="0"/>
          <w:sz w:val="24"/>
          <w:highlight w:val="none"/>
        </w:rPr>
      </w:pPr>
    </w:p>
    <w:p w14:paraId="1FDD6DCA">
      <w:pPr>
        <w:widowControl/>
        <w:jc w:val="left"/>
        <w:rPr>
          <w:rFonts w:ascii="宋体" w:hAnsi="宋体" w:cs="宋体"/>
          <w:color w:val="auto"/>
          <w:kern w:val="0"/>
          <w:sz w:val="24"/>
          <w:highlight w:val="none"/>
        </w:rPr>
      </w:pPr>
    </w:p>
    <w:p w14:paraId="52DF6B86">
      <w:pPr>
        <w:widowControl/>
        <w:jc w:val="left"/>
        <w:rPr>
          <w:rFonts w:ascii="宋体" w:hAnsi="宋体" w:cs="宋体"/>
          <w:color w:val="auto"/>
          <w:kern w:val="0"/>
          <w:sz w:val="24"/>
          <w:highlight w:val="none"/>
        </w:rPr>
      </w:pPr>
    </w:p>
    <w:p w14:paraId="7E310355">
      <w:pPr>
        <w:pBdr>
          <w:bottom w:val="single" w:color="auto" w:sz="6" w:space="1"/>
        </w:pBdr>
        <w:spacing w:line="400" w:lineRule="exact"/>
        <w:rPr>
          <w:rFonts w:ascii="宋体" w:hAnsi="宋体"/>
          <w:color w:val="auto"/>
          <w:highlight w:val="none"/>
        </w:rPr>
      </w:pPr>
    </w:p>
    <w:p w14:paraId="0AA6BFB7">
      <w:pPr>
        <w:spacing w:beforeLines="50" w:line="320" w:lineRule="exact"/>
        <w:ind w:left="620" w:hanging="620" w:hangingChars="294"/>
        <w:rPr>
          <w:rFonts w:ascii="宋体" w:hAnsi="宋体"/>
          <w:b/>
          <w:bCs/>
          <w:color w:val="auto"/>
          <w:highlight w:val="none"/>
        </w:rPr>
      </w:pPr>
      <w:r>
        <w:rPr>
          <w:rFonts w:hint="eastAsia" w:ascii="宋体" w:hAnsi="宋体"/>
          <w:b/>
          <w:bCs/>
          <w:color w:val="auto"/>
          <w:highlight w:val="none"/>
        </w:rPr>
        <w:t>说明：</w:t>
      </w:r>
    </w:p>
    <w:p w14:paraId="2538C171">
      <w:pPr>
        <w:pStyle w:val="14"/>
        <w:spacing w:line="320" w:lineRule="exact"/>
        <w:ind w:left="315" w:hanging="315" w:hangingChars="150"/>
        <w:jc w:val="left"/>
        <w:rPr>
          <w:rFonts w:hAnsi="宋体"/>
          <w:color w:val="auto"/>
          <w:highlight w:val="none"/>
        </w:rPr>
      </w:pPr>
      <w:r>
        <w:rPr>
          <w:rFonts w:hint="eastAsia" w:hAnsi="宋体"/>
          <w:color w:val="auto"/>
          <w:highlight w:val="none"/>
        </w:rPr>
        <w:t>1、</w:t>
      </w:r>
      <w:r>
        <w:rPr>
          <w:rFonts w:hint="eastAsia" w:hAnsi="宋体" w:cs="宋体"/>
          <w:color w:val="auto"/>
          <w:highlight w:val="none"/>
          <w:lang w:val="en-GB"/>
        </w:rPr>
        <w:t>供应商根据《政府采购促进中小企业发展管理办法》（财库〔2020〕46号）、《中小企业划型标准规定》（工信部联企业〔2011〕300号）、</w:t>
      </w:r>
      <w:r>
        <w:rPr>
          <w:rFonts w:hint="eastAsia" w:hAnsi="宋体"/>
          <w:color w:val="auto"/>
          <w:szCs w:val="21"/>
          <w:highlight w:val="none"/>
        </w:rPr>
        <w:t>《金融业企业划型标准规定》通知（银发[2015]309号）</w:t>
      </w:r>
      <w:r>
        <w:rPr>
          <w:rFonts w:hint="eastAsia" w:hAnsi="宋体" w:cs="宋体"/>
          <w:color w:val="auto"/>
          <w:highlight w:val="none"/>
          <w:lang w:val="en-GB"/>
        </w:rPr>
        <w:t>，如实填写并提交《中小企业声明函》；</w:t>
      </w:r>
    </w:p>
    <w:p w14:paraId="290D5C95">
      <w:pPr>
        <w:pStyle w:val="14"/>
        <w:spacing w:line="320" w:lineRule="exact"/>
        <w:ind w:left="315" w:hanging="315" w:hangingChars="150"/>
        <w:jc w:val="left"/>
        <w:rPr>
          <w:rFonts w:hAnsi="宋体"/>
          <w:color w:val="auto"/>
          <w:highlight w:val="none"/>
        </w:rPr>
      </w:pPr>
      <w:r>
        <w:rPr>
          <w:rFonts w:hint="eastAsia" w:hAnsi="宋体"/>
          <w:color w:val="auto"/>
          <w:szCs w:val="21"/>
          <w:highlight w:val="none"/>
        </w:rPr>
        <w:t>2、</w:t>
      </w:r>
      <w:r>
        <w:rPr>
          <w:rFonts w:hAnsi="宋体"/>
          <w:color w:val="auto"/>
          <w:szCs w:val="21"/>
          <w:highlight w:val="none"/>
        </w:rPr>
        <w:t>从业人员、营业收入、资产总额填报上一年度数据，无上一年度数据的新成立企业可不填报。</w:t>
      </w:r>
    </w:p>
    <w:p w14:paraId="2D91433F">
      <w:pPr>
        <w:pStyle w:val="14"/>
        <w:spacing w:line="320" w:lineRule="exact"/>
        <w:ind w:left="315" w:hanging="315" w:hangingChars="150"/>
        <w:jc w:val="left"/>
        <w:rPr>
          <w:rFonts w:hAnsi="宋体"/>
          <w:color w:val="auto"/>
          <w:highlight w:val="none"/>
        </w:rPr>
      </w:pPr>
      <w:r>
        <w:rPr>
          <w:rFonts w:hAnsi="宋体"/>
          <w:color w:val="auto"/>
          <w:highlight w:val="none"/>
        </w:rPr>
        <w:br w:type="page"/>
      </w:r>
    </w:p>
    <w:p w14:paraId="74FD503D">
      <w:pPr>
        <w:pStyle w:val="14"/>
        <w:spacing w:line="440" w:lineRule="exact"/>
        <w:ind w:firstLine="480" w:firstLineChars="200"/>
        <w:rPr>
          <w:rFonts w:hAnsi="宋体"/>
          <w:color w:val="auto"/>
          <w:sz w:val="24"/>
          <w:szCs w:val="24"/>
          <w:highlight w:val="none"/>
        </w:rPr>
      </w:pPr>
    </w:p>
    <w:p w14:paraId="552947D7">
      <w:pPr>
        <w:pStyle w:val="69"/>
        <w:shd w:val="clear" w:color="auto" w:fill="FFFFFF"/>
        <w:spacing w:before="0" w:beforeAutospacing="0" w:after="0" w:afterAutospacing="0"/>
        <w:jc w:val="center"/>
        <w:rPr>
          <w:b/>
          <w:color w:val="auto"/>
          <w:sz w:val="32"/>
          <w:szCs w:val="32"/>
          <w:highlight w:val="none"/>
        </w:rPr>
      </w:pPr>
      <w:r>
        <w:rPr>
          <w:rFonts w:hint="eastAsia"/>
          <w:b/>
          <w:color w:val="auto"/>
          <w:sz w:val="32"/>
          <w:szCs w:val="32"/>
          <w:highlight w:val="none"/>
        </w:rPr>
        <w:t>残疾人福利性单位声明函（格式）</w:t>
      </w:r>
    </w:p>
    <w:p w14:paraId="125DA081">
      <w:pPr>
        <w:pStyle w:val="14"/>
        <w:spacing w:line="440" w:lineRule="exact"/>
        <w:ind w:firstLine="420" w:firstLineChars="200"/>
        <w:rPr>
          <w:rFonts w:hAnsi="宋体"/>
          <w:color w:val="auto"/>
          <w:highlight w:val="none"/>
        </w:rPr>
      </w:pPr>
    </w:p>
    <w:p w14:paraId="37DFE48C">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本单位郑重声明，根据《财政部 民政部 中国残疾人联合会关于促进残疾人就业政府采购政策的通知》（财库</w:t>
      </w:r>
      <w:r>
        <w:rPr>
          <w:rFonts w:hint="eastAsia" w:hAnsi="宋体"/>
          <w:color w:val="auto"/>
          <w:sz w:val="24"/>
          <w:szCs w:val="24"/>
          <w:highlight w:val="none"/>
        </w:rPr>
        <w:t>〔</w:t>
      </w:r>
      <w:r>
        <w:rPr>
          <w:rFonts w:hAnsi="宋体"/>
          <w:color w:val="auto"/>
          <w:sz w:val="24"/>
          <w:szCs w:val="24"/>
          <w:highlight w:val="none"/>
        </w:rPr>
        <w:t>2017</w:t>
      </w:r>
      <w:r>
        <w:rPr>
          <w:rFonts w:hint="eastAsia" w:hAnsi="宋体"/>
          <w:color w:val="auto"/>
          <w:sz w:val="24"/>
          <w:szCs w:val="24"/>
          <w:highlight w:val="none"/>
        </w:rPr>
        <w:t>〕</w:t>
      </w:r>
      <w:r>
        <w:rPr>
          <w:rFonts w:hAnsi="宋体"/>
          <w:color w:val="auto"/>
          <w:sz w:val="24"/>
          <w:szCs w:val="24"/>
          <w:highlight w:val="none"/>
        </w:rPr>
        <w:t>141号）的规定，本单位为符合条件的残疾人福利性单位，且本单位参加</w:t>
      </w:r>
      <w:r>
        <w:rPr>
          <w:rFonts w:hAnsi="宋体"/>
          <w:b/>
          <w:i/>
          <w:color w:val="auto"/>
          <w:sz w:val="24"/>
          <w:szCs w:val="24"/>
          <w:highlight w:val="none"/>
          <w:u w:val="single"/>
        </w:rPr>
        <w:t>（</w:t>
      </w:r>
      <w:r>
        <w:rPr>
          <w:rFonts w:hint="eastAsia" w:hAnsi="宋体"/>
          <w:b/>
          <w:i/>
          <w:color w:val="auto"/>
          <w:sz w:val="24"/>
          <w:szCs w:val="24"/>
          <w:highlight w:val="none"/>
          <w:u w:val="single"/>
        </w:rPr>
        <w:t>采购人</w:t>
      </w:r>
      <w:r>
        <w:rPr>
          <w:rFonts w:hAnsi="宋体"/>
          <w:b/>
          <w:i/>
          <w:color w:val="auto"/>
          <w:sz w:val="24"/>
          <w:szCs w:val="24"/>
          <w:highlight w:val="none"/>
          <w:u w:val="single"/>
        </w:rPr>
        <w:t>名称）</w:t>
      </w:r>
      <w:r>
        <w:rPr>
          <w:rFonts w:hAnsi="宋体"/>
          <w:color w:val="auto"/>
          <w:sz w:val="24"/>
          <w:szCs w:val="24"/>
          <w:highlight w:val="none"/>
        </w:rPr>
        <w:t>单位的</w:t>
      </w:r>
      <w:r>
        <w:rPr>
          <w:rFonts w:hAnsi="宋体"/>
          <w:b/>
          <w:i/>
          <w:color w:val="auto"/>
          <w:sz w:val="24"/>
          <w:szCs w:val="24"/>
          <w:highlight w:val="none"/>
          <w:u w:val="single"/>
        </w:rPr>
        <w:t>（</w:t>
      </w:r>
      <w:r>
        <w:rPr>
          <w:rFonts w:hint="eastAsia" w:hAnsi="宋体"/>
          <w:b/>
          <w:i/>
          <w:color w:val="auto"/>
          <w:sz w:val="24"/>
          <w:szCs w:val="24"/>
          <w:highlight w:val="none"/>
          <w:u w:val="single"/>
        </w:rPr>
        <w:t>项目</w:t>
      </w:r>
      <w:r>
        <w:rPr>
          <w:rFonts w:hAnsi="宋体"/>
          <w:b/>
          <w:i/>
          <w:color w:val="auto"/>
          <w:sz w:val="24"/>
          <w:szCs w:val="24"/>
          <w:highlight w:val="none"/>
          <w:u w:val="single"/>
        </w:rPr>
        <w:t>名称）</w:t>
      </w:r>
      <w:r>
        <w:rPr>
          <w:rFonts w:hAnsi="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68B876AC">
      <w:pPr>
        <w:pStyle w:val="14"/>
        <w:spacing w:line="440" w:lineRule="exact"/>
        <w:ind w:firstLine="480" w:firstLineChars="200"/>
        <w:rPr>
          <w:rFonts w:hAnsi="宋体"/>
          <w:color w:val="auto"/>
          <w:sz w:val="24"/>
          <w:szCs w:val="24"/>
          <w:highlight w:val="none"/>
        </w:rPr>
      </w:pPr>
      <w:r>
        <w:rPr>
          <w:rFonts w:hAnsi="宋体"/>
          <w:color w:val="auto"/>
          <w:sz w:val="24"/>
          <w:szCs w:val="24"/>
          <w:highlight w:val="none"/>
        </w:rPr>
        <w:t>本单位对上述声明的真实性负责。如有虚假，将依法承担相应责任。</w:t>
      </w:r>
    </w:p>
    <w:p w14:paraId="741D4F88">
      <w:pPr>
        <w:pStyle w:val="14"/>
        <w:spacing w:line="440" w:lineRule="exact"/>
        <w:ind w:firstLine="480" w:firstLineChars="200"/>
        <w:rPr>
          <w:rFonts w:hAnsi="宋体"/>
          <w:color w:val="auto"/>
          <w:sz w:val="24"/>
          <w:szCs w:val="24"/>
          <w:highlight w:val="none"/>
        </w:rPr>
      </w:pPr>
    </w:p>
    <w:p w14:paraId="42084E96">
      <w:pPr>
        <w:pStyle w:val="14"/>
        <w:spacing w:line="440" w:lineRule="exact"/>
        <w:ind w:firstLine="480" w:firstLineChars="200"/>
        <w:rPr>
          <w:rFonts w:hAnsi="宋体"/>
          <w:color w:val="auto"/>
          <w:sz w:val="24"/>
          <w:szCs w:val="24"/>
          <w:highlight w:val="none"/>
        </w:rPr>
      </w:pPr>
    </w:p>
    <w:p w14:paraId="7DB1AE3A">
      <w:pPr>
        <w:pStyle w:val="14"/>
        <w:spacing w:line="440" w:lineRule="exact"/>
        <w:ind w:firstLine="480" w:firstLineChars="200"/>
        <w:rPr>
          <w:rFonts w:hAnsi="宋体"/>
          <w:color w:val="auto"/>
          <w:sz w:val="24"/>
          <w:szCs w:val="24"/>
          <w:highlight w:val="none"/>
        </w:rPr>
      </w:pPr>
    </w:p>
    <w:p w14:paraId="277E40BF">
      <w:pPr>
        <w:pStyle w:val="14"/>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单位名称（</w:t>
      </w:r>
      <w:r>
        <w:rPr>
          <w:rFonts w:hint="eastAsia" w:hAnsi="宋体"/>
          <w:color w:val="auto"/>
          <w:sz w:val="24"/>
          <w:szCs w:val="24"/>
          <w:highlight w:val="none"/>
        </w:rPr>
        <w:t>盖CA电子签章</w:t>
      </w:r>
      <w:r>
        <w:rPr>
          <w:rFonts w:hAnsi="宋体"/>
          <w:color w:val="auto"/>
          <w:sz w:val="24"/>
          <w:szCs w:val="24"/>
          <w:highlight w:val="none"/>
        </w:rPr>
        <w:t>）：</w:t>
      </w:r>
    </w:p>
    <w:p w14:paraId="362C9936">
      <w:pPr>
        <w:pStyle w:val="14"/>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日  期：</w:t>
      </w:r>
    </w:p>
    <w:p w14:paraId="0C13C7FC">
      <w:pPr>
        <w:widowControl/>
        <w:jc w:val="left"/>
        <w:rPr>
          <w:rFonts w:ascii="宋体" w:hAnsi="宋体" w:cs="宋体"/>
          <w:color w:val="auto"/>
          <w:kern w:val="0"/>
          <w:sz w:val="24"/>
          <w:highlight w:val="none"/>
        </w:rPr>
      </w:pPr>
    </w:p>
    <w:p w14:paraId="001F9008">
      <w:pPr>
        <w:widowControl/>
        <w:jc w:val="left"/>
        <w:rPr>
          <w:rFonts w:ascii="宋体" w:hAnsi="宋体" w:cs="宋体"/>
          <w:color w:val="auto"/>
          <w:kern w:val="0"/>
          <w:sz w:val="24"/>
          <w:highlight w:val="none"/>
        </w:rPr>
      </w:pPr>
    </w:p>
    <w:p w14:paraId="2802A38E">
      <w:pPr>
        <w:widowControl/>
        <w:jc w:val="left"/>
        <w:rPr>
          <w:rFonts w:ascii="宋体" w:hAnsi="宋体" w:cs="宋体"/>
          <w:color w:val="auto"/>
          <w:kern w:val="0"/>
          <w:sz w:val="24"/>
          <w:highlight w:val="none"/>
        </w:rPr>
      </w:pPr>
    </w:p>
    <w:p w14:paraId="232D36C0">
      <w:pPr>
        <w:widowControl/>
        <w:jc w:val="left"/>
        <w:rPr>
          <w:rFonts w:ascii="宋体" w:hAnsi="宋体" w:cs="宋体"/>
          <w:color w:val="auto"/>
          <w:kern w:val="0"/>
          <w:sz w:val="24"/>
          <w:highlight w:val="none"/>
        </w:rPr>
      </w:pPr>
    </w:p>
    <w:p w14:paraId="4319AD8A">
      <w:pPr>
        <w:widowControl/>
        <w:jc w:val="left"/>
        <w:rPr>
          <w:rFonts w:ascii="宋体" w:hAnsi="宋体" w:cs="宋体"/>
          <w:color w:val="auto"/>
          <w:kern w:val="0"/>
          <w:sz w:val="24"/>
          <w:highlight w:val="none"/>
        </w:rPr>
      </w:pPr>
    </w:p>
    <w:p w14:paraId="2AE8ECF7">
      <w:pPr>
        <w:widowControl/>
        <w:jc w:val="left"/>
        <w:rPr>
          <w:rFonts w:ascii="宋体" w:hAnsi="宋体" w:cs="宋体"/>
          <w:color w:val="auto"/>
          <w:kern w:val="0"/>
          <w:sz w:val="24"/>
          <w:highlight w:val="none"/>
        </w:rPr>
      </w:pPr>
    </w:p>
    <w:p w14:paraId="6237E393">
      <w:pPr>
        <w:widowControl/>
        <w:jc w:val="left"/>
        <w:rPr>
          <w:rFonts w:ascii="宋体" w:hAnsi="宋体" w:cs="宋体"/>
          <w:color w:val="auto"/>
          <w:kern w:val="0"/>
          <w:sz w:val="24"/>
          <w:highlight w:val="none"/>
        </w:rPr>
      </w:pPr>
    </w:p>
    <w:p w14:paraId="161A36BE">
      <w:pPr>
        <w:widowControl/>
        <w:jc w:val="left"/>
        <w:rPr>
          <w:rFonts w:ascii="宋体" w:hAnsi="宋体" w:cs="宋体"/>
          <w:color w:val="auto"/>
          <w:kern w:val="0"/>
          <w:sz w:val="24"/>
          <w:highlight w:val="none"/>
        </w:rPr>
      </w:pPr>
    </w:p>
    <w:p w14:paraId="2B7374AA">
      <w:pPr>
        <w:widowControl/>
        <w:jc w:val="left"/>
        <w:rPr>
          <w:rFonts w:ascii="宋体" w:hAnsi="宋体" w:cs="宋体"/>
          <w:color w:val="auto"/>
          <w:kern w:val="0"/>
          <w:sz w:val="24"/>
          <w:highlight w:val="none"/>
        </w:rPr>
      </w:pPr>
    </w:p>
    <w:p w14:paraId="3D273BF2">
      <w:pPr>
        <w:widowControl/>
        <w:jc w:val="left"/>
        <w:rPr>
          <w:rFonts w:ascii="宋体" w:hAnsi="宋体" w:cs="宋体"/>
          <w:color w:val="auto"/>
          <w:kern w:val="0"/>
          <w:sz w:val="24"/>
          <w:highlight w:val="none"/>
        </w:rPr>
      </w:pPr>
    </w:p>
    <w:p w14:paraId="37A9DCC0">
      <w:pPr>
        <w:widowControl/>
        <w:jc w:val="left"/>
        <w:rPr>
          <w:rFonts w:ascii="宋体" w:hAnsi="宋体" w:cs="宋体"/>
          <w:color w:val="auto"/>
          <w:kern w:val="0"/>
          <w:sz w:val="24"/>
          <w:highlight w:val="none"/>
        </w:rPr>
      </w:pPr>
    </w:p>
    <w:p w14:paraId="391AF95C">
      <w:pPr>
        <w:widowControl/>
        <w:jc w:val="left"/>
        <w:rPr>
          <w:rFonts w:ascii="宋体" w:hAnsi="宋体" w:cs="宋体"/>
          <w:color w:val="auto"/>
          <w:kern w:val="0"/>
          <w:sz w:val="24"/>
          <w:highlight w:val="none"/>
        </w:rPr>
      </w:pPr>
    </w:p>
    <w:p w14:paraId="5693A996">
      <w:pPr>
        <w:widowControl/>
        <w:jc w:val="left"/>
        <w:rPr>
          <w:rFonts w:ascii="宋体" w:hAnsi="宋体" w:cs="宋体"/>
          <w:color w:val="auto"/>
          <w:kern w:val="0"/>
          <w:sz w:val="24"/>
          <w:highlight w:val="none"/>
        </w:rPr>
      </w:pPr>
    </w:p>
    <w:p w14:paraId="28546B42">
      <w:pPr>
        <w:widowControl/>
        <w:jc w:val="left"/>
        <w:rPr>
          <w:rFonts w:ascii="宋体" w:hAnsi="宋体" w:cs="宋体"/>
          <w:color w:val="auto"/>
          <w:kern w:val="0"/>
          <w:sz w:val="24"/>
          <w:highlight w:val="none"/>
        </w:rPr>
      </w:pPr>
    </w:p>
    <w:p w14:paraId="1F5BDBD1">
      <w:pPr>
        <w:widowControl/>
        <w:jc w:val="left"/>
        <w:rPr>
          <w:rFonts w:ascii="宋体" w:hAnsi="宋体" w:cs="宋体"/>
          <w:color w:val="auto"/>
          <w:kern w:val="0"/>
          <w:sz w:val="24"/>
          <w:highlight w:val="none"/>
        </w:rPr>
      </w:pPr>
    </w:p>
    <w:p w14:paraId="46E9AAEC">
      <w:pPr>
        <w:widowControl/>
        <w:jc w:val="left"/>
        <w:rPr>
          <w:rFonts w:ascii="宋体" w:hAnsi="宋体" w:cs="宋体"/>
          <w:color w:val="auto"/>
          <w:kern w:val="0"/>
          <w:sz w:val="24"/>
          <w:highlight w:val="none"/>
        </w:rPr>
      </w:pPr>
    </w:p>
    <w:p w14:paraId="6491FA5C">
      <w:pPr>
        <w:widowControl/>
        <w:jc w:val="left"/>
        <w:rPr>
          <w:rFonts w:ascii="宋体" w:hAnsi="宋体" w:cs="宋体"/>
          <w:color w:val="auto"/>
          <w:kern w:val="0"/>
          <w:sz w:val="24"/>
          <w:highlight w:val="none"/>
        </w:rPr>
      </w:pPr>
    </w:p>
    <w:p w14:paraId="27198606">
      <w:pPr>
        <w:widowControl/>
        <w:pBdr>
          <w:bottom w:val="single" w:color="auto" w:sz="6" w:space="1"/>
        </w:pBdr>
        <w:jc w:val="left"/>
        <w:rPr>
          <w:rFonts w:ascii="宋体" w:hAnsi="宋体" w:cs="宋体"/>
          <w:color w:val="auto"/>
          <w:kern w:val="0"/>
          <w:sz w:val="24"/>
          <w:highlight w:val="none"/>
        </w:rPr>
      </w:pPr>
    </w:p>
    <w:p w14:paraId="06126D88">
      <w:pPr>
        <w:spacing w:beforeLines="50" w:line="320" w:lineRule="exact"/>
        <w:ind w:left="620" w:hanging="620" w:hangingChars="294"/>
        <w:rPr>
          <w:rFonts w:ascii="宋体" w:hAnsi="宋体"/>
          <w:color w:val="auto"/>
          <w:highlight w:val="none"/>
        </w:rPr>
      </w:pPr>
      <w:r>
        <w:rPr>
          <w:rFonts w:hint="eastAsia" w:ascii="宋体" w:hAnsi="宋体"/>
          <w:b/>
          <w:bCs/>
          <w:color w:val="auto"/>
          <w:highlight w:val="none"/>
        </w:rPr>
        <w:t>说明：</w:t>
      </w:r>
      <w:r>
        <w:rPr>
          <w:rFonts w:hint="eastAsia" w:ascii="宋体" w:hAnsi="宋体"/>
          <w:color w:val="auto"/>
          <w:highlight w:val="none"/>
        </w:rPr>
        <w:t>供应商符合《关于促进残疾人就业政府采购政策的通知》（财库〔2017〕141号）规定条件的，如实提供声明函。</w:t>
      </w:r>
    </w:p>
    <w:p w14:paraId="46DA6301">
      <w:pPr>
        <w:rPr>
          <w:rStyle w:val="32"/>
          <w:rFonts w:ascii="宋体" w:hAnsi="宋体" w:cs="宋体"/>
          <w:color w:val="auto"/>
          <w:sz w:val="32"/>
          <w:szCs w:val="32"/>
          <w:highlight w:val="none"/>
        </w:rPr>
      </w:pPr>
      <w:r>
        <w:rPr>
          <w:rStyle w:val="32"/>
          <w:rFonts w:hint="eastAsia" w:ascii="宋体" w:hAnsi="宋体" w:cs="宋体"/>
          <w:color w:val="auto"/>
          <w:sz w:val="32"/>
          <w:szCs w:val="32"/>
          <w:highlight w:val="none"/>
        </w:rPr>
        <w:br w:type="page"/>
      </w:r>
    </w:p>
    <w:p w14:paraId="2313142D">
      <w:pPr>
        <w:widowControl/>
        <w:shd w:val="clear" w:color="auto" w:fill="FFFFFF"/>
        <w:jc w:val="center"/>
        <w:rPr>
          <w:rFonts w:ascii="宋体" w:hAnsi="宋体" w:cs="宋体"/>
          <w:color w:val="auto"/>
          <w:kern w:val="0"/>
          <w:sz w:val="36"/>
          <w:szCs w:val="36"/>
          <w:highlight w:val="none"/>
        </w:rPr>
      </w:pPr>
      <w:r>
        <w:rPr>
          <w:rStyle w:val="32"/>
          <w:rFonts w:hint="eastAsia" w:ascii="宋体" w:hAnsi="宋体" w:cs="宋体"/>
          <w:color w:val="auto"/>
          <w:sz w:val="32"/>
          <w:szCs w:val="32"/>
          <w:highlight w:val="none"/>
        </w:rPr>
        <w:t>关于符合本国产品标准的声明函（如有时）</w:t>
      </w:r>
    </w:p>
    <w:p w14:paraId="3EE2078E">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5E92CD9C">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70424955">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u w:val="single"/>
        </w:rPr>
        <w:t>（产品名称1）</w:t>
      </w:r>
      <w:r>
        <w:rPr>
          <w:rFonts w:hint="eastAsia" w:ascii="宋体" w:hAnsi="宋体" w:cs="宋体"/>
          <w:i/>
          <w:iCs/>
          <w:color w:val="auto"/>
          <w:kern w:val="0"/>
          <w:sz w:val="24"/>
          <w:highlight w:val="none"/>
          <w:u w:val="singl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i/>
          <w:iCs/>
          <w:color w:val="auto"/>
          <w:kern w:val="0"/>
          <w:sz w:val="24"/>
          <w:highlight w:val="none"/>
          <w:u w:val="singl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i/>
          <w:iCs/>
          <w:color w:val="auto"/>
          <w:kern w:val="0"/>
          <w:sz w:val="24"/>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i/>
          <w:iCs/>
          <w:color w:val="auto"/>
          <w:kern w:val="0"/>
          <w:sz w:val="24"/>
          <w:highlight w:val="none"/>
          <w:u w:val="singl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i/>
          <w:iCs/>
          <w:color w:val="auto"/>
          <w:kern w:val="0"/>
          <w:sz w:val="24"/>
          <w:highlight w:val="none"/>
          <w:u w:val="single"/>
          <w:vertAlign w:val="superscript"/>
        </w:rPr>
        <w:t>5</w:t>
      </w:r>
      <w:r>
        <w:rPr>
          <w:rFonts w:hint="eastAsia" w:ascii="宋体" w:hAnsi="宋体" w:cs="宋体"/>
          <w:color w:val="auto"/>
          <w:kern w:val="0"/>
          <w:sz w:val="24"/>
          <w:highlight w:val="none"/>
        </w:rPr>
        <w:t>在中国境内完成。</w:t>
      </w:r>
    </w:p>
    <w:p w14:paraId="043CB985">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color w:val="auto"/>
          <w:kern w:val="0"/>
          <w:sz w:val="24"/>
          <w:highlight w:val="none"/>
        </w:rPr>
        <w:t>在中国境内完成。</w:t>
      </w:r>
    </w:p>
    <w:p w14:paraId="4ED73628">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4A3581C9">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094B44DE">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2AF320BF">
      <w:pPr>
        <w:pStyle w:val="25"/>
        <w:spacing w:line="400" w:lineRule="exact"/>
        <w:jc w:val="center"/>
        <w:rPr>
          <w:color w:val="auto"/>
          <w:highlight w:val="none"/>
        </w:rPr>
      </w:pPr>
      <w:r>
        <w:rPr>
          <w:rFonts w:hint="eastAsia"/>
          <w:color w:val="auto"/>
          <w:highlight w:val="none"/>
        </w:rPr>
        <w:t>企业名称（并</w:t>
      </w:r>
      <w:r>
        <w:rPr>
          <w:rFonts w:hint="eastAsia"/>
          <w:b/>
          <w:color w:val="auto"/>
          <w:highlight w:val="none"/>
        </w:rPr>
        <w:t>CA电子签章</w:t>
      </w:r>
      <w:r>
        <w:rPr>
          <w:rFonts w:hint="eastAsia"/>
          <w:color w:val="auto"/>
          <w:highlight w:val="none"/>
        </w:rPr>
        <w:t>）：</w:t>
      </w:r>
    </w:p>
    <w:p w14:paraId="17C461C8">
      <w:pPr>
        <w:widowControl/>
        <w:shd w:val="clear" w:color="auto" w:fill="FFFFFF"/>
        <w:spacing w:line="360" w:lineRule="auto"/>
        <w:jc w:val="center"/>
        <w:rPr>
          <w:rFonts w:ascii="宋体" w:hAnsi="宋体" w:cs="宋体"/>
          <w:color w:val="auto"/>
          <w:kern w:val="0"/>
          <w:sz w:val="24"/>
          <w:highlight w:val="none"/>
        </w:rPr>
      </w:pPr>
      <w:r>
        <w:rPr>
          <w:rFonts w:hint="eastAsia" w:ascii="宋体" w:hAnsi="宋体" w:cs="宋体"/>
          <w:color w:val="auto"/>
          <w:sz w:val="24"/>
          <w:highlight w:val="none"/>
        </w:rPr>
        <w:t>日 期：</w:t>
      </w:r>
      <w:r>
        <w:rPr>
          <w:rFonts w:hint="eastAsia" w:ascii="宋体" w:hAnsi="宋体" w:cs="宋体"/>
          <w:color w:val="auto"/>
          <w:kern w:val="0"/>
          <w:sz w:val="24"/>
          <w:highlight w:val="none"/>
        </w:rPr>
        <w:t>         </w:t>
      </w:r>
    </w:p>
    <w:p w14:paraId="1D97D29B">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41F9D53A">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1.产品如有型号，请在“产品名称”栏一并填写。</w:t>
      </w:r>
    </w:p>
    <w:p w14:paraId="325ED478">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2.生产厂名与厂址应与生产厂营业执照载明的相关信息保持一致。</w:t>
      </w:r>
    </w:p>
    <w:p w14:paraId="1E00F08B">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3.该产品的中国境内生产的组件成本占比相关要求实施前，“规定比例”栏可不填，下同。</w:t>
      </w:r>
    </w:p>
    <w:p w14:paraId="3A4AEA09">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4.该产品的关键组件要求实施前，“关键组件”栏可不填，下同。</w:t>
      </w:r>
    </w:p>
    <w:p w14:paraId="32FD8780">
      <w:pPr>
        <w:snapToGrid w:val="0"/>
        <w:spacing w:beforeLines="50" w:after="50"/>
        <w:jc w:val="center"/>
        <w:rPr>
          <w:rFonts w:ascii="宋体" w:hAnsi="宋体" w:cs="宋体"/>
          <w:color w:val="auto"/>
          <w:kern w:val="0"/>
          <w:sz w:val="24"/>
          <w:highlight w:val="none"/>
        </w:rPr>
      </w:pPr>
      <w:r>
        <w:rPr>
          <w:rFonts w:hint="eastAsia" w:ascii="宋体" w:hAnsi="宋体" w:cs="宋体"/>
          <w:color w:val="auto"/>
          <w:kern w:val="0"/>
          <w:sz w:val="24"/>
          <w:highlight w:val="none"/>
        </w:rPr>
        <w:t>5.该产品的关键工序要求实施前，“关键工序”栏可不填，下同。</w:t>
      </w:r>
    </w:p>
    <w:p w14:paraId="4A0265B2">
      <w:pPr>
        <w:rPr>
          <w:color w:val="auto"/>
          <w:highlight w:val="none"/>
        </w:rPr>
      </w:pPr>
      <w:r>
        <w:rPr>
          <w:rFonts w:ascii="宋体" w:hAnsi="宋体"/>
          <w:color w:val="auto"/>
          <w:sz w:val="24"/>
          <w:highlight w:val="none"/>
        </w:rPr>
        <w:br w:type="page"/>
      </w:r>
      <w:r>
        <w:rPr>
          <w:rFonts w:hint="eastAsia" w:ascii="宋体" w:hAnsi="宋体" w:cs="宋体"/>
          <w:b/>
          <w:bCs/>
          <w:color w:val="auto"/>
          <w:sz w:val="32"/>
          <w:szCs w:val="32"/>
          <w:highlight w:val="none"/>
        </w:rPr>
        <w:t> </w:t>
      </w:r>
    </w:p>
    <w:p w14:paraId="7EBA15EA">
      <w:pPr>
        <w:pStyle w:val="25"/>
        <w:spacing w:before="0" w:beforeAutospacing="0" w:after="0" w:afterAutospacing="0" w:line="360" w:lineRule="exact"/>
        <w:ind w:left="899" w:leftChars="428" w:firstLine="420"/>
        <w:jc w:val="center"/>
        <w:rPr>
          <w:color w:val="auto"/>
          <w:highlight w:val="none"/>
        </w:rPr>
      </w:pPr>
      <w:r>
        <w:rPr>
          <w:rFonts w:hint="eastAsia"/>
          <w:b/>
          <w:bCs/>
          <w:color w:val="auto"/>
          <w:sz w:val="32"/>
          <w:szCs w:val="32"/>
          <w:highlight w:val="none"/>
        </w:rPr>
        <w:t>具备《中华人民共和国政府采购法》第二十二条规定的承诺书（格式）</w:t>
      </w:r>
    </w:p>
    <w:p w14:paraId="2AF94F3B">
      <w:pPr>
        <w:pStyle w:val="25"/>
        <w:spacing w:before="0" w:beforeAutospacing="0" w:after="0" w:afterAutospacing="0" w:line="400" w:lineRule="exact"/>
        <w:jc w:val="both"/>
        <w:rPr>
          <w:color w:val="auto"/>
          <w:highlight w:val="none"/>
        </w:rPr>
      </w:pPr>
      <w:r>
        <w:rPr>
          <w:rFonts w:hint="eastAsia"/>
          <w:color w:val="auto"/>
          <w:highlight w:val="none"/>
        </w:rPr>
        <w:t> </w:t>
      </w:r>
    </w:p>
    <w:p w14:paraId="3982583A">
      <w:pPr>
        <w:pStyle w:val="25"/>
        <w:spacing w:before="0" w:beforeAutospacing="0" w:after="0" w:afterAutospacing="0" w:line="400" w:lineRule="exact"/>
        <w:jc w:val="both"/>
        <w:rPr>
          <w:color w:val="auto"/>
          <w:highlight w:val="none"/>
        </w:rPr>
      </w:pPr>
      <w:r>
        <w:rPr>
          <w:rFonts w:hint="eastAsia"/>
          <w:color w:val="auto"/>
          <w:highlight w:val="none"/>
        </w:rPr>
        <w:t>致：</w:t>
      </w:r>
      <w:r>
        <w:rPr>
          <w:rFonts w:hint="eastAsia"/>
          <w:color w:val="auto"/>
          <w:highlight w:val="none"/>
          <w:u w:val="single"/>
        </w:rPr>
        <w:t>（采购代理机构名称）</w:t>
      </w:r>
    </w:p>
    <w:p w14:paraId="63869D65">
      <w:pPr>
        <w:pStyle w:val="25"/>
        <w:spacing w:before="0" w:beforeAutospacing="0" w:after="0" w:afterAutospacing="0" w:line="23" w:lineRule="atLeast"/>
        <w:ind w:firstLine="420"/>
        <w:jc w:val="both"/>
        <w:rPr>
          <w:color w:val="auto"/>
          <w:highlight w:val="none"/>
          <w:u w:val="single"/>
        </w:rPr>
      </w:pPr>
    </w:p>
    <w:p w14:paraId="7404FFB5">
      <w:pPr>
        <w:pStyle w:val="25"/>
        <w:spacing w:before="0" w:beforeAutospacing="0" w:after="0" w:afterAutospacing="0" w:line="23" w:lineRule="atLeast"/>
        <w:ind w:firstLine="420"/>
        <w:jc w:val="both"/>
        <w:rPr>
          <w:color w:val="auto"/>
          <w:highlight w:val="none"/>
          <w:u w:val="single"/>
        </w:rPr>
      </w:pPr>
    </w:p>
    <w:p w14:paraId="763FC2D2">
      <w:pPr>
        <w:pStyle w:val="25"/>
        <w:spacing w:before="0" w:beforeAutospacing="0" w:after="0" w:afterAutospacing="0" w:line="23" w:lineRule="atLeast"/>
        <w:ind w:firstLine="420"/>
        <w:jc w:val="both"/>
        <w:rPr>
          <w:color w:val="auto"/>
          <w:highlight w:val="none"/>
        </w:rPr>
      </w:pPr>
      <w:r>
        <w:rPr>
          <w:rFonts w:hint="eastAsia"/>
          <w:color w:val="auto"/>
          <w:highlight w:val="none"/>
        </w:rPr>
        <w:t>我方承诺已经具备《中华人民共和国政府采购法》中第二十二条规定的条件：</w:t>
      </w:r>
    </w:p>
    <w:p w14:paraId="7B389B8B">
      <w:pPr>
        <w:pStyle w:val="25"/>
        <w:spacing w:before="0" w:beforeAutospacing="0" w:after="0" w:afterAutospacing="0" w:line="23" w:lineRule="atLeast"/>
        <w:ind w:firstLine="420"/>
        <w:jc w:val="both"/>
        <w:rPr>
          <w:color w:val="auto"/>
          <w:highlight w:val="none"/>
        </w:rPr>
      </w:pPr>
      <w:r>
        <w:rPr>
          <w:rFonts w:hint="eastAsia"/>
          <w:color w:val="auto"/>
          <w:highlight w:val="none"/>
        </w:rPr>
        <w:t>（1）具有独立承担民事责任的能力；</w:t>
      </w:r>
    </w:p>
    <w:p w14:paraId="60FB7F84">
      <w:pPr>
        <w:pStyle w:val="25"/>
        <w:spacing w:before="0" w:beforeAutospacing="0" w:after="0" w:afterAutospacing="0" w:line="23" w:lineRule="atLeast"/>
        <w:ind w:firstLine="420"/>
        <w:jc w:val="both"/>
        <w:rPr>
          <w:color w:val="auto"/>
          <w:highlight w:val="none"/>
        </w:rPr>
      </w:pPr>
      <w:r>
        <w:rPr>
          <w:rFonts w:hint="eastAsia"/>
          <w:color w:val="auto"/>
          <w:highlight w:val="none"/>
        </w:rPr>
        <w:t>（2）具有良好的商业信誉和健全的财务会计制度；</w:t>
      </w:r>
    </w:p>
    <w:p w14:paraId="5D893BBC">
      <w:pPr>
        <w:pStyle w:val="25"/>
        <w:spacing w:before="0" w:beforeAutospacing="0" w:after="0" w:afterAutospacing="0" w:line="23" w:lineRule="atLeast"/>
        <w:ind w:firstLine="420"/>
        <w:jc w:val="both"/>
        <w:rPr>
          <w:color w:val="auto"/>
          <w:highlight w:val="none"/>
        </w:rPr>
      </w:pPr>
      <w:r>
        <w:rPr>
          <w:rFonts w:hint="eastAsia"/>
          <w:color w:val="auto"/>
          <w:highlight w:val="none"/>
        </w:rPr>
        <w:t>（3）具有履行合同所必需的设备和专业技术能力；</w:t>
      </w:r>
    </w:p>
    <w:p w14:paraId="70F59E60">
      <w:pPr>
        <w:pStyle w:val="25"/>
        <w:spacing w:before="0" w:beforeAutospacing="0" w:after="0" w:afterAutospacing="0" w:line="23" w:lineRule="atLeast"/>
        <w:ind w:firstLine="420"/>
        <w:jc w:val="both"/>
        <w:rPr>
          <w:color w:val="auto"/>
          <w:highlight w:val="none"/>
        </w:rPr>
      </w:pPr>
      <w:r>
        <w:rPr>
          <w:rFonts w:hint="eastAsia"/>
          <w:color w:val="auto"/>
          <w:highlight w:val="none"/>
        </w:rPr>
        <w:t>（4）有依法缴纳税收和社会保障资金的良好记录；</w:t>
      </w:r>
    </w:p>
    <w:p w14:paraId="7B9CC5CD">
      <w:pPr>
        <w:pStyle w:val="25"/>
        <w:spacing w:before="0" w:beforeAutospacing="0" w:after="0" w:afterAutospacing="0" w:line="23" w:lineRule="atLeast"/>
        <w:ind w:firstLine="420"/>
        <w:jc w:val="both"/>
        <w:rPr>
          <w:color w:val="auto"/>
          <w:highlight w:val="none"/>
        </w:rPr>
      </w:pPr>
      <w:r>
        <w:rPr>
          <w:rFonts w:hint="eastAsia"/>
          <w:color w:val="auto"/>
          <w:highlight w:val="none"/>
        </w:rPr>
        <w:t>（5）参加此项采购活动前三年内，在经营活动中没有重大违法记录。</w:t>
      </w:r>
    </w:p>
    <w:p w14:paraId="56432B45">
      <w:pPr>
        <w:pStyle w:val="25"/>
        <w:spacing w:before="0" w:beforeAutospacing="0" w:after="0" w:afterAutospacing="0"/>
        <w:ind w:firstLine="480"/>
        <w:jc w:val="both"/>
        <w:rPr>
          <w:color w:val="auto"/>
          <w:highlight w:val="none"/>
        </w:rPr>
      </w:pPr>
      <w:r>
        <w:rPr>
          <w:rFonts w:hint="eastAsia"/>
          <w:color w:val="auto"/>
          <w:highlight w:val="none"/>
        </w:rPr>
        <w:t> </w:t>
      </w:r>
    </w:p>
    <w:p w14:paraId="5994A0CE">
      <w:pPr>
        <w:pStyle w:val="25"/>
        <w:spacing w:before="0" w:beforeAutospacing="0" w:after="0" w:afterAutospacing="0" w:line="360" w:lineRule="exact"/>
        <w:ind w:left="899" w:leftChars="428" w:firstLine="420"/>
        <w:jc w:val="center"/>
        <w:rPr>
          <w:color w:val="auto"/>
          <w:highlight w:val="none"/>
        </w:rPr>
      </w:pPr>
      <w:r>
        <w:rPr>
          <w:rFonts w:hint="eastAsia"/>
          <w:color w:val="auto"/>
          <w:sz w:val="21"/>
          <w:szCs w:val="21"/>
          <w:highlight w:val="none"/>
        </w:rPr>
        <w:t> </w:t>
      </w:r>
    </w:p>
    <w:p w14:paraId="63780F48">
      <w:pPr>
        <w:pStyle w:val="25"/>
        <w:spacing w:before="0" w:beforeAutospacing="0" w:after="0" w:afterAutospacing="0" w:line="360" w:lineRule="exact"/>
        <w:ind w:left="899" w:leftChars="428" w:firstLine="420"/>
        <w:jc w:val="center"/>
        <w:rPr>
          <w:color w:val="auto"/>
          <w:highlight w:val="none"/>
        </w:rPr>
      </w:pPr>
      <w:r>
        <w:rPr>
          <w:rFonts w:hint="eastAsia"/>
          <w:color w:val="auto"/>
          <w:sz w:val="21"/>
          <w:szCs w:val="21"/>
          <w:highlight w:val="none"/>
        </w:rPr>
        <w:t> </w:t>
      </w:r>
    </w:p>
    <w:p w14:paraId="10E98B13">
      <w:pPr>
        <w:pStyle w:val="25"/>
        <w:spacing w:before="0" w:beforeAutospacing="0" w:after="0" w:afterAutospacing="0" w:line="360" w:lineRule="exact"/>
        <w:ind w:left="899" w:leftChars="428" w:firstLine="420"/>
        <w:jc w:val="center"/>
        <w:rPr>
          <w:color w:val="auto"/>
          <w:highlight w:val="none"/>
        </w:rPr>
      </w:pPr>
      <w:r>
        <w:rPr>
          <w:rFonts w:hint="eastAsia"/>
          <w:color w:val="auto"/>
          <w:highlight w:val="none"/>
        </w:rPr>
        <w:t>承诺单位（CA电子签章）：</w:t>
      </w:r>
    </w:p>
    <w:p w14:paraId="2DB26AF6">
      <w:pPr>
        <w:pStyle w:val="25"/>
        <w:spacing w:before="0" w:beforeAutospacing="0" w:after="0" w:afterAutospacing="0" w:line="360" w:lineRule="exact"/>
        <w:ind w:left="899" w:leftChars="428" w:firstLine="420"/>
        <w:jc w:val="center"/>
        <w:rPr>
          <w:color w:val="auto"/>
          <w:highlight w:val="none"/>
        </w:rPr>
      </w:pPr>
      <w:r>
        <w:rPr>
          <w:rFonts w:hint="eastAsia"/>
          <w:color w:val="auto"/>
          <w:highlight w:val="none"/>
        </w:rPr>
        <w:t> </w:t>
      </w:r>
    </w:p>
    <w:p w14:paraId="7479A429">
      <w:pPr>
        <w:pStyle w:val="25"/>
        <w:spacing w:before="0" w:beforeAutospacing="0" w:after="0" w:afterAutospacing="0"/>
        <w:ind w:firstLine="4410"/>
        <w:jc w:val="both"/>
        <w:rPr>
          <w:color w:val="auto"/>
          <w:highlight w:val="none"/>
        </w:rPr>
      </w:pPr>
      <w:r>
        <w:rPr>
          <w:rFonts w:hint="eastAsia"/>
          <w:color w:val="auto"/>
          <w:highlight w:val="none"/>
        </w:rPr>
        <w:t>日　期</w:t>
      </w:r>
    </w:p>
    <w:p w14:paraId="523FB70B">
      <w:pPr>
        <w:pStyle w:val="25"/>
        <w:spacing w:before="0" w:beforeAutospacing="0" w:after="0" w:afterAutospacing="0" w:line="400" w:lineRule="exact"/>
        <w:jc w:val="both"/>
        <w:rPr>
          <w:color w:val="auto"/>
          <w:highlight w:val="none"/>
        </w:rPr>
      </w:pPr>
      <w:r>
        <w:rPr>
          <w:rFonts w:hint="eastAsia"/>
          <w:b/>
          <w:bCs/>
          <w:color w:val="auto"/>
          <w:sz w:val="36"/>
          <w:szCs w:val="36"/>
          <w:highlight w:val="none"/>
        </w:rPr>
        <w:t> </w:t>
      </w:r>
    </w:p>
    <w:p w14:paraId="4278ACF8">
      <w:pPr>
        <w:pStyle w:val="25"/>
        <w:spacing w:before="0" w:beforeAutospacing="0" w:after="0" w:afterAutospacing="0" w:line="400" w:lineRule="exact"/>
        <w:jc w:val="both"/>
        <w:rPr>
          <w:color w:val="auto"/>
          <w:highlight w:val="none"/>
        </w:rPr>
      </w:pPr>
      <w:r>
        <w:rPr>
          <w:rFonts w:hint="eastAsia"/>
          <w:b/>
          <w:bCs/>
          <w:color w:val="auto"/>
          <w:sz w:val="36"/>
          <w:szCs w:val="36"/>
          <w:highlight w:val="none"/>
        </w:rPr>
        <w:t> </w:t>
      </w:r>
    </w:p>
    <w:p w14:paraId="5F677C62">
      <w:pPr>
        <w:spacing w:beforeLines="50" w:line="320" w:lineRule="exact"/>
        <w:ind w:left="706" w:hanging="705" w:hangingChars="294"/>
        <w:rPr>
          <w:rFonts w:ascii="宋体" w:hAnsi="宋体"/>
          <w:color w:val="auto"/>
          <w:sz w:val="24"/>
          <w:highlight w:val="none"/>
        </w:rPr>
      </w:pPr>
    </w:p>
    <w:p w14:paraId="7857E678">
      <w:pPr>
        <w:pStyle w:val="14"/>
        <w:jc w:val="left"/>
        <w:rPr>
          <w:rFonts w:hAnsi="宋体"/>
          <w:color w:val="auto"/>
          <w:sz w:val="24"/>
          <w:szCs w:val="24"/>
          <w:highlight w:val="none"/>
        </w:rPr>
      </w:pPr>
    </w:p>
    <w:p w14:paraId="4C716F48">
      <w:pPr>
        <w:pStyle w:val="14"/>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《商务技术文件》封面格式</w:t>
      </w:r>
    </w:p>
    <w:p w14:paraId="5F0C3776">
      <w:pPr>
        <w:pStyle w:val="14"/>
        <w:jc w:val="left"/>
        <w:rPr>
          <w:rFonts w:hAnsi="宋体"/>
          <w:color w:val="auto"/>
          <w:sz w:val="24"/>
          <w:szCs w:val="24"/>
          <w:highlight w:val="none"/>
        </w:rPr>
      </w:pPr>
    </w:p>
    <w:p w14:paraId="00F012AE">
      <w:pPr>
        <w:pStyle w:val="14"/>
        <w:jc w:val="left"/>
        <w:rPr>
          <w:rFonts w:hAnsi="宋体"/>
          <w:color w:val="auto"/>
          <w:sz w:val="24"/>
          <w:szCs w:val="24"/>
          <w:highlight w:val="none"/>
        </w:rPr>
      </w:pPr>
    </w:p>
    <w:p w14:paraId="71381FA5">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5F27B478">
      <w:pPr>
        <w:pStyle w:val="14"/>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1B252B52">
      <w:pPr>
        <w:pStyle w:val="14"/>
        <w:jc w:val="left"/>
        <w:rPr>
          <w:rFonts w:hAnsi="宋体"/>
          <w:color w:val="auto"/>
          <w:sz w:val="24"/>
          <w:szCs w:val="24"/>
          <w:highlight w:val="none"/>
        </w:rPr>
      </w:pPr>
    </w:p>
    <w:p w14:paraId="503C51B3">
      <w:pPr>
        <w:pStyle w:val="14"/>
        <w:jc w:val="left"/>
        <w:rPr>
          <w:rFonts w:hAnsi="宋体"/>
          <w:color w:val="auto"/>
          <w:sz w:val="24"/>
          <w:szCs w:val="24"/>
          <w:highlight w:val="none"/>
        </w:rPr>
      </w:pPr>
    </w:p>
    <w:p w14:paraId="6C51E5C0">
      <w:pPr>
        <w:pStyle w:val="14"/>
        <w:jc w:val="center"/>
        <w:rPr>
          <w:rFonts w:hAnsi="宋体"/>
          <w:b/>
          <w:color w:val="auto"/>
          <w:sz w:val="72"/>
          <w:szCs w:val="72"/>
          <w:highlight w:val="none"/>
        </w:rPr>
      </w:pPr>
      <w:r>
        <w:rPr>
          <w:rFonts w:hint="eastAsia" w:hAnsi="宋体"/>
          <w:b/>
          <w:color w:val="auto"/>
          <w:sz w:val="72"/>
          <w:szCs w:val="72"/>
          <w:highlight w:val="none"/>
        </w:rPr>
        <w:t>响应文件</w:t>
      </w:r>
    </w:p>
    <w:p w14:paraId="5F5BE1B1">
      <w:pPr>
        <w:pStyle w:val="14"/>
        <w:jc w:val="center"/>
        <w:rPr>
          <w:rFonts w:hAnsi="宋体" w:cs="宋体"/>
          <w:b/>
          <w:color w:val="auto"/>
          <w:sz w:val="44"/>
          <w:szCs w:val="44"/>
          <w:highlight w:val="none"/>
        </w:rPr>
      </w:pPr>
      <w:r>
        <w:rPr>
          <w:rFonts w:hAnsi="宋体" w:cs="宋体"/>
          <w:b/>
          <w:color w:val="auto"/>
          <w:sz w:val="44"/>
          <w:szCs w:val="44"/>
          <w:highlight w:val="none"/>
        </w:rPr>
        <w:t>（商务技术文件）</w:t>
      </w:r>
    </w:p>
    <w:p w14:paraId="60A39094">
      <w:pPr>
        <w:pStyle w:val="14"/>
        <w:jc w:val="left"/>
        <w:rPr>
          <w:rFonts w:hAnsi="宋体"/>
          <w:color w:val="auto"/>
          <w:sz w:val="24"/>
          <w:szCs w:val="24"/>
          <w:highlight w:val="none"/>
        </w:rPr>
      </w:pPr>
    </w:p>
    <w:p w14:paraId="4DC7A8D5">
      <w:pPr>
        <w:pStyle w:val="14"/>
        <w:jc w:val="left"/>
        <w:rPr>
          <w:rFonts w:hAnsi="宋体"/>
          <w:color w:val="auto"/>
          <w:sz w:val="24"/>
          <w:szCs w:val="24"/>
          <w:highlight w:val="none"/>
        </w:rPr>
      </w:pPr>
    </w:p>
    <w:p w14:paraId="13CF6504">
      <w:pPr>
        <w:pStyle w:val="14"/>
        <w:jc w:val="left"/>
        <w:rPr>
          <w:rFonts w:hAnsi="宋体"/>
          <w:color w:val="auto"/>
          <w:sz w:val="24"/>
          <w:szCs w:val="24"/>
          <w:highlight w:val="none"/>
        </w:rPr>
      </w:pPr>
    </w:p>
    <w:p w14:paraId="3724B06F">
      <w:pPr>
        <w:pStyle w:val="14"/>
        <w:jc w:val="left"/>
        <w:rPr>
          <w:rFonts w:hAnsi="宋体"/>
          <w:color w:val="auto"/>
          <w:sz w:val="24"/>
          <w:szCs w:val="24"/>
          <w:highlight w:val="none"/>
        </w:rPr>
      </w:pPr>
    </w:p>
    <w:p w14:paraId="69BB01B9">
      <w:pPr>
        <w:pStyle w:val="14"/>
        <w:jc w:val="left"/>
        <w:rPr>
          <w:rFonts w:hAnsi="宋体"/>
          <w:color w:val="auto"/>
          <w:sz w:val="24"/>
          <w:szCs w:val="24"/>
          <w:highlight w:val="none"/>
        </w:rPr>
      </w:pPr>
    </w:p>
    <w:p w14:paraId="2349B002">
      <w:pPr>
        <w:pStyle w:val="14"/>
        <w:jc w:val="left"/>
        <w:rPr>
          <w:rFonts w:hAnsi="宋体"/>
          <w:color w:val="auto"/>
          <w:sz w:val="24"/>
          <w:szCs w:val="24"/>
          <w:highlight w:val="none"/>
        </w:rPr>
      </w:pPr>
    </w:p>
    <w:p w14:paraId="6A324616">
      <w:pPr>
        <w:pStyle w:val="14"/>
        <w:jc w:val="left"/>
        <w:rPr>
          <w:rFonts w:hAnsi="宋体"/>
          <w:color w:val="auto"/>
          <w:sz w:val="24"/>
          <w:szCs w:val="24"/>
          <w:highlight w:val="none"/>
        </w:rPr>
      </w:pPr>
    </w:p>
    <w:p w14:paraId="5CAB11E2">
      <w:pPr>
        <w:pStyle w:val="14"/>
        <w:jc w:val="left"/>
        <w:rPr>
          <w:rFonts w:hAnsi="宋体"/>
          <w:color w:val="auto"/>
          <w:sz w:val="24"/>
          <w:szCs w:val="24"/>
          <w:highlight w:val="none"/>
        </w:rPr>
      </w:pPr>
    </w:p>
    <w:p w14:paraId="6A762A21">
      <w:pPr>
        <w:pStyle w:val="14"/>
        <w:jc w:val="left"/>
        <w:rPr>
          <w:rFonts w:hAnsi="宋体"/>
          <w:color w:val="auto"/>
          <w:sz w:val="24"/>
          <w:szCs w:val="24"/>
          <w:highlight w:val="none"/>
        </w:rPr>
      </w:pPr>
    </w:p>
    <w:p w14:paraId="331F9906">
      <w:pPr>
        <w:pStyle w:val="14"/>
        <w:jc w:val="left"/>
        <w:rPr>
          <w:rFonts w:hAnsi="宋体"/>
          <w:color w:val="auto"/>
          <w:sz w:val="24"/>
          <w:szCs w:val="24"/>
          <w:highlight w:val="none"/>
        </w:rPr>
      </w:pPr>
    </w:p>
    <w:p w14:paraId="21FD92CA">
      <w:pPr>
        <w:pStyle w:val="14"/>
        <w:jc w:val="left"/>
        <w:rPr>
          <w:rFonts w:hAnsi="宋体"/>
          <w:color w:val="auto"/>
          <w:sz w:val="24"/>
          <w:szCs w:val="24"/>
          <w:highlight w:val="none"/>
        </w:rPr>
      </w:pPr>
    </w:p>
    <w:p w14:paraId="279DA40B">
      <w:pPr>
        <w:pStyle w:val="14"/>
        <w:jc w:val="left"/>
        <w:rPr>
          <w:rFonts w:hAnsi="宋体"/>
          <w:color w:val="auto"/>
          <w:sz w:val="24"/>
          <w:szCs w:val="24"/>
          <w:highlight w:val="none"/>
        </w:rPr>
      </w:pPr>
    </w:p>
    <w:p w14:paraId="219ADE52">
      <w:pPr>
        <w:pStyle w:val="14"/>
        <w:jc w:val="left"/>
        <w:rPr>
          <w:rFonts w:hAnsi="宋体"/>
          <w:color w:val="auto"/>
          <w:sz w:val="24"/>
          <w:szCs w:val="24"/>
          <w:highlight w:val="none"/>
        </w:rPr>
      </w:pPr>
    </w:p>
    <w:p w14:paraId="609E565F">
      <w:pPr>
        <w:pStyle w:val="14"/>
        <w:jc w:val="left"/>
        <w:rPr>
          <w:rFonts w:hAnsi="宋体"/>
          <w:color w:val="auto"/>
          <w:sz w:val="24"/>
          <w:szCs w:val="24"/>
          <w:highlight w:val="none"/>
        </w:rPr>
      </w:pPr>
    </w:p>
    <w:p w14:paraId="1F04A618">
      <w:pPr>
        <w:pStyle w:val="14"/>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092100C7">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473B0A6B">
      <w:pPr>
        <w:pStyle w:val="14"/>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51B28DE8">
      <w:pPr>
        <w:pStyle w:val="14"/>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5C39B7A2">
      <w:pPr>
        <w:pStyle w:val="14"/>
        <w:jc w:val="left"/>
        <w:rPr>
          <w:rFonts w:hAnsi="宋体"/>
          <w:bCs/>
          <w:color w:val="auto"/>
          <w:sz w:val="24"/>
          <w:highlight w:val="none"/>
        </w:rPr>
      </w:pPr>
      <w:r>
        <w:rPr>
          <w:rFonts w:hAnsi="宋体"/>
          <w:color w:val="auto"/>
          <w:sz w:val="32"/>
          <w:szCs w:val="32"/>
          <w:highlight w:val="none"/>
        </w:rPr>
        <w:br w:type="page"/>
      </w:r>
    </w:p>
    <w:p w14:paraId="029DE230">
      <w:pPr>
        <w:pStyle w:val="14"/>
        <w:spacing w:line="450" w:lineRule="exact"/>
        <w:rPr>
          <w:rFonts w:hAnsi="宋体"/>
          <w:color w:val="auto"/>
          <w:sz w:val="24"/>
          <w:szCs w:val="24"/>
          <w:highlight w:val="none"/>
        </w:rPr>
      </w:pPr>
    </w:p>
    <w:p w14:paraId="1CD1BC68">
      <w:pPr>
        <w:pStyle w:val="14"/>
        <w:jc w:val="center"/>
        <w:rPr>
          <w:rFonts w:hAnsi="宋体"/>
          <w:b/>
          <w:color w:val="auto"/>
          <w:sz w:val="28"/>
          <w:szCs w:val="28"/>
          <w:highlight w:val="none"/>
        </w:rPr>
      </w:pPr>
      <w:r>
        <w:rPr>
          <w:rFonts w:hint="eastAsia" w:hAnsi="宋体"/>
          <w:b/>
          <w:color w:val="auto"/>
          <w:sz w:val="28"/>
          <w:szCs w:val="28"/>
          <w:highlight w:val="none"/>
        </w:rPr>
        <w:t>供应商参加本项目无围标串标行为的承诺函</w:t>
      </w:r>
    </w:p>
    <w:p w14:paraId="6BFA7669">
      <w:pPr>
        <w:snapToGrid w:val="0"/>
        <w:spacing w:beforeLines="50" w:after="50"/>
        <w:jc w:val="left"/>
        <w:rPr>
          <w:rFonts w:ascii="宋体" w:hAnsi="宋体"/>
          <w:b/>
          <w:color w:val="auto"/>
          <w:sz w:val="24"/>
          <w:highlight w:val="none"/>
        </w:rPr>
      </w:pPr>
      <w:r>
        <w:rPr>
          <w:rFonts w:hint="eastAsia" w:ascii="宋体" w:hAnsi="宋体"/>
          <w:b/>
          <w:color w:val="auto"/>
          <w:sz w:val="24"/>
          <w:highlight w:val="none"/>
        </w:rPr>
        <w:t>一、我公司承诺无下列相互串通投标的情形：</w:t>
      </w:r>
    </w:p>
    <w:p w14:paraId="656F90EA">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（1）不同</w:t>
      </w:r>
      <w:r>
        <w:rPr>
          <w:rFonts w:hint="eastAsia" w:ascii="宋体" w:hAnsi="宋体"/>
          <w:color w:val="auto"/>
          <w:sz w:val="24"/>
          <w:highlight w:val="none"/>
        </w:rPr>
        <w:t>供应商</w:t>
      </w:r>
      <w:r>
        <w:rPr>
          <w:rFonts w:ascii="宋体" w:hAnsi="宋体"/>
          <w:color w:val="auto"/>
          <w:sz w:val="24"/>
          <w:highlight w:val="none"/>
        </w:rPr>
        <w:t>的响应文件由同一单位或者个人编制；</w:t>
      </w:r>
    </w:p>
    <w:p w14:paraId="18D771C2">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（2）不同</w:t>
      </w:r>
      <w:r>
        <w:rPr>
          <w:rFonts w:hint="eastAsia" w:ascii="宋体" w:hAnsi="宋体"/>
          <w:color w:val="auto"/>
          <w:sz w:val="24"/>
          <w:highlight w:val="none"/>
        </w:rPr>
        <w:t>供应商</w:t>
      </w:r>
      <w:r>
        <w:rPr>
          <w:rFonts w:ascii="宋体" w:hAnsi="宋体"/>
          <w:color w:val="auto"/>
          <w:sz w:val="24"/>
          <w:highlight w:val="none"/>
        </w:rPr>
        <w:t>委托同一单位或者个人办理磋商事宜；</w:t>
      </w:r>
    </w:p>
    <w:p w14:paraId="699BB0B5">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（3）不同</w:t>
      </w:r>
      <w:r>
        <w:rPr>
          <w:rFonts w:hint="eastAsia" w:ascii="宋体" w:hAnsi="宋体"/>
          <w:color w:val="auto"/>
          <w:sz w:val="24"/>
          <w:highlight w:val="none"/>
        </w:rPr>
        <w:t>供应商</w:t>
      </w:r>
      <w:r>
        <w:rPr>
          <w:rFonts w:ascii="宋体" w:hAnsi="宋体"/>
          <w:color w:val="auto"/>
          <w:sz w:val="24"/>
          <w:highlight w:val="none"/>
        </w:rPr>
        <w:t>的响应文件载明的项目管理成员（项目经办人）为同一人；</w:t>
      </w:r>
    </w:p>
    <w:p w14:paraId="340A16B8">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（4）不同</w:t>
      </w:r>
      <w:r>
        <w:rPr>
          <w:rFonts w:hint="eastAsia" w:ascii="宋体" w:hAnsi="宋体"/>
          <w:color w:val="auto"/>
          <w:sz w:val="24"/>
          <w:highlight w:val="none"/>
        </w:rPr>
        <w:t>供应商</w:t>
      </w:r>
      <w:r>
        <w:rPr>
          <w:rFonts w:ascii="宋体" w:hAnsi="宋体"/>
          <w:color w:val="auto"/>
          <w:sz w:val="24"/>
          <w:highlight w:val="none"/>
        </w:rPr>
        <w:t>的响应文件异常一致或者磋商报价呈规律性差异；</w:t>
      </w:r>
    </w:p>
    <w:p w14:paraId="37212265">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（5）不同</w:t>
      </w:r>
      <w:r>
        <w:rPr>
          <w:rFonts w:hint="eastAsia" w:ascii="宋体" w:hAnsi="宋体"/>
          <w:color w:val="auto"/>
          <w:sz w:val="24"/>
          <w:highlight w:val="none"/>
        </w:rPr>
        <w:t>供应商</w:t>
      </w:r>
      <w:r>
        <w:rPr>
          <w:rFonts w:ascii="宋体" w:hAnsi="宋体"/>
          <w:color w:val="auto"/>
          <w:sz w:val="24"/>
          <w:highlight w:val="none"/>
        </w:rPr>
        <w:t>的响应文件相互混装；</w:t>
      </w:r>
    </w:p>
    <w:p w14:paraId="50EDF6D2">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（6）不同</w:t>
      </w:r>
      <w:r>
        <w:rPr>
          <w:rFonts w:hint="eastAsia" w:ascii="宋体" w:hAnsi="宋体"/>
          <w:color w:val="auto"/>
          <w:sz w:val="24"/>
          <w:highlight w:val="none"/>
        </w:rPr>
        <w:t>供应商</w:t>
      </w:r>
      <w:r>
        <w:rPr>
          <w:rFonts w:ascii="宋体" w:hAnsi="宋体"/>
          <w:color w:val="auto"/>
          <w:sz w:val="24"/>
          <w:highlight w:val="none"/>
        </w:rPr>
        <w:t>的磋商保证金从同一单位或者个人的账户转出。</w:t>
      </w:r>
    </w:p>
    <w:p w14:paraId="6F90BEFE">
      <w:pPr>
        <w:snapToGrid w:val="0"/>
        <w:spacing w:beforeLines="50" w:after="50"/>
        <w:jc w:val="left"/>
        <w:rPr>
          <w:rFonts w:ascii="宋体" w:hAnsi="宋体"/>
          <w:color w:val="auto"/>
          <w:sz w:val="24"/>
          <w:highlight w:val="none"/>
        </w:rPr>
      </w:pPr>
      <w:r>
        <w:rPr>
          <w:rFonts w:hint="eastAsia" w:ascii="宋体" w:hAnsi="宋体"/>
          <w:b/>
          <w:color w:val="auto"/>
          <w:sz w:val="24"/>
          <w:highlight w:val="none"/>
        </w:rPr>
        <w:t>二、我公司承诺无下列恶意串通的情形：</w:t>
      </w:r>
    </w:p>
    <w:p w14:paraId="55A4712C">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1.供应商直接或者间接从采购人或者采购代理机构处获得其他供应商的相关信息并修改其响应文件或者响应文件；</w:t>
      </w:r>
    </w:p>
    <w:p w14:paraId="570AB24F">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2.供应商按照采购人或者采购代理机构的授意撤换、修改响应文件或者响应文件；</w:t>
      </w:r>
    </w:p>
    <w:p w14:paraId="19C711AA">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3.供应商之间协商报价、技术方案等响应文件或者响应文件的实质性内容；</w:t>
      </w:r>
    </w:p>
    <w:p w14:paraId="3189EC4C">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4.属于同一集团、协会、商会等组织成员的供应商按照该组织要求协同参加政府采购活动；</w:t>
      </w:r>
    </w:p>
    <w:p w14:paraId="6ADB1D01">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5.供应商之间事先约定一致抬高或者压低投标报价,或者在招标项目中事先约定轮流以高价位或者低价位中标（成交）,或者事先约定由某一特定供应商中标（成交）,然后再参加投标；</w:t>
      </w:r>
    </w:p>
    <w:p w14:paraId="1FF312A4">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6.供应商之间商定部分供应商放弃参加政府采购活动或者放弃中标（成交）；</w:t>
      </w:r>
    </w:p>
    <w:p w14:paraId="70D4ACF5">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7.供应商与采购人或者采购代理机构之间、供应商相互之间，为谋求特定供应商中标（成交）或者排斥其他供应商的其他串通行为。</w:t>
      </w:r>
    </w:p>
    <w:p w14:paraId="5D218CE9">
      <w:pPr>
        <w:snapToGrid w:val="0"/>
        <w:spacing w:beforeLines="50" w:after="50"/>
        <w:ind w:firstLine="470" w:firstLineChars="196"/>
        <w:jc w:val="left"/>
        <w:rPr>
          <w:rFonts w:ascii="宋体" w:hAnsi="宋体"/>
          <w:color w:val="auto"/>
          <w:sz w:val="24"/>
          <w:highlight w:val="none"/>
        </w:rPr>
      </w:pPr>
    </w:p>
    <w:p w14:paraId="20AFCAB4">
      <w:pPr>
        <w:snapToGrid w:val="0"/>
        <w:spacing w:beforeLines="50" w:after="50"/>
        <w:ind w:firstLine="472" w:firstLineChars="196"/>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以上情形一经核查属实，我方愿意承担一切后果，并不再寻求任何旨在减轻或免除法律责任的辩解。</w:t>
      </w:r>
    </w:p>
    <w:p w14:paraId="5DF9B373">
      <w:pPr>
        <w:spacing w:line="360" w:lineRule="auto"/>
        <w:rPr>
          <w:rFonts w:ascii="宋体" w:hAnsi="宋体" w:cs="仿宋_GB2312"/>
          <w:color w:val="auto"/>
          <w:sz w:val="24"/>
          <w:highlight w:val="none"/>
        </w:rPr>
      </w:pPr>
    </w:p>
    <w:p w14:paraId="35A07670">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0F490377">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1A025DDA">
      <w:pPr>
        <w:rPr>
          <w:rFonts w:hAnsi="宋体"/>
          <w:b/>
          <w:color w:val="auto"/>
          <w:sz w:val="32"/>
          <w:highlight w:val="none"/>
        </w:rPr>
      </w:pPr>
      <w:r>
        <w:rPr>
          <w:rFonts w:hint="eastAsia" w:hAnsi="宋体"/>
          <w:b/>
          <w:color w:val="auto"/>
          <w:sz w:val="32"/>
          <w:highlight w:val="none"/>
        </w:rPr>
        <w:br w:type="page"/>
      </w:r>
    </w:p>
    <w:p w14:paraId="7B6316BE">
      <w:pPr>
        <w:pStyle w:val="14"/>
        <w:spacing w:line="460" w:lineRule="exact"/>
        <w:jc w:val="center"/>
        <w:rPr>
          <w:rFonts w:hAnsi="宋体"/>
          <w:b/>
          <w:color w:val="auto"/>
          <w:sz w:val="32"/>
          <w:highlight w:val="none"/>
        </w:rPr>
      </w:pPr>
      <w:r>
        <w:rPr>
          <w:rFonts w:hint="eastAsia" w:hAnsi="宋体"/>
          <w:b/>
          <w:color w:val="auto"/>
          <w:sz w:val="32"/>
          <w:highlight w:val="none"/>
        </w:rPr>
        <w:t>磋商响应函</w:t>
      </w:r>
    </w:p>
    <w:p w14:paraId="5748A912">
      <w:pPr>
        <w:pStyle w:val="14"/>
        <w:spacing w:line="450" w:lineRule="exact"/>
        <w:rPr>
          <w:rFonts w:hAnsi="宋体"/>
          <w:color w:val="auto"/>
          <w:sz w:val="24"/>
          <w:szCs w:val="24"/>
          <w:highlight w:val="none"/>
        </w:rPr>
      </w:pPr>
    </w:p>
    <w:p w14:paraId="0F5B70F5">
      <w:pPr>
        <w:pStyle w:val="14"/>
        <w:spacing w:line="450" w:lineRule="exact"/>
        <w:rPr>
          <w:rFonts w:hAnsi="宋体"/>
          <w:color w:val="auto"/>
          <w:sz w:val="24"/>
          <w:szCs w:val="24"/>
          <w:highlight w:val="none"/>
        </w:rPr>
      </w:pPr>
      <w:r>
        <w:rPr>
          <w:rFonts w:hint="eastAsia" w:hAnsi="宋体"/>
          <w:color w:val="auto"/>
          <w:sz w:val="24"/>
          <w:szCs w:val="24"/>
          <w:highlight w:val="none"/>
        </w:rPr>
        <w:t>致：广西建基项目管理顾问有限公司</w:t>
      </w:r>
    </w:p>
    <w:p w14:paraId="3826BFC8">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根据贵方</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竞争性磋商文件，</w:t>
      </w:r>
      <w:r>
        <w:rPr>
          <w:rFonts w:hint="eastAsia" w:hAnsi="宋体"/>
          <w:color w:val="auto"/>
          <w:sz w:val="24"/>
          <w:szCs w:val="24"/>
          <w:highlight w:val="none"/>
          <w:u w:val="single"/>
        </w:rPr>
        <w:t xml:space="preserve">  （供应商名称） </w:t>
      </w:r>
      <w:r>
        <w:rPr>
          <w:rFonts w:hint="eastAsia" w:hAnsi="宋体"/>
          <w:color w:val="auto"/>
          <w:spacing w:val="-2"/>
          <w:sz w:val="24"/>
          <w:szCs w:val="24"/>
          <w:highlight w:val="none"/>
        </w:rPr>
        <w:t>提交电子响应文件壹份</w:t>
      </w:r>
      <w:r>
        <w:rPr>
          <w:rFonts w:hint="eastAsia" w:hAnsi="宋体"/>
          <w:color w:val="auto"/>
          <w:sz w:val="24"/>
          <w:szCs w:val="24"/>
          <w:highlight w:val="none"/>
        </w:rPr>
        <w:t>。</w:t>
      </w:r>
    </w:p>
    <w:p w14:paraId="15C48B27">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据此函，签字代表宣布同意如下：</w:t>
      </w:r>
    </w:p>
    <w:p w14:paraId="37B00543">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1、我方承诺已经具备《中华人民共和国政府采购法》中规定的参加政府采购活动的供应商应当具备的条件：</w:t>
      </w:r>
    </w:p>
    <w:p w14:paraId="192D73CF">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（1）具有独立承担民事责任的能力；</w:t>
      </w:r>
    </w:p>
    <w:p w14:paraId="26FD6FDD">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（2）具有良好的商业信誉和健全的财务会计制度；</w:t>
      </w:r>
    </w:p>
    <w:p w14:paraId="68A26F7B">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（3）具有履行合同所必需的设备和专业技术能力；</w:t>
      </w:r>
    </w:p>
    <w:p w14:paraId="1912C0A1">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（4）有依法缴纳税收和社会保障资金的良好记录；</w:t>
      </w:r>
    </w:p>
    <w:p w14:paraId="0FF76D8A">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（5）参加此项采购活动前三年内，在经营活动中没有重大违法记录。</w:t>
      </w:r>
    </w:p>
    <w:p w14:paraId="453CD9DC">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2、我方已详细审查全部磋商文件，包括修改文件（如有的话）以及全部参考资料和有关附件，已经了解我方对于采购文件、采购过程、采购结果有依法进行询问、质疑、投诉的权利及相关渠道和要求。</w:t>
      </w:r>
    </w:p>
    <w:p w14:paraId="47D08100">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3、我方在参加本项目磋商之前已经与贵方进行了充分的沟通，完全理解并接受磋商文件的各项规定和要求，对磋商文件的合理性、合法性不再有异议。</w:t>
      </w:r>
    </w:p>
    <w:p w14:paraId="10C834E0">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4、响应文件从响应文件提交截止日起天内有效。</w:t>
      </w:r>
    </w:p>
    <w:p w14:paraId="5FC6F6DA">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5、如成交，本响应文件至本项目合同履行完毕止均保持有效，我方将按政府采购法律、法规及磋商文件的规定履行合同责任和义务。</w:t>
      </w:r>
    </w:p>
    <w:p w14:paraId="2AEFCE51">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6、如果在响应文件提交截止时间后的磋商有效期内撤回响应文件或者有其他违约行为，贵方可对我方的磋商保证金不予退还。</w:t>
      </w:r>
    </w:p>
    <w:p w14:paraId="01F04E91">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7、同意向贵方提供贵方可能要求的与本项目磋商有关的任何数据或资料。</w:t>
      </w:r>
    </w:p>
    <w:p w14:paraId="16BD1198">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8、我方完全理解贵方不一定要接受最低报价的供应商为成交供应商。</w:t>
      </w:r>
    </w:p>
    <w:p w14:paraId="4755FC74">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9、若贵方需要，我方愿意提供我方作出的一切承诺的证明材料。</w:t>
      </w:r>
    </w:p>
    <w:p w14:paraId="54C71628">
      <w:pPr>
        <w:pStyle w:val="14"/>
        <w:spacing w:line="450" w:lineRule="exact"/>
        <w:ind w:firstLine="480" w:firstLineChars="200"/>
        <w:rPr>
          <w:rFonts w:hAnsi="宋体"/>
          <w:color w:val="auto"/>
          <w:sz w:val="24"/>
          <w:szCs w:val="24"/>
          <w:highlight w:val="none"/>
        </w:rPr>
      </w:pPr>
      <w:r>
        <w:rPr>
          <w:rFonts w:hint="eastAsia" w:hAnsi="宋体"/>
          <w:color w:val="auto"/>
          <w:sz w:val="24"/>
          <w:szCs w:val="24"/>
          <w:highlight w:val="none"/>
        </w:rPr>
        <w:t>10、我方将严格遵守《中华人民共和国政府采购法》第七十七条规定，供应商有下列情形之一的，处以采购金额5</w:t>
      </w:r>
      <w:r>
        <w:rPr>
          <w:rFonts w:hAnsi="宋体"/>
          <w:color w:val="auto"/>
          <w:sz w:val="24"/>
          <w:szCs w:val="24"/>
          <w:highlight w:val="none"/>
        </w:rPr>
        <w:t>‰</w:t>
      </w:r>
      <w:r>
        <w:rPr>
          <w:rFonts w:hint="eastAsia" w:hAnsi="宋体"/>
          <w:color w:val="auto"/>
          <w:sz w:val="24"/>
          <w:szCs w:val="24"/>
          <w:highlight w:val="none"/>
        </w:rPr>
        <w:t>以上10</w:t>
      </w:r>
      <w:r>
        <w:rPr>
          <w:rFonts w:hAnsi="宋体"/>
          <w:color w:val="auto"/>
          <w:sz w:val="24"/>
          <w:szCs w:val="24"/>
          <w:highlight w:val="none"/>
        </w:rPr>
        <w:t>‰</w:t>
      </w:r>
      <w:r>
        <w:rPr>
          <w:rFonts w:hint="eastAsia" w:hAnsi="宋体"/>
          <w:color w:val="auto"/>
          <w:sz w:val="24"/>
          <w:szCs w:val="24"/>
          <w:highlight w:val="none"/>
        </w:rPr>
        <w:t>以下的罚款，列入不良行为记录名单，在一到三年内禁止参加政府采购活动，有违法所得的，并处没收违法所得，情节严重的，由工商行政管理机关吊销营业执照；构成犯罪的，依法追究刑事责任：</w:t>
      </w:r>
    </w:p>
    <w:p w14:paraId="11E93E6C">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（1）提供虚假材料谋取中标、成交的；</w:t>
      </w:r>
    </w:p>
    <w:p w14:paraId="2604F9BC">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（2）采取不正当手段诋毁、排挤其他供应商的；</w:t>
      </w:r>
    </w:p>
    <w:p w14:paraId="2E03762D">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（3）与采购人、其他供应商或者采购代理机构恶意串通的；</w:t>
      </w:r>
    </w:p>
    <w:p w14:paraId="1CC9398F">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（4）向采购人、采购代理机构行贿或者提供其他不正当利益的；</w:t>
      </w:r>
    </w:p>
    <w:p w14:paraId="0BE975B6">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（5）在招标采购过程中与采购人进行协商谈判的；</w:t>
      </w:r>
    </w:p>
    <w:p w14:paraId="78E2E07E">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（6）拒绝有关部门监督检查或提供虚假情况的。</w:t>
      </w:r>
    </w:p>
    <w:p w14:paraId="354E2FF5">
      <w:pPr>
        <w:pStyle w:val="14"/>
        <w:spacing w:line="440" w:lineRule="exact"/>
        <w:rPr>
          <w:rFonts w:hAnsi="宋体"/>
          <w:color w:val="auto"/>
          <w:sz w:val="24"/>
          <w:szCs w:val="24"/>
          <w:highlight w:val="none"/>
        </w:rPr>
      </w:pPr>
    </w:p>
    <w:p w14:paraId="5A60B656">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与本磋商有关的正式通讯地址为：</w:t>
      </w:r>
    </w:p>
    <w:p w14:paraId="5342EE41">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地址：    邮政编码：</w:t>
      </w:r>
    </w:p>
    <w:p w14:paraId="317D7CCD">
      <w:pPr>
        <w:pStyle w:val="14"/>
        <w:spacing w:line="440" w:lineRule="exact"/>
        <w:ind w:firstLine="480" w:firstLineChars="200"/>
        <w:rPr>
          <w:rFonts w:hAnsi="宋体"/>
          <w:color w:val="auto"/>
          <w:sz w:val="24"/>
          <w:szCs w:val="24"/>
          <w:highlight w:val="none"/>
          <w:u w:val="single"/>
        </w:rPr>
      </w:pPr>
      <w:r>
        <w:rPr>
          <w:rFonts w:hint="eastAsia" w:hAnsi="宋体"/>
          <w:color w:val="auto"/>
          <w:sz w:val="24"/>
          <w:szCs w:val="24"/>
          <w:highlight w:val="none"/>
        </w:rPr>
        <w:t>电话、传真或电传：</w:t>
      </w:r>
    </w:p>
    <w:p w14:paraId="74D0E988">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开户名称：</w:t>
      </w:r>
    </w:p>
    <w:p w14:paraId="359E2006">
      <w:pPr>
        <w:pStyle w:val="14"/>
        <w:spacing w:line="440" w:lineRule="exact"/>
        <w:ind w:firstLine="480" w:firstLineChars="200"/>
        <w:rPr>
          <w:rFonts w:hAnsi="宋体"/>
          <w:color w:val="auto"/>
          <w:sz w:val="24"/>
          <w:szCs w:val="24"/>
          <w:highlight w:val="none"/>
        </w:rPr>
      </w:pPr>
      <w:r>
        <w:rPr>
          <w:rFonts w:hint="eastAsia" w:hAnsi="宋体"/>
          <w:color w:val="auto"/>
          <w:sz w:val="24"/>
          <w:szCs w:val="24"/>
          <w:highlight w:val="none"/>
        </w:rPr>
        <w:t>开户银行：</w:t>
      </w:r>
    </w:p>
    <w:p w14:paraId="20C595A0">
      <w:pPr>
        <w:pStyle w:val="14"/>
        <w:spacing w:line="440" w:lineRule="exact"/>
        <w:ind w:firstLine="480" w:firstLineChars="200"/>
        <w:rPr>
          <w:rFonts w:hAnsi="宋体"/>
          <w:color w:val="auto"/>
          <w:sz w:val="24"/>
          <w:szCs w:val="24"/>
          <w:highlight w:val="none"/>
          <w:u w:val="single"/>
        </w:rPr>
      </w:pPr>
      <w:r>
        <w:rPr>
          <w:rFonts w:hint="eastAsia" w:hAnsi="宋体"/>
          <w:color w:val="auto"/>
          <w:sz w:val="24"/>
          <w:szCs w:val="24"/>
          <w:highlight w:val="none"/>
        </w:rPr>
        <w:t>银行帐号：</w:t>
      </w:r>
    </w:p>
    <w:p w14:paraId="2C373D11">
      <w:pPr>
        <w:pStyle w:val="14"/>
        <w:spacing w:line="320" w:lineRule="exact"/>
        <w:rPr>
          <w:rFonts w:hAnsi="宋体"/>
          <w:color w:val="auto"/>
          <w:sz w:val="24"/>
          <w:szCs w:val="24"/>
          <w:highlight w:val="none"/>
        </w:rPr>
      </w:pPr>
    </w:p>
    <w:p w14:paraId="406B541B">
      <w:pPr>
        <w:pStyle w:val="14"/>
        <w:rPr>
          <w:rFonts w:hAnsi="宋体"/>
          <w:bCs/>
          <w:color w:val="auto"/>
          <w:sz w:val="24"/>
          <w:szCs w:val="24"/>
          <w:highlight w:val="none"/>
        </w:rPr>
      </w:pPr>
    </w:p>
    <w:p w14:paraId="182D4021">
      <w:pPr>
        <w:pStyle w:val="14"/>
        <w:rPr>
          <w:rFonts w:hAnsi="宋体"/>
          <w:bCs/>
          <w:color w:val="auto"/>
          <w:sz w:val="24"/>
          <w:szCs w:val="24"/>
          <w:highlight w:val="none"/>
        </w:rPr>
      </w:pPr>
    </w:p>
    <w:p w14:paraId="78FDEDFA">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222E9DBD">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1E6E4970">
      <w:pPr>
        <w:pStyle w:val="14"/>
        <w:spacing w:line="320" w:lineRule="exact"/>
        <w:rPr>
          <w:rFonts w:hAnsi="宋体"/>
          <w:color w:val="auto"/>
          <w:sz w:val="24"/>
          <w:szCs w:val="24"/>
          <w:highlight w:val="none"/>
        </w:rPr>
      </w:pPr>
    </w:p>
    <w:p w14:paraId="59FF7609">
      <w:pPr>
        <w:pStyle w:val="14"/>
        <w:spacing w:line="320" w:lineRule="exact"/>
        <w:rPr>
          <w:rFonts w:hAnsi="宋体"/>
          <w:color w:val="auto"/>
          <w:sz w:val="24"/>
          <w:szCs w:val="24"/>
          <w:highlight w:val="none"/>
        </w:rPr>
      </w:pPr>
    </w:p>
    <w:p w14:paraId="503449A5">
      <w:pPr>
        <w:pStyle w:val="14"/>
        <w:spacing w:line="320" w:lineRule="exact"/>
        <w:rPr>
          <w:rFonts w:hAnsi="宋体"/>
          <w:color w:val="auto"/>
          <w:sz w:val="24"/>
          <w:szCs w:val="24"/>
          <w:highlight w:val="none"/>
        </w:rPr>
      </w:pPr>
    </w:p>
    <w:p w14:paraId="0A8159D2">
      <w:pPr>
        <w:pStyle w:val="14"/>
        <w:spacing w:line="320" w:lineRule="exact"/>
        <w:rPr>
          <w:rFonts w:hAnsi="宋体"/>
          <w:color w:val="auto"/>
          <w:sz w:val="24"/>
          <w:szCs w:val="24"/>
          <w:highlight w:val="none"/>
        </w:rPr>
      </w:pPr>
    </w:p>
    <w:p w14:paraId="020D7C5D">
      <w:pPr>
        <w:pStyle w:val="14"/>
        <w:spacing w:line="320" w:lineRule="exact"/>
        <w:rPr>
          <w:rFonts w:hAnsi="宋体"/>
          <w:color w:val="auto"/>
          <w:sz w:val="24"/>
          <w:szCs w:val="24"/>
          <w:highlight w:val="none"/>
        </w:rPr>
      </w:pPr>
    </w:p>
    <w:p w14:paraId="7DB08839">
      <w:pPr>
        <w:pStyle w:val="14"/>
        <w:spacing w:line="320" w:lineRule="exact"/>
        <w:rPr>
          <w:rFonts w:hAnsi="宋体"/>
          <w:color w:val="auto"/>
          <w:sz w:val="24"/>
          <w:szCs w:val="24"/>
          <w:highlight w:val="none"/>
        </w:rPr>
      </w:pPr>
    </w:p>
    <w:p w14:paraId="54F4F56C">
      <w:pPr>
        <w:pStyle w:val="14"/>
        <w:spacing w:line="320" w:lineRule="exact"/>
        <w:rPr>
          <w:rFonts w:hAnsi="宋体"/>
          <w:color w:val="auto"/>
          <w:sz w:val="24"/>
          <w:szCs w:val="24"/>
          <w:highlight w:val="none"/>
        </w:rPr>
      </w:pPr>
    </w:p>
    <w:p w14:paraId="557276E6">
      <w:pPr>
        <w:pStyle w:val="14"/>
        <w:spacing w:line="320" w:lineRule="exact"/>
        <w:rPr>
          <w:rFonts w:hAnsi="宋体"/>
          <w:color w:val="auto"/>
          <w:sz w:val="24"/>
          <w:szCs w:val="24"/>
          <w:highlight w:val="none"/>
        </w:rPr>
      </w:pPr>
    </w:p>
    <w:p w14:paraId="4A8B4C54">
      <w:pPr>
        <w:pStyle w:val="14"/>
        <w:spacing w:line="320" w:lineRule="exact"/>
        <w:rPr>
          <w:rFonts w:hAnsi="宋体"/>
          <w:color w:val="auto"/>
          <w:sz w:val="24"/>
          <w:szCs w:val="24"/>
          <w:highlight w:val="none"/>
        </w:rPr>
      </w:pPr>
    </w:p>
    <w:p w14:paraId="02E2CAF9">
      <w:pPr>
        <w:pStyle w:val="14"/>
        <w:spacing w:line="320" w:lineRule="exact"/>
        <w:rPr>
          <w:rFonts w:hAnsi="宋体"/>
          <w:color w:val="auto"/>
          <w:sz w:val="24"/>
          <w:szCs w:val="24"/>
          <w:highlight w:val="none"/>
        </w:rPr>
      </w:pPr>
    </w:p>
    <w:p w14:paraId="22AA6AD0">
      <w:pPr>
        <w:pStyle w:val="14"/>
        <w:spacing w:line="320" w:lineRule="exact"/>
        <w:rPr>
          <w:rFonts w:hAnsi="宋体"/>
          <w:color w:val="auto"/>
          <w:sz w:val="24"/>
          <w:szCs w:val="24"/>
          <w:highlight w:val="none"/>
        </w:rPr>
      </w:pPr>
    </w:p>
    <w:p w14:paraId="6FD16281">
      <w:pPr>
        <w:pStyle w:val="14"/>
        <w:spacing w:line="320" w:lineRule="exact"/>
        <w:rPr>
          <w:rFonts w:hAnsi="宋体"/>
          <w:color w:val="auto"/>
          <w:sz w:val="24"/>
          <w:szCs w:val="24"/>
          <w:highlight w:val="none"/>
        </w:rPr>
      </w:pPr>
    </w:p>
    <w:p w14:paraId="39AB6B00">
      <w:pPr>
        <w:pStyle w:val="14"/>
        <w:spacing w:line="320" w:lineRule="exact"/>
        <w:rPr>
          <w:rFonts w:hAnsi="宋体"/>
          <w:color w:val="auto"/>
          <w:sz w:val="24"/>
          <w:szCs w:val="24"/>
          <w:highlight w:val="none"/>
        </w:rPr>
      </w:pPr>
    </w:p>
    <w:p w14:paraId="7DC35807">
      <w:pPr>
        <w:pStyle w:val="14"/>
        <w:pBdr>
          <w:bottom w:val="single" w:color="auto" w:sz="6" w:space="1"/>
        </w:pBdr>
        <w:spacing w:line="320" w:lineRule="exact"/>
        <w:rPr>
          <w:rFonts w:hAnsi="宋体"/>
          <w:color w:val="auto"/>
          <w:sz w:val="24"/>
          <w:szCs w:val="24"/>
          <w:highlight w:val="none"/>
        </w:rPr>
      </w:pPr>
    </w:p>
    <w:p w14:paraId="140DAB9E">
      <w:pPr>
        <w:pStyle w:val="14"/>
        <w:spacing w:line="400" w:lineRule="exact"/>
        <w:ind w:left="422" w:hanging="422" w:hangingChars="200"/>
        <w:rPr>
          <w:rFonts w:hAnsi="宋体"/>
          <w:color w:val="auto"/>
          <w:highlight w:val="none"/>
        </w:rPr>
      </w:pPr>
      <w:r>
        <w:rPr>
          <w:rFonts w:hint="eastAsia" w:hAnsi="宋体"/>
          <w:b/>
          <w:bCs/>
          <w:color w:val="auto"/>
          <w:highlight w:val="none"/>
        </w:rPr>
        <w:t>说明</w:t>
      </w:r>
      <w:r>
        <w:rPr>
          <w:rFonts w:hint="eastAsia" w:hAnsi="宋体"/>
          <w:b/>
          <w:color w:val="auto"/>
          <w:szCs w:val="21"/>
          <w:highlight w:val="none"/>
        </w:rPr>
        <w:t>：</w:t>
      </w:r>
      <w:r>
        <w:rPr>
          <w:rFonts w:hint="eastAsia" w:hAnsi="宋体"/>
          <w:color w:val="auto"/>
          <w:spacing w:val="-4"/>
          <w:highlight w:val="none"/>
        </w:rPr>
        <w:t>供应商未按以上格式填写、或加盖</w:t>
      </w:r>
      <w:r>
        <w:rPr>
          <w:rFonts w:hAnsi="宋体"/>
          <w:color w:val="auto"/>
          <w:spacing w:val="-4"/>
          <w:highlight w:val="none"/>
        </w:rPr>
        <w:t>CA</w:t>
      </w:r>
      <w:r>
        <w:rPr>
          <w:rFonts w:hint="eastAsia" w:hAnsi="宋体"/>
          <w:color w:val="auto"/>
          <w:spacing w:val="-4"/>
          <w:highlight w:val="none"/>
        </w:rPr>
        <w:t>电子签章的，</w:t>
      </w:r>
      <w:r>
        <w:rPr>
          <w:rFonts w:hint="eastAsia" w:hAnsi="宋体" w:cs="宋体"/>
          <w:color w:val="auto"/>
          <w:highlight w:val="none"/>
          <w:lang w:val="en-GB"/>
        </w:rPr>
        <w:t>或擅自修改的</w:t>
      </w:r>
      <w:r>
        <w:rPr>
          <w:rFonts w:hint="eastAsia" w:hAnsi="宋体"/>
          <w:color w:val="auto"/>
          <w:spacing w:val="-4"/>
          <w:highlight w:val="none"/>
        </w:rPr>
        <w:t>，</w:t>
      </w:r>
      <w:r>
        <w:rPr>
          <w:rFonts w:hint="eastAsia" w:hAnsi="宋体"/>
          <w:bCs/>
          <w:color w:val="auto"/>
          <w:highlight w:val="none"/>
        </w:rPr>
        <w:t>视为无效响应</w:t>
      </w:r>
      <w:r>
        <w:rPr>
          <w:rFonts w:hAnsi="宋体"/>
          <w:bCs/>
          <w:color w:val="auto"/>
          <w:highlight w:val="none"/>
        </w:rPr>
        <w:t>。</w:t>
      </w:r>
    </w:p>
    <w:p w14:paraId="64F8D12C">
      <w:pPr>
        <w:spacing w:line="260" w:lineRule="exact"/>
        <w:rPr>
          <w:rFonts w:ascii="宋体" w:hAnsi="宋体"/>
          <w:b/>
          <w:color w:val="auto"/>
          <w:sz w:val="32"/>
          <w:highlight w:val="none"/>
        </w:rPr>
      </w:pPr>
      <w:r>
        <w:rPr>
          <w:rFonts w:ascii="宋体" w:hAnsi="宋体"/>
          <w:b/>
          <w:color w:val="auto"/>
          <w:sz w:val="32"/>
          <w:highlight w:val="none"/>
        </w:rPr>
        <w:br w:type="page"/>
      </w:r>
    </w:p>
    <w:p w14:paraId="35A664E7">
      <w:pPr>
        <w:pStyle w:val="14"/>
        <w:rPr>
          <w:rFonts w:hAnsi="宋体"/>
          <w:color w:val="auto"/>
          <w:highlight w:val="none"/>
          <w:u w:val="single"/>
        </w:rPr>
      </w:pPr>
    </w:p>
    <w:p w14:paraId="1AD1EA4C">
      <w:pPr>
        <w:pStyle w:val="14"/>
        <w:rPr>
          <w:rFonts w:hAnsi="宋体"/>
          <w:color w:val="auto"/>
          <w:highlight w:val="none"/>
          <w:u w:val="single"/>
        </w:rPr>
      </w:pPr>
    </w:p>
    <w:p w14:paraId="1947C697">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500A5AA4">
      <w:pPr>
        <w:spacing w:line="440" w:lineRule="exact"/>
        <w:rPr>
          <w:rFonts w:ascii="宋体" w:hAnsi="宋体" w:cs="Arial"/>
          <w:color w:val="auto"/>
          <w:sz w:val="24"/>
          <w:highlight w:val="none"/>
        </w:rPr>
      </w:pPr>
    </w:p>
    <w:p w14:paraId="54691A1D">
      <w:pPr>
        <w:spacing w:line="400" w:lineRule="exact"/>
        <w:ind w:firstLine="480" w:firstLineChars="200"/>
        <w:rPr>
          <w:rFonts w:ascii="宋体" w:hAnsi="宋体" w:cs="Arial"/>
          <w:color w:val="auto"/>
          <w:sz w:val="24"/>
          <w:highlight w:val="none"/>
        </w:rPr>
      </w:pPr>
      <w:r>
        <w:rPr>
          <w:rFonts w:hint="eastAsia" w:ascii="宋体" w:hAnsi="宋体" w:cs="Arial"/>
          <w:color w:val="auto"/>
          <w:sz w:val="24"/>
          <w:highlight w:val="none"/>
        </w:rPr>
        <w:t>供应商</w:t>
      </w:r>
      <w:r>
        <w:rPr>
          <w:rFonts w:ascii="宋体" w:hAnsi="宋体" w:cs="Arial"/>
          <w:color w:val="auto"/>
          <w:sz w:val="24"/>
          <w:highlight w:val="none"/>
        </w:rPr>
        <w:t>名称：</w:t>
      </w:r>
    </w:p>
    <w:p w14:paraId="316B3066">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单位性质：</w:t>
      </w:r>
    </w:p>
    <w:p w14:paraId="46178FA6">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地址：</w:t>
      </w:r>
    </w:p>
    <w:p w14:paraId="00B69EE4">
      <w:pPr>
        <w:spacing w:line="400" w:lineRule="exact"/>
        <w:ind w:firstLine="480" w:firstLineChars="200"/>
        <w:rPr>
          <w:rFonts w:ascii="宋体" w:hAnsi="宋体" w:cs="Arial"/>
          <w:color w:val="auto"/>
          <w:sz w:val="24"/>
          <w:highlight w:val="none"/>
          <w:u w:val="single"/>
        </w:rPr>
      </w:pPr>
      <w:r>
        <w:rPr>
          <w:rFonts w:ascii="宋体" w:hAnsi="宋体" w:cs="Arial"/>
          <w:color w:val="auto"/>
          <w:sz w:val="24"/>
          <w:highlight w:val="none"/>
        </w:rPr>
        <w:t>成立时间：</w:t>
      </w:r>
      <w:r>
        <w:rPr>
          <w:rFonts w:ascii="宋体" w:hAnsi="宋体" w:cs="Arial"/>
          <w:color w:val="auto"/>
          <w:sz w:val="24"/>
          <w:highlight w:val="none"/>
          <w:u w:val="single"/>
        </w:rPr>
        <w:t xml:space="preserve">          年        月        日</w:t>
      </w:r>
    </w:p>
    <w:p w14:paraId="38204157">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经营期限：</w:t>
      </w:r>
    </w:p>
    <w:p w14:paraId="772A4797">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姓名：性别：年龄：</w:t>
      </w:r>
    </w:p>
    <w:p w14:paraId="25D94CDC">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职务：身份证</w:t>
      </w:r>
      <w:r>
        <w:rPr>
          <w:rFonts w:hint="eastAsia" w:ascii="宋体" w:hAnsi="宋体" w:cs="Arial"/>
          <w:color w:val="auto"/>
          <w:sz w:val="24"/>
          <w:highlight w:val="none"/>
        </w:rPr>
        <w:t>号码</w:t>
      </w:r>
      <w:r>
        <w:rPr>
          <w:rFonts w:ascii="宋体" w:hAnsi="宋体" w:cs="Arial"/>
          <w:color w:val="auto"/>
          <w:sz w:val="24"/>
          <w:highlight w:val="none"/>
        </w:rPr>
        <w:t>：</w:t>
      </w:r>
    </w:p>
    <w:p w14:paraId="0C2EEAFD">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系（</w:t>
      </w:r>
      <w:r>
        <w:rPr>
          <w:rFonts w:hint="eastAsia" w:ascii="宋体" w:hAnsi="宋体" w:cs="Arial"/>
          <w:color w:val="auto"/>
          <w:sz w:val="24"/>
          <w:highlight w:val="none"/>
        </w:rPr>
        <w:t>供应商</w:t>
      </w:r>
      <w:r>
        <w:rPr>
          <w:rFonts w:ascii="宋体" w:hAnsi="宋体" w:cs="Arial"/>
          <w:color w:val="auto"/>
          <w:sz w:val="24"/>
          <w:highlight w:val="none"/>
        </w:rPr>
        <w:t>名称）的</w:t>
      </w:r>
      <w:bookmarkStart w:id="323" w:name="OLE_LINK8"/>
      <w:r>
        <w:rPr>
          <w:rFonts w:hint="eastAsia" w:ascii="宋体" w:hAnsi="宋体" w:cs="Arial"/>
          <w:color w:val="auto"/>
          <w:sz w:val="24"/>
          <w:highlight w:val="none"/>
        </w:rPr>
        <w:t>（填写：</w:t>
      </w:r>
      <w:r>
        <w:rPr>
          <w:rFonts w:ascii="宋体" w:hAnsi="宋体" w:cs="Arial"/>
          <w:color w:val="auto"/>
          <w:sz w:val="24"/>
          <w:highlight w:val="none"/>
        </w:rPr>
        <w:t>法定代表人</w:t>
      </w:r>
      <w:r>
        <w:rPr>
          <w:rFonts w:hint="eastAsia" w:ascii="宋体" w:hAnsi="宋体" w:cs="Arial"/>
          <w:color w:val="auto"/>
          <w:sz w:val="24"/>
          <w:highlight w:val="none"/>
        </w:rPr>
        <w:t>或负责人）</w:t>
      </w:r>
      <w:bookmarkEnd w:id="323"/>
      <w:r>
        <w:rPr>
          <w:rFonts w:ascii="宋体" w:hAnsi="宋体" w:cs="Arial"/>
          <w:color w:val="auto"/>
          <w:sz w:val="24"/>
          <w:highlight w:val="none"/>
        </w:rPr>
        <w:t>。</w:t>
      </w:r>
    </w:p>
    <w:p w14:paraId="2B4D5989">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特此证明。</w:t>
      </w:r>
    </w:p>
    <w:p w14:paraId="43A73D6F">
      <w:pPr>
        <w:spacing w:line="400" w:lineRule="exact"/>
        <w:rPr>
          <w:rFonts w:ascii="宋体" w:hAnsi="宋体"/>
          <w:bCs/>
          <w:color w:val="auto"/>
          <w:sz w:val="24"/>
          <w:highlight w:val="none"/>
        </w:rPr>
      </w:pPr>
      <w:r>
        <w:rPr>
          <w:rFonts w:hint="eastAsia" w:ascii="宋体" w:hAnsi="宋体"/>
          <w:bCs/>
          <w:color w:val="auto"/>
          <w:sz w:val="24"/>
          <w:highlight w:val="none"/>
        </w:rPr>
        <w:t>附：法定代表人(负责人)身份证正面、背面复印件（</w:t>
      </w:r>
      <w:r>
        <w:rPr>
          <w:rFonts w:hint="eastAsia" w:ascii="宋体" w:hAnsi="宋体"/>
          <w:color w:val="auto"/>
          <w:sz w:val="24"/>
          <w:highlight w:val="none"/>
        </w:rPr>
        <w:t>盖CA电子签章</w:t>
      </w:r>
      <w:r>
        <w:rPr>
          <w:rFonts w:hint="eastAsia" w:ascii="宋体" w:hAnsi="宋体"/>
          <w:bCs/>
          <w:color w:val="auto"/>
          <w:sz w:val="24"/>
          <w:highlight w:val="none"/>
        </w:rPr>
        <w:t>）</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3"/>
      </w:tblGrid>
      <w:tr w14:paraId="3BA4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7" w:hRule="atLeast"/>
          <w:jc w:val="center"/>
        </w:trPr>
        <w:tc>
          <w:tcPr>
            <w:tcW w:w="9133" w:type="dxa"/>
            <w:vAlign w:val="center"/>
          </w:tcPr>
          <w:p w14:paraId="45218EBE">
            <w:pPr>
              <w:pStyle w:val="14"/>
              <w:jc w:val="center"/>
              <w:rPr>
                <w:rFonts w:hAnsi="宋体"/>
                <w:bCs/>
                <w:color w:val="auto"/>
                <w:szCs w:val="24"/>
                <w:highlight w:val="none"/>
              </w:rPr>
            </w:pPr>
            <w:r>
              <w:rPr>
                <w:rFonts w:hint="eastAsia" w:hAnsi="宋体"/>
                <w:color w:val="auto"/>
                <w:szCs w:val="21"/>
                <w:highlight w:val="none"/>
              </w:rPr>
              <w:t>粘贴身份证复印件</w:t>
            </w:r>
          </w:p>
        </w:tc>
      </w:tr>
    </w:tbl>
    <w:p w14:paraId="5B27CAC3">
      <w:pPr>
        <w:pStyle w:val="14"/>
        <w:rPr>
          <w:rFonts w:hAnsi="宋体"/>
          <w:bCs/>
          <w:color w:val="auto"/>
          <w:sz w:val="24"/>
          <w:szCs w:val="24"/>
          <w:highlight w:val="none"/>
        </w:rPr>
      </w:pPr>
    </w:p>
    <w:p w14:paraId="07BDE422">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2EAD1604">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4089A27F">
      <w:pPr>
        <w:tabs>
          <w:tab w:val="left" w:pos="854"/>
        </w:tabs>
        <w:rPr>
          <w:rFonts w:ascii="宋体" w:hAnsi="宋体"/>
          <w:color w:val="auto"/>
          <w:highlight w:val="none"/>
        </w:rPr>
      </w:pPr>
    </w:p>
    <w:p w14:paraId="375E50DA">
      <w:pPr>
        <w:pBdr>
          <w:bottom w:val="single" w:color="auto" w:sz="6" w:space="1"/>
        </w:pBdr>
        <w:rPr>
          <w:rFonts w:ascii="宋体" w:hAnsi="宋体"/>
          <w:color w:val="auto"/>
          <w:highlight w:val="none"/>
        </w:rPr>
      </w:pPr>
    </w:p>
    <w:p w14:paraId="3FE80A92">
      <w:pPr>
        <w:pBdr>
          <w:bottom w:val="single" w:color="auto" w:sz="6" w:space="1"/>
        </w:pBdr>
        <w:rPr>
          <w:rFonts w:ascii="宋体" w:hAnsi="宋体"/>
          <w:color w:val="auto"/>
          <w:highlight w:val="none"/>
        </w:rPr>
      </w:pPr>
    </w:p>
    <w:p w14:paraId="7F0717F2">
      <w:pPr>
        <w:pBdr>
          <w:bottom w:val="single" w:color="auto" w:sz="6" w:space="1"/>
        </w:pBdr>
        <w:rPr>
          <w:rFonts w:ascii="宋体" w:hAnsi="宋体"/>
          <w:color w:val="auto"/>
          <w:highlight w:val="none"/>
        </w:rPr>
      </w:pPr>
    </w:p>
    <w:p w14:paraId="67761028">
      <w:pPr>
        <w:pBdr>
          <w:bottom w:val="single" w:color="auto" w:sz="6" w:space="1"/>
        </w:pBdr>
        <w:rPr>
          <w:rFonts w:ascii="宋体" w:hAnsi="宋体"/>
          <w:color w:val="auto"/>
          <w:highlight w:val="none"/>
        </w:rPr>
      </w:pPr>
    </w:p>
    <w:p w14:paraId="39E27382">
      <w:pPr>
        <w:pStyle w:val="14"/>
        <w:spacing w:line="360" w:lineRule="exact"/>
        <w:ind w:left="620" w:hanging="620" w:hangingChars="294"/>
        <w:rPr>
          <w:rFonts w:hAnsi="宋体"/>
          <w:b/>
          <w:color w:val="auto"/>
          <w:szCs w:val="21"/>
          <w:highlight w:val="none"/>
        </w:rPr>
      </w:pPr>
      <w:r>
        <w:rPr>
          <w:rFonts w:hint="eastAsia" w:hAnsi="宋体"/>
          <w:b/>
          <w:color w:val="auto"/>
          <w:szCs w:val="21"/>
          <w:highlight w:val="none"/>
        </w:rPr>
        <w:t>说明</w:t>
      </w:r>
      <w:r>
        <w:rPr>
          <w:rFonts w:hAnsi="宋体"/>
          <w:b/>
          <w:color w:val="auto"/>
          <w:szCs w:val="21"/>
          <w:highlight w:val="none"/>
        </w:rPr>
        <w:t>：</w:t>
      </w:r>
      <w:r>
        <w:rPr>
          <w:rFonts w:hint="eastAsia" w:hAnsi="宋体"/>
          <w:color w:val="auto"/>
          <w:szCs w:val="21"/>
          <w:highlight w:val="none"/>
        </w:rPr>
        <w:t>供应商</w:t>
      </w:r>
      <w:r>
        <w:rPr>
          <w:rFonts w:hint="eastAsia" w:hAnsi="宋体"/>
          <w:color w:val="auto"/>
          <w:spacing w:val="-4"/>
          <w:szCs w:val="21"/>
          <w:highlight w:val="none"/>
        </w:rPr>
        <w:t>须按以上格式填写，未按格式要求填写并提供有效证明的，视为无效响应</w:t>
      </w:r>
      <w:r>
        <w:rPr>
          <w:rFonts w:hint="eastAsia" w:hAnsi="宋体"/>
          <w:color w:val="auto"/>
          <w:spacing w:val="-4"/>
          <w:highlight w:val="none"/>
        </w:rPr>
        <w:t>。</w:t>
      </w:r>
    </w:p>
    <w:p w14:paraId="65298C4D">
      <w:pPr>
        <w:rPr>
          <w:rFonts w:ascii="宋体" w:hAnsi="宋体"/>
          <w:color w:val="auto"/>
          <w:highlight w:val="none"/>
        </w:rPr>
      </w:pPr>
      <w:r>
        <w:rPr>
          <w:rFonts w:ascii="宋体" w:hAnsi="宋体"/>
          <w:color w:val="auto"/>
          <w:highlight w:val="none"/>
        </w:rPr>
        <w:br w:type="page"/>
      </w:r>
    </w:p>
    <w:p w14:paraId="1651C8BA">
      <w:pPr>
        <w:pStyle w:val="14"/>
        <w:spacing w:line="200" w:lineRule="exact"/>
        <w:jc w:val="left"/>
        <w:rPr>
          <w:rFonts w:hAnsi="宋体"/>
          <w:color w:val="auto"/>
          <w:sz w:val="24"/>
          <w:szCs w:val="24"/>
          <w:highlight w:val="none"/>
        </w:rPr>
      </w:pPr>
      <w:bookmarkStart w:id="324" w:name="OLE_LINK6"/>
      <w:bookmarkStart w:id="325" w:name="OLE_LINK5"/>
    </w:p>
    <w:p w14:paraId="7B3A1CC8">
      <w:pPr>
        <w:pStyle w:val="14"/>
        <w:spacing w:line="400" w:lineRule="exact"/>
        <w:jc w:val="left"/>
        <w:rPr>
          <w:rFonts w:hAnsi="宋体"/>
          <w:color w:val="auto"/>
          <w:sz w:val="24"/>
          <w:szCs w:val="24"/>
          <w:highlight w:val="none"/>
        </w:rPr>
      </w:pPr>
    </w:p>
    <w:p w14:paraId="6F58D058">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bookmarkEnd w:id="324"/>
      <w:bookmarkEnd w:id="325"/>
    </w:p>
    <w:p w14:paraId="2E245B05">
      <w:pPr>
        <w:pStyle w:val="14"/>
        <w:spacing w:line="200" w:lineRule="exact"/>
        <w:rPr>
          <w:rFonts w:hAnsi="宋体"/>
          <w:color w:val="auto"/>
          <w:sz w:val="24"/>
          <w:szCs w:val="24"/>
          <w:highlight w:val="none"/>
        </w:rPr>
      </w:pPr>
    </w:p>
    <w:p w14:paraId="2CE67E91">
      <w:pPr>
        <w:pStyle w:val="14"/>
        <w:spacing w:line="340" w:lineRule="exact"/>
        <w:rPr>
          <w:rFonts w:hAnsi="宋体"/>
          <w:color w:val="auto"/>
          <w:sz w:val="24"/>
          <w:szCs w:val="24"/>
          <w:highlight w:val="none"/>
        </w:rPr>
      </w:pPr>
      <w:r>
        <w:rPr>
          <w:rFonts w:hint="eastAsia" w:hAnsi="宋体"/>
          <w:color w:val="auto"/>
          <w:sz w:val="24"/>
          <w:szCs w:val="24"/>
          <w:highlight w:val="none"/>
        </w:rPr>
        <w:t>致：</w:t>
      </w:r>
      <w:r>
        <w:rPr>
          <w:rFonts w:hAnsi="宋体"/>
          <w:color w:val="auto"/>
          <w:sz w:val="24"/>
          <w:szCs w:val="24"/>
          <w:highlight w:val="none"/>
          <w:u w:val="single"/>
        </w:rPr>
        <w:t>（采购代理机构名称）</w:t>
      </w:r>
    </w:p>
    <w:p w14:paraId="0D703940">
      <w:pPr>
        <w:pStyle w:val="14"/>
        <w:spacing w:line="340" w:lineRule="exact"/>
        <w:ind w:firstLine="420"/>
        <w:rPr>
          <w:rFonts w:hAnsi="宋体"/>
          <w:color w:val="auto"/>
          <w:sz w:val="24"/>
          <w:szCs w:val="24"/>
          <w:highlight w:val="none"/>
        </w:rPr>
      </w:pPr>
      <w:r>
        <w:rPr>
          <w:rFonts w:hint="eastAsia" w:hAnsi="宋体"/>
          <w:color w:val="auto"/>
          <w:sz w:val="24"/>
          <w:szCs w:val="24"/>
          <w:highlight w:val="none"/>
        </w:rPr>
        <w:t>本授权书声明：我（姓名）系</w:t>
      </w:r>
      <w:r>
        <w:rPr>
          <w:rFonts w:hint="eastAsia" w:hAnsi="宋体"/>
          <w:color w:val="auto"/>
          <w:sz w:val="24"/>
          <w:szCs w:val="24"/>
          <w:highlight w:val="none"/>
          <w:u w:val="single"/>
        </w:rPr>
        <w:t xml:space="preserve">  （供应商名称）  </w:t>
      </w:r>
      <w:r>
        <w:rPr>
          <w:rFonts w:hint="eastAsia" w:hAnsi="宋体"/>
          <w:color w:val="auto"/>
          <w:sz w:val="24"/>
          <w:szCs w:val="24"/>
          <w:highlight w:val="none"/>
        </w:rPr>
        <w:t>的</w:t>
      </w:r>
      <w:r>
        <w:rPr>
          <w:rFonts w:hint="eastAsia" w:hAnsi="宋体" w:cs="Arial"/>
          <w:color w:val="auto"/>
          <w:sz w:val="24"/>
          <w:szCs w:val="24"/>
          <w:highlight w:val="none"/>
          <w:u w:val="single"/>
        </w:rPr>
        <w:t>（填写：</w:t>
      </w:r>
      <w:r>
        <w:rPr>
          <w:rFonts w:hAnsi="宋体" w:cs="Arial"/>
          <w:color w:val="auto"/>
          <w:sz w:val="24"/>
          <w:szCs w:val="24"/>
          <w:highlight w:val="none"/>
          <w:u w:val="single"/>
        </w:rPr>
        <w:t>法定代表人</w:t>
      </w:r>
      <w:r>
        <w:rPr>
          <w:rFonts w:hint="eastAsia" w:hAnsi="宋体" w:cs="Arial"/>
          <w:color w:val="auto"/>
          <w:sz w:val="24"/>
          <w:szCs w:val="24"/>
          <w:highlight w:val="none"/>
          <w:u w:val="single"/>
        </w:rPr>
        <w:t>或负责人）</w:t>
      </w:r>
      <w:r>
        <w:rPr>
          <w:rFonts w:hint="eastAsia" w:hAnsi="宋体"/>
          <w:color w:val="auto"/>
          <w:sz w:val="24"/>
          <w:szCs w:val="24"/>
          <w:highlight w:val="none"/>
        </w:rPr>
        <w:t>，现授权委托（姓名）为我方代理人，以我方的名义参加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的政府采购活动，其权限是：</w:t>
      </w:r>
      <w:r>
        <w:rPr>
          <w:rFonts w:hint="eastAsia" w:hAnsi="宋体"/>
          <w:color w:val="auto"/>
          <w:sz w:val="24"/>
          <w:szCs w:val="24"/>
          <w:highlight w:val="none"/>
          <w:u w:val="single"/>
        </w:rPr>
        <w:t>代表我方全权办理上述项目的磋商、开标、评标、签订合同等过程中所签署的一切文件和处理与之有关的一切事务，我均予以承认。</w:t>
      </w:r>
    </w:p>
    <w:p w14:paraId="239B84BA">
      <w:pPr>
        <w:pStyle w:val="14"/>
        <w:spacing w:line="340" w:lineRule="exact"/>
        <w:ind w:firstLine="420"/>
        <w:rPr>
          <w:rFonts w:hAnsi="宋体"/>
          <w:color w:val="auto"/>
          <w:sz w:val="24"/>
          <w:szCs w:val="24"/>
          <w:highlight w:val="none"/>
        </w:rPr>
      </w:pPr>
      <w:r>
        <w:rPr>
          <w:rFonts w:hint="eastAsia" w:hAnsi="宋体"/>
          <w:color w:val="auto"/>
          <w:sz w:val="24"/>
          <w:szCs w:val="24"/>
          <w:highlight w:val="none"/>
        </w:rPr>
        <w:t>有效期限：</w:t>
      </w:r>
      <w:r>
        <w:rPr>
          <w:rFonts w:hint="eastAsia" w:hAnsi="宋体"/>
          <w:color w:val="auto"/>
          <w:sz w:val="24"/>
          <w:szCs w:val="24"/>
          <w:highlight w:val="none"/>
          <w:u w:val="single"/>
        </w:rPr>
        <w:t>至      年    月    日</w:t>
      </w:r>
      <w:r>
        <w:rPr>
          <w:rFonts w:hint="eastAsia" w:hAnsi="宋体"/>
          <w:color w:val="auto"/>
          <w:sz w:val="24"/>
          <w:szCs w:val="24"/>
          <w:highlight w:val="none"/>
        </w:rPr>
        <w:t>，代理人在授权书有效期内签署的所有文件不因授权委托的撤销而失效，除非有撤销授权委托的书面通知。</w:t>
      </w:r>
    </w:p>
    <w:p w14:paraId="30CDD717">
      <w:pPr>
        <w:pStyle w:val="14"/>
        <w:spacing w:line="340" w:lineRule="exact"/>
        <w:ind w:firstLine="420"/>
        <w:rPr>
          <w:rFonts w:hAnsi="宋体"/>
          <w:color w:val="auto"/>
          <w:sz w:val="24"/>
          <w:szCs w:val="24"/>
          <w:highlight w:val="none"/>
        </w:rPr>
      </w:pPr>
      <w:r>
        <w:rPr>
          <w:rFonts w:hint="eastAsia" w:hAnsi="宋体"/>
          <w:color w:val="auto"/>
          <w:sz w:val="24"/>
          <w:szCs w:val="24"/>
          <w:highlight w:val="none"/>
        </w:rPr>
        <w:t>本授权书自盖章之日起生效，代理人无转委托权。特此委托。</w:t>
      </w:r>
    </w:p>
    <w:p w14:paraId="12CF7AE9">
      <w:pPr>
        <w:pStyle w:val="14"/>
        <w:spacing w:line="340" w:lineRule="exact"/>
        <w:ind w:firstLine="420"/>
        <w:rPr>
          <w:rFonts w:hAnsi="宋体"/>
          <w:color w:val="auto"/>
          <w:sz w:val="24"/>
          <w:szCs w:val="24"/>
          <w:highlight w:val="none"/>
        </w:rPr>
      </w:pPr>
    </w:p>
    <w:p w14:paraId="3020A04B">
      <w:pPr>
        <w:pStyle w:val="14"/>
        <w:spacing w:line="340" w:lineRule="exact"/>
        <w:ind w:firstLine="2551" w:firstLineChars="1063"/>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3E6ED024">
      <w:pPr>
        <w:pStyle w:val="14"/>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法定代表人（签字或盖私章）：</w:t>
      </w:r>
    </w:p>
    <w:p w14:paraId="798B848F">
      <w:pPr>
        <w:pStyle w:val="14"/>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法定代表人</w:t>
      </w:r>
      <w:r>
        <w:rPr>
          <w:rFonts w:hAnsi="宋体" w:cs="Arial"/>
          <w:color w:val="auto"/>
          <w:sz w:val="24"/>
          <w:szCs w:val="24"/>
          <w:highlight w:val="none"/>
        </w:rPr>
        <w:t>身份证号码：</w:t>
      </w:r>
    </w:p>
    <w:p w14:paraId="569BA9EC">
      <w:pPr>
        <w:pStyle w:val="14"/>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授权代表（签字）：</w:t>
      </w:r>
    </w:p>
    <w:p w14:paraId="1ED94272">
      <w:pPr>
        <w:pStyle w:val="14"/>
        <w:spacing w:line="340" w:lineRule="exact"/>
        <w:ind w:firstLine="2551" w:firstLineChars="1063"/>
        <w:rPr>
          <w:rFonts w:hAnsi="宋体" w:cs="Arial"/>
          <w:color w:val="auto"/>
          <w:sz w:val="24"/>
          <w:szCs w:val="24"/>
          <w:highlight w:val="none"/>
          <w:u w:val="single"/>
        </w:rPr>
      </w:pPr>
      <w:r>
        <w:rPr>
          <w:rFonts w:hint="eastAsia" w:hAnsi="宋体" w:cs="Arial"/>
          <w:color w:val="auto"/>
          <w:sz w:val="24"/>
          <w:szCs w:val="24"/>
          <w:highlight w:val="none"/>
        </w:rPr>
        <w:t>授权代表</w:t>
      </w:r>
      <w:r>
        <w:rPr>
          <w:rFonts w:hAnsi="宋体" w:cs="Arial"/>
          <w:color w:val="auto"/>
          <w:sz w:val="24"/>
          <w:szCs w:val="24"/>
          <w:highlight w:val="none"/>
        </w:rPr>
        <w:t>身份证号码：</w:t>
      </w:r>
    </w:p>
    <w:p w14:paraId="59FF8E2C">
      <w:pPr>
        <w:pStyle w:val="14"/>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签发日期：</w:t>
      </w:r>
    </w:p>
    <w:p w14:paraId="54C36727">
      <w:pPr>
        <w:pStyle w:val="14"/>
        <w:spacing w:line="340" w:lineRule="exact"/>
        <w:rPr>
          <w:rFonts w:hAnsi="宋体"/>
          <w:color w:val="auto"/>
          <w:sz w:val="24"/>
          <w:szCs w:val="24"/>
          <w:highlight w:val="none"/>
        </w:rPr>
      </w:pPr>
    </w:p>
    <w:p w14:paraId="3277F953">
      <w:pPr>
        <w:pStyle w:val="14"/>
        <w:tabs>
          <w:tab w:val="left" w:pos="5768"/>
        </w:tabs>
        <w:spacing w:line="340" w:lineRule="exact"/>
        <w:rPr>
          <w:rFonts w:hAnsi="宋体"/>
          <w:color w:val="auto"/>
          <w:sz w:val="24"/>
          <w:szCs w:val="24"/>
          <w:highlight w:val="none"/>
        </w:rPr>
      </w:pPr>
      <w:r>
        <w:rPr>
          <w:rFonts w:hint="eastAsia" w:hAnsi="宋体"/>
          <w:color w:val="auto"/>
          <w:sz w:val="24"/>
          <w:szCs w:val="24"/>
          <w:highlight w:val="none"/>
        </w:rPr>
        <w:t>附：法定代表人(负责人)身份证、授权代表身份证正面、背面复印件（盖CA电子签章）</w:t>
      </w:r>
    </w:p>
    <w:tbl>
      <w:tblPr>
        <w:tblStyle w:val="29"/>
        <w:tblW w:w="0" w:type="auto"/>
        <w:tblInd w:w="0" w:type="dxa"/>
        <w:tblLayout w:type="autofit"/>
        <w:tblCellMar>
          <w:top w:w="0" w:type="dxa"/>
          <w:left w:w="108" w:type="dxa"/>
          <w:bottom w:w="0" w:type="dxa"/>
          <w:right w:w="108" w:type="dxa"/>
        </w:tblCellMar>
      </w:tblPr>
      <w:tblGrid>
        <w:gridCol w:w="4608"/>
        <w:gridCol w:w="416"/>
        <w:gridCol w:w="4604"/>
      </w:tblGrid>
      <w:tr w14:paraId="6B3AEB2A">
        <w:tblPrEx>
          <w:tblCellMar>
            <w:top w:w="0" w:type="dxa"/>
            <w:left w:w="108" w:type="dxa"/>
            <w:bottom w:w="0" w:type="dxa"/>
            <w:right w:w="108" w:type="dxa"/>
          </w:tblCellMar>
        </w:tblPrEx>
        <w:trPr>
          <w:trHeight w:val="4354" w:hRule="atLeast"/>
        </w:trPr>
        <w:tc>
          <w:tcPr>
            <w:tcW w:w="4608" w:type="dxa"/>
            <w:tcBorders>
              <w:top w:val="single" w:color="auto" w:sz="4" w:space="0"/>
              <w:left w:val="single" w:color="auto" w:sz="4" w:space="0"/>
              <w:bottom w:val="single" w:color="auto" w:sz="4" w:space="0"/>
              <w:right w:val="single" w:color="auto" w:sz="4" w:space="0"/>
            </w:tcBorders>
            <w:vAlign w:val="center"/>
          </w:tcPr>
          <w:p w14:paraId="06ACBFE7">
            <w:pPr>
              <w:jc w:val="center"/>
              <w:rPr>
                <w:rFonts w:ascii="宋体" w:hAnsi="宋体"/>
                <w:color w:val="auto"/>
                <w:szCs w:val="21"/>
                <w:highlight w:val="none"/>
              </w:rPr>
            </w:pPr>
            <w:r>
              <w:rPr>
                <w:rFonts w:hint="eastAsia" w:ascii="宋体" w:hAnsi="宋体"/>
                <w:color w:val="auto"/>
                <w:szCs w:val="21"/>
                <w:highlight w:val="none"/>
              </w:rPr>
              <w:t>粘贴法定代表人身份证</w:t>
            </w:r>
            <w:r>
              <w:rPr>
                <w:rFonts w:ascii="宋体" w:hAnsi="宋体"/>
                <w:color w:val="auto"/>
                <w:szCs w:val="21"/>
                <w:highlight w:val="none"/>
              </w:rPr>
              <w:t>(</w:t>
            </w:r>
            <w:r>
              <w:rPr>
                <w:rFonts w:hint="eastAsia" w:ascii="宋体" w:hAnsi="宋体"/>
                <w:color w:val="auto"/>
                <w:szCs w:val="21"/>
                <w:highlight w:val="none"/>
              </w:rPr>
              <w:t>正、背</w:t>
            </w:r>
            <w:r>
              <w:rPr>
                <w:rFonts w:ascii="宋体" w:hAnsi="宋体"/>
                <w:color w:val="auto"/>
                <w:szCs w:val="21"/>
                <w:highlight w:val="none"/>
              </w:rPr>
              <w:t>)</w:t>
            </w:r>
            <w:r>
              <w:rPr>
                <w:rFonts w:hint="eastAsia" w:ascii="宋体" w:hAnsi="宋体"/>
                <w:color w:val="auto"/>
                <w:szCs w:val="21"/>
                <w:highlight w:val="none"/>
              </w:rPr>
              <w:t>面复印件</w:t>
            </w:r>
          </w:p>
        </w:tc>
        <w:tc>
          <w:tcPr>
            <w:tcW w:w="416" w:type="dxa"/>
            <w:tcBorders>
              <w:left w:val="single" w:color="auto" w:sz="4" w:space="0"/>
              <w:right w:val="single" w:color="auto" w:sz="4" w:space="0"/>
            </w:tcBorders>
          </w:tcPr>
          <w:p w14:paraId="33AC8510">
            <w:pPr>
              <w:spacing w:line="340" w:lineRule="exact"/>
              <w:rPr>
                <w:rFonts w:ascii="宋体" w:hAnsi="宋体"/>
                <w:color w:val="auto"/>
                <w:szCs w:val="21"/>
                <w:highlight w:val="none"/>
              </w:rPr>
            </w:pPr>
          </w:p>
        </w:tc>
        <w:tc>
          <w:tcPr>
            <w:tcW w:w="4604" w:type="dxa"/>
            <w:tcBorders>
              <w:top w:val="single" w:color="auto" w:sz="4" w:space="0"/>
              <w:left w:val="single" w:color="auto" w:sz="4" w:space="0"/>
              <w:bottom w:val="single" w:color="auto" w:sz="4" w:space="0"/>
              <w:right w:val="single" w:color="auto" w:sz="4" w:space="0"/>
            </w:tcBorders>
            <w:vAlign w:val="center"/>
          </w:tcPr>
          <w:p w14:paraId="2C5A5264">
            <w:pPr>
              <w:jc w:val="center"/>
              <w:rPr>
                <w:rFonts w:ascii="宋体" w:hAnsi="宋体"/>
                <w:color w:val="auto"/>
                <w:szCs w:val="21"/>
                <w:highlight w:val="none"/>
              </w:rPr>
            </w:pPr>
            <w:r>
              <w:rPr>
                <w:rFonts w:hint="eastAsia" w:ascii="宋体" w:hAnsi="宋体"/>
                <w:color w:val="auto"/>
                <w:szCs w:val="21"/>
                <w:highlight w:val="none"/>
              </w:rPr>
              <w:t>粘贴授权代表身份证</w:t>
            </w:r>
            <w:r>
              <w:rPr>
                <w:rFonts w:ascii="宋体" w:hAnsi="宋体"/>
                <w:color w:val="auto"/>
                <w:szCs w:val="21"/>
                <w:highlight w:val="none"/>
              </w:rPr>
              <w:t>(</w:t>
            </w:r>
            <w:r>
              <w:rPr>
                <w:rFonts w:hint="eastAsia" w:ascii="宋体" w:hAnsi="宋体"/>
                <w:color w:val="auto"/>
                <w:szCs w:val="21"/>
                <w:highlight w:val="none"/>
              </w:rPr>
              <w:t>正、背</w:t>
            </w:r>
            <w:r>
              <w:rPr>
                <w:rFonts w:ascii="宋体" w:hAnsi="宋体"/>
                <w:color w:val="auto"/>
                <w:szCs w:val="21"/>
                <w:highlight w:val="none"/>
              </w:rPr>
              <w:t>)</w:t>
            </w:r>
            <w:r>
              <w:rPr>
                <w:rFonts w:hint="eastAsia" w:ascii="宋体" w:hAnsi="宋体"/>
                <w:color w:val="auto"/>
                <w:szCs w:val="21"/>
                <w:highlight w:val="none"/>
              </w:rPr>
              <w:t>面复印件</w:t>
            </w:r>
          </w:p>
        </w:tc>
      </w:tr>
    </w:tbl>
    <w:p w14:paraId="6B179225">
      <w:pPr>
        <w:pBdr>
          <w:bottom w:val="single" w:color="auto" w:sz="6" w:space="1"/>
        </w:pBdr>
        <w:spacing w:line="400" w:lineRule="exact"/>
        <w:rPr>
          <w:rFonts w:ascii="宋体" w:hAnsi="宋体"/>
          <w:bCs/>
          <w:color w:val="auto"/>
          <w:sz w:val="24"/>
          <w:highlight w:val="none"/>
        </w:rPr>
      </w:pPr>
    </w:p>
    <w:p w14:paraId="4A75EE98">
      <w:pPr>
        <w:pBdr>
          <w:bottom w:val="single" w:color="auto" w:sz="6" w:space="1"/>
        </w:pBdr>
        <w:spacing w:line="400" w:lineRule="exact"/>
        <w:rPr>
          <w:rFonts w:ascii="宋体" w:hAnsi="宋体"/>
          <w:bCs/>
          <w:color w:val="auto"/>
          <w:sz w:val="24"/>
          <w:highlight w:val="none"/>
        </w:rPr>
      </w:pPr>
    </w:p>
    <w:p w14:paraId="295E8943">
      <w:pPr>
        <w:pStyle w:val="14"/>
        <w:spacing w:line="360" w:lineRule="exact"/>
        <w:ind w:left="620" w:hanging="620" w:hangingChars="294"/>
        <w:rPr>
          <w:rFonts w:hAnsi="宋体"/>
          <w:color w:val="auto"/>
          <w:highlight w:val="none"/>
        </w:rPr>
      </w:pPr>
      <w:r>
        <w:rPr>
          <w:rFonts w:hint="eastAsia" w:hAnsi="宋体"/>
          <w:b/>
          <w:color w:val="auto"/>
          <w:szCs w:val="21"/>
          <w:highlight w:val="none"/>
        </w:rPr>
        <w:t>说明</w:t>
      </w:r>
      <w:r>
        <w:rPr>
          <w:rFonts w:hAnsi="宋体"/>
          <w:b/>
          <w:color w:val="auto"/>
          <w:szCs w:val="21"/>
          <w:highlight w:val="none"/>
        </w:rPr>
        <w:t>：</w:t>
      </w:r>
      <w:r>
        <w:rPr>
          <w:rFonts w:hint="eastAsia" w:hAnsi="宋体"/>
          <w:color w:val="auto"/>
          <w:szCs w:val="21"/>
          <w:highlight w:val="none"/>
        </w:rPr>
        <w:t>供应商须按以上格式填写，有效期限不应少于响应的磋商有效期，并附法定代表人(负责人)身份证、授权代表身份证复印件，否则视为无效响应。</w:t>
      </w:r>
    </w:p>
    <w:p w14:paraId="544540A0">
      <w:pPr>
        <w:widowControl/>
        <w:spacing w:before="61" w:line="312" w:lineRule="auto"/>
        <w:ind w:left="102"/>
        <w:jc w:val="left"/>
        <w:rPr>
          <w:rFonts w:ascii="宋体" w:hAnsi="宋体"/>
          <w:color w:val="auto"/>
          <w:szCs w:val="20"/>
          <w:highlight w:val="none"/>
        </w:rPr>
      </w:pPr>
      <w:r>
        <w:rPr>
          <w:rFonts w:ascii="宋体" w:hAnsi="宋体"/>
          <w:color w:val="auto"/>
          <w:highlight w:val="none"/>
        </w:rPr>
        <w:br w:type="page"/>
      </w:r>
    </w:p>
    <w:p w14:paraId="575AD552">
      <w:pPr>
        <w:spacing w:line="500" w:lineRule="exact"/>
        <w:rPr>
          <w:rFonts w:ascii="宋体" w:hAnsi="宋体"/>
          <w:color w:val="auto"/>
          <w:sz w:val="28"/>
          <w:szCs w:val="28"/>
          <w:highlight w:val="none"/>
          <w:u w:val="single"/>
        </w:rPr>
      </w:pPr>
    </w:p>
    <w:p w14:paraId="660EA9B6">
      <w:pPr>
        <w:pStyle w:val="14"/>
        <w:spacing w:line="320" w:lineRule="exact"/>
        <w:rPr>
          <w:rFonts w:hAnsi="宋体"/>
          <w:color w:val="auto"/>
          <w:sz w:val="24"/>
          <w:szCs w:val="24"/>
          <w:highlight w:val="none"/>
        </w:rPr>
      </w:pPr>
    </w:p>
    <w:p w14:paraId="1BE72AF8">
      <w:pPr>
        <w:pStyle w:val="14"/>
        <w:spacing w:line="320" w:lineRule="exact"/>
        <w:rPr>
          <w:rFonts w:hAnsi="宋体"/>
          <w:b/>
          <w:color w:val="auto"/>
          <w:sz w:val="24"/>
          <w:szCs w:val="24"/>
          <w:highlight w:val="none"/>
          <w:u w:val="single"/>
        </w:rPr>
      </w:pPr>
      <w:r>
        <w:rPr>
          <w:rFonts w:hint="eastAsia" w:hAnsi="宋体"/>
          <w:b/>
          <w:color w:val="auto"/>
          <w:sz w:val="24"/>
          <w:szCs w:val="24"/>
          <w:highlight w:val="none"/>
          <w:u w:val="single"/>
        </w:rPr>
        <w:t>（适用银行转账、网上支付等非现金形式）</w:t>
      </w:r>
    </w:p>
    <w:p w14:paraId="5C2C7685">
      <w:pPr>
        <w:pStyle w:val="14"/>
        <w:spacing w:line="320" w:lineRule="exact"/>
        <w:rPr>
          <w:rFonts w:hAnsi="宋体"/>
          <w:color w:val="auto"/>
          <w:sz w:val="24"/>
          <w:szCs w:val="24"/>
          <w:highlight w:val="none"/>
        </w:rPr>
      </w:pPr>
    </w:p>
    <w:p w14:paraId="3B6B6C53">
      <w:pPr>
        <w:spacing w:line="400" w:lineRule="exact"/>
        <w:jc w:val="center"/>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磋商保证金提交声明</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如有</w:t>
      </w:r>
      <w:r>
        <w:rPr>
          <w:rFonts w:hint="eastAsia" w:ascii="宋体" w:hAnsi="宋体"/>
          <w:b/>
          <w:color w:val="auto"/>
          <w:sz w:val="32"/>
          <w:szCs w:val="32"/>
          <w:highlight w:val="none"/>
          <w:lang w:eastAsia="zh-CN"/>
        </w:rPr>
        <w:t>）</w:t>
      </w:r>
    </w:p>
    <w:p w14:paraId="3C1E719A">
      <w:pPr>
        <w:pStyle w:val="14"/>
        <w:spacing w:line="400" w:lineRule="exact"/>
        <w:rPr>
          <w:rFonts w:hAnsi="宋体"/>
          <w:color w:val="auto"/>
          <w:sz w:val="24"/>
          <w:szCs w:val="24"/>
          <w:highlight w:val="none"/>
        </w:rPr>
      </w:pPr>
    </w:p>
    <w:p w14:paraId="4EFD6520">
      <w:pPr>
        <w:pStyle w:val="14"/>
        <w:spacing w:line="400" w:lineRule="exact"/>
        <w:rPr>
          <w:rFonts w:hAnsi="宋体"/>
          <w:color w:val="auto"/>
          <w:sz w:val="24"/>
          <w:szCs w:val="24"/>
          <w:highlight w:val="none"/>
        </w:rPr>
      </w:pPr>
      <w:r>
        <w:rPr>
          <w:rFonts w:hint="eastAsia" w:hAnsi="宋体"/>
          <w:color w:val="auto"/>
          <w:sz w:val="24"/>
          <w:szCs w:val="24"/>
          <w:highlight w:val="none"/>
        </w:rPr>
        <w:t>致：广西建基项目管理顾问有限公司</w:t>
      </w:r>
    </w:p>
    <w:p w14:paraId="23B2FE90">
      <w:pPr>
        <w:pStyle w:val="14"/>
        <w:spacing w:line="400" w:lineRule="exact"/>
        <w:ind w:firstLine="480" w:firstLineChars="200"/>
        <w:rPr>
          <w:rFonts w:hAnsi="宋体"/>
          <w:color w:val="auto"/>
          <w:sz w:val="24"/>
          <w:szCs w:val="24"/>
          <w:highlight w:val="none"/>
        </w:rPr>
      </w:pPr>
      <w:r>
        <w:rPr>
          <w:rFonts w:hint="eastAsia" w:hAnsi="宋体"/>
          <w:color w:val="auto"/>
          <w:sz w:val="24"/>
          <w:szCs w:val="24"/>
          <w:highlight w:val="none"/>
        </w:rPr>
        <w:t>我方参加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项目的政府采购活动，以</w:t>
      </w:r>
      <w:r>
        <w:rPr>
          <w:rFonts w:hint="eastAsia" w:hAnsi="宋体"/>
          <w:color w:val="auto"/>
          <w:sz w:val="24"/>
          <w:szCs w:val="24"/>
          <w:highlight w:val="none"/>
          <w:u w:val="single"/>
        </w:rPr>
        <w:t xml:space="preserve"> 方式</w:t>
      </w:r>
      <w:r>
        <w:rPr>
          <w:rFonts w:hint="eastAsia" w:hAnsi="宋体"/>
          <w:color w:val="auto"/>
          <w:sz w:val="24"/>
          <w:szCs w:val="24"/>
          <w:highlight w:val="none"/>
        </w:rPr>
        <w:t>提交磋商保证金人民币（大写）</w:t>
      </w:r>
      <w:r>
        <w:rPr>
          <w:rFonts w:hint="eastAsia" w:hAnsi="宋体"/>
          <w:color w:val="auto"/>
          <w:sz w:val="24"/>
          <w:szCs w:val="24"/>
          <w:highlight w:val="none"/>
          <w:u w:val="single"/>
        </w:rPr>
        <w:t xml:space="preserve">           （¥      元</w:t>
      </w:r>
      <w:r>
        <w:rPr>
          <w:rFonts w:hint="eastAsia" w:hAnsi="宋体"/>
          <w:color w:val="auto"/>
          <w:sz w:val="24"/>
          <w:szCs w:val="24"/>
          <w:highlight w:val="none"/>
        </w:rPr>
        <w:t>），请贵方在退付磋商保证金时转入以下账户：</w:t>
      </w:r>
    </w:p>
    <w:p w14:paraId="6A998806">
      <w:pPr>
        <w:pStyle w:val="14"/>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开户名称：</w:t>
      </w:r>
    </w:p>
    <w:p w14:paraId="5302F6F2">
      <w:pPr>
        <w:pStyle w:val="14"/>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开户银行：</w:t>
      </w:r>
    </w:p>
    <w:p w14:paraId="2055F1A7">
      <w:pPr>
        <w:pStyle w:val="14"/>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银行账号：</w:t>
      </w:r>
    </w:p>
    <w:p w14:paraId="39013958">
      <w:pPr>
        <w:pStyle w:val="14"/>
        <w:spacing w:line="400" w:lineRule="exact"/>
        <w:ind w:firstLine="948" w:firstLineChars="395"/>
        <w:rPr>
          <w:rFonts w:hAnsi="宋体"/>
          <w:color w:val="auto"/>
          <w:sz w:val="24"/>
          <w:szCs w:val="24"/>
          <w:highlight w:val="none"/>
        </w:rPr>
      </w:pPr>
    </w:p>
    <w:p w14:paraId="5DF31410">
      <w:pPr>
        <w:pStyle w:val="14"/>
        <w:spacing w:line="400" w:lineRule="exact"/>
        <w:ind w:firstLine="948" w:firstLineChars="395"/>
        <w:rPr>
          <w:rFonts w:hAnsi="宋体"/>
          <w:color w:val="auto"/>
          <w:sz w:val="24"/>
          <w:szCs w:val="24"/>
          <w:highlight w:val="none"/>
        </w:rPr>
      </w:pPr>
    </w:p>
    <w:p w14:paraId="6753200D">
      <w:pPr>
        <w:pStyle w:val="14"/>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供应商（盖CA电子签章）：</w:t>
      </w:r>
    </w:p>
    <w:p w14:paraId="2119534B">
      <w:pPr>
        <w:pStyle w:val="14"/>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地  址：</w:t>
      </w:r>
    </w:p>
    <w:p w14:paraId="2E0E7ABA">
      <w:pPr>
        <w:pStyle w:val="14"/>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联系人：</w:t>
      </w:r>
    </w:p>
    <w:p w14:paraId="208BC8D4">
      <w:pPr>
        <w:pStyle w:val="14"/>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联系电话（手机）：</w:t>
      </w:r>
    </w:p>
    <w:p w14:paraId="0E8093BA">
      <w:pPr>
        <w:pStyle w:val="14"/>
        <w:spacing w:line="400" w:lineRule="exact"/>
        <w:ind w:firstLine="3400" w:firstLineChars="1417"/>
        <w:rPr>
          <w:rFonts w:hAnsi="宋体"/>
          <w:color w:val="auto"/>
          <w:sz w:val="24"/>
          <w:szCs w:val="24"/>
          <w:highlight w:val="none"/>
        </w:rPr>
      </w:pPr>
      <w:r>
        <w:rPr>
          <w:rFonts w:hint="eastAsia" w:hAnsi="宋体"/>
          <w:color w:val="auto"/>
          <w:sz w:val="24"/>
          <w:szCs w:val="24"/>
          <w:highlight w:val="none"/>
        </w:rPr>
        <w:t>磋商日期：</w:t>
      </w:r>
    </w:p>
    <w:p w14:paraId="41115EB1">
      <w:pPr>
        <w:pStyle w:val="14"/>
        <w:spacing w:line="400" w:lineRule="exact"/>
        <w:ind w:firstLine="948" w:firstLineChars="395"/>
        <w:rPr>
          <w:rFonts w:hAnsi="宋体"/>
          <w:color w:val="auto"/>
          <w:sz w:val="24"/>
          <w:szCs w:val="24"/>
          <w:highlight w:val="none"/>
          <w:u w:val="single"/>
        </w:rPr>
      </w:pPr>
    </w:p>
    <w:p w14:paraId="40C67D11">
      <w:pPr>
        <w:pStyle w:val="14"/>
        <w:spacing w:line="440" w:lineRule="exact"/>
        <w:ind w:firstLine="420"/>
        <w:rPr>
          <w:rFonts w:hAnsi="宋体"/>
          <w:color w:val="auto"/>
          <w:sz w:val="24"/>
          <w:szCs w:val="24"/>
          <w:highlight w:val="none"/>
        </w:rPr>
      </w:pPr>
    </w:p>
    <w:p w14:paraId="14135CDB">
      <w:pPr>
        <w:pStyle w:val="14"/>
        <w:spacing w:afterLines="50" w:line="400" w:lineRule="exact"/>
        <w:ind w:right="-126" w:rightChars="-60"/>
        <w:rPr>
          <w:rFonts w:hAnsi="宋体"/>
          <w:color w:val="auto"/>
          <w:sz w:val="24"/>
          <w:szCs w:val="24"/>
          <w:highlight w:val="none"/>
        </w:rPr>
      </w:pPr>
      <w:r>
        <w:rPr>
          <w:rFonts w:hint="eastAsia" w:hAnsi="宋体"/>
          <w:color w:val="auto"/>
          <w:sz w:val="24"/>
          <w:szCs w:val="24"/>
          <w:highlight w:val="none"/>
        </w:rPr>
        <w:t>附：磋商保证金银行转账单等证明材料复印件（盖CA电子签章）</w:t>
      </w:r>
    </w:p>
    <w:p w14:paraId="2432AF62">
      <w:pPr>
        <w:pStyle w:val="14"/>
        <w:spacing w:line="440" w:lineRule="exact"/>
        <w:ind w:firstLine="420"/>
        <w:rPr>
          <w:rFonts w:hAnsi="宋体"/>
          <w:color w:val="auto"/>
          <w:sz w:val="24"/>
          <w:szCs w:val="24"/>
          <w:highlight w:val="none"/>
        </w:rPr>
      </w:pPr>
    </w:p>
    <w:p w14:paraId="3BEB7D4E">
      <w:pPr>
        <w:pStyle w:val="14"/>
        <w:spacing w:line="440" w:lineRule="exact"/>
        <w:ind w:firstLine="420"/>
        <w:rPr>
          <w:rFonts w:hAnsi="宋体"/>
          <w:color w:val="auto"/>
          <w:sz w:val="24"/>
          <w:szCs w:val="24"/>
          <w:highlight w:val="none"/>
        </w:rPr>
      </w:pPr>
    </w:p>
    <w:p w14:paraId="4731252A">
      <w:pPr>
        <w:pStyle w:val="14"/>
        <w:spacing w:line="440" w:lineRule="exact"/>
        <w:ind w:firstLine="420"/>
        <w:rPr>
          <w:rFonts w:hAnsi="宋体"/>
          <w:color w:val="auto"/>
          <w:sz w:val="24"/>
          <w:szCs w:val="24"/>
          <w:highlight w:val="none"/>
        </w:rPr>
      </w:pPr>
    </w:p>
    <w:p w14:paraId="68704870">
      <w:pPr>
        <w:pStyle w:val="14"/>
        <w:spacing w:line="440" w:lineRule="exact"/>
        <w:ind w:firstLine="420"/>
        <w:rPr>
          <w:rFonts w:hAnsi="宋体"/>
          <w:color w:val="auto"/>
          <w:sz w:val="24"/>
          <w:szCs w:val="24"/>
          <w:highlight w:val="none"/>
        </w:rPr>
      </w:pPr>
    </w:p>
    <w:p w14:paraId="1B5B785B">
      <w:pPr>
        <w:pStyle w:val="14"/>
        <w:spacing w:line="440" w:lineRule="exact"/>
        <w:ind w:firstLine="420"/>
        <w:rPr>
          <w:rFonts w:hAnsi="宋体"/>
          <w:color w:val="auto"/>
          <w:sz w:val="24"/>
          <w:szCs w:val="24"/>
          <w:highlight w:val="none"/>
        </w:rPr>
      </w:pPr>
    </w:p>
    <w:p w14:paraId="07BD16A3">
      <w:pPr>
        <w:pStyle w:val="14"/>
        <w:spacing w:line="440" w:lineRule="exact"/>
        <w:ind w:firstLine="420"/>
        <w:rPr>
          <w:rFonts w:hAnsi="宋体"/>
          <w:color w:val="auto"/>
          <w:sz w:val="24"/>
          <w:szCs w:val="24"/>
          <w:highlight w:val="none"/>
        </w:rPr>
      </w:pPr>
    </w:p>
    <w:p w14:paraId="1356D999">
      <w:pPr>
        <w:pStyle w:val="14"/>
        <w:spacing w:line="440" w:lineRule="exact"/>
        <w:ind w:firstLine="420"/>
        <w:rPr>
          <w:rFonts w:hAnsi="宋体"/>
          <w:color w:val="auto"/>
          <w:sz w:val="24"/>
          <w:szCs w:val="24"/>
          <w:highlight w:val="none"/>
        </w:rPr>
      </w:pPr>
    </w:p>
    <w:p w14:paraId="416394D6">
      <w:pPr>
        <w:pStyle w:val="14"/>
        <w:pBdr>
          <w:bottom w:val="single" w:color="auto" w:sz="6" w:space="1"/>
        </w:pBdr>
        <w:spacing w:line="460" w:lineRule="exact"/>
        <w:ind w:firstLine="420"/>
        <w:rPr>
          <w:rFonts w:hAnsi="宋体"/>
          <w:color w:val="auto"/>
          <w:sz w:val="24"/>
          <w:szCs w:val="24"/>
          <w:highlight w:val="none"/>
        </w:rPr>
      </w:pPr>
    </w:p>
    <w:p w14:paraId="410902FF">
      <w:pPr>
        <w:pStyle w:val="14"/>
        <w:spacing w:line="460" w:lineRule="exact"/>
        <w:rPr>
          <w:rFonts w:hAnsi="宋体"/>
          <w:color w:val="auto"/>
          <w:sz w:val="24"/>
          <w:szCs w:val="24"/>
          <w:highlight w:val="none"/>
        </w:rPr>
      </w:pPr>
      <w:r>
        <w:rPr>
          <w:rFonts w:hint="eastAsia" w:hAnsi="宋体"/>
          <w:b/>
          <w:color w:val="auto"/>
          <w:szCs w:val="21"/>
          <w:highlight w:val="none"/>
        </w:rPr>
        <w:t>说明：</w:t>
      </w:r>
      <w:r>
        <w:rPr>
          <w:rFonts w:hint="eastAsia" w:hAnsi="宋体"/>
          <w:color w:val="auto"/>
          <w:highlight w:val="none"/>
        </w:rPr>
        <w:t>如采用转账或网上支付等方式提交磋商保证金的，附转账单等复印件。</w:t>
      </w:r>
      <w:r>
        <w:rPr>
          <w:rFonts w:hAnsi="宋体"/>
          <w:color w:val="auto"/>
          <w:highlight w:val="none"/>
        </w:rPr>
        <w:br w:type="page"/>
      </w:r>
    </w:p>
    <w:p w14:paraId="70C3D70E">
      <w:pPr>
        <w:pStyle w:val="14"/>
        <w:spacing w:line="320" w:lineRule="exact"/>
        <w:rPr>
          <w:rFonts w:hAnsi="宋体"/>
          <w:color w:val="auto"/>
          <w:sz w:val="24"/>
          <w:szCs w:val="24"/>
          <w:highlight w:val="none"/>
        </w:rPr>
      </w:pPr>
    </w:p>
    <w:p w14:paraId="75C2424F">
      <w:pPr>
        <w:pStyle w:val="14"/>
        <w:spacing w:line="320" w:lineRule="exact"/>
        <w:rPr>
          <w:rFonts w:hAnsi="宋体"/>
          <w:color w:val="auto"/>
          <w:sz w:val="24"/>
          <w:szCs w:val="24"/>
          <w:highlight w:val="none"/>
        </w:rPr>
      </w:pPr>
      <w:r>
        <w:rPr>
          <w:rFonts w:hint="eastAsia" w:hAnsi="宋体"/>
          <w:b/>
          <w:color w:val="auto"/>
          <w:sz w:val="24"/>
          <w:szCs w:val="24"/>
          <w:highlight w:val="none"/>
          <w:u w:val="single"/>
        </w:rPr>
        <w:t>（适用支票、汇票、本票或者金融机构、担保机构出具的保函等非现金形式）</w:t>
      </w:r>
    </w:p>
    <w:p w14:paraId="7E779C10">
      <w:pPr>
        <w:pStyle w:val="14"/>
        <w:spacing w:line="320" w:lineRule="exact"/>
        <w:rPr>
          <w:rFonts w:hAnsi="宋体"/>
          <w:color w:val="auto"/>
          <w:sz w:val="24"/>
          <w:szCs w:val="24"/>
          <w:highlight w:val="none"/>
        </w:rPr>
      </w:pPr>
    </w:p>
    <w:p w14:paraId="74909682">
      <w:pPr>
        <w:spacing w:line="400" w:lineRule="exact"/>
        <w:jc w:val="center"/>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磋商保证金提交声明</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如有</w:t>
      </w:r>
      <w:r>
        <w:rPr>
          <w:rFonts w:hint="eastAsia" w:ascii="宋体" w:hAnsi="宋体"/>
          <w:b/>
          <w:color w:val="auto"/>
          <w:sz w:val="32"/>
          <w:szCs w:val="32"/>
          <w:highlight w:val="none"/>
          <w:lang w:eastAsia="zh-CN"/>
        </w:rPr>
        <w:t>）</w:t>
      </w:r>
    </w:p>
    <w:p w14:paraId="5EF7A281">
      <w:pPr>
        <w:pStyle w:val="14"/>
        <w:spacing w:line="400" w:lineRule="exact"/>
        <w:rPr>
          <w:rFonts w:hAnsi="宋体"/>
          <w:color w:val="auto"/>
          <w:sz w:val="24"/>
          <w:szCs w:val="24"/>
          <w:highlight w:val="none"/>
        </w:rPr>
      </w:pPr>
    </w:p>
    <w:p w14:paraId="5D054332">
      <w:pPr>
        <w:pStyle w:val="14"/>
        <w:spacing w:line="360" w:lineRule="auto"/>
        <w:rPr>
          <w:rFonts w:hAnsi="宋体"/>
          <w:color w:val="auto"/>
          <w:sz w:val="24"/>
          <w:szCs w:val="24"/>
          <w:highlight w:val="none"/>
        </w:rPr>
      </w:pPr>
      <w:r>
        <w:rPr>
          <w:rFonts w:hint="eastAsia" w:hAnsi="宋体"/>
          <w:color w:val="auto"/>
          <w:sz w:val="24"/>
          <w:szCs w:val="24"/>
          <w:highlight w:val="none"/>
        </w:rPr>
        <w:t>致：广西建基项目管理顾问有限公司</w:t>
      </w:r>
    </w:p>
    <w:p w14:paraId="27D45390">
      <w:pPr>
        <w:pStyle w:val="14"/>
        <w:spacing w:line="360" w:lineRule="auto"/>
        <w:ind w:firstLine="480" w:firstLineChars="200"/>
        <w:rPr>
          <w:rFonts w:hAnsi="宋体"/>
          <w:color w:val="auto"/>
          <w:sz w:val="24"/>
          <w:szCs w:val="24"/>
          <w:highlight w:val="none"/>
        </w:rPr>
      </w:pPr>
      <w:r>
        <w:rPr>
          <w:rFonts w:hint="eastAsia" w:hAnsi="宋体"/>
          <w:color w:val="auto"/>
          <w:sz w:val="24"/>
          <w:szCs w:val="24"/>
          <w:highlight w:val="none"/>
        </w:rPr>
        <w:t>我方参加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项目的政府采购活动，以</w:t>
      </w:r>
      <w:r>
        <w:rPr>
          <w:rFonts w:hint="eastAsia" w:hAnsi="宋体"/>
          <w:color w:val="auto"/>
          <w:sz w:val="24"/>
          <w:szCs w:val="24"/>
          <w:highlight w:val="none"/>
          <w:u w:val="single"/>
        </w:rPr>
        <w:t xml:space="preserve"> 方式</w:t>
      </w:r>
      <w:r>
        <w:rPr>
          <w:rFonts w:hint="eastAsia" w:hAnsi="宋体"/>
          <w:color w:val="auto"/>
          <w:sz w:val="24"/>
          <w:szCs w:val="24"/>
          <w:highlight w:val="none"/>
        </w:rPr>
        <w:t>提交磋商保证金金额人民币（大写）</w:t>
      </w:r>
      <w:r>
        <w:rPr>
          <w:rFonts w:hint="eastAsia" w:hAnsi="宋体"/>
          <w:color w:val="auto"/>
          <w:sz w:val="24"/>
          <w:szCs w:val="24"/>
          <w:highlight w:val="none"/>
          <w:u w:val="single"/>
        </w:rPr>
        <w:t xml:space="preserve">           （¥      元</w:t>
      </w:r>
      <w:r>
        <w:rPr>
          <w:rFonts w:hint="eastAsia" w:hAnsi="宋体"/>
          <w:color w:val="auto"/>
          <w:sz w:val="24"/>
          <w:szCs w:val="24"/>
          <w:highlight w:val="none"/>
        </w:rPr>
        <w:t>）。</w:t>
      </w:r>
    </w:p>
    <w:p w14:paraId="231D32D1">
      <w:pPr>
        <w:pStyle w:val="14"/>
        <w:spacing w:line="360" w:lineRule="auto"/>
        <w:ind w:firstLine="480" w:firstLineChars="200"/>
        <w:rPr>
          <w:rFonts w:hAnsi="宋体"/>
          <w:color w:val="auto"/>
          <w:sz w:val="24"/>
          <w:szCs w:val="24"/>
          <w:highlight w:val="none"/>
        </w:rPr>
      </w:pPr>
    </w:p>
    <w:p w14:paraId="41658542">
      <w:pPr>
        <w:pStyle w:val="14"/>
        <w:spacing w:line="360" w:lineRule="auto"/>
        <w:ind w:firstLine="480" w:firstLineChars="200"/>
        <w:rPr>
          <w:rFonts w:hAnsi="宋体"/>
          <w:color w:val="auto"/>
          <w:sz w:val="24"/>
          <w:szCs w:val="24"/>
          <w:highlight w:val="none"/>
        </w:rPr>
      </w:pPr>
    </w:p>
    <w:p w14:paraId="14C09773">
      <w:pPr>
        <w:pStyle w:val="14"/>
        <w:spacing w:line="360" w:lineRule="auto"/>
        <w:ind w:firstLine="480" w:firstLineChars="200"/>
        <w:rPr>
          <w:rFonts w:hAnsi="宋体"/>
          <w:color w:val="auto"/>
          <w:sz w:val="24"/>
          <w:szCs w:val="24"/>
          <w:highlight w:val="none"/>
        </w:rPr>
      </w:pPr>
    </w:p>
    <w:p w14:paraId="05C006CB">
      <w:pPr>
        <w:pStyle w:val="14"/>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供应商（盖CA电子签章）：</w:t>
      </w:r>
    </w:p>
    <w:p w14:paraId="3C0EA840">
      <w:pPr>
        <w:pStyle w:val="14"/>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地  址：</w:t>
      </w:r>
    </w:p>
    <w:p w14:paraId="4E649596">
      <w:pPr>
        <w:pStyle w:val="14"/>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联系人：</w:t>
      </w:r>
    </w:p>
    <w:p w14:paraId="1AA0FBDA">
      <w:pPr>
        <w:pStyle w:val="14"/>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联系电话（手机）：</w:t>
      </w:r>
    </w:p>
    <w:p w14:paraId="6528BB75">
      <w:pPr>
        <w:pStyle w:val="14"/>
        <w:spacing w:line="400" w:lineRule="exact"/>
        <w:ind w:firstLine="3400" w:firstLineChars="1417"/>
        <w:rPr>
          <w:rFonts w:hAnsi="宋体"/>
          <w:color w:val="auto"/>
          <w:sz w:val="24"/>
          <w:szCs w:val="24"/>
          <w:highlight w:val="none"/>
        </w:rPr>
      </w:pPr>
      <w:r>
        <w:rPr>
          <w:rFonts w:hint="eastAsia" w:hAnsi="宋体"/>
          <w:color w:val="auto"/>
          <w:sz w:val="24"/>
          <w:szCs w:val="24"/>
          <w:highlight w:val="none"/>
        </w:rPr>
        <w:t>磋商日期：</w:t>
      </w:r>
    </w:p>
    <w:p w14:paraId="71F535ED">
      <w:pPr>
        <w:pStyle w:val="14"/>
        <w:spacing w:line="360" w:lineRule="auto"/>
        <w:ind w:firstLine="420"/>
        <w:rPr>
          <w:rFonts w:hAnsi="宋体"/>
          <w:color w:val="auto"/>
          <w:sz w:val="24"/>
          <w:szCs w:val="24"/>
          <w:highlight w:val="none"/>
        </w:rPr>
      </w:pPr>
    </w:p>
    <w:p w14:paraId="58FF9A0F">
      <w:pPr>
        <w:pStyle w:val="14"/>
        <w:spacing w:line="360" w:lineRule="auto"/>
        <w:ind w:firstLine="420"/>
        <w:rPr>
          <w:rFonts w:hAnsi="宋体"/>
          <w:color w:val="auto"/>
          <w:sz w:val="24"/>
          <w:szCs w:val="24"/>
          <w:highlight w:val="none"/>
        </w:rPr>
      </w:pPr>
    </w:p>
    <w:p w14:paraId="5AB6ED5A">
      <w:pPr>
        <w:pStyle w:val="14"/>
        <w:spacing w:line="360" w:lineRule="auto"/>
        <w:ind w:right="-126" w:rightChars="-60"/>
        <w:rPr>
          <w:rFonts w:hAnsi="宋体"/>
          <w:color w:val="auto"/>
          <w:sz w:val="24"/>
          <w:szCs w:val="24"/>
          <w:highlight w:val="none"/>
        </w:rPr>
      </w:pPr>
      <w:r>
        <w:rPr>
          <w:rFonts w:hint="eastAsia" w:hAnsi="宋体"/>
          <w:color w:val="auto"/>
          <w:sz w:val="24"/>
          <w:szCs w:val="24"/>
          <w:highlight w:val="none"/>
        </w:rPr>
        <w:t>附：磋商保证金票据或保函等证明材料复印件（盖CA电子签章）</w:t>
      </w:r>
    </w:p>
    <w:p w14:paraId="5E882E04">
      <w:pPr>
        <w:pStyle w:val="14"/>
        <w:spacing w:line="400" w:lineRule="exact"/>
        <w:ind w:firstLine="420"/>
        <w:rPr>
          <w:rFonts w:hAnsi="宋体"/>
          <w:color w:val="auto"/>
          <w:sz w:val="24"/>
          <w:szCs w:val="24"/>
          <w:highlight w:val="none"/>
        </w:rPr>
      </w:pPr>
    </w:p>
    <w:p w14:paraId="3B74B6BF">
      <w:pPr>
        <w:pStyle w:val="14"/>
        <w:spacing w:line="400" w:lineRule="exact"/>
        <w:ind w:firstLine="420"/>
        <w:rPr>
          <w:rFonts w:hAnsi="宋体"/>
          <w:color w:val="auto"/>
          <w:sz w:val="24"/>
          <w:szCs w:val="24"/>
          <w:highlight w:val="none"/>
        </w:rPr>
      </w:pPr>
    </w:p>
    <w:p w14:paraId="7DFFEA15">
      <w:pPr>
        <w:pStyle w:val="14"/>
        <w:spacing w:line="400" w:lineRule="exact"/>
        <w:ind w:firstLine="420"/>
        <w:rPr>
          <w:rFonts w:hAnsi="宋体"/>
          <w:color w:val="auto"/>
          <w:sz w:val="24"/>
          <w:szCs w:val="24"/>
          <w:highlight w:val="none"/>
        </w:rPr>
      </w:pPr>
    </w:p>
    <w:p w14:paraId="52ED852F">
      <w:pPr>
        <w:pStyle w:val="14"/>
        <w:spacing w:line="400" w:lineRule="exact"/>
        <w:ind w:firstLine="420"/>
        <w:rPr>
          <w:rFonts w:hAnsi="宋体"/>
          <w:color w:val="auto"/>
          <w:sz w:val="24"/>
          <w:szCs w:val="24"/>
          <w:highlight w:val="none"/>
        </w:rPr>
      </w:pPr>
    </w:p>
    <w:p w14:paraId="4381C9B5">
      <w:pPr>
        <w:pStyle w:val="14"/>
        <w:spacing w:line="400" w:lineRule="exact"/>
        <w:ind w:firstLine="420"/>
        <w:rPr>
          <w:rFonts w:hAnsi="宋体"/>
          <w:color w:val="auto"/>
          <w:sz w:val="24"/>
          <w:szCs w:val="24"/>
          <w:highlight w:val="none"/>
        </w:rPr>
      </w:pPr>
    </w:p>
    <w:p w14:paraId="3EDEAB12">
      <w:pPr>
        <w:pStyle w:val="14"/>
        <w:spacing w:line="400" w:lineRule="exact"/>
        <w:ind w:firstLine="420"/>
        <w:rPr>
          <w:rFonts w:hAnsi="宋体"/>
          <w:color w:val="auto"/>
          <w:sz w:val="24"/>
          <w:szCs w:val="24"/>
          <w:highlight w:val="none"/>
        </w:rPr>
      </w:pPr>
    </w:p>
    <w:p w14:paraId="3D939225">
      <w:pPr>
        <w:pStyle w:val="14"/>
        <w:pBdr>
          <w:bottom w:val="single" w:color="auto" w:sz="6" w:space="1"/>
        </w:pBdr>
        <w:spacing w:line="460" w:lineRule="exact"/>
        <w:ind w:firstLine="420"/>
        <w:rPr>
          <w:rFonts w:hAnsi="宋体"/>
          <w:color w:val="auto"/>
          <w:sz w:val="24"/>
          <w:szCs w:val="24"/>
          <w:highlight w:val="none"/>
        </w:rPr>
      </w:pPr>
    </w:p>
    <w:p w14:paraId="68A7876C">
      <w:pPr>
        <w:pStyle w:val="14"/>
        <w:spacing w:line="460" w:lineRule="exact"/>
        <w:rPr>
          <w:rFonts w:hAnsi="宋体"/>
          <w:b/>
          <w:color w:val="auto"/>
          <w:szCs w:val="21"/>
          <w:highlight w:val="none"/>
        </w:rPr>
      </w:pPr>
      <w:r>
        <w:rPr>
          <w:rFonts w:hint="eastAsia" w:hAnsi="宋体"/>
          <w:b/>
          <w:color w:val="auto"/>
          <w:szCs w:val="21"/>
          <w:highlight w:val="none"/>
        </w:rPr>
        <w:t>说明：</w:t>
      </w:r>
    </w:p>
    <w:p w14:paraId="7FDD2398">
      <w:pPr>
        <w:spacing w:line="320" w:lineRule="exact"/>
        <w:ind w:left="315" w:hanging="315" w:hangingChars="150"/>
        <w:rPr>
          <w:rFonts w:ascii="宋体" w:hAnsi="宋体"/>
          <w:color w:val="auto"/>
          <w:highlight w:val="none"/>
        </w:rPr>
      </w:pPr>
      <w:r>
        <w:rPr>
          <w:rFonts w:hint="eastAsia" w:ascii="宋体" w:hAnsi="宋体"/>
          <w:color w:val="auto"/>
          <w:highlight w:val="none"/>
        </w:rPr>
        <w:t>1、如采用</w:t>
      </w:r>
      <w:r>
        <w:rPr>
          <w:rFonts w:hint="eastAsia" w:ascii="宋体" w:hAnsi="宋体"/>
          <w:color w:val="auto"/>
          <w:kern w:val="0"/>
          <w:szCs w:val="21"/>
          <w:highlight w:val="none"/>
        </w:rPr>
        <w:t>支票、汇票、</w:t>
      </w:r>
      <w:r>
        <w:rPr>
          <w:rFonts w:hint="eastAsia" w:ascii="宋体" w:hAnsi="宋体"/>
          <w:color w:val="auto"/>
          <w:szCs w:val="21"/>
          <w:highlight w:val="none"/>
        </w:rPr>
        <w:t>本票</w:t>
      </w:r>
      <w:r>
        <w:rPr>
          <w:rFonts w:hint="eastAsia" w:ascii="宋体" w:hAnsi="宋体"/>
          <w:color w:val="auto"/>
          <w:highlight w:val="none"/>
        </w:rPr>
        <w:t>或保函等方式提交磋商保证金的，附</w:t>
      </w:r>
      <w:r>
        <w:rPr>
          <w:rFonts w:hint="eastAsia" w:ascii="宋体" w:hAnsi="宋体"/>
          <w:color w:val="auto"/>
          <w:szCs w:val="21"/>
          <w:highlight w:val="none"/>
        </w:rPr>
        <w:t>票据或保函原件扫描件</w:t>
      </w:r>
      <w:r>
        <w:rPr>
          <w:rFonts w:hint="eastAsia" w:ascii="宋体" w:hAnsi="宋体"/>
          <w:color w:val="auto"/>
          <w:highlight w:val="none"/>
        </w:rPr>
        <w:t>；</w:t>
      </w:r>
    </w:p>
    <w:p w14:paraId="5DD107AF">
      <w:pPr>
        <w:spacing w:line="320" w:lineRule="exact"/>
        <w:ind w:left="315" w:hanging="315" w:hangingChars="150"/>
        <w:rPr>
          <w:rFonts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经查实，供应商提供虚假保证金证明材料的，采购人报政府采购监督管理部门处理。</w:t>
      </w:r>
    </w:p>
    <w:p w14:paraId="66BB3A24">
      <w:pPr>
        <w:pStyle w:val="14"/>
        <w:spacing w:line="320" w:lineRule="exact"/>
        <w:ind w:left="317" w:leftChars="1" w:hanging="315" w:hangingChars="150"/>
        <w:rPr>
          <w:rFonts w:hAnsi="宋体"/>
          <w:color w:val="auto"/>
          <w:highlight w:val="none"/>
        </w:rPr>
      </w:pPr>
      <w:r>
        <w:rPr>
          <w:rFonts w:hAnsi="宋体"/>
          <w:color w:val="auto"/>
          <w:highlight w:val="none"/>
        </w:rPr>
        <w:br w:type="page"/>
      </w:r>
    </w:p>
    <w:p w14:paraId="15D94ED4">
      <w:pPr>
        <w:pStyle w:val="14"/>
        <w:rPr>
          <w:rFonts w:hAnsi="宋体"/>
          <w:color w:val="auto"/>
          <w:sz w:val="24"/>
          <w:highlight w:val="none"/>
        </w:rPr>
      </w:pPr>
    </w:p>
    <w:p w14:paraId="0CBBBDF8">
      <w:pPr>
        <w:pStyle w:val="14"/>
        <w:jc w:val="center"/>
        <w:rPr>
          <w:rFonts w:hAnsi="宋体"/>
          <w:b/>
          <w:color w:val="auto"/>
          <w:sz w:val="32"/>
          <w:highlight w:val="none"/>
        </w:rPr>
      </w:pPr>
      <w:r>
        <w:rPr>
          <w:rFonts w:hint="eastAsia" w:hAnsi="宋体"/>
          <w:b/>
          <w:color w:val="auto"/>
          <w:sz w:val="32"/>
          <w:highlight w:val="none"/>
        </w:rPr>
        <w:t>商务条款响应/偏离表</w:t>
      </w:r>
    </w:p>
    <w:p w14:paraId="7AE6F2D2">
      <w:pPr>
        <w:pStyle w:val="14"/>
        <w:rPr>
          <w:rFonts w:hAnsi="宋体"/>
          <w:color w:val="auto"/>
          <w:sz w:val="24"/>
          <w:szCs w:val="24"/>
          <w:highlight w:val="none"/>
          <w:u w:val="single"/>
        </w:rPr>
      </w:pPr>
    </w:p>
    <w:tbl>
      <w:tblPr>
        <w:tblStyle w:val="29"/>
        <w:tblW w:w="9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343"/>
        <w:gridCol w:w="3494"/>
        <w:gridCol w:w="1723"/>
      </w:tblGrid>
      <w:tr w14:paraId="061E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25C61616">
            <w:pPr>
              <w:snapToGrid w:val="0"/>
              <w:jc w:val="center"/>
              <w:rPr>
                <w:rFonts w:ascii="宋体" w:hAnsi="宋体"/>
                <w:b/>
                <w:bCs/>
                <w:color w:val="auto"/>
                <w:highlight w:val="none"/>
              </w:rPr>
            </w:pPr>
            <w:r>
              <w:rPr>
                <w:rFonts w:hint="eastAsia" w:ascii="宋体" w:hAnsi="宋体" w:cs="宋体"/>
                <w:b/>
                <w:bCs/>
                <w:color w:val="auto"/>
                <w:sz w:val="24"/>
                <w:highlight w:val="none"/>
              </w:rPr>
              <w:t>序号</w:t>
            </w:r>
          </w:p>
        </w:tc>
        <w:tc>
          <w:tcPr>
            <w:tcW w:w="3343" w:type="dxa"/>
            <w:vAlign w:val="center"/>
          </w:tcPr>
          <w:p w14:paraId="7E9CADA2">
            <w:pPr>
              <w:snapToGrid w:val="0"/>
              <w:jc w:val="center"/>
              <w:rPr>
                <w:rFonts w:ascii="宋体" w:hAnsi="宋体"/>
                <w:b/>
                <w:bCs/>
                <w:color w:val="auto"/>
                <w:highlight w:val="none"/>
              </w:rPr>
            </w:pPr>
            <w:r>
              <w:rPr>
                <w:rFonts w:hint="eastAsia" w:ascii="宋体" w:hAnsi="宋体" w:cs="宋体"/>
                <w:b/>
                <w:bCs/>
                <w:color w:val="auto"/>
                <w:sz w:val="24"/>
                <w:highlight w:val="none"/>
              </w:rPr>
              <w:t>磋商文件商务条款要求</w:t>
            </w:r>
          </w:p>
        </w:tc>
        <w:tc>
          <w:tcPr>
            <w:tcW w:w="3494" w:type="dxa"/>
            <w:vAlign w:val="center"/>
          </w:tcPr>
          <w:p w14:paraId="758463C6">
            <w:pPr>
              <w:snapToGrid w:val="0"/>
              <w:jc w:val="center"/>
              <w:rPr>
                <w:rFonts w:ascii="宋体" w:hAnsi="宋体"/>
                <w:b/>
                <w:bCs/>
                <w:color w:val="auto"/>
                <w:highlight w:val="none"/>
              </w:rPr>
            </w:pPr>
            <w:r>
              <w:rPr>
                <w:rFonts w:hint="eastAsia" w:ascii="宋体" w:hAnsi="宋体"/>
                <w:b/>
                <w:bCs/>
                <w:color w:val="auto"/>
                <w:sz w:val="24"/>
                <w:highlight w:val="none"/>
              </w:rPr>
              <w:t>响应文件承诺的商务条款</w:t>
            </w:r>
          </w:p>
        </w:tc>
        <w:tc>
          <w:tcPr>
            <w:tcW w:w="1723" w:type="dxa"/>
            <w:vAlign w:val="center"/>
          </w:tcPr>
          <w:p w14:paraId="38351C37">
            <w:pPr>
              <w:snapToGrid w:val="0"/>
              <w:jc w:val="center"/>
              <w:rPr>
                <w:rFonts w:ascii="宋体" w:hAnsi="宋体"/>
                <w:b/>
                <w:bCs/>
                <w:color w:val="auto"/>
                <w:highlight w:val="none"/>
              </w:rPr>
            </w:pPr>
            <w:r>
              <w:rPr>
                <w:rFonts w:hint="eastAsia" w:ascii="宋体" w:hAnsi="宋体" w:cs="宋体"/>
                <w:b/>
                <w:bCs/>
                <w:color w:val="auto"/>
                <w:sz w:val="24"/>
                <w:highlight w:val="none"/>
              </w:rPr>
              <w:t>偏离说明</w:t>
            </w:r>
          </w:p>
        </w:tc>
      </w:tr>
      <w:tr w14:paraId="5565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7D7462EA">
            <w:pPr>
              <w:snapToGrid w:val="0"/>
              <w:jc w:val="center"/>
              <w:rPr>
                <w:rFonts w:ascii="宋体" w:hAnsi="宋体"/>
                <w:color w:val="auto"/>
                <w:highlight w:val="none"/>
              </w:rPr>
            </w:pPr>
            <w:r>
              <w:rPr>
                <w:rFonts w:ascii="宋体" w:hAnsi="宋体" w:cs="宋体"/>
                <w:color w:val="auto"/>
                <w:sz w:val="24"/>
                <w:highlight w:val="none"/>
              </w:rPr>
              <w:t>1</w:t>
            </w:r>
          </w:p>
        </w:tc>
        <w:tc>
          <w:tcPr>
            <w:tcW w:w="3343" w:type="dxa"/>
            <w:vAlign w:val="center"/>
          </w:tcPr>
          <w:p w14:paraId="100A35D3">
            <w:pPr>
              <w:snapToGrid w:val="0"/>
              <w:rPr>
                <w:rFonts w:ascii="宋体" w:hAnsi="宋体"/>
                <w:color w:val="auto"/>
                <w:highlight w:val="none"/>
              </w:rPr>
            </w:pPr>
          </w:p>
        </w:tc>
        <w:tc>
          <w:tcPr>
            <w:tcW w:w="3494" w:type="dxa"/>
            <w:vAlign w:val="center"/>
          </w:tcPr>
          <w:p w14:paraId="4E07D4B9">
            <w:pPr>
              <w:snapToGrid w:val="0"/>
              <w:rPr>
                <w:rFonts w:ascii="宋体" w:hAnsi="宋体"/>
                <w:color w:val="auto"/>
                <w:highlight w:val="none"/>
              </w:rPr>
            </w:pPr>
          </w:p>
        </w:tc>
        <w:tc>
          <w:tcPr>
            <w:tcW w:w="1723" w:type="dxa"/>
            <w:vAlign w:val="center"/>
          </w:tcPr>
          <w:p w14:paraId="058435DF">
            <w:pPr>
              <w:snapToGrid w:val="0"/>
              <w:jc w:val="center"/>
              <w:rPr>
                <w:rFonts w:ascii="宋体" w:hAnsi="宋体"/>
                <w:color w:val="auto"/>
                <w:highlight w:val="none"/>
              </w:rPr>
            </w:pPr>
          </w:p>
        </w:tc>
      </w:tr>
      <w:tr w14:paraId="02B5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3394683F">
            <w:pPr>
              <w:snapToGrid w:val="0"/>
              <w:jc w:val="center"/>
              <w:rPr>
                <w:rFonts w:ascii="宋体" w:hAnsi="宋体" w:cs="宋体"/>
                <w:color w:val="auto"/>
                <w:highlight w:val="none"/>
              </w:rPr>
            </w:pPr>
            <w:r>
              <w:rPr>
                <w:rFonts w:ascii="宋体" w:hAnsi="宋体" w:cs="宋体"/>
                <w:color w:val="auto"/>
                <w:sz w:val="24"/>
                <w:highlight w:val="none"/>
              </w:rPr>
              <w:t>2</w:t>
            </w:r>
          </w:p>
        </w:tc>
        <w:tc>
          <w:tcPr>
            <w:tcW w:w="3343" w:type="dxa"/>
            <w:vAlign w:val="center"/>
          </w:tcPr>
          <w:p w14:paraId="25038C44">
            <w:pPr>
              <w:snapToGrid w:val="0"/>
              <w:rPr>
                <w:rFonts w:ascii="宋体" w:hAnsi="宋体"/>
                <w:color w:val="auto"/>
                <w:highlight w:val="none"/>
              </w:rPr>
            </w:pPr>
          </w:p>
        </w:tc>
        <w:tc>
          <w:tcPr>
            <w:tcW w:w="3494" w:type="dxa"/>
            <w:vAlign w:val="center"/>
          </w:tcPr>
          <w:p w14:paraId="547ADC9D">
            <w:pPr>
              <w:snapToGrid w:val="0"/>
              <w:rPr>
                <w:rFonts w:ascii="宋体" w:hAnsi="宋体"/>
                <w:color w:val="auto"/>
                <w:highlight w:val="none"/>
              </w:rPr>
            </w:pPr>
          </w:p>
        </w:tc>
        <w:tc>
          <w:tcPr>
            <w:tcW w:w="1723" w:type="dxa"/>
            <w:vAlign w:val="center"/>
          </w:tcPr>
          <w:p w14:paraId="28A5A36F">
            <w:pPr>
              <w:snapToGrid w:val="0"/>
              <w:jc w:val="center"/>
              <w:rPr>
                <w:rFonts w:ascii="宋体" w:hAnsi="宋体"/>
                <w:color w:val="auto"/>
                <w:highlight w:val="none"/>
              </w:rPr>
            </w:pPr>
          </w:p>
        </w:tc>
      </w:tr>
      <w:tr w14:paraId="3375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42774116">
            <w:pPr>
              <w:snapToGrid w:val="0"/>
              <w:jc w:val="center"/>
              <w:rPr>
                <w:rFonts w:ascii="宋体" w:hAnsi="宋体" w:cs="宋体"/>
                <w:color w:val="auto"/>
                <w:highlight w:val="none"/>
              </w:rPr>
            </w:pPr>
            <w:r>
              <w:rPr>
                <w:rFonts w:ascii="宋体" w:hAnsi="宋体" w:cs="宋体"/>
                <w:color w:val="auto"/>
                <w:sz w:val="24"/>
                <w:highlight w:val="none"/>
              </w:rPr>
              <w:t>3</w:t>
            </w:r>
          </w:p>
        </w:tc>
        <w:tc>
          <w:tcPr>
            <w:tcW w:w="3343" w:type="dxa"/>
            <w:vAlign w:val="center"/>
          </w:tcPr>
          <w:p w14:paraId="3B2B7F3C">
            <w:pPr>
              <w:pStyle w:val="14"/>
              <w:snapToGrid w:val="0"/>
              <w:ind w:left="2"/>
              <w:rPr>
                <w:rFonts w:hAnsi="宋体" w:cs="宋体"/>
                <w:color w:val="auto"/>
                <w:szCs w:val="24"/>
                <w:highlight w:val="none"/>
              </w:rPr>
            </w:pPr>
          </w:p>
        </w:tc>
        <w:tc>
          <w:tcPr>
            <w:tcW w:w="3494" w:type="dxa"/>
            <w:vAlign w:val="center"/>
          </w:tcPr>
          <w:p w14:paraId="2C55510A">
            <w:pPr>
              <w:pStyle w:val="14"/>
              <w:snapToGrid w:val="0"/>
              <w:ind w:left="2"/>
              <w:rPr>
                <w:rFonts w:hAnsi="宋体" w:cs="宋体"/>
                <w:color w:val="auto"/>
                <w:szCs w:val="24"/>
                <w:highlight w:val="none"/>
              </w:rPr>
            </w:pPr>
          </w:p>
        </w:tc>
        <w:tc>
          <w:tcPr>
            <w:tcW w:w="1723" w:type="dxa"/>
            <w:vAlign w:val="center"/>
          </w:tcPr>
          <w:p w14:paraId="059E64B4">
            <w:pPr>
              <w:pStyle w:val="75"/>
              <w:keepNext w:val="0"/>
              <w:adjustRightInd/>
              <w:snapToGrid w:val="0"/>
              <w:spacing w:before="0" w:after="0" w:line="240" w:lineRule="auto"/>
              <w:ind w:left="5250"/>
              <w:textAlignment w:val="auto"/>
              <w:rPr>
                <w:rFonts w:ascii="宋体" w:hAnsi="宋体"/>
                <w:color w:val="auto"/>
                <w:spacing w:val="0"/>
                <w:kern w:val="2"/>
                <w:highlight w:val="none"/>
              </w:rPr>
            </w:pPr>
          </w:p>
        </w:tc>
      </w:tr>
      <w:tr w14:paraId="5EA5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33C6DD59">
            <w:pPr>
              <w:snapToGrid w:val="0"/>
              <w:jc w:val="center"/>
              <w:rPr>
                <w:rFonts w:ascii="宋体" w:hAnsi="宋体" w:cs="宋体"/>
                <w:color w:val="auto"/>
                <w:highlight w:val="none"/>
              </w:rPr>
            </w:pPr>
            <w:r>
              <w:rPr>
                <w:rFonts w:hint="eastAsia" w:ascii="宋体" w:hAnsi="宋体" w:cs="宋体"/>
                <w:color w:val="auto"/>
                <w:sz w:val="24"/>
                <w:highlight w:val="none"/>
              </w:rPr>
              <w:t>…</w:t>
            </w:r>
          </w:p>
        </w:tc>
        <w:tc>
          <w:tcPr>
            <w:tcW w:w="3343" w:type="dxa"/>
            <w:vAlign w:val="center"/>
          </w:tcPr>
          <w:p w14:paraId="23D7E82A">
            <w:pPr>
              <w:snapToGrid w:val="0"/>
              <w:rPr>
                <w:rFonts w:ascii="宋体" w:hAnsi="宋体"/>
                <w:color w:val="auto"/>
                <w:highlight w:val="none"/>
              </w:rPr>
            </w:pPr>
          </w:p>
        </w:tc>
        <w:tc>
          <w:tcPr>
            <w:tcW w:w="3494" w:type="dxa"/>
            <w:vAlign w:val="center"/>
          </w:tcPr>
          <w:p w14:paraId="77F6AC95">
            <w:pPr>
              <w:snapToGrid w:val="0"/>
              <w:rPr>
                <w:rFonts w:ascii="宋体" w:hAnsi="宋体"/>
                <w:color w:val="auto"/>
                <w:highlight w:val="none"/>
              </w:rPr>
            </w:pPr>
          </w:p>
        </w:tc>
        <w:tc>
          <w:tcPr>
            <w:tcW w:w="1723" w:type="dxa"/>
            <w:vAlign w:val="center"/>
          </w:tcPr>
          <w:p w14:paraId="35A7A6F2">
            <w:pPr>
              <w:pStyle w:val="75"/>
              <w:keepNext w:val="0"/>
              <w:adjustRightInd/>
              <w:snapToGrid w:val="0"/>
              <w:spacing w:before="0" w:after="0" w:line="240" w:lineRule="auto"/>
              <w:ind w:left="5250"/>
              <w:textAlignment w:val="auto"/>
              <w:rPr>
                <w:rFonts w:ascii="宋体" w:hAnsi="宋体"/>
                <w:color w:val="auto"/>
                <w:spacing w:val="0"/>
                <w:kern w:val="2"/>
                <w:highlight w:val="none"/>
              </w:rPr>
            </w:pPr>
          </w:p>
        </w:tc>
      </w:tr>
    </w:tbl>
    <w:p w14:paraId="2D5FC19C">
      <w:pPr>
        <w:pStyle w:val="14"/>
        <w:rPr>
          <w:rFonts w:hAnsi="宋体"/>
          <w:color w:val="auto"/>
          <w:sz w:val="24"/>
          <w:szCs w:val="24"/>
          <w:highlight w:val="none"/>
        </w:rPr>
      </w:pPr>
    </w:p>
    <w:p w14:paraId="66C5CA01">
      <w:pPr>
        <w:pStyle w:val="14"/>
        <w:rPr>
          <w:rFonts w:hAnsi="宋体"/>
          <w:b/>
          <w:color w:val="auto"/>
          <w:sz w:val="24"/>
          <w:szCs w:val="24"/>
          <w:highlight w:val="none"/>
        </w:rPr>
      </w:pPr>
      <w:r>
        <w:rPr>
          <w:rFonts w:hint="eastAsia" w:hAnsi="宋体"/>
          <w:b/>
          <w:color w:val="auto"/>
          <w:sz w:val="24"/>
          <w:szCs w:val="24"/>
          <w:highlight w:val="none"/>
        </w:rPr>
        <w:t>我方声明：未在此偏离表中列出的偏离，完全同意并接受磋商文件中的相关要求。</w:t>
      </w:r>
    </w:p>
    <w:p w14:paraId="17B59B7B">
      <w:pPr>
        <w:pStyle w:val="14"/>
        <w:rPr>
          <w:rFonts w:hAnsi="宋体"/>
          <w:color w:val="auto"/>
          <w:sz w:val="24"/>
          <w:szCs w:val="24"/>
          <w:highlight w:val="none"/>
        </w:rPr>
      </w:pPr>
    </w:p>
    <w:p w14:paraId="623C4301">
      <w:pPr>
        <w:pStyle w:val="14"/>
        <w:rPr>
          <w:rFonts w:hAnsi="宋体"/>
          <w:color w:val="auto"/>
          <w:sz w:val="24"/>
          <w:szCs w:val="24"/>
          <w:highlight w:val="none"/>
        </w:rPr>
      </w:pPr>
    </w:p>
    <w:p w14:paraId="2B9F36AF">
      <w:pPr>
        <w:pStyle w:val="14"/>
        <w:rPr>
          <w:rFonts w:hAnsi="宋体"/>
          <w:color w:val="auto"/>
          <w:sz w:val="24"/>
          <w:szCs w:val="24"/>
          <w:highlight w:val="none"/>
        </w:rPr>
      </w:pPr>
    </w:p>
    <w:p w14:paraId="4185F62E">
      <w:pPr>
        <w:pStyle w:val="14"/>
        <w:rPr>
          <w:rFonts w:hAnsi="宋体"/>
          <w:color w:val="auto"/>
          <w:sz w:val="24"/>
          <w:szCs w:val="24"/>
          <w:highlight w:val="none"/>
        </w:rPr>
      </w:pPr>
    </w:p>
    <w:p w14:paraId="6954FAE4">
      <w:pPr>
        <w:pStyle w:val="14"/>
        <w:rPr>
          <w:rFonts w:hAnsi="宋体"/>
          <w:color w:val="auto"/>
          <w:sz w:val="24"/>
          <w:szCs w:val="24"/>
          <w:highlight w:val="none"/>
        </w:rPr>
      </w:pPr>
    </w:p>
    <w:p w14:paraId="5DCF89BA">
      <w:pPr>
        <w:pStyle w:val="14"/>
        <w:spacing w:line="500" w:lineRule="exact"/>
        <w:ind w:firstLine="2551" w:firstLineChars="1063"/>
        <w:rPr>
          <w:rFonts w:hAnsi="宋体"/>
          <w:color w:val="auto"/>
          <w:sz w:val="24"/>
          <w:szCs w:val="24"/>
          <w:highlight w:val="none"/>
          <w:u w:val="single"/>
        </w:rPr>
      </w:pPr>
      <w:r>
        <w:rPr>
          <w:rFonts w:hint="eastAsia" w:hAnsi="宋体"/>
          <w:color w:val="auto"/>
          <w:sz w:val="24"/>
          <w:szCs w:val="24"/>
          <w:highlight w:val="none"/>
        </w:rPr>
        <w:t>供应商（盖CA电子签章）：</w:t>
      </w:r>
    </w:p>
    <w:p w14:paraId="5A2AED37">
      <w:pPr>
        <w:pStyle w:val="14"/>
        <w:spacing w:line="500" w:lineRule="exact"/>
        <w:ind w:firstLine="2551" w:firstLineChars="1063"/>
        <w:rPr>
          <w:rFonts w:hAnsi="宋体"/>
          <w:color w:val="auto"/>
          <w:sz w:val="24"/>
          <w:szCs w:val="24"/>
          <w:highlight w:val="none"/>
        </w:rPr>
      </w:pPr>
      <w:r>
        <w:rPr>
          <w:rFonts w:hint="eastAsia" w:hAnsi="宋体"/>
          <w:color w:val="auto"/>
          <w:sz w:val="24"/>
          <w:szCs w:val="24"/>
          <w:highlight w:val="none"/>
        </w:rPr>
        <w:t>磋商日期：</w:t>
      </w:r>
    </w:p>
    <w:p w14:paraId="33E9D93F">
      <w:pPr>
        <w:pStyle w:val="14"/>
        <w:spacing w:line="320" w:lineRule="exact"/>
        <w:rPr>
          <w:rFonts w:hAnsi="宋体"/>
          <w:color w:val="auto"/>
          <w:sz w:val="24"/>
          <w:szCs w:val="24"/>
          <w:highlight w:val="none"/>
        </w:rPr>
      </w:pPr>
    </w:p>
    <w:p w14:paraId="3B1563C3">
      <w:pPr>
        <w:pStyle w:val="14"/>
        <w:spacing w:line="320" w:lineRule="exact"/>
        <w:rPr>
          <w:rFonts w:hAnsi="宋体"/>
          <w:color w:val="auto"/>
          <w:sz w:val="24"/>
          <w:szCs w:val="24"/>
          <w:highlight w:val="none"/>
        </w:rPr>
      </w:pPr>
    </w:p>
    <w:p w14:paraId="2EF00F8A">
      <w:pPr>
        <w:pStyle w:val="14"/>
        <w:spacing w:line="320" w:lineRule="exact"/>
        <w:rPr>
          <w:rFonts w:hAnsi="宋体"/>
          <w:color w:val="auto"/>
          <w:sz w:val="24"/>
          <w:szCs w:val="24"/>
          <w:highlight w:val="none"/>
        </w:rPr>
      </w:pPr>
    </w:p>
    <w:p w14:paraId="566EBBA1">
      <w:pPr>
        <w:pStyle w:val="14"/>
        <w:spacing w:line="320" w:lineRule="exact"/>
        <w:rPr>
          <w:rFonts w:hAnsi="宋体"/>
          <w:color w:val="auto"/>
          <w:sz w:val="24"/>
          <w:szCs w:val="24"/>
          <w:highlight w:val="none"/>
        </w:rPr>
      </w:pPr>
    </w:p>
    <w:p w14:paraId="3928FBFE">
      <w:pPr>
        <w:pStyle w:val="14"/>
        <w:spacing w:line="320" w:lineRule="exact"/>
        <w:rPr>
          <w:rFonts w:hAnsi="宋体"/>
          <w:color w:val="auto"/>
          <w:sz w:val="24"/>
          <w:szCs w:val="24"/>
          <w:highlight w:val="none"/>
        </w:rPr>
      </w:pPr>
    </w:p>
    <w:p w14:paraId="4CBF2F25">
      <w:pPr>
        <w:pStyle w:val="14"/>
        <w:spacing w:line="320" w:lineRule="exact"/>
        <w:rPr>
          <w:rFonts w:hAnsi="宋体"/>
          <w:color w:val="auto"/>
          <w:sz w:val="24"/>
          <w:szCs w:val="24"/>
          <w:highlight w:val="none"/>
        </w:rPr>
      </w:pPr>
    </w:p>
    <w:p w14:paraId="3930DF05">
      <w:pPr>
        <w:pStyle w:val="14"/>
        <w:spacing w:line="320" w:lineRule="exact"/>
        <w:rPr>
          <w:rFonts w:hAnsi="宋体"/>
          <w:color w:val="auto"/>
          <w:sz w:val="24"/>
          <w:szCs w:val="24"/>
          <w:highlight w:val="none"/>
        </w:rPr>
      </w:pPr>
    </w:p>
    <w:p w14:paraId="470D7BE7">
      <w:pPr>
        <w:pStyle w:val="14"/>
        <w:spacing w:line="320" w:lineRule="exact"/>
        <w:rPr>
          <w:rFonts w:hAnsi="宋体"/>
          <w:color w:val="auto"/>
          <w:sz w:val="24"/>
          <w:szCs w:val="24"/>
          <w:highlight w:val="none"/>
        </w:rPr>
      </w:pPr>
    </w:p>
    <w:p w14:paraId="0D300D5E">
      <w:pPr>
        <w:pStyle w:val="14"/>
        <w:spacing w:line="320" w:lineRule="exact"/>
        <w:rPr>
          <w:rFonts w:hAnsi="宋体"/>
          <w:color w:val="auto"/>
          <w:sz w:val="24"/>
          <w:szCs w:val="24"/>
          <w:highlight w:val="none"/>
        </w:rPr>
      </w:pPr>
    </w:p>
    <w:p w14:paraId="4F3818EA">
      <w:pPr>
        <w:pStyle w:val="14"/>
        <w:spacing w:line="320" w:lineRule="exact"/>
        <w:rPr>
          <w:rFonts w:hAnsi="宋体"/>
          <w:color w:val="auto"/>
          <w:sz w:val="24"/>
          <w:szCs w:val="24"/>
          <w:highlight w:val="none"/>
        </w:rPr>
      </w:pPr>
    </w:p>
    <w:p w14:paraId="22F51D9C">
      <w:pPr>
        <w:pStyle w:val="14"/>
        <w:pBdr>
          <w:bottom w:val="single" w:color="auto" w:sz="6" w:space="1"/>
        </w:pBdr>
        <w:spacing w:line="320" w:lineRule="exact"/>
        <w:jc w:val="left"/>
        <w:rPr>
          <w:rFonts w:hAnsi="宋体"/>
          <w:color w:val="auto"/>
          <w:sz w:val="24"/>
          <w:szCs w:val="24"/>
          <w:highlight w:val="none"/>
        </w:rPr>
      </w:pPr>
    </w:p>
    <w:p w14:paraId="65CD6D9A">
      <w:pPr>
        <w:pStyle w:val="14"/>
        <w:spacing w:line="400" w:lineRule="exact"/>
        <w:ind w:left="422" w:hanging="422" w:hangingChars="200"/>
        <w:rPr>
          <w:rFonts w:hAnsi="宋体"/>
          <w:b/>
          <w:bCs/>
          <w:color w:val="auto"/>
          <w:highlight w:val="none"/>
        </w:rPr>
      </w:pPr>
      <w:r>
        <w:rPr>
          <w:rFonts w:hint="eastAsia" w:hAnsi="宋体"/>
          <w:b/>
          <w:bCs/>
          <w:color w:val="auto"/>
          <w:highlight w:val="none"/>
        </w:rPr>
        <w:t>说明：</w:t>
      </w:r>
    </w:p>
    <w:p w14:paraId="6BBEF5EE">
      <w:pPr>
        <w:pStyle w:val="14"/>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1、请逐条对应本项目磋商文件第三章《采购需求》“商务要求”，详细填写相应的具体内容，“偏离说明”一栏选择“无偏离”、“正偏离”或“负偏离”进行填写；</w:t>
      </w:r>
    </w:p>
    <w:p w14:paraId="2F422E19">
      <w:pPr>
        <w:pStyle w:val="14"/>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2、当响应文件的服务内容低于磋商文件要求时，供应商应当如实写明“负偏离”，否则视为虚假响应；</w:t>
      </w:r>
    </w:p>
    <w:p w14:paraId="5D9F0519">
      <w:pPr>
        <w:pStyle w:val="14"/>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3、如果磋商文件需求为小于或大于某个数值标准时，响应文件承诺内容应当写明服务具体商务响应承诺的具体数值，否则按无效响应处理；</w:t>
      </w:r>
    </w:p>
    <w:p w14:paraId="62C71298">
      <w:pPr>
        <w:pStyle w:val="14"/>
        <w:spacing w:line="320" w:lineRule="exact"/>
        <w:ind w:left="315" w:hanging="315" w:hangingChars="150"/>
        <w:jc w:val="left"/>
        <w:rPr>
          <w:rFonts w:hAnsi="宋体"/>
          <w:color w:val="auto"/>
          <w:highlight w:val="none"/>
        </w:rPr>
      </w:pPr>
      <w:r>
        <w:rPr>
          <w:rFonts w:hint="eastAsia" w:hAnsi="宋体"/>
          <w:color w:val="auto"/>
          <w:highlight w:val="none"/>
          <w:lang w:val="en-GB"/>
        </w:rPr>
        <w:t>4、表格内容均需按要求填写，不得留空，</w:t>
      </w:r>
      <w:r>
        <w:rPr>
          <w:rFonts w:hint="eastAsia" w:hAnsi="宋体"/>
          <w:color w:val="auto"/>
          <w:highlight w:val="none"/>
        </w:rPr>
        <w:t>不得</w:t>
      </w:r>
      <w:r>
        <w:rPr>
          <w:rFonts w:hint="eastAsia" w:hAnsi="宋体"/>
          <w:color w:val="auto"/>
          <w:highlight w:val="none"/>
          <w:lang w:val="en-GB"/>
        </w:rPr>
        <w:t>擅自修改，否则</w:t>
      </w:r>
      <w:r>
        <w:rPr>
          <w:rFonts w:hint="eastAsia" w:hAnsi="宋体"/>
          <w:color w:val="auto"/>
          <w:highlight w:val="none"/>
        </w:rPr>
        <w:t>视为响应无效。</w:t>
      </w:r>
      <w:r>
        <w:rPr>
          <w:rFonts w:hAnsi="宋体"/>
          <w:color w:val="auto"/>
          <w:highlight w:val="none"/>
        </w:rPr>
        <w:br w:type="page"/>
      </w:r>
    </w:p>
    <w:p w14:paraId="563195FE">
      <w:pPr>
        <w:pStyle w:val="14"/>
        <w:rPr>
          <w:rFonts w:hAnsi="宋体"/>
          <w:color w:val="auto"/>
          <w:sz w:val="24"/>
          <w:highlight w:val="none"/>
        </w:rPr>
      </w:pPr>
    </w:p>
    <w:p w14:paraId="3DC7D12E">
      <w:pPr>
        <w:jc w:val="center"/>
        <w:rPr>
          <w:rFonts w:ascii="宋体" w:hAnsi="宋体"/>
          <w:b/>
          <w:color w:val="auto"/>
          <w:sz w:val="32"/>
          <w:szCs w:val="32"/>
          <w:highlight w:val="none"/>
        </w:rPr>
      </w:pPr>
      <w:r>
        <w:rPr>
          <w:rFonts w:hint="eastAsia" w:ascii="宋体" w:hAnsi="宋体"/>
          <w:b/>
          <w:color w:val="auto"/>
          <w:sz w:val="32"/>
          <w:szCs w:val="32"/>
          <w:highlight w:val="none"/>
        </w:rPr>
        <w:t>服务要求响应/偏离表</w:t>
      </w:r>
    </w:p>
    <w:p w14:paraId="19A11340">
      <w:pPr>
        <w:pStyle w:val="14"/>
        <w:rPr>
          <w:rFonts w:hAnsi="宋体"/>
          <w:color w:val="auto"/>
          <w:sz w:val="24"/>
          <w:highlight w:val="none"/>
        </w:rPr>
      </w:pPr>
    </w:p>
    <w:tbl>
      <w:tblPr>
        <w:tblStyle w:val="29"/>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380"/>
        <w:gridCol w:w="2426"/>
        <w:gridCol w:w="1308"/>
        <w:gridCol w:w="2311"/>
        <w:gridCol w:w="1307"/>
      </w:tblGrid>
      <w:tr w14:paraId="0217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Merge w:val="restart"/>
            <w:vAlign w:val="center"/>
          </w:tcPr>
          <w:p w14:paraId="1FB9B373">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项号</w:t>
            </w:r>
          </w:p>
        </w:tc>
        <w:tc>
          <w:tcPr>
            <w:tcW w:w="3806" w:type="dxa"/>
            <w:gridSpan w:val="2"/>
            <w:vAlign w:val="center"/>
          </w:tcPr>
          <w:p w14:paraId="293DC9A2">
            <w:pPr>
              <w:pStyle w:val="14"/>
              <w:snapToGrid w:val="0"/>
              <w:jc w:val="center"/>
              <w:rPr>
                <w:rFonts w:hAnsi="宋体"/>
                <w:color w:val="auto"/>
                <w:szCs w:val="24"/>
                <w:highlight w:val="none"/>
              </w:rPr>
            </w:pPr>
            <w:r>
              <w:rPr>
                <w:rFonts w:hint="eastAsia" w:hAnsi="宋体"/>
                <w:color w:val="auto"/>
                <w:szCs w:val="24"/>
                <w:highlight w:val="none"/>
              </w:rPr>
              <w:t>磋商文件服务要求</w:t>
            </w:r>
          </w:p>
        </w:tc>
        <w:tc>
          <w:tcPr>
            <w:tcW w:w="3619" w:type="dxa"/>
            <w:gridSpan w:val="2"/>
            <w:vAlign w:val="center"/>
          </w:tcPr>
          <w:p w14:paraId="54AF1B83">
            <w:pPr>
              <w:pStyle w:val="14"/>
              <w:snapToGrid w:val="0"/>
              <w:jc w:val="center"/>
              <w:rPr>
                <w:rFonts w:hAnsi="宋体"/>
                <w:color w:val="auto"/>
                <w:szCs w:val="24"/>
                <w:highlight w:val="none"/>
              </w:rPr>
            </w:pPr>
            <w:r>
              <w:rPr>
                <w:rFonts w:hint="eastAsia" w:hAnsi="宋体"/>
                <w:color w:val="auto"/>
                <w:szCs w:val="24"/>
                <w:highlight w:val="none"/>
              </w:rPr>
              <w:t xml:space="preserve">响应文件承诺服务内容 </w:t>
            </w:r>
          </w:p>
        </w:tc>
        <w:tc>
          <w:tcPr>
            <w:tcW w:w="1307" w:type="dxa"/>
            <w:vMerge w:val="restart"/>
            <w:vAlign w:val="center"/>
          </w:tcPr>
          <w:p w14:paraId="2C47EF79">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偏离说明</w:t>
            </w:r>
          </w:p>
        </w:tc>
      </w:tr>
      <w:tr w14:paraId="3FA7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Merge w:val="continue"/>
            <w:vAlign w:val="center"/>
          </w:tcPr>
          <w:p w14:paraId="682D7A78">
            <w:pPr>
              <w:pStyle w:val="14"/>
              <w:snapToGrid w:val="0"/>
              <w:ind w:left="-105" w:leftChars="-50" w:right="-105" w:rightChars="-50"/>
              <w:jc w:val="center"/>
              <w:rPr>
                <w:rFonts w:hAnsi="宋体"/>
                <w:color w:val="auto"/>
                <w:szCs w:val="24"/>
                <w:highlight w:val="none"/>
              </w:rPr>
            </w:pPr>
          </w:p>
        </w:tc>
        <w:tc>
          <w:tcPr>
            <w:tcW w:w="1380" w:type="dxa"/>
            <w:vAlign w:val="center"/>
          </w:tcPr>
          <w:p w14:paraId="1C5A3E43">
            <w:pPr>
              <w:pStyle w:val="14"/>
              <w:snapToGrid w:val="0"/>
              <w:jc w:val="center"/>
              <w:rPr>
                <w:rFonts w:hAnsi="宋体"/>
                <w:bCs/>
                <w:color w:val="auto"/>
                <w:highlight w:val="none"/>
              </w:rPr>
            </w:pPr>
            <w:r>
              <w:rPr>
                <w:rFonts w:hint="eastAsia" w:hAnsi="宋体"/>
                <w:bCs/>
                <w:color w:val="auto"/>
                <w:sz w:val="24"/>
                <w:highlight w:val="none"/>
              </w:rPr>
              <w:t>服务名称</w:t>
            </w:r>
          </w:p>
        </w:tc>
        <w:tc>
          <w:tcPr>
            <w:tcW w:w="2426" w:type="dxa"/>
            <w:vAlign w:val="center"/>
          </w:tcPr>
          <w:p w14:paraId="1FC0348D">
            <w:pPr>
              <w:pStyle w:val="14"/>
              <w:snapToGrid w:val="0"/>
              <w:jc w:val="center"/>
              <w:rPr>
                <w:rFonts w:hAnsi="宋体"/>
                <w:bCs/>
                <w:color w:val="auto"/>
                <w:highlight w:val="none"/>
              </w:rPr>
            </w:pPr>
            <w:r>
              <w:rPr>
                <w:rFonts w:hint="eastAsia" w:hAnsi="宋体"/>
                <w:bCs/>
                <w:color w:val="auto"/>
                <w:sz w:val="24"/>
                <w:highlight w:val="none"/>
              </w:rPr>
              <w:t>服务内容及要求</w:t>
            </w:r>
          </w:p>
        </w:tc>
        <w:tc>
          <w:tcPr>
            <w:tcW w:w="1308" w:type="dxa"/>
            <w:vAlign w:val="center"/>
          </w:tcPr>
          <w:p w14:paraId="67CEC3F5">
            <w:pPr>
              <w:pStyle w:val="14"/>
              <w:snapToGrid w:val="0"/>
              <w:jc w:val="center"/>
              <w:rPr>
                <w:rFonts w:hAnsi="宋体"/>
                <w:color w:val="auto"/>
                <w:szCs w:val="24"/>
                <w:highlight w:val="none"/>
              </w:rPr>
            </w:pPr>
            <w:r>
              <w:rPr>
                <w:rFonts w:hint="eastAsia" w:hAnsi="宋体"/>
                <w:color w:val="auto"/>
                <w:sz w:val="24"/>
                <w:szCs w:val="24"/>
                <w:highlight w:val="none"/>
              </w:rPr>
              <w:t>服务名称</w:t>
            </w:r>
          </w:p>
        </w:tc>
        <w:tc>
          <w:tcPr>
            <w:tcW w:w="2311" w:type="dxa"/>
            <w:vAlign w:val="center"/>
          </w:tcPr>
          <w:p w14:paraId="5338D3DB">
            <w:pPr>
              <w:pStyle w:val="14"/>
              <w:snapToGrid w:val="0"/>
              <w:jc w:val="center"/>
              <w:rPr>
                <w:rFonts w:hAnsi="宋体"/>
                <w:color w:val="auto"/>
                <w:szCs w:val="24"/>
                <w:highlight w:val="none"/>
              </w:rPr>
            </w:pPr>
            <w:r>
              <w:rPr>
                <w:rFonts w:hint="eastAsia" w:hAnsi="宋体"/>
                <w:color w:val="auto"/>
                <w:sz w:val="24"/>
                <w:szCs w:val="24"/>
                <w:highlight w:val="none"/>
              </w:rPr>
              <w:t>拟提供服务的内容</w:t>
            </w:r>
          </w:p>
        </w:tc>
        <w:tc>
          <w:tcPr>
            <w:tcW w:w="1307" w:type="dxa"/>
            <w:vMerge w:val="continue"/>
            <w:vAlign w:val="center"/>
          </w:tcPr>
          <w:p w14:paraId="66E8E087">
            <w:pPr>
              <w:pStyle w:val="14"/>
              <w:snapToGrid w:val="0"/>
              <w:ind w:left="-105" w:leftChars="-50" w:right="-105" w:rightChars="-50"/>
              <w:jc w:val="center"/>
              <w:rPr>
                <w:rFonts w:hAnsi="宋体"/>
                <w:color w:val="auto"/>
                <w:szCs w:val="24"/>
                <w:highlight w:val="none"/>
              </w:rPr>
            </w:pPr>
          </w:p>
        </w:tc>
      </w:tr>
      <w:tr w14:paraId="530B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440884AA">
            <w:pPr>
              <w:pStyle w:val="14"/>
              <w:snapToGrid w:val="0"/>
              <w:jc w:val="center"/>
              <w:rPr>
                <w:rFonts w:hAnsi="宋体"/>
                <w:color w:val="auto"/>
                <w:szCs w:val="24"/>
                <w:highlight w:val="none"/>
              </w:rPr>
            </w:pPr>
            <w:r>
              <w:rPr>
                <w:rFonts w:hint="eastAsia" w:hAnsi="宋体"/>
                <w:color w:val="auto"/>
                <w:sz w:val="24"/>
                <w:szCs w:val="24"/>
                <w:highlight w:val="none"/>
              </w:rPr>
              <w:t>1</w:t>
            </w:r>
          </w:p>
        </w:tc>
        <w:tc>
          <w:tcPr>
            <w:tcW w:w="1380" w:type="dxa"/>
            <w:vAlign w:val="center"/>
          </w:tcPr>
          <w:p w14:paraId="5CD067CA">
            <w:pPr>
              <w:pStyle w:val="14"/>
              <w:snapToGrid w:val="0"/>
              <w:jc w:val="center"/>
              <w:rPr>
                <w:rFonts w:hAnsi="宋体"/>
                <w:color w:val="auto"/>
                <w:szCs w:val="24"/>
                <w:highlight w:val="none"/>
              </w:rPr>
            </w:pPr>
          </w:p>
        </w:tc>
        <w:tc>
          <w:tcPr>
            <w:tcW w:w="2426" w:type="dxa"/>
            <w:vAlign w:val="center"/>
          </w:tcPr>
          <w:p w14:paraId="46536DCB">
            <w:pPr>
              <w:pStyle w:val="14"/>
              <w:snapToGrid w:val="0"/>
              <w:jc w:val="center"/>
              <w:rPr>
                <w:rFonts w:hAnsi="宋体"/>
                <w:color w:val="auto"/>
                <w:szCs w:val="24"/>
                <w:highlight w:val="none"/>
              </w:rPr>
            </w:pPr>
          </w:p>
        </w:tc>
        <w:tc>
          <w:tcPr>
            <w:tcW w:w="1308" w:type="dxa"/>
            <w:vAlign w:val="center"/>
          </w:tcPr>
          <w:p w14:paraId="67667D06">
            <w:pPr>
              <w:pStyle w:val="14"/>
              <w:snapToGrid w:val="0"/>
              <w:jc w:val="center"/>
              <w:rPr>
                <w:rFonts w:hAnsi="宋体"/>
                <w:color w:val="auto"/>
                <w:szCs w:val="24"/>
                <w:highlight w:val="none"/>
              </w:rPr>
            </w:pPr>
          </w:p>
        </w:tc>
        <w:tc>
          <w:tcPr>
            <w:tcW w:w="2311" w:type="dxa"/>
            <w:vAlign w:val="center"/>
          </w:tcPr>
          <w:p w14:paraId="7F1AC8C7">
            <w:pPr>
              <w:pStyle w:val="14"/>
              <w:snapToGrid w:val="0"/>
              <w:jc w:val="center"/>
              <w:rPr>
                <w:rFonts w:hAnsi="宋体"/>
                <w:color w:val="auto"/>
                <w:szCs w:val="24"/>
                <w:highlight w:val="none"/>
              </w:rPr>
            </w:pPr>
          </w:p>
        </w:tc>
        <w:tc>
          <w:tcPr>
            <w:tcW w:w="1307" w:type="dxa"/>
            <w:vAlign w:val="center"/>
          </w:tcPr>
          <w:p w14:paraId="73976A52">
            <w:pPr>
              <w:pStyle w:val="14"/>
              <w:snapToGrid w:val="0"/>
              <w:jc w:val="center"/>
              <w:rPr>
                <w:rFonts w:hAnsi="宋体"/>
                <w:color w:val="auto"/>
                <w:szCs w:val="24"/>
                <w:highlight w:val="none"/>
              </w:rPr>
            </w:pPr>
          </w:p>
        </w:tc>
      </w:tr>
      <w:tr w14:paraId="3A64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41188D00">
            <w:pPr>
              <w:pStyle w:val="14"/>
              <w:snapToGrid w:val="0"/>
              <w:jc w:val="center"/>
              <w:rPr>
                <w:rFonts w:hAnsi="宋体"/>
                <w:color w:val="auto"/>
                <w:szCs w:val="24"/>
                <w:highlight w:val="none"/>
              </w:rPr>
            </w:pPr>
            <w:r>
              <w:rPr>
                <w:rFonts w:hint="eastAsia" w:hAnsi="宋体"/>
                <w:color w:val="auto"/>
                <w:sz w:val="24"/>
                <w:szCs w:val="24"/>
                <w:highlight w:val="none"/>
              </w:rPr>
              <w:t>2</w:t>
            </w:r>
          </w:p>
        </w:tc>
        <w:tc>
          <w:tcPr>
            <w:tcW w:w="1380" w:type="dxa"/>
            <w:vAlign w:val="center"/>
          </w:tcPr>
          <w:p w14:paraId="43C52930">
            <w:pPr>
              <w:pStyle w:val="14"/>
              <w:snapToGrid w:val="0"/>
              <w:jc w:val="center"/>
              <w:rPr>
                <w:rFonts w:hAnsi="宋体"/>
                <w:color w:val="auto"/>
                <w:szCs w:val="24"/>
                <w:highlight w:val="none"/>
              </w:rPr>
            </w:pPr>
          </w:p>
        </w:tc>
        <w:tc>
          <w:tcPr>
            <w:tcW w:w="2426" w:type="dxa"/>
            <w:vAlign w:val="center"/>
          </w:tcPr>
          <w:p w14:paraId="075FD218">
            <w:pPr>
              <w:pStyle w:val="14"/>
              <w:snapToGrid w:val="0"/>
              <w:jc w:val="center"/>
              <w:rPr>
                <w:rFonts w:hAnsi="宋体"/>
                <w:color w:val="auto"/>
                <w:szCs w:val="24"/>
                <w:highlight w:val="none"/>
              </w:rPr>
            </w:pPr>
          </w:p>
        </w:tc>
        <w:tc>
          <w:tcPr>
            <w:tcW w:w="1308" w:type="dxa"/>
            <w:vAlign w:val="center"/>
          </w:tcPr>
          <w:p w14:paraId="3403FE1D">
            <w:pPr>
              <w:pStyle w:val="14"/>
              <w:snapToGrid w:val="0"/>
              <w:jc w:val="center"/>
              <w:rPr>
                <w:rFonts w:hAnsi="宋体"/>
                <w:color w:val="auto"/>
                <w:szCs w:val="24"/>
                <w:highlight w:val="none"/>
              </w:rPr>
            </w:pPr>
          </w:p>
        </w:tc>
        <w:tc>
          <w:tcPr>
            <w:tcW w:w="2311" w:type="dxa"/>
            <w:vAlign w:val="center"/>
          </w:tcPr>
          <w:p w14:paraId="0DBEAD9C">
            <w:pPr>
              <w:pStyle w:val="14"/>
              <w:snapToGrid w:val="0"/>
              <w:jc w:val="center"/>
              <w:rPr>
                <w:rFonts w:hAnsi="宋体"/>
                <w:color w:val="auto"/>
                <w:szCs w:val="24"/>
                <w:highlight w:val="none"/>
              </w:rPr>
            </w:pPr>
          </w:p>
        </w:tc>
        <w:tc>
          <w:tcPr>
            <w:tcW w:w="1307" w:type="dxa"/>
            <w:vAlign w:val="center"/>
          </w:tcPr>
          <w:p w14:paraId="1D811A12">
            <w:pPr>
              <w:pStyle w:val="14"/>
              <w:snapToGrid w:val="0"/>
              <w:jc w:val="center"/>
              <w:rPr>
                <w:rFonts w:hAnsi="宋体"/>
                <w:color w:val="auto"/>
                <w:szCs w:val="24"/>
                <w:highlight w:val="none"/>
              </w:rPr>
            </w:pPr>
          </w:p>
        </w:tc>
      </w:tr>
      <w:tr w14:paraId="4D19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6CDF0DE8">
            <w:pPr>
              <w:pStyle w:val="14"/>
              <w:snapToGrid w:val="0"/>
              <w:jc w:val="center"/>
              <w:rPr>
                <w:rFonts w:hAnsi="宋体"/>
                <w:color w:val="auto"/>
                <w:szCs w:val="24"/>
                <w:highlight w:val="none"/>
              </w:rPr>
            </w:pPr>
            <w:r>
              <w:rPr>
                <w:rFonts w:hint="eastAsia" w:hAnsi="宋体"/>
                <w:color w:val="auto"/>
                <w:sz w:val="24"/>
                <w:szCs w:val="24"/>
                <w:highlight w:val="none"/>
              </w:rPr>
              <w:t>3</w:t>
            </w:r>
          </w:p>
        </w:tc>
        <w:tc>
          <w:tcPr>
            <w:tcW w:w="1380" w:type="dxa"/>
            <w:vAlign w:val="center"/>
          </w:tcPr>
          <w:p w14:paraId="5EA25295">
            <w:pPr>
              <w:pStyle w:val="14"/>
              <w:snapToGrid w:val="0"/>
              <w:jc w:val="center"/>
              <w:rPr>
                <w:rFonts w:hAnsi="宋体"/>
                <w:color w:val="auto"/>
                <w:szCs w:val="24"/>
                <w:highlight w:val="none"/>
              </w:rPr>
            </w:pPr>
          </w:p>
        </w:tc>
        <w:tc>
          <w:tcPr>
            <w:tcW w:w="2426" w:type="dxa"/>
            <w:vAlign w:val="center"/>
          </w:tcPr>
          <w:p w14:paraId="4254FE6C">
            <w:pPr>
              <w:pStyle w:val="14"/>
              <w:snapToGrid w:val="0"/>
              <w:jc w:val="center"/>
              <w:rPr>
                <w:rFonts w:hAnsi="宋体"/>
                <w:color w:val="auto"/>
                <w:szCs w:val="24"/>
                <w:highlight w:val="none"/>
              </w:rPr>
            </w:pPr>
          </w:p>
        </w:tc>
        <w:tc>
          <w:tcPr>
            <w:tcW w:w="1308" w:type="dxa"/>
            <w:vAlign w:val="center"/>
          </w:tcPr>
          <w:p w14:paraId="497407CE">
            <w:pPr>
              <w:pStyle w:val="14"/>
              <w:snapToGrid w:val="0"/>
              <w:jc w:val="center"/>
              <w:rPr>
                <w:rFonts w:hAnsi="宋体"/>
                <w:color w:val="auto"/>
                <w:szCs w:val="24"/>
                <w:highlight w:val="none"/>
              </w:rPr>
            </w:pPr>
          </w:p>
        </w:tc>
        <w:tc>
          <w:tcPr>
            <w:tcW w:w="2311" w:type="dxa"/>
            <w:vAlign w:val="center"/>
          </w:tcPr>
          <w:p w14:paraId="046C7DD5">
            <w:pPr>
              <w:pStyle w:val="14"/>
              <w:snapToGrid w:val="0"/>
              <w:jc w:val="center"/>
              <w:rPr>
                <w:rFonts w:hAnsi="宋体"/>
                <w:color w:val="auto"/>
                <w:szCs w:val="24"/>
                <w:highlight w:val="none"/>
              </w:rPr>
            </w:pPr>
          </w:p>
        </w:tc>
        <w:tc>
          <w:tcPr>
            <w:tcW w:w="1307" w:type="dxa"/>
            <w:vAlign w:val="center"/>
          </w:tcPr>
          <w:p w14:paraId="2EDA0124">
            <w:pPr>
              <w:pStyle w:val="14"/>
              <w:snapToGrid w:val="0"/>
              <w:jc w:val="center"/>
              <w:rPr>
                <w:rFonts w:hAnsi="宋体"/>
                <w:color w:val="auto"/>
                <w:szCs w:val="24"/>
                <w:highlight w:val="none"/>
              </w:rPr>
            </w:pPr>
          </w:p>
        </w:tc>
      </w:tr>
      <w:tr w14:paraId="5665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7AD86670">
            <w:pPr>
              <w:pStyle w:val="14"/>
              <w:snapToGrid w:val="0"/>
              <w:jc w:val="center"/>
              <w:rPr>
                <w:rFonts w:hAnsi="宋体"/>
                <w:color w:val="auto"/>
                <w:szCs w:val="24"/>
                <w:highlight w:val="none"/>
              </w:rPr>
            </w:pPr>
            <w:r>
              <w:rPr>
                <w:rFonts w:hint="eastAsia" w:hAnsi="宋体"/>
                <w:color w:val="auto"/>
                <w:sz w:val="24"/>
                <w:szCs w:val="24"/>
                <w:highlight w:val="none"/>
              </w:rPr>
              <w:t>…</w:t>
            </w:r>
          </w:p>
        </w:tc>
        <w:tc>
          <w:tcPr>
            <w:tcW w:w="1380" w:type="dxa"/>
            <w:vAlign w:val="center"/>
          </w:tcPr>
          <w:p w14:paraId="499396B9">
            <w:pPr>
              <w:pStyle w:val="14"/>
              <w:snapToGrid w:val="0"/>
              <w:jc w:val="center"/>
              <w:rPr>
                <w:rFonts w:hAnsi="宋体"/>
                <w:color w:val="auto"/>
                <w:szCs w:val="24"/>
                <w:highlight w:val="none"/>
              </w:rPr>
            </w:pPr>
          </w:p>
        </w:tc>
        <w:tc>
          <w:tcPr>
            <w:tcW w:w="2426" w:type="dxa"/>
            <w:vAlign w:val="center"/>
          </w:tcPr>
          <w:p w14:paraId="62A75DBB">
            <w:pPr>
              <w:pStyle w:val="14"/>
              <w:snapToGrid w:val="0"/>
              <w:jc w:val="center"/>
              <w:rPr>
                <w:rFonts w:hAnsi="宋体"/>
                <w:color w:val="auto"/>
                <w:szCs w:val="24"/>
                <w:highlight w:val="none"/>
              </w:rPr>
            </w:pPr>
          </w:p>
        </w:tc>
        <w:tc>
          <w:tcPr>
            <w:tcW w:w="1308" w:type="dxa"/>
            <w:vAlign w:val="center"/>
          </w:tcPr>
          <w:p w14:paraId="7B03E665">
            <w:pPr>
              <w:pStyle w:val="14"/>
              <w:snapToGrid w:val="0"/>
              <w:jc w:val="center"/>
              <w:rPr>
                <w:rFonts w:hAnsi="宋体"/>
                <w:color w:val="auto"/>
                <w:szCs w:val="24"/>
                <w:highlight w:val="none"/>
              </w:rPr>
            </w:pPr>
          </w:p>
        </w:tc>
        <w:tc>
          <w:tcPr>
            <w:tcW w:w="2311" w:type="dxa"/>
            <w:vAlign w:val="center"/>
          </w:tcPr>
          <w:p w14:paraId="32708B49">
            <w:pPr>
              <w:pStyle w:val="14"/>
              <w:snapToGrid w:val="0"/>
              <w:jc w:val="center"/>
              <w:rPr>
                <w:rFonts w:hAnsi="宋体"/>
                <w:color w:val="auto"/>
                <w:szCs w:val="24"/>
                <w:highlight w:val="none"/>
              </w:rPr>
            </w:pPr>
          </w:p>
        </w:tc>
        <w:tc>
          <w:tcPr>
            <w:tcW w:w="1307" w:type="dxa"/>
            <w:vAlign w:val="center"/>
          </w:tcPr>
          <w:p w14:paraId="41812966">
            <w:pPr>
              <w:pStyle w:val="14"/>
              <w:snapToGrid w:val="0"/>
              <w:jc w:val="center"/>
              <w:rPr>
                <w:rFonts w:hAnsi="宋体"/>
                <w:color w:val="auto"/>
                <w:szCs w:val="24"/>
                <w:highlight w:val="none"/>
              </w:rPr>
            </w:pPr>
          </w:p>
        </w:tc>
      </w:tr>
    </w:tbl>
    <w:p w14:paraId="31703B9C">
      <w:pPr>
        <w:rPr>
          <w:rFonts w:ascii="宋体" w:hAnsi="宋体"/>
          <w:color w:val="auto"/>
          <w:sz w:val="24"/>
          <w:highlight w:val="none"/>
        </w:rPr>
      </w:pPr>
    </w:p>
    <w:p w14:paraId="3E3DE7CB">
      <w:pPr>
        <w:pStyle w:val="14"/>
        <w:rPr>
          <w:rFonts w:hAnsi="宋体"/>
          <w:b/>
          <w:color w:val="auto"/>
          <w:sz w:val="24"/>
          <w:szCs w:val="24"/>
          <w:highlight w:val="none"/>
        </w:rPr>
      </w:pPr>
      <w:r>
        <w:rPr>
          <w:rFonts w:hint="eastAsia" w:hAnsi="宋体"/>
          <w:b/>
          <w:color w:val="auto"/>
          <w:sz w:val="24"/>
          <w:szCs w:val="24"/>
          <w:highlight w:val="none"/>
        </w:rPr>
        <w:t>我方声明：未在此偏离表中列出的偏离，完全同意并接受竞争性磋商文件中的相关要求。</w:t>
      </w:r>
    </w:p>
    <w:p w14:paraId="6EAA2EA6">
      <w:pPr>
        <w:pStyle w:val="14"/>
        <w:rPr>
          <w:rFonts w:hAnsi="宋体"/>
          <w:bCs/>
          <w:color w:val="auto"/>
          <w:sz w:val="24"/>
          <w:szCs w:val="24"/>
          <w:highlight w:val="none"/>
        </w:rPr>
      </w:pPr>
    </w:p>
    <w:p w14:paraId="4C36A6DC">
      <w:pPr>
        <w:pStyle w:val="14"/>
        <w:rPr>
          <w:rFonts w:hAnsi="宋体"/>
          <w:bCs/>
          <w:color w:val="auto"/>
          <w:sz w:val="24"/>
          <w:szCs w:val="24"/>
          <w:highlight w:val="none"/>
        </w:rPr>
      </w:pPr>
    </w:p>
    <w:p w14:paraId="77FE0FB7">
      <w:pPr>
        <w:pStyle w:val="14"/>
        <w:rPr>
          <w:rFonts w:hAnsi="宋体"/>
          <w:bCs/>
          <w:color w:val="auto"/>
          <w:sz w:val="24"/>
          <w:szCs w:val="24"/>
          <w:highlight w:val="none"/>
        </w:rPr>
      </w:pPr>
    </w:p>
    <w:p w14:paraId="12AD29E6">
      <w:pPr>
        <w:pStyle w:val="14"/>
        <w:rPr>
          <w:rFonts w:hAnsi="宋体"/>
          <w:bCs/>
          <w:color w:val="auto"/>
          <w:sz w:val="24"/>
          <w:szCs w:val="24"/>
          <w:highlight w:val="none"/>
        </w:rPr>
      </w:pPr>
    </w:p>
    <w:p w14:paraId="3A70226E">
      <w:pPr>
        <w:pStyle w:val="14"/>
        <w:rPr>
          <w:rFonts w:hAnsi="宋体"/>
          <w:bCs/>
          <w:color w:val="auto"/>
          <w:sz w:val="24"/>
          <w:szCs w:val="24"/>
          <w:highlight w:val="none"/>
        </w:rPr>
      </w:pPr>
    </w:p>
    <w:p w14:paraId="31CFAC6B">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6944E319">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5EE6AE3D">
      <w:pPr>
        <w:rPr>
          <w:rFonts w:ascii="宋体" w:hAnsi="宋体"/>
          <w:color w:val="auto"/>
          <w:sz w:val="24"/>
          <w:highlight w:val="none"/>
        </w:rPr>
      </w:pPr>
    </w:p>
    <w:p w14:paraId="33AD6298">
      <w:pPr>
        <w:rPr>
          <w:rFonts w:ascii="宋体" w:hAnsi="宋体"/>
          <w:color w:val="auto"/>
          <w:sz w:val="24"/>
          <w:highlight w:val="none"/>
        </w:rPr>
      </w:pPr>
    </w:p>
    <w:p w14:paraId="2A968F1A">
      <w:pPr>
        <w:rPr>
          <w:rFonts w:ascii="宋体" w:hAnsi="宋体"/>
          <w:color w:val="auto"/>
          <w:highlight w:val="none"/>
        </w:rPr>
      </w:pPr>
    </w:p>
    <w:p w14:paraId="5FF3203C">
      <w:pPr>
        <w:rPr>
          <w:rFonts w:ascii="宋体" w:hAnsi="宋体"/>
          <w:color w:val="auto"/>
          <w:highlight w:val="none"/>
        </w:rPr>
      </w:pPr>
    </w:p>
    <w:p w14:paraId="350F5CA7">
      <w:pPr>
        <w:rPr>
          <w:rFonts w:ascii="宋体" w:hAnsi="宋体"/>
          <w:color w:val="auto"/>
          <w:highlight w:val="none"/>
        </w:rPr>
      </w:pPr>
    </w:p>
    <w:p w14:paraId="2626C135">
      <w:pPr>
        <w:rPr>
          <w:rFonts w:ascii="宋体" w:hAnsi="宋体"/>
          <w:color w:val="auto"/>
          <w:highlight w:val="none"/>
        </w:rPr>
      </w:pPr>
    </w:p>
    <w:p w14:paraId="363B44FE">
      <w:pPr>
        <w:rPr>
          <w:rFonts w:ascii="宋体" w:hAnsi="宋体"/>
          <w:color w:val="auto"/>
          <w:highlight w:val="none"/>
        </w:rPr>
      </w:pPr>
    </w:p>
    <w:p w14:paraId="4FFCC4AE">
      <w:pPr>
        <w:rPr>
          <w:rFonts w:ascii="宋体" w:hAnsi="宋体"/>
          <w:color w:val="auto"/>
          <w:highlight w:val="none"/>
        </w:rPr>
      </w:pPr>
    </w:p>
    <w:p w14:paraId="3328544C">
      <w:pPr>
        <w:rPr>
          <w:rFonts w:ascii="宋体" w:hAnsi="宋体"/>
          <w:color w:val="auto"/>
          <w:highlight w:val="none"/>
        </w:rPr>
      </w:pPr>
    </w:p>
    <w:p w14:paraId="6EE774BA">
      <w:pPr>
        <w:pBdr>
          <w:bottom w:val="single" w:color="auto" w:sz="6" w:space="1"/>
        </w:pBdr>
        <w:rPr>
          <w:rFonts w:ascii="宋体" w:hAnsi="宋体"/>
          <w:color w:val="auto"/>
          <w:highlight w:val="none"/>
        </w:rPr>
      </w:pPr>
    </w:p>
    <w:p w14:paraId="06369F88">
      <w:pPr>
        <w:pStyle w:val="14"/>
        <w:spacing w:line="400" w:lineRule="exact"/>
        <w:jc w:val="left"/>
        <w:rPr>
          <w:rFonts w:hAnsi="宋体"/>
          <w:b/>
          <w:bCs/>
          <w:color w:val="auto"/>
          <w:highlight w:val="none"/>
        </w:rPr>
      </w:pPr>
      <w:r>
        <w:rPr>
          <w:rFonts w:hint="eastAsia" w:hAnsi="宋体"/>
          <w:b/>
          <w:bCs/>
          <w:color w:val="auto"/>
          <w:highlight w:val="none"/>
        </w:rPr>
        <w:t>说明：</w:t>
      </w:r>
    </w:p>
    <w:p w14:paraId="44B46BF2">
      <w:pPr>
        <w:pStyle w:val="14"/>
        <w:spacing w:line="320" w:lineRule="exact"/>
        <w:ind w:left="309" w:hanging="309" w:hangingChars="150"/>
        <w:jc w:val="left"/>
        <w:rPr>
          <w:rFonts w:hAnsi="宋体" w:cs="宋体"/>
          <w:color w:val="auto"/>
          <w:spacing w:val="-2"/>
          <w:highlight w:val="none"/>
          <w:lang w:val="en-GB"/>
        </w:rPr>
      </w:pPr>
      <w:r>
        <w:rPr>
          <w:rFonts w:hint="eastAsia" w:hAnsi="宋体" w:cs="宋体"/>
          <w:color w:val="auto"/>
          <w:spacing w:val="-2"/>
          <w:highlight w:val="none"/>
          <w:lang w:val="en-GB"/>
        </w:rPr>
        <w:t>1、根据服务的实际技术参数内容，逐条对应本项目磋商文件第三章《采购需求》中的服务内容及要求，详细填写相应的具体内容，“偏离说明”一栏选择“无偏离”、“正偏离”或“负偏离”进行填写；</w:t>
      </w:r>
    </w:p>
    <w:p w14:paraId="1073E27D">
      <w:pPr>
        <w:pStyle w:val="14"/>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2、当响应文件的服务内容低于磋商文件要求时，供应商应当如实写明“负偏离”，否则视为虚假应标；</w:t>
      </w:r>
    </w:p>
    <w:p w14:paraId="7968A3D7">
      <w:pPr>
        <w:pStyle w:val="14"/>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3、如果磋商文件需求为小于或大于某个数值标准时，响应文件承诺内容应当写明服务具体技术参数响应承诺的具体数值，否则视为无效响应；</w:t>
      </w:r>
    </w:p>
    <w:p w14:paraId="52B17B1C">
      <w:pPr>
        <w:pStyle w:val="14"/>
        <w:spacing w:line="320" w:lineRule="exact"/>
        <w:ind w:left="315" w:hanging="315" w:hangingChars="150"/>
        <w:jc w:val="left"/>
        <w:rPr>
          <w:rFonts w:hAnsi="宋体"/>
          <w:color w:val="auto"/>
          <w:highlight w:val="none"/>
        </w:rPr>
      </w:pPr>
      <w:r>
        <w:rPr>
          <w:rFonts w:hint="eastAsia" w:hAnsi="宋体"/>
          <w:color w:val="auto"/>
          <w:highlight w:val="none"/>
          <w:lang w:val="en-GB"/>
        </w:rPr>
        <w:t>4、</w:t>
      </w:r>
      <w:r>
        <w:rPr>
          <w:rFonts w:hint="eastAsia" w:hAnsi="宋体" w:cs="宋体"/>
          <w:color w:val="auto"/>
          <w:highlight w:val="none"/>
          <w:lang w:val="en-GB"/>
        </w:rPr>
        <w:t>表格内容均需按要求填写</w:t>
      </w:r>
      <w:r>
        <w:rPr>
          <w:rFonts w:hint="eastAsia" w:hAnsi="宋体"/>
          <w:color w:val="auto"/>
          <w:highlight w:val="none"/>
          <w:lang w:val="en-GB"/>
        </w:rPr>
        <w:t>，不得留空，</w:t>
      </w:r>
      <w:r>
        <w:rPr>
          <w:rFonts w:hint="eastAsia" w:hAnsi="宋体"/>
          <w:color w:val="auto"/>
          <w:highlight w:val="none"/>
        </w:rPr>
        <w:t>不得</w:t>
      </w:r>
      <w:r>
        <w:rPr>
          <w:rFonts w:hint="eastAsia" w:hAnsi="宋体"/>
          <w:color w:val="auto"/>
          <w:highlight w:val="none"/>
          <w:lang w:val="en-GB"/>
        </w:rPr>
        <w:t>擅自修改，否则</w:t>
      </w:r>
      <w:r>
        <w:rPr>
          <w:rFonts w:hint="eastAsia" w:hAnsi="宋体"/>
          <w:color w:val="auto"/>
          <w:highlight w:val="none"/>
        </w:rPr>
        <w:t>视为无效响应。</w:t>
      </w:r>
      <w:r>
        <w:rPr>
          <w:rFonts w:hAnsi="宋体"/>
          <w:color w:val="auto"/>
          <w:highlight w:val="none"/>
        </w:rPr>
        <w:br w:type="page"/>
      </w:r>
    </w:p>
    <w:p w14:paraId="6E7C278A">
      <w:pPr>
        <w:rPr>
          <w:rFonts w:ascii="宋体" w:hAnsi="宋体"/>
          <w:color w:val="auto"/>
          <w:highlight w:val="none"/>
        </w:rPr>
      </w:pPr>
    </w:p>
    <w:p w14:paraId="30171161">
      <w:pPr>
        <w:jc w:val="center"/>
        <w:rPr>
          <w:rFonts w:ascii="宋体" w:hAnsi="宋体"/>
          <w:b/>
          <w:color w:val="auto"/>
          <w:sz w:val="32"/>
          <w:szCs w:val="32"/>
          <w:highlight w:val="none"/>
        </w:rPr>
      </w:pPr>
      <w:r>
        <w:rPr>
          <w:rFonts w:hint="eastAsia" w:ascii="宋体" w:hAnsi="宋体"/>
          <w:b/>
          <w:color w:val="auto"/>
          <w:sz w:val="32"/>
          <w:szCs w:val="32"/>
          <w:highlight w:val="none"/>
        </w:rPr>
        <w:t>项目技术方案</w:t>
      </w:r>
    </w:p>
    <w:p w14:paraId="69EFADDE">
      <w:pPr>
        <w:pStyle w:val="14"/>
        <w:spacing w:line="360" w:lineRule="auto"/>
        <w:ind w:right="-126" w:rightChars="-60"/>
        <w:rPr>
          <w:rFonts w:hAnsi="宋体"/>
          <w:color w:val="auto"/>
          <w:sz w:val="24"/>
          <w:szCs w:val="24"/>
          <w:highlight w:val="none"/>
        </w:rPr>
      </w:pPr>
      <w:r>
        <w:rPr>
          <w:rFonts w:hint="eastAsia" w:hAnsi="宋体"/>
          <w:color w:val="auto"/>
          <w:sz w:val="24"/>
          <w:szCs w:val="24"/>
          <w:highlight w:val="none"/>
        </w:rPr>
        <w:t>（根据第三章、第四章内容自行编写，格式自拟。）</w:t>
      </w:r>
    </w:p>
    <w:p w14:paraId="47C3326D">
      <w:pPr>
        <w:widowControl/>
        <w:jc w:val="left"/>
        <w:rPr>
          <w:rFonts w:ascii="宋体" w:hAnsi="宋体"/>
          <w:color w:val="auto"/>
          <w:highlight w:val="none"/>
        </w:rPr>
      </w:pPr>
      <w:r>
        <w:rPr>
          <w:rFonts w:ascii="宋体" w:hAnsi="宋体"/>
          <w:color w:val="auto"/>
          <w:highlight w:val="none"/>
        </w:rPr>
        <w:br w:type="page"/>
      </w:r>
    </w:p>
    <w:p w14:paraId="3063DB31">
      <w:pPr>
        <w:rPr>
          <w:rFonts w:ascii="宋体" w:hAnsi="宋体"/>
          <w:color w:val="auto"/>
          <w:highlight w:val="none"/>
        </w:rPr>
      </w:pPr>
    </w:p>
    <w:p w14:paraId="5704B685">
      <w:pPr>
        <w:jc w:val="center"/>
        <w:rPr>
          <w:rFonts w:ascii="宋体" w:hAnsi="宋体"/>
          <w:b/>
          <w:color w:val="auto"/>
          <w:sz w:val="32"/>
          <w:szCs w:val="32"/>
          <w:highlight w:val="none"/>
        </w:rPr>
      </w:pPr>
      <w:r>
        <w:rPr>
          <w:rFonts w:hint="eastAsia" w:ascii="宋体" w:hAnsi="宋体"/>
          <w:b/>
          <w:color w:val="auto"/>
          <w:sz w:val="32"/>
          <w:szCs w:val="32"/>
          <w:highlight w:val="none"/>
        </w:rPr>
        <w:t>拟派本项目服务人员一览表（如有）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201"/>
        <w:gridCol w:w="1214"/>
        <w:gridCol w:w="1066"/>
        <w:gridCol w:w="2250"/>
        <w:gridCol w:w="2319"/>
        <w:gridCol w:w="885"/>
      </w:tblGrid>
      <w:tr w14:paraId="3D54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331C69C7">
            <w:pPr>
              <w:jc w:val="center"/>
              <w:rPr>
                <w:rFonts w:ascii="宋体" w:hAnsi="宋体" w:cs="仿宋"/>
                <w:color w:val="auto"/>
                <w:kern w:val="0"/>
                <w:sz w:val="24"/>
                <w:highlight w:val="none"/>
              </w:rPr>
            </w:pPr>
            <w:r>
              <w:rPr>
                <w:rFonts w:hint="eastAsia" w:ascii="宋体" w:hAnsi="宋体" w:cs="仿宋"/>
                <w:color w:val="auto"/>
                <w:kern w:val="0"/>
                <w:sz w:val="24"/>
                <w:highlight w:val="none"/>
              </w:rPr>
              <w:t>序号</w:t>
            </w:r>
          </w:p>
        </w:tc>
        <w:tc>
          <w:tcPr>
            <w:tcW w:w="1201" w:type="dxa"/>
            <w:vAlign w:val="center"/>
          </w:tcPr>
          <w:p w14:paraId="3BC81AA0">
            <w:pPr>
              <w:jc w:val="center"/>
              <w:rPr>
                <w:rFonts w:ascii="宋体" w:hAnsi="宋体" w:cs="仿宋"/>
                <w:color w:val="auto"/>
                <w:kern w:val="0"/>
                <w:sz w:val="24"/>
                <w:highlight w:val="none"/>
              </w:rPr>
            </w:pPr>
            <w:r>
              <w:rPr>
                <w:rFonts w:hint="eastAsia" w:ascii="宋体" w:hAnsi="宋体" w:cs="仿宋"/>
                <w:color w:val="auto"/>
                <w:kern w:val="0"/>
                <w:sz w:val="24"/>
                <w:highlight w:val="none"/>
              </w:rPr>
              <w:t>姓名</w:t>
            </w:r>
          </w:p>
        </w:tc>
        <w:tc>
          <w:tcPr>
            <w:tcW w:w="1214" w:type="dxa"/>
            <w:vAlign w:val="center"/>
          </w:tcPr>
          <w:p w14:paraId="17007AB0">
            <w:pPr>
              <w:jc w:val="center"/>
              <w:rPr>
                <w:rFonts w:ascii="宋体" w:hAnsi="宋体" w:cs="仿宋"/>
                <w:color w:val="auto"/>
                <w:kern w:val="0"/>
                <w:sz w:val="24"/>
                <w:highlight w:val="none"/>
              </w:rPr>
            </w:pPr>
            <w:r>
              <w:rPr>
                <w:rFonts w:hint="eastAsia" w:ascii="宋体" w:hAnsi="宋体" w:cs="仿宋"/>
                <w:color w:val="auto"/>
                <w:kern w:val="0"/>
                <w:sz w:val="24"/>
                <w:highlight w:val="none"/>
              </w:rPr>
              <w:t>职务</w:t>
            </w:r>
          </w:p>
        </w:tc>
        <w:tc>
          <w:tcPr>
            <w:tcW w:w="1066" w:type="dxa"/>
            <w:vAlign w:val="center"/>
          </w:tcPr>
          <w:p w14:paraId="4401C92E">
            <w:pPr>
              <w:jc w:val="center"/>
              <w:rPr>
                <w:rFonts w:ascii="宋体" w:hAnsi="宋体" w:cs="仿宋"/>
                <w:color w:val="auto"/>
                <w:kern w:val="0"/>
                <w:sz w:val="24"/>
                <w:highlight w:val="none"/>
              </w:rPr>
            </w:pPr>
            <w:r>
              <w:rPr>
                <w:rFonts w:hint="eastAsia" w:ascii="宋体" w:hAnsi="宋体" w:cs="仿宋"/>
                <w:color w:val="auto"/>
                <w:kern w:val="0"/>
                <w:sz w:val="24"/>
                <w:highlight w:val="none"/>
              </w:rPr>
              <w:t>证书名称</w:t>
            </w:r>
          </w:p>
        </w:tc>
        <w:tc>
          <w:tcPr>
            <w:tcW w:w="2250" w:type="dxa"/>
            <w:vAlign w:val="center"/>
          </w:tcPr>
          <w:p w14:paraId="58B3E5AC">
            <w:pPr>
              <w:jc w:val="center"/>
              <w:rPr>
                <w:rFonts w:ascii="宋体" w:hAnsi="宋体" w:cs="仿宋"/>
                <w:color w:val="auto"/>
                <w:kern w:val="0"/>
                <w:sz w:val="24"/>
                <w:highlight w:val="none"/>
              </w:rPr>
            </w:pPr>
            <w:r>
              <w:rPr>
                <w:rFonts w:hint="eastAsia" w:ascii="宋体" w:hAnsi="宋体" w:cs="仿宋"/>
                <w:color w:val="auto"/>
                <w:kern w:val="0"/>
                <w:sz w:val="24"/>
                <w:highlight w:val="none"/>
              </w:rPr>
              <w:t>证号</w:t>
            </w:r>
          </w:p>
        </w:tc>
        <w:tc>
          <w:tcPr>
            <w:tcW w:w="2319" w:type="dxa"/>
            <w:vAlign w:val="center"/>
          </w:tcPr>
          <w:p w14:paraId="66E3DF2A">
            <w:pPr>
              <w:jc w:val="center"/>
              <w:rPr>
                <w:rFonts w:ascii="宋体" w:hAnsi="宋体" w:cs="仿宋"/>
                <w:color w:val="auto"/>
                <w:kern w:val="0"/>
                <w:sz w:val="24"/>
                <w:highlight w:val="none"/>
              </w:rPr>
            </w:pPr>
            <w:r>
              <w:rPr>
                <w:rFonts w:hint="eastAsia" w:ascii="宋体" w:hAnsi="宋体" w:cs="仿宋"/>
                <w:color w:val="auto"/>
                <w:kern w:val="0"/>
                <w:sz w:val="24"/>
                <w:highlight w:val="none"/>
              </w:rPr>
              <w:t>专业</w:t>
            </w:r>
          </w:p>
        </w:tc>
        <w:tc>
          <w:tcPr>
            <w:tcW w:w="885" w:type="dxa"/>
            <w:vAlign w:val="center"/>
          </w:tcPr>
          <w:p w14:paraId="29E52B0C">
            <w:pPr>
              <w:jc w:val="center"/>
              <w:rPr>
                <w:rFonts w:ascii="宋体" w:hAnsi="宋体" w:cs="仿宋"/>
                <w:color w:val="auto"/>
                <w:kern w:val="0"/>
                <w:sz w:val="24"/>
                <w:highlight w:val="none"/>
              </w:rPr>
            </w:pPr>
            <w:r>
              <w:rPr>
                <w:rFonts w:hint="eastAsia" w:ascii="宋体" w:hAnsi="宋体" w:cs="仿宋"/>
                <w:color w:val="auto"/>
                <w:kern w:val="0"/>
                <w:sz w:val="24"/>
                <w:highlight w:val="none"/>
              </w:rPr>
              <w:t>备注</w:t>
            </w:r>
          </w:p>
        </w:tc>
      </w:tr>
      <w:tr w14:paraId="0C06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37223BA9">
            <w:pPr>
              <w:snapToGrid w:val="0"/>
              <w:jc w:val="center"/>
              <w:rPr>
                <w:rFonts w:ascii="宋体" w:hAnsi="宋体"/>
                <w:color w:val="auto"/>
                <w:kern w:val="0"/>
                <w:sz w:val="24"/>
                <w:highlight w:val="none"/>
              </w:rPr>
            </w:pPr>
            <w:r>
              <w:rPr>
                <w:rFonts w:hint="eastAsia" w:ascii="宋体" w:hAnsi="宋体"/>
                <w:color w:val="auto"/>
                <w:kern w:val="0"/>
                <w:sz w:val="24"/>
                <w:highlight w:val="none"/>
              </w:rPr>
              <w:t>1</w:t>
            </w:r>
          </w:p>
        </w:tc>
        <w:tc>
          <w:tcPr>
            <w:tcW w:w="1201" w:type="dxa"/>
            <w:vAlign w:val="center"/>
          </w:tcPr>
          <w:p w14:paraId="44DFC30B">
            <w:pPr>
              <w:snapToGrid w:val="0"/>
              <w:jc w:val="center"/>
              <w:rPr>
                <w:rFonts w:ascii="宋体" w:hAnsi="宋体"/>
                <w:color w:val="auto"/>
                <w:kern w:val="0"/>
                <w:sz w:val="24"/>
                <w:highlight w:val="none"/>
              </w:rPr>
            </w:pPr>
          </w:p>
        </w:tc>
        <w:tc>
          <w:tcPr>
            <w:tcW w:w="1214" w:type="dxa"/>
            <w:vAlign w:val="center"/>
          </w:tcPr>
          <w:p w14:paraId="664213A3">
            <w:pPr>
              <w:snapToGrid w:val="0"/>
              <w:jc w:val="center"/>
              <w:rPr>
                <w:rFonts w:ascii="宋体" w:hAnsi="宋体"/>
                <w:color w:val="auto"/>
                <w:kern w:val="0"/>
                <w:sz w:val="24"/>
                <w:highlight w:val="none"/>
              </w:rPr>
            </w:pPr>
          </w:p>
        </w:tc>
        <w:tc>
          <w:tcPr>
            <w:tcW w:w="1066" w:type="dxa"/>
            <w:vAlign w:val="center"/>
          </w:tcPr>
          <w:p w14:paraId="610EC397">
            <w:pPr>
              <w:snapToGrid w:val="0"/>
              <w:jc w:val="center"/>
              <w:rPr>
                <w:rFonts w:ascii="宋体" w:hAnsi="宋体"/>
                <w:color w:val="auto"/>
                <w:kern w:val="0"/>
                <w:sz w:val="24"/>
                <w:highlight w:val="none"/>
              </w:rPr>
            </w:pPr>
          </w:p>
        </w:tc>
        <w:tc>
          <w:tcPr>
            <w:tcW w:w="2250" w:type="dxa"/>
            <w:vAlign w:val="center"/>
          </w:tcPr>
          <w:p w14:paraId="538D04DE">
            <w:pPr>
              <w:snapToGrid w:val="0"/>
              <w:jc w:val="center"/>
              <w:rPr>
                <w:rFonts w:ascii="宋体" w:hAnsi="宋体"/>
                <w:color w:val="auto"/>
                <w:kern w:val="0"/>
                <w:sz w:val="24"/>
                <w:highlight w:val="none"/>
              </w:rPr>
            </w:pPr>
          </w:p>
        </w:tc>
        <w:tc>
          <w:tcPr>
            <w:tcW w:w="2319" w:type="dxa"/>
            <w:vAlign w:val="center"/>
          </w:tcPr>
          <w:p w14:paraId="3E3A92A7">
            <w:pPr>
              <w:snapToGrid w:val="0"/>
              <w:jc w:val="center"/>
              <w:rPr>
                <w:rFonts w:ascii="宋体" w:hAnsi="宋体"/>
                <w:color w:val="auto"/>
                <w:kern w:val="0"/>
                <w:sz w:val="24"/>
                <w:highlight w:val="none"/>
              </w:rPr>
            </w:pPr>
          </w:p>
        </w:tc>
        <w:tc>
          <w:tcPr>
            <w:tcW w:w="885" w:type="dxa"/>
            <w:vAlign w:val="center"/>
          </w:tcPr>
          <w:p w14:paraId="0818B635">
            <w:pPr>
              <w:snapToGrid w:val="0"/>
              <w:jc w:val="center"/>
              <w:rPr>
                <w:rFonts w:ascii="宋体" w:hAnsi="宋体"/>
                <w:color w:val="auto"/>
                <w:kern w:val="0"/>
                <w:sz w:val="24"/>
                <w:highlight w:val="none"/>
              </w:rPr>
            </w:pPr>
          </w:p>
        </w:tc>
      </w:tr>
      <w:tr w14:paraId="255F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4BA06C90">
            <w:pPr>
              <w:snapToGrid w:val="0"/>
              <w:jc w:val="center"/>
              <w:rPr>
                <w:rFonts w:ascii="宋体" w:hAnsi="宋体"/>
                <w:color w:val="auto"/>
                <w:kern w:val="0"/>
                <w:sz w:val="24"/>
                <w:highlight w:val="none"/>
              </w:rPr>
            </w:pPr>
            <w:r>
              <w:rPr>
                <w:rFonts w:hint="eastAsia" w:ascii="宋体" w:hAnsi="宋体"/>
                <w:color w:val="auto"/>
                <w:kern w:val="0"/>
                <w:sz w:val="24"/>
                <w:highlight w:val="none"/>
              </w:rPr>
              <w:t>2</w:t>
            </w:r>
          </w:p>
        </w:tc>
        <w:tc>
          <w:tcPr>
            <w:tcW w:w="1201" w:type="dxa"/>
            <w:vAlign w:val="center"/>
          </w:tcPr>
          <w:p w14:paraId="4E3FC2E4">
            <w:pPr>
              <w:snapToGrid w:val="0"/>
              <w:jc w:val="center"/>
              <w:rPr>
                <w:rFonts w:ascii="宋体" w:hAnsi="宋体"/>
                <w:color w:val="auto"/>
                <w:kern w:val="0"/>
                <w:sz w:val="24"/>
                <w:highlight w:val="none"/>
              </w:rPr>
            </w:pPr>
          </w:p>
        </w:tc>
        <w:tc>
          <w:tcPr>
            <w:tcW w:w="1214" w:type="dxa"/>
            <w:vAlign w:val="center"/>
          </w:tcPr>
          <w:p w14:paraId="5702B80C">
            <w:pPr>
              <w:snapToGrid w:val="0"/>
              <w:jc w:val="center"/>
              <w:rPr>
                <w:rFonts w:ascii="宋体" w:hAnsi="宋体"/>
                <w:color w:val="auto"/>
                <w:kern w:val="0"/>
                <w:sz w:val="24"/>
                <w:highlight w:val="none"/>
              </w:rPr>
            </w:pPr>
          </w:p>
        </w:tc>
        <w:tc>
          <w:tcPr>
            <w:tcW w:w="1066" w:type="dxa"/>
            <w:vAlign w:val="center"/>
          </w:tcPr>
          <w:p w14:paraId="5F824F42">
            <w:pPr>
              <w:snapToGrid w:val="0"/>
              <w:jc w:val="center"/>
              <w:rPr>
                <w:rFonts w:ascii="宋体" w:hAnsi="宋体"/>
                <w:color w:val="auto"/>
                <w:kern w:val="0"/>
                <w:sz w:val="24"/>
                <w:highlight w:val="none"/>
              </w:rPr>
            </w:pPr>
          </w:p>
        </w:tc>
        <w:tc>
          <w:tcPr>
            <w:tcW w:w="2250" w:type="dxa"/>
            <w:vAlign w:val="center"/>
          </w:tcPr>
          <w:p w14:paraId="2591EF93">
            <w:pPr>
              <w:snapToGrid w:val="0"/>
              <w:jc w:val="center"/>
              <w:rPr>
                <w:rFonts w:ascii="宋体" w:hAnsi="宋体"/>
                <w:color w:val="auto"/>
                <w:kern w:val="0"/>
                <w:sz w:val="24"/>
                <w:highlight w:val="none"/>
              </w:rPr>
            </w:pPr>
          </w:p>
        </w:tc>
        <w:tc>
          <w:tcPr>
            <w:tcW w:w="2319" w:type="dxa"/>
            <w:vAlign w:val="center"/>
          </w:tcPr>
          <w:p w14:paraId="53D2698F">
            <w:pPr>
              <w:snapToGrid w:val="0"/>
              <w:jc w:val="center"/>
              <w:rPr>
                <w:rFonts w:ascii="宋体" w:hAnsi="宋体"/>
                <w:color w:val="auto"/>
                <w:kern w:val="0"/>
                <w:sz w:val="24"/>
                <w:highlight w:val="none"/>
              </w:rPr>
            </w:pPr>
          </w:p>
        </w:tc>
        <w:tc>
          <w:tcPr>
            <w:tcW w:w="885" w:type="dxa"/>
            <w:vAlign w:val="center"/>
          </w:tcPr>
          <w:p w14:paraId="7A45C50B">
            <w:pPr>
              <w:snapToGrid w:val="0"/>
              <w:jc w:val="center"/>
              <w:rPr>
                <w:rFonts w:ascii="宋体" w:hAnsi="宋体"/>
                <w:color w:val="auto"/>
                <w:kern w:val="0"/>
                <w:sz w:val="24"/>
                <w:highlight w:val="none"/>
              </w:rPr>
            </w:pPr>
          </w:p>
        </w:tc>
      </w:tr>
      <w:tr w14:paraId="2B1F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50921C70">
            <w:pPr>
              <w:snapToGrid w:val="0"/>
              <w:jc w:val="center"/>
              <w:rPr>
                <w:rFonts w:ascii="宋体" w:hAnsi="宋体"/>
                <w:color w:val="auto"/>
                <w:kern w:val="0"/>
                <w:sz w:val="24"/>
                <w:highlight w:val="none"/>
              </w:rPr>
            </w:pPr>
            <w:r>
              <w:rPr>
                <w:rFonts w:hint="eastAsia" w:ascii="宋体" w:hAnsi="宋体"/>
                <w:color w:val="auto"/>
                <w:kern w:val="0"/>
                <w:sz w:val="24"/>
                <w:highlight w:val="none"/>
              </w:rPr>
              <w:t>3</w:t>
            </w:r>
          </w:p>
        </w:tc>
        <w:tc>
          <w:tcPr>
            <w:tcW w:w="1201" w:type="dxa"/>
            <w:vAlign w:val="center"/>
          </w:tcPr>
          <w:p w14:paraId="5BE23ACA">
            <w:pPr>
              <w:snapToGrid w:val="0"/>
              <w:jc w:val="center"/>
              <w:rPr>
                <w:rFonts w:ascii="宋体" w:hAnsi="宋体"/>
                <w:color w:val="auto"/>
                <w:kern w:val="0"/>
                <w:sz w:val="24"/>
                <w:highlight w:val="none"/>
              </w:rPr>
            </w:pPr>
          </w:p>
        </w:tc>
        <w:tc>
          <w:tcPr>
            <w:tcW w:w="1214" w:type="dxa"/>
            <w:vAlign w:val="center"/>
          </w:tcPr>
          <w:p w14:paraId="289C85A0">
            <w:pPr>
              <w:snapToGrid w:val="0"/>
              <w:jc w:val="center"/>
              <w:rPr>
                <w:rFonts w:ascii="宋体" w:hAnsi="宋体"/>
                <w:color w:val="auto"/>
                <w:kern w:val="0"/>
                <w:sz w:val="24"/>
                <w:highlight w:val="none"/>
              </w:rPr>
            </w:pPr>
          </w:p>
        </w:tc>
        <w:tc>
          <w:tcPr>
            <w:tcW w:w="1066" w:type="dxa"/>
            <w:vAlign w:val="center"/>
          </w:tcPr>
          <w:p w14:paraId="18C0182B">
            <w:pPr>
              <w:snapToGrid w:val="0"/>
              <w:jc w:val="center"/>
              <w:rPr>
                <w:rFonts w:ascii="宋体" w:hAnsi="宋体"/>
                <w:color w:val="auto"/>
                <w:kern w:val="0"/>
                <w:sz w:val="24"/>
                <w:highlight w:val="none"/>
              </w:rPr>
            </w:pPr>
          </w:p>
        </w:tc>
        <w:tc>
          <w:tcPr>
            <w:tcW w:w="2250" w:type="dxa"/>
            <w:vAlign w:val="center"/>
          </w:tcPr>
          <w:p w14:paraId="337918C3">
            <w:pPr>
              <w:snapToGrid w:val="0"/>
              <w:jc w:val="center"/>
              <w:rPr>
                <w:rFonts w:ascii="宋体" w:hAnsi="宋体"/>
                <w:color w:val="auto"/>
                <w:kern w:val="0"/>
                <w:sz w:val="24"/>
                <w:highlight w:val="none"/>
              </w:rPr>
            </w:pPr>
          </w:p>
        </w:tc>
        <w:tc>
          <w:tcPr>
            <w:tcW w:w="2319" w:type="dxa"/>
            <w:vAlign w:val="center"/>
          </w:tcPr>
          <w:p w14:paraId="1D1B51D2">
            <w:pPr>
              <w:snapToGrid w:val="0"/>
              <w:jc w:val="center"/>
              <w:rPr>
                <w:rFonts w:ascii="宋体" w:hAnsi="宋体"/>
                <w:color w:val="auto"/>
                <w:kern w:val="0"/>
                <w:sz w:val="24"/>
                <w:highlight w:val="none"/>
              </w:rPr>
            </w:pPr>
          </w:p>
        </w:tc>
        <w:tc>
          <w:tcPr>
            <w:tcW w:w="885" w:type="dxa"/>
            <w:vAlign w:val="center"/>
          </w:tcPr>
          <w:p w14:paraId="55C8A26A">
            <w:pPr>
              <w:snapToGrid w:val="0"/>
              <w:jc w:val="center"/>
              <w:rPr>
                <w:rFonts w:ascii="宋体" w:hAnsi="宋体"/>
                <w:color w:val="auto"/>
                <w:kern w:val="0"/>
                <w:sz w:val="24"/>
                <w:highlight w:val="none"/>
              </w:rPr>
            </w:pPr>
          </w:p>
        </w:tc>
      </w:tr>
      <w:tr w14:paraId="4E8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082830F2">
            <w:pPr>
              <w:snapToGrid w:val="0"/>
              <w:jc w:val="center"/>
              <w:rPr>
                <w:rFonts w:ascii="宋体" w:hAnsi="宋体"/>
                <w:color w:val="auto"/>
                <w:kern w:val="0"/>
                <w:sz w:val="24"/>
                <w:highlight w:val="none"/>
              </w:rPr>
            </w:pPr>
            <w:r>
              <w:rPr>
                <w:rFonts w:hint="eastAsia" w:ascii="宋体" w:hAnsi="宋体"/>
                <w:color w:val="auto"/>
                <w:kern w:val="0"/>
                <w:sz w:val="24"/>
                <w:highlight w:val="none"/>
              </w:rPr>
              <w:t>…</w:t>
            </w:r>
          </w:p>
        </w:tc>
        <w:tc>
          <w:tcPr>
            <w:tcW w:w="1201" w:type="dxa"/>
            <w:vAlign w:val="center"/>
          </w:tcPr>
          <w:p w14:paraId="16C77DBA">
            <w:pPr>
              <w:snapToGrid w:val="0"/>
              <w:jc w:val="center"/>
              <w:rPr>
                <w:rFonts w:ascii="宋体" w:hAnsi="宋体"/>
                <w:color w:val="auto"/>
                <w:kern w:val="0"/>
                <w:sz w:val="24"/>
                <w:highlight w:val="none"/>
              </w:rPr>
            </w:pPr>
          </w:p>
        </w:tc>
        <w:tc>
          <w:tcPr>
            <w:tcW w:w="1214" w:type="dxa"/>
            <w:vAlign w:val="center"/>
          </w:tcPr>
          <w:p w14:paraId="2A641128">
            <w:pPr>
              <w:snapToGrid w:val="0"/>
              <w:jc w:val="center"/>
              <w:rPr>
                <w:rFonts w:ascii="宋体" w:hAnsi="宋体"/>
                <w:color w:val="auto"/>
                <w:kern w:val="0"/>
                <w:sz w:val="24"/>
                <w:highlight w:val="none"/>
              </w:rPr>
            </w:pPr>
          </w:p>
        </w:tc>
        <w:tc>
          <w:tcPr>
            <w:tcW w:w="1066" w:type="dxa"/>
            <w:vAlign w:val="center"/>
          </w:tcPr>
          <w:p w14:paraId="44F58A53">
            <w:pPr>
              <w:snapToGrid w:val="0"/>
              <w:jc w:val="center"/>
              <w:rPr>
                <w:rFonts w:ascii="宋体" w:hAnsi="宋体"/>
                <w:color w:val="auto"/>
                <w:kern w:val="0"/>
                <w:sz w:val="24"/>
                <w:highlight w:val="none"/>
              </w:rPr>
            </w:pPr>
          </w:p>
        </w:tc>
        <w:tc>
          <w:tcPr>
            <w:tcW w:w="2250" w:type="dxa"/>
            <w:vAlign w:val="center"/>
          </w:tcPr>
          <w:p w14:paraId="32835A56">
            <w:pPr>
              <w:snapToGrid w:val="0"/>
              <w:jc w:val="center"/>
              <w:rPr>
                <w:rFonts w:ascii="宋体" w:hAnsi="宋体"/>
                <w:color w:val="auto"/>
                <w:kern w:val="0"/>
                <w:sz w:val="24"/>
                <w:highlight w:val="none"/>
              </w:rPr>
            </w:pPr>
          </w:p>
        </w:tc>
        <w:tc>
          <w:tcPr>
            <w:tcW w:w="2319" w:type="dxa"/>
            <w:vAlign w:val="center"/>
          </w:tcPr>
          <w:p w14:paraId="567F21C6">
            <w:pPr>
              <w:snapToGrid w:val="0"/>
              <w:jc w:val="center"/>
              <w:rPr>
                <w:rFonts w:ascii="宋体" w:hAnsi="宋体"/>
                <w:color w:val="auto"/>
                <w:kern w:val="0"/>
                <w:sz w:val="24"/>
                <w:highlight w:val="none"/>
              </w:rPr>
            </w:pPr>
          </w:p>
        </w:tc>
        <w:tc>
          <w:tcPr>
            <w:tcW w:w="885" w:type="dxa"/>
            <w:vAlign w:val="center"/>
          </w:tcPr>
          <w:p w14:paraId="2D555BF5">
            <w:pPr>
              <w:snapToGrid w:val="0"/>
              <w:jc w:val="center"/>
              <w:rPr>
                <w:rFonts w:ascii="宋体" w:hAnsi="宋体"/>
                <w:color w:val="auto"/>
                <w:kern w:val="0"/>
                <w:sz w:val="24"/>
                <w:highlight w:val="none"/>
              </w:rPr>
            </w:pPr>
          </w:p>
        </w:tc>
      </w:tr>
    </w:tbl>
    <w:p w14:paraId="44A1E8BF">
      <w:pPr>
        <w:spacing w:line="400" w:lineRule="exact"/>
        <w:rPr>
          <w:rFonts w:ascii="宋体" w:hAnsi="宋体"/>
          <w:color w:val="auto"/>
          <w:sz w:val="24"/>
          <w:highlight w:val="none"/>
        </w:rPr>
      </w:pPr>
    </w:p>
    <w:p w14:paraId="2874C58E">
      <w:pPr>
        <w:spacing w:line="400" w:lineRule="exact"/>
        <w:rPr>
          <w:rFonts w:ascii="宋体" w:hAnsi="宋体"/>
          <w:color w:val="auto"/>
          <w:sz w:val="24"/>
          <w:highlight w:val="none"/>
        </w:rPr>
      </w:pPr>
    </w:p>
    <w:p w14:paraId="0B7DC676">
      <w:pPr>
        <w:pStyle w:val="14"/>
        <w:rPr>
          <w:rFonts w:hAnsi="宋体"/>
          <w:bCs/>
          <w:color w:val="auto"/>
          <w:sz w:val="24"/>
          <w:szCs w:val="24"/>
          <w:highlight w:val="none"/>
        </w:rPr>
      </w:pPr>
    </w:p>
    <w:p w14:paraId="1B7F8896">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0B8AE743">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61D4E3DA">
      <w:pPr>
        <w:rPr>
          <w:rFonts w:ascii="宋体" w:hAnsi="宋体"/>
          <w:color w:val="auto"/>
          <w:sz w:val="24"/>
          <w:highlight w:val="none"/>
        </w:rPr>
      </w:pPr>
    </w:p>
    <w:p w14:paraId="2F7BA186">
      <w:pPr>
        <w:rPr>
          <w:rFonts w:ascii="宋体" w:hAnsi="宋体"/>
          <w:color w:val="auto"/>
          <w:highlight w:val="none"/>
        </w:rPr>
      </w:pPr>
    </w:p>
    <w:p w14:paraId="3774D29D">
      <w:pPr>
        <w:pBdr>
          <w:bottom w:val="single" w:color="auto" w:sz="6" w:space="1"/>
        </w:pBdr>
        <w:rPr>
          <w:rFonts w:ascii="宋体" w:hAnsi="宋体"/>
          <w:bCs/>
          <w:color w:val="auto"/>
          <w:szCs w:val="21"/>
          <w:highlight w:val="none"/>
        </w:rPr>
      </w:pPr>
    </w:p>
    <w:p w14:paraId="6BF962BA">
      <w:pPr>
        <w:pBdr>
          <w:bottom w:val="single" w:color="auto" w:sz="6" w:space="1"/>
        </w:pBdr>
        <w:rPr>
          <w:rFonts w:ascii="宋体" w:hAnsi="宋体"/>
          <w:bCs/>
          <w:color w:val="auto"/>
          <w:szCs w:val="21"/>
          <w:highlight w:val="none"/>
        </w:rPr>
      </w:pPr>
    </w:p>
    <w:p w14:paraId="33774518">
      <w:pPr>
        <w:pBdr>
          <w:bottom w:val="single" w:color="auto" w:sz="6" w:space="1"/>
        </w:pBdr>
        <w:rPr>
          <w:rFonts w:ascii="宋体" w:hAnsi="宋体"/>
          <w:bCs/>
          <w:color w:val="auto"/>
          <w:szCs w:val="21"/>
          <w:highlight w:val="none"/>
        </w:rPr>
      </w:pPr>
    </w:p>
    <w:p w14:paraId="1BE85499">
      <w:pPr>
        <w:pBdr>
          <w:bottom w:val="single" w:color="auto" w:sz="6" w:space="1"/>
        </w:pBdr>
        <w:rPr>
          <w:rFonts w:ascii="宋体" w:hAnsi="宋体"/>
          <w:bCs/>
          <w:color w:val="auto"/>
          <w:szCs w:val="21"/>
          <w:highlight w:val="none"/>
        </w:rPr>
      </w:pPr>
    </w:p>
    <w:p w14:paraId="54395A13">
      <w:pPr>
        <w:pBdr>
          <w:bottom w:val="single" w:color="auto" w:sz="6" w:space="1"/>
        </w:pBdr>
        <w:rPr>
          <w:rFonts w:ascii="宋体" w:hAnsi="宋体"/>
          <w:bCs/>
          <w:color w:val="auto"/>
          <w:szCs w:val="21"/>
          <w:highlight w:val="none"/>
        </w:rPr>
      </w:pPr>
    </w:p>
    <w:p w14:paraId="64973409">
      <w:pPr>
        <w:pBdr>
          <w:bottom w:val="single" w:color="auto" w:sz="6" w:space="1"/>
        </w:pBdr>
        <w:rPr>
          <w:rFonts w:ascii="宋体" w:hAnsi="宋体"/>
          <w:bCs/>
          <w:color w:val="auto"/>
          <w:szCs w:val="21"/>
          <w:highlight w:val="none"/>
        </w:rPr>
      </w:pPr>
    </w:p>
    <w:p w14:paraId="576D18E0">
      <w:pPr>
        <w:pBdr>
          <w:bottom w:val="single" w:color="auto" w:sz="6" w:space="1"/>
        </w:pBdr>
        <w:rPr>
          <w:rFonts w:ascii="宋体" w:hAnsi="宋体"/>
          <w:bCs/>
          <w:color w:val="auto"/>
          <w:szCs w:val="21"/>
          <w:highlight w:val="none"/>
        </w:rPr>
      </w:pPr>
    </w:p>
    <w:p w14:paraId="147D40BC">
      <w:pPr>
        <w:pBdr>
          <w:bottom w:val="single" w:color="auto" w:sz="6" w:space="1"/>
        </w:pBdr>
        <w:rPr>
          <w:rFonts w:ascii="宋体" w:hAnsi="宋体"/>
          <w:bCs/>
          <w:color w:val="auto"/>
          <w:szCs w:val="21"/>
          <w:highlight w:val="none"/>
        </w:rPr>
      </w:pPr>
    </w:p>
    <w:p w14:paraId="6D2486D8">
      <w:pPr>
        <w:pBdr>
          <w:bottom w:val="single" w:color="auto" w:sz="6" w:space="1"/>
        </w:pBdr>
        <w:rPr>
          <w:rFonts w:ascii="宋体" w:hAnsi="宋体"/>
          <w:bCs/>
          <w:color w:val="auto"/>
          <w:szCs w:val="21"/>
          <w:highlight w:val="none"/>
        </w:rPr>
      </w:pPr>
    </w:p>
    <w:p w14:paraId="55A15691">
      <w:pPr>
        <w:pBdr>
          <w:bottom w:val="single" w:color="auto" w:sz="6" w:space="1"/>
        </w:pBdr>
        <w:rPr>
          <w:rFonts w:ascii="宋体" w:hAnsi="宋体"/>
          <w:bCs/>
          <w:color w:val="auto"/>
          <w:szCs w:val="21"/>
          <w:highlight w:val="none"/>
        </w:rPr>
      </w:pPr>
    </w:p>
    <w:p w14:paraId="13944D02">
      <w:pPr>
        <w:pBdr>
          <w:bottom w:val="single" w:color="auto" w:sz="6" w:space="1"/>
        </w:pBdr>
        <w:rPr>
          <w:rFonts w:ascii="宋体" w:hAnsi="宋体"/>
          <w:bCs/>
          <w:color w:val="auto"/>
          <w:szCs w:val="21"/>
          <w:highlight w:val="none"/>
        </w:rPr>
      </w:pPr>
    </w:p>
    <w:p w14:paraId="490E2557">
      <w:pPr>
        <w:pBdr>
          <w:bottom w:val="single" w:color="auto" w:sz="6" w:space="1"/>
        </w:pBdr>
        <w:rPr>
          <w:rFonts w:ascii="宋体" w:hAnsi="宋体"/>
          <w:color w:val="auto"/>
          <w:highlight w:val="none"/>
        </w:rPr>
      </w:pPr>
    </w:p>
    <w:p w14:paraId="45C1D4F2">
      <w:pPr>
        <w:pBdr>
          <w:bottom w:val="single" w:color="auto" w:sz="6" w:space="1"/>
        </w:pBdr>
        <w:rPr>
          <w:rFonts w:ascii="宋体" w:hAnsi="宋体"/>
          <w:color w:val="auto"/>
          <w:highlight w:val="none"/>
        </w:rPr>
      </w:pPr>
    </w:p>
    <w:p w14:paraId="2B402137">
      <w:pPr>
        <w:pBdr>
          <w:bottom w:val="single" w:color="auto" w:sz="6" w:space="1"/>
        </w:pBdr>
        <w:rPr>
          <w:rFonts w:ascii="宋体" w:hAnsi="宋体"/>
          <w:color w:val="auto"/>
          <w:highlight w:val="none"/>
        </w:rPr>
      </w:pPr>
    </w:p>
    <w:p w14:paraId="70F85977">
      <w:pPr>
        <w:pBdr>
          <w:bottom w:val="single" w:color="auto" w:sz="6" w:space="1"/>
        </w:pBdr>
        <w:rPr>
          <w:rFonts w:ascii="宋体" w:hAnsi="宋体"/>
          <w:color w:val="auto"/>
          <w:highlight w:val="none"/>
        </w:rPr>
      </w:pPr>
    </w:p>
    <w:p w14:paraId="186B299C">
      <w:pPr>
        <w:pBdr>
          <w:bottom w:val="single" w:color="auto" w:sz="6" w:space="1"/>
        </w:pBdr>
        <w:rPr>
          <w:rFonts w:ascii="宋体" w:hAnsi="宋体"/>
          <w:color w:val="auto"/>
          <w:highlight w:val="none"/>
        </w:rPr>
      </w:pPr>
    </w:p>
    <w:p w14:paraId="77A35348">
      <w:pPr>
        <w:pBdr>
          <w:bottom w:val="single" w:color="auto" w:sz="6" w:space="1"/>
        </w:pBdr>
        <w:rPr>
          <w:rFonts w:ascii="宋体" w:hAnsi="宋体"/>
          <w:color w:val="auto"/>
          <w:highlight w:val="none"/>
        </w:rPr>
      </w:pPr>
    </w:p>
    <w:p w14:paraId="085BB9DF">
      <w:pPr>
        <w:pStyle w:val="14"/>
        <w:spacing w:line="400" w:lineRule="exact"/>
        <w:jc w:val="left"/>
        <w:rPr>
          <w:rFonts w:hAnsi="宋体" w:cs="宋体"/>
          <w:color w:val="auto"/>
          <w:highlight w:val="none"/>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701632F6">
      <w:pPr>
        <w:rPr>
          <w:rFonts w:ascii="宋体" w:hAnsi="宋体"/>
          <w:color w:val="auto"/>
          <w:highlight w:val="none"/>
        </w:rPr>
      </w:pPr>
      <w:r>
        <w:rPr>
          <w:rFonts w:ascii="宋体" w:hAnsi="宋体"/>
          <w:color w:val="auto"/>
          <w:highlight w:val="none"/>
        </w:rPr>
        <w:br w:type="page"/>
      </w:r>
    </w:p>
    <w:p w14:paraId="6476502D">
      <w:pPr>
        <w:pStyle w:val="14"/>
        <w:rPr>
          <w:rFonts w:hAnsi="宋体"/>
          <w:color w:val="auto"/>
          <w:highlight w:val="none"/>
          <w:u w:val="single"/>
        </w:rPr>
      </w:pPr>
    </w:p>
    <w:p w14:paraId="4772DFB6">
      <w:pPr>
        <w:jc w:val="center"/>
        <w:rPr>
          <w:rFonts w:ascii="宋体" w:hAnsi="宋体"/>
          <w:b/>
          <w:color w:val="auto"/>
          <w:sz w:val="32"/>
          <w:szCs w:val="32"/>
          <w:highlight w:val="none"/>
        </w:rPr>
      </w:pPr>
      <w:r>
        <w:rPr>
          <w:rFonts w:hint="eastAsia" w:ascii="宋体" w:hAnsi="宋体"/>
          <w:b/>
          <w:color w:val="auto"/>
          <w:sz w:val="32"/>
          <w:szCs w:val="32"/>
          <w:highlight w:val="none"/>
        </w:rPr>
        <w:t>项目业绩一览表（如有）</w:t>
      </w:r>
    </w:p>
    <w:tbl>
      <w:tblPr>
        <w:tblStyle w:val="29"/>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2230"/>
        <w:gridCol w:w="2247"/>
        <w:gridCol w:w="1503"/>
        <w:gridCol w:w="1224"/>
        <w:gridCol w:w="1440"/>
      </w:tblGrid>
      <w:tr w14:paraId="72D7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3F8C1A7">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序号</w:t>
            </w:r>
          </w:p>
        </w:tc>
        <w:tc>
          <w:tcPr>
            <w:tcW w:w="2230" w:type="dxa"/>
            <w:vAlign w:val="center"/>
          </w:tcPr>
          <w:p w14:paraId="1437A092">
            <w:pPr>
              <w:pStyle w:val="14"/>
              <w:snapToGrid w:val="0"/>
              <w:jc w:val="center"/>
              <w:rPr>
                <w:rFonts w:hAnsi="宋体"/>
                <w:color w:val="auto"/>
                <w:szCs w:val="24"/>
                <w:highlight w:val="none"/>
              </w:rPr>
            </w:pPr>
            <w:r>
              <w:rPr>
                <w:rFonts w:hint="eastAsia" w:hAnsi="宋体"/>
                <w:color w:val="auto"/>
                <w:sz w:val="24"/>
                <w:szCs w:val="24"/>
                <w:highlight w:val="none"/>
              </w:rPr>
              <w:t>客户名称</w:t>
            </w:r>
          </w:p>
        </w:tc>
        <w:tc>
          <w:tcPr>
            <w:tcW w:w="2247" w:type="dxa"/>
            <w:vAlign w:val="center"/>
          </w:tcPr>
          <w:p w14:paraId="322134DC">
            <w:pPr>
              <w:pStyle w:val="14"/>
              <w:snapToGrid w:val="0"/>
              <w:jc w:val="center"/>
              <w:rPr>
                <w:rFonts w:hAnsi="宋体"/>
                <w:color w:val="auto"/>
                <w:szCs w:val="24"/>
                <w:highlight w:val="none"/>
              </w:rPr>
            </w:pPr>
            <w:r>
              <w:rPr>
                <w:rFonts w:hint="eastAsia" w:hAnsi="宋体"/>
                <w:color w:val="auto"/>
                <w:sz w:val="24"/>
                <w:szCs w:val="24"/>
                <w:highlight w:val="none"/>
              </w:rPr>
              <w:t>项目名称</w:t>
            </w:r>
          </w:p>
        </w:tc>
        <w:tc>
          <w:tcPr>
            <w:tcW w:w="1503" w:type="dxa"/>
            <w:vAlign w:val="center"/>
          </w:tcPr>
          <w:p w14:paraId="2B376970">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合同签订时间</w:t>
            </w:r>
          </w:p>
        </w:tc>
        <w:tc>
          <w:tcPr>
            <w:tcW w:w="1224" w:type="dxa"/>
            <w:vAlign w:val="center"/>
          </w:tcPr>
          <w:p w14:paraId="60167F38">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用户评价</w:t>
            </w:r>
          </w:p>
        </w:tc>
        <w:tc>
          <w:tcPr>
            <w:tcW w:w="1440" w:type="dxa"/>
            <w:vAlign w:val="center"/>
          </w:tcPr>
          <w:p w14:paraId="3606D3AB">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联系方式</w:t>
            </w:r>
          </w:p>
        </w:tc>
      </w:tr>
      <w:tr w14:paraId="3A19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ED51A61">
            <w:pPr>
              <w:pStyle w:val="14"/>
              <w:snapToGrid w:val="0"/>
              <w:jc w:val="center"/>
              <w:rPr>
                <w:rFonts w:hAnsi="宋体"/>
                <w:color w:val="auto"/>
                <w:szCs w:val="24"/>
                <w:highlight w:val="none"/>
              </w:rPr>
            </w:pPr>
            <w:r>
              <w:rPr>
                <w:rFonts w:hint="eastAsia" w:hAnsi="宋体"/>
                <w:color w:val="auto"/>
                <w:sz w:val="24"/>
                <w:szCs w:val="24"/>
                <w:highlight w:val="none"/>
              </w:rPr>
              <w:t>1</w:t>
            </w:r>
          </w:p>
        </w:tc>
        <w:tc>
          <w:tcPr>
            <w:tcW w:w="2230" w:type="dxa"/>
            <w:vAlign w:val="center"/>
          </w:tcPr>
          <w:p w14:paraId="5BBD01CC">
            <w:pPr>
              <w:pStyle w:val="14"/>
              <w:snapToGrid w:val="0"/>
              <w:jc w:val="center"/>
              <w:rPr>
                <w:rFonts w:hAnsi="宋体"/>
                <w:color w:val="auto"/>
                <w:szCs w:val="24"/>
                <w:highlight w:val="none"/>
              </w:rPr>
            </w:pPr>
          </w:p>
        </w:tc>
        <w:tc>
          <w:tcPr>
            <w:tcW w:w="2247" w:type="dxa"/>
            <w:vAlign w:val="center"/>
          </w:tcPr>
          <w:p w14:paraId="37893239">
            <w:pPr>
              <w:pStyle w:val="14"/>
              <w:snapToGrid w:val="0"/>
              <w:jc w:val="center"/>
              <w:rPr>
                <w:rFonts w:hAnsi="宋体"/>
                <w:color w:val="auto"/>
                <w:szCs w:val="24"/>
                <w:highlight w:val="none"/>
              </w:rPr>
            </w:pPr>
          </w:p>
        </w:tc>
        <w:tc>
          <w:tcPr>
            <w:tcW w:w="1503" w:type="dxa"/>
            <w:vAlign w:val="center"/>
          </w:tcPr>
          <w:p w14:paraId="7E99D130">
            <w:pPr>
              <w:pStyle w:val="14"/>
              <w:snapToGrid w:val="0"/>
              <w:jc w:val="center"/>
              <w:rPr>
                <w:rFonts w:hAnsi="宋体"/>
                <w:color w:val="auto"/>
                <w:szCs w:val="24"/>
                <w:highlight w:val="none"/>
              </w:rPr>
            </w:pPr>
          </w:p>
        </w:tc>
        <w:tc>
          <w:tcPr>
            <w:tcW w:w="1224" w:type="dxa"/>
            <w:vAlign w:val="center"/>
          </w:tcPr>
          <w:p w14:paraId="56C4F8BD">
            <w:pPr>
              <w:pStyle w:val="14"/>
              <w:snapToGrid w:val="0"/>
              <w:jc w:val="center"/>
              <w:rPr>
                <w:rFonts w:hAnsi="宋体"/>
                <w:color w:val="auto"/>
                <w:szCs w:val="24"/>
                <w:highlight w:val="none"/>
              </w:rPr>
            </w:pPr>
          </w:p>
        </w:tc>
        <w:tc>
          <w:tcPr>
            <w:tcW w:w="1440" w:type="dxa"/>
            <w:vAlign w:val="center"/>
          </w:tcPr>
          <w:p w14:paraId="6B0EFD74">
            <w:pPr>
              <w:pStyle w:val="14"/>
              <w:snapToGrid w:val="0"/>
              <w:jc w:val="center"/>
              <w:rPr>
                <w:rFonts w:hAnsi="宋体"/>
                <w:color w:val="auto"/>
                <w:szCs w:val="24"/>
                <w:highlight w:val="none"/>
              </w:rPr>
            </w:pPr>
          </w:p>
        </w:tc>
      </w:tr>
      <w:tr w14:paraId="388C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39BA0291">
            <w:pPr>
              <w:pStyle w:val="14"/>
              <w:snapToGrid w:val="0"/>
              <w:jc w:val="center"/>
              <w:rPr>
                <w:rFonts w:hAnsi="宋体"/>
                <w:color w:val="auto"/>
                <w:szCs w:val="24"/>
                <w:highlight w:val="none"/>
              </w:rPr>
            </w:pPr>
            <w:r>
              <w:rPr>
                <w:rFonts w:hint="eastAsia" w:hAnsi="宋体"/>
                <w:color w:val="auto"/>
                <w:sz w:val="24"/>
                <w:szCs w:val="24"/>
                <w:highlight w:val="none"/>
              </w:rPr>
              <w:t>2</w:t>
            </w:r>
          </w:p>
        </w:tc>
        <w:tc>
          <w:tcPr>
            <w:tcW w:w="2230" w:type="dxa"/>
            <w:vAlign w:val="center"/>
          </w:tcPr>
          <w:p w14:paraId="70FC7B42">
            <w:pPr>
              <w:pStyle w:val="14"/>
              <w:snapToGrid w:val="0"/>
              <w:jc w:val="center"/>
              <w:rPr>
                <w:rFonts w:hAnsi="宋体"/>
                <w:color w:val="auto"/>
                <w:szCs w:val="24"/>
                <w:highlight w:val="none"/>
              </w:rPr>
            </w:pPr>
          </w:p>
        </w:tc>
        <w:tc>
          <w:tcPr>
            <w:tcW w:w="2247" w:type="dxa"/>
            <w:vAlign w:val="center"/>
          </w:tcPr>
          <w:p w14:paraId="2ECC7ACC">
            <w:pPr>
              <w:pStyle w:val="14"/>
              <w:snapToGrid w:val="0"/>
              <w:jc w:val="center"/>
              <w:rPr>
                <w:rFonts w:hAnsi="宋体"/>
                <w:color w:val="auto"/>
                <w:szCs w:val="24"/>
                <w:highlight w:val="none"/>
              </w:rPr>
            </w:pPr>
          </w:p>
        </w:tc>
        <w:tc>
          <w:tcPr>
            <w:tcW w:w="1503" w:type="dxa"/>
            <w:vAlign w:val="center"/>
          </w:tcPr>
          <w:p w14:paraId="427CBAD8">
            <w:pPr>
              <w:pStyle w:val="14"/>
              <w:snapToGrid w:val="0"/>
              <w:jc w:val="center"/>
              <w:rPr>
                <w:rFonts w:hAnsi="宋体"/>
                <w:color w:val="auto"/>
                <w:szCs w:val="24"/>
                <w:highlight w:val="none"/>
              </w:rPr>
            </w:pPr>
          </w:p>
        </w:tc>
        <w:tc>
          <w:tcPr>
            <w:tcW w:w="1224" w:type="dxa"/>
            <w:vAlign w:val="center"/>
          </w:tcPr>
          <w:p w14:paraId="37933AEF">
            <w:pPr>
              <w:pStyle w:val="14"/>
              <w:snapToGrid w:val="0"/>
              <w:jc w:val="center"/>
              <w:rPr>
                <w:rFonts w:hAnsi="宋体"/>
                <w:color w:val="auto"/>
                <w:szCs w:val="24"/>
                <w:highlight w:val="none"/>
              </w:rPr>
            </w:pPr>
          </w:p>
        </w:tc>
        <w:tc>
          <w:tcPr>
            <w:tcW w:w="1440" w:type="dxa"/>
            <w:vAlign w:val="center"/>
          </w:tcPr>
          <w:p w14:paraId="787BF999">
            <w:pPr>
              <w:pStyle w:val="14"/>
              <w:snapToGrid w:val="0"/>
              <w:jc w:val="center"/>
              <w:rPr>
                <w:rFonts w:hAnsi="宋体"/>
                <w:color w:val="auto"/>
                <w:szCs w:val="24"/>
                <w:highlight w:val="none"/>
              </w:rPr>
            </w:pPr>
          </w:p>
        </w:tc>
      </w:tr>
      <w:tr w14:paraId="58DE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87" w:type="dxa"/>
            <w:vAlign w:val="center"/>
          </w:tcPr>
          <w:p w14:paraId="7D283293">
            <w:pPr>
              <w:pStyle w:val="14"/>
              <w:snapToGrid w:val="0"/>
              <w:jc w:val="center"/>
              <w:rPr>
                <w:rFonts w:hAnsi="宋体"/>
                <w:color w:val="auto"/>
                <w:szCs w:val="24"/>
                <w:highlight w:val="none"/>
              </w:rPr>
            </w:pPr>
            <w:r>
              <w:rPr>
                <w:rFonts w:hint="eastAsia" w:hAnsi="宋体"/>
                <w:color w:val="auto"/>
                <w:sz w:val="24"/>
                <w:szCs w:val="24"/>
                <w:highlight w:val="none"/>
              </w:rPr>
              <w:t>3</w:t>
            </w:r>
          </w:p>
        </w:tc>
        <w:tc>
          <w:tcPr>
            <w:tcW w:w="2230" w:type="dxa"/>
            <w:vAlign w:val="center"/>
          </w:tcPr>
          <w:p w14:paraId="138872CE">
            <w:pPr>
              <w:pStyle w:val="14"/>
              <w:snapToGrid w:val="0"/>
              <w:jc w:val="center"/>
              <w:rPr>
                <w:rFonts w:hAnsi="宋体"/>
                <w:color w:val="auto"/>
                <w:szCs w:val="24"/>
                <w:highlight w:val="none"/>
              </w:rPr>
            </w:pPr>
          </w:p>
        </w:tc>
        <w:tc>
          <w:tcPr>
            <w:tcW w:w="2247" w:type="dxa"/>
            <w:vAlign w:val="center"/>
          </w:tcPr>
          <w:p w14:paraId="350B88DA">
            <w:pPr>
              <w:pStyle w:val="14"/>
              <w:snapToGrid w:val="0"/>
              <w:jc w:val="center"/>
              <w:rPr>
                <w:rFonts w:hAnsi="宋体"/>
                <w:color w:val="auto"/>
                <w:szCs w:val="24"/>
                <w:highlight w:val="none"/>
              </w:rPr>
            </w:pPr>
          </w:p>
        </w:tc>
        <w:tc>
          <w:tcPr>
            <w:tcW w:w="1503" w:type="dxa"/>
            <w:vAlign w:val="center"/>
          </w:tcPr>
          <w:p w14:paraId="0CB3C838">
            <w:pPr>
              <w:pStyle w:val="14"/>
              <w:snapToGrid w:val="0"/>
              <w:jc w:val="center"/>
              <w:rPr>
                <w:rFonts w:hAnsi="宋体"/>
                <w:color w:val="auto"/>
                <w:szCs w:val="24"/>
                <w:highlight w:val="none"/>
              </w:rPr>
            </w:pPr>
          </w:p>
        </w:tc>
        <w:tc>
          <w:tcPr>
            <w:tcW w:w="1224" w:type="dxa"/>
            <w:vAlign w:val="center"/>
          </w:tcPr>
          <w:p w14:paraId="6D995176">
            <w:pPr>
              <w:pStyle w:val="14"/>
              <w:snapToGrid w:val="0"/>
              <w:jc w:val="center"/>
              <w:rPr>
                <w:rFonts w:hAnsi="宋体"/>
                <w:color w:val="auto"/>
                <w:szCs w:val="24"/>
                <w:highlight w:val="none"/>
              </w:rPr>
            </w:pPr>
          </w:p>
        </w:tc>
        <w:tc>
          <w:tcPr>
            <w:tcW w:w="1440" w:type="dxa"/>
            <w:vAlign w:val="center"/>
          </w:tcPr>
          <w:p w14:paraId="42C06842">
            <w:pPr>
              <w:pStyle w:val="14"/>
              <w:snapToGrid w:val="0"/>
              <w:jc w:val="center"/>
              <w:rPr>
                <w:rFonts w:hAnsi="宋体"/>
                <w:color w:val="auto"/>
                <w:szCs w:val="24"/>
                <w:highlight w:val="none"/>
              </w:rPr>
            </w:pPr>
          </w:p>
        </w:tc>
      </w:tr>
      <w:tr w14:paraId="1877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70E23E45">
            <w:pPr>
              <w:pStyle w:val="14"/>
              <w:snapToGrid w:val="0"/>
              <w:jc w:val="center"/>
              <w:rPr>
                <w:rFonts w:hAnsi="宋体"/>
                <w:color w:val="auto"/>
                <w:szCs w:val="24"/>
                <w:highlight w:val="none"/>
              </w:rPr>
            </w:pPr>
            <w:r>
              <w:rPr>
                <w:rFonts w:hint="eastAsia" w:hAnsi="宋体"/>
                <w:color w:val="auto"/>
                <w:sz w:val="24"/>
                <w:szCs w:val="24"/>
                <w:highlight w:val="none"/>
              </w:rPr>
              <w:t>4</w:t>
            </w:r>
          </w:p>
        </w:tc>
        <w:tc>
          <w:tcPr>
            <w:tcW w:w="2230" w:type="dxa"/>
            <w:vAlign w:val="center"/>
          </w:tcPr>
          <w:p w14:paraId="06495B5D">
            <w:pPr>
              <w:pStyle w:val="14"/>
              <w:snapToGrid w:val="0"/>
              <w:jc w:val="center"/>
              <w:rPr>
                <w:rFonts w:hAnsi="宋体"/>
                <w:color w:val="auto"/>
                <w:szCs w:val="24"/>
                <w:highlight w:val="none"/>
              </w:rPr>
            </w:pPr>
          </w:p>
        </w:tc>
        <w:tc>
          <w:tcPr>
            <w:tcW w:w="2247" w:type="dxa"/>
            <w:vAlign w:val="center"/>
          </w:tcPr>
          <w:p w14:paraId="24357CF1">
            <w:pPr>
              <w:pStyle w:val="14"/>
              <w:snapToGrid w:val="0"/>
              <w:jc w:val="center"/>
              <w:rPr>
                <w:rFonts w:hAnsi="宋体"/>
                <w:color w:val="auto"/>
                <w:szCs w:val="24"/>
                <w:highlight w:val="none"/>
              </w:rPr>
            </w:pPr>
          </w:p>
        </w:tc>
        <w:tc>
          <w:tcPr>
            <w:tcW w:w="1503" w:type="dxa"/>
            <w:vAlign w:val="center"/>
          </w:tcPr>
          <w:p w14:paraId="59058B0F">
            <w:pPr>
              <w:pStyle w:val="14"/>
              <w:snapToGrid w:val="0"/>
              <w:jc w:val="center"/>
              <w:rPr>
                <w:rFonts w:hAnsi="宋体"/>
                <w:color w:val="auto"/>
                <w:szCs w:val="24"/>
                <w:highlight w:val="none"/>
              </w:rPr>
            </w:pPr>
          </w:p>
        </w:tc>
        <w:tc>
          <w:tcPr>
            <w:tcW w:w="1224" w:type="dxa"/>
            <w:vAlign w:val="center"/>
          </w:tcPr>
          <w:p w14:paraId="6777DE99">
            <w:pPr>
              <w:pStyle w:val="14"/>
              <w:snapToGrid w:val="0"/>
              <w:jc w:val="center"/>
              <w:rPr>
                <w:rFonts w:hAnsi="宋体"/>
                <w:color w:val="auto"/>
                <w:szCs w:val="24"/>
                <w:highlight w:val="none"/>
              </w:rPr>
            </w:pPr>
          </w:p>
        </w:tc>
        <w:tc>
          <w:tcPr>
            <w:tcW w:w="1440" w:type="dxa"/>
            <w:vAlign w:val="center"/>
          </w:tcPr>
          <w:p w14:paraId="191A3FF3">
            <w:pPr>
              <w:pStyle w:val="14"/>
              <w:snapToGrid w:val="0"/>
              <w:jc w:val="center"/>
              <w:rPr>
                <w:rFonts w:hAnsi="宋体"/>
                <w:color w:val="auto"/>
                <w:szCs w:val="24"/>
                <w:highlight w:val="none"/>
              </w:rPr>
            </w:pPr>
          </w:p>
        </w:tc>
      </w:tr>
      <w:tr w14:paraId="676D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1D770860">
            <w:pPr>
              <w:pStyle w:val="14"/>
              <w:snapToGrid w:val="0"/>
              <w:jc w:val="center"/>
              <w:rPr>
                <w:rFonts w:hAnsi="宋体"/>
                <w:color w:val="auto"/>
                <w:szCs w:val="24"/>
                <w:highlight w:val="none"/>
              </w:rPr>
            </w:pPr>
            <w:r>
              <w:rPr>
                <w:rFonts w:hint="eastAsia" w:hAnsi="宋体"/>
                <w:color w:val="auto"/>
                <w:sz w:val="24"/>
                <w:szCs w:val="24"/>
                <w:highlight w:val="none"/>
              </w:rPr>
              <w:t>5</w:t>
            </w:r>
          </w:p>
        </w:tc>
        <w:tc>
          <w:tcPr>
            <w:tcW w:w="2230" w:type="dxa"/>
            <w:vAlign w:val="center"/>
          </w:tcPr>
          <w:p w14:paraId="23C126CF">
            <w:pPr>
              <w:pStyle w:val="14"/>
              <w:snapToGrid w:val="0"/>
              <w:jc w:val="center"/>
              <w:rPr>
                <w:rFonts w:hAnsi="宋体"/>
                <w:color w:val="auto"/>
                <w:szCs w:val="24"/>
                <w:highlight w:val="none"/>
              </w:rPr>
            </w:pPr>
          </w:p>
        </w:tc>
        <w:tc>
          <w:tcPr>
            <w:tcW w:w="2247" w:type="dxa"/>
            <w:vAlign w:val="center"/>
          </w:tcPr>
          <w:p w14:paraId="1B93DE87">
            <w:pPr>
              <w:pStyle w:val="14"/>
              <w:snapToGrid w:val="0"/>
              <w:jc w:val="center"/>
              <w:rPr>
                <w:rFonts w:hAnsi="宋体"/>
                <w:color w:val="auto"/>
                <w:szCs w:val="24"/>
                <w:highlight w:val="none"/>
              </w:rPr>
            </w:pPr>
          </w:p>
        </w:tc>
        <w:tc>
          <w:tcPr>
            <w:tcW w:w="1503" w:type="dxa"/>
            <w:vAlign w:val="center"/>
          </w:tcPr>
          <w:p w14:paraId="5D17D00E">
            <w:pPr>
              <w:pStyle w:val="14"/>
              <w:snapToGrid w:val="0"/>
              <w:jc w:val="center"/>
              <w:rPr>
                <w:rFonts w:hAnsi="宋体"/>
                <w:color w:val="auto"/>
                <w:szCs w:val="24"/>
                <w:highlight w:val="none"/>
              </w:rPr>
            </w:pPr>
          </w:p>
        </w:tc>
        <w:tc>
          <w:tcPr>
            <w:tcW w:w="1224" w:type="dxa"/>
            <w:vAlign w:val="center"/>
          </w:tcPr>
          <w:p w14:paraId="498FB7A5">
            <w:pPr>
              <w:pStyle w:val="14"/>
              <w:snapToGrid w:val="0"/>
              <w:jc w:val="center"/>
              <w:rPr>
                <w:rFonts w:hAnsi="宋体"/>
                <w:color w:val="auto"/>
                <w:szCs w:val="24"/>
                <w:highlight w:val="none"/>
              </w:rPr>
            </w:pPr>
          </w:p>
        </w:tc>
        <w:tc>
          <w:tcPr>
            <w:tcW w:w="1440" w:type="dxa"/>
            <w:vAlign w:val="center"/>
          </w:tcPr>
          <w:p w14:paraId="38A5811E">
            <w:pPr>
              <w:pStyle w:val="14"/>
              <w:snapToGrid w:val="0"/>
              <w:jc w:val="center"/>
              <w:rPr>
                <w:rFonts w:hAnsi="宋体"/>
                <w:color w:val="auto"/>
                <w:szCs w:val="24"/>
                <w:highlight w:val="none"/>
              </w:rPr>
            </w:pPr>
          </w:p>
        </w:tc>
      </w:tr>
      <w:tr w14:paraId="322B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87" w:type="dxa"/>
            <w:vAlign w:val="center"/>
          </w:tcPr>
          <w:p w14:paraId="2F44F338">
            <w:pPr>
              <w:pStyle w:val="14"/>
              <w:snapToGrid w:val="0"/>
              <w:jc w:val="center"/>
              <w:rPr>
                <w:rFonts w:hAnsi="宋体"/>
                <w:color w:val="auto"/>
                <w:szCs w:val="24"/>
                <w:highlight w:val="none"/>
              </w:rPr>
            </w:pPr>
            <w:r>
              <w:rPr>
                <w:rFonts w:hint="eastAsia" w:hAnsi="宋体"/>
                <w:color w:val="auto"/>
                <w:sz w:val="24"/>
                <w:szCs w:val="24"/>
                <w:highlight w:val="none"/>
              </w:rPr>
              <w:t>…</w:t>
            </w:r>
          </w:p>
        </w:tc>
        <w:tc>
          <w:tcPr>
            <w:tcW w:w="2230" w:type="dxa"/>
            <w:vAlign w:val="center"/>
          </w:tcPr>
          <w:p w14:paraId="2F49E5D5">
            <w:pPr>
              <w:pStyle w:val="14"/>
              <w:snapToGrid w:val="0"/>
              <w:jc w:val="center"/>
              <w:rPr>
                <w:rFonts w:hAnsi="宋体"/>
                <w:color w:val="auto"/>
                <w:szCs w:val="24"/>
                <w:highlight w:val="none"/>
              </w:rPr>
            </w:pPr>
          </w:p>
        </w:tc>
        <w:tc>
          <w:tcPr>
            <w:tcW w:w="2247" w:type="dxa"/>
            <w:vAlign w:val="center"/>
          </w:tcPr>
          <w:p w14:paraId="277FFEB8">
            <w:pPr>
              <w:pStyle w:val="14"/>
              <w:snapToGrid w:val="0"/>
              <w:jc w:val="center"/>
              <w:rPr>
                <w:rFonts w:hAnsi="宋体"/>
                <w:color w:val="auto"/>
                <w:szCs w:val="24"/>
                <w:highlight w:val="none"/>
              </w:rPr>
            </w:pPr>
          </w:p>
        </w:tc>
        <w:tc>
          <w:tcPr>
            <w:tcW w:w="1503" w:type="dxa"/>
            <w:vAlign w:val="center"/>
          </w:tcPr>
          <w:p w14:paraId="6F005FB6">
            <w:pPr>
              <w:pStyle w:val="14"/>
              <w:snapToGrid w:val="0"/>
              <w:jc w:val="center"/>
              <w:rPr>
                <w:rFonts w:hAnsi="宋体"/>
                <w:color w:val="auto"/>
                <w:szCs w:val="24"/>
                <w:highlight w:val="none"/>
              </w:rPr>
            </w:pPr>
          </w:p>
        </w:tc>
        <w:tc>
          <w:tcPr>
            <w:tcW w:w="1224" w:type="dxa"/>
            <w:vAlign w:val="center"/>
          </w:tcPr>
          <w:p w14:paraId="76F4F246">
            <w:pPr>
              <w:pStyle w:val="14"/>
              <w:snapToGrid w:val="0"/>
              <w:jc w:val="center"/>
              <w:rPr>
                <w:rFonts w:hAnsi="宋体"/>
                <w:color w:val="auto"/>
                <w:szCs w:val="24"/>
                <w:highlight w:val="none"/>
              </w:rPr>
            </w:pPr>
          </w:p>
        </w:tc>
        <w:tc>
          <w:tcPr>
            <w:tcW w:w="1440" w:type="dxa"/>
            <w:vAlign w:val="center"/>
          </w:tcPr>
          <w:p w14:paraId="2548320E">
            <w:pPr>
              <w:pStyle w:val="14"/>
              <w:snapToGrid w:val="0"/>
              <w:jc w:val="center"/>
              <w:rPr>
                <w:rFonts w:hAnsi="宋体"/>
                <w:color w:val="auto"/>
                <w:szCs w:val="24"/>
                <w:highlight w:val="none"/>
              </w:rPr>
            </w:pPr>
          </w:p>
        </w:tc>
      </w:tr>
    </w:tbl>
    <w:p w14:paraId="19F6247D">
      <w:pPr>
        <w:spacing w:line="400" w:lineRule="exact"/>
        <w:rPr>
          <w:rFonts w:ascii="宋体" w:hAnsi="宋体"/>
          <w:color w:val="auto"/>
          <w:highlight w:val="none"/>
        </w:rPr>
      </w:pPr>
    </w:p>
    <w:p w14:paraId="7204F7DA">
      <w:pPr>
        <w:spacing w:line="400" w:lineRule="exact"/>
        <w:rPr>
          <w:rFonts w:ascii="宋体" w:hAnsi="宋体"/>
          <w:color w:val="auto"/>
          <w:highlight w:val="none"/>
        </w:rPr>
      </w:pPr>
    </w:p>
    <w:p w14:paraId="3434745F">
      <w:pPr>
        <w:spacing w:line="400" w:lineRule="exact"/>
        <w:rPr>
          <w:rFonts w:ascii="宋体" w:hAnsi="宋体"/>
          <w:color w:val="auto"/>
          <w:highlight w:val="none"/>
        </w:rPr>
      </w:pPr>
    </w:p>
    <w:p w14:paraId="5C2CF0AB">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485B0AF2">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4266B240">
      <w:pPr>
        <w:rPr>
          <w:rFonts w:ascii="宋体" w:hAnsi="宋体"/>
          <w:color w:val="auto"/>
          <w:sz w:val="24"/>
          <w:highlight w:val="none"/>
        </w:rPr>
      </w:pPr>
    </w:p>
    <w:p w14:paraId="3912AF66">
      <w:pPr>
        <w:spacing w:line="400" w:lineRule="exact"/>
        <w:rPr>
          <w:rFonts w:ascii="宋体" w:hAnsi="宋体"/>
          <w:color w:val="auto"/>
          <w:highlight w:val="none"/>
        </w:rPr>
      </w:pPr>
    </w:p>
    <w:p w14:paraId="0B9F9F2D">
      <w:pPr>
        <w:spacing w:line="400" w:lineRule="exact"/>
        <w:rPr>
          <w:rFonts w:ascii="宋体" w:hAnsi="宋体"/>
          <w:color w:val="auto"/>
          <w:highlight w:val="none"/>
        </w:rPr>
      </w:pPr>
    </w:p>
    <w:p w14:paraId="20F9B681">
      <w:pPr>
        <w:spacing w:line="400" w:lineRule="exact"/>
        <w:rPr>
          <w:rFonts w:ascii="宋体" w:hAnsi="宋体"/>
          <w:color w:val="auto"/>
          <w:highlight w:val="none"/>
        </w:rPr>
      </w:pPr>
    </w:p>
    <w:p w14:paraId="41770E46">
      <w:pPr>
        <w:spacing w:line="400" w:lineRule="exact"/>
        <w:rPr>
          <w:rFonts w:ascii="宋体" w:hAnsi="宋体"/>
          <w:color w:val="auto"/>
          <w:highlight w:val="none"/>
        </w:rPr>
      </w:pPr>
    </w:p>
    <w:p w14:paraId="7C40DCD2">
      <w:pPr>
        <w:spacing w:line="400" w:lineRule="exact"/>
        <w:rPr>
          <w:rFonts w:ascii="宋体" w:hAnsi="宋体"/>
          <w:color w:val="auto"/>
          <w:highlight w:val="none"/>
        </w:rPr>
      </w:pPr>
    </w:p>
    <w:p w14:paraId="7F3EDE87">
      <w:pPr>
        <w:spacing w:line="400" w:lineRule="exact"/>
        <w:rPr>
          <w:rFonts w:ascii="宋体" w:hAnsi="宋体"/>
          <w:color w:val="auto"/>
          <w:highlight w:val="none"/>
        </w:rPr>
      </w:pPr>
    </w:p>
    <w:p w14:paraId="018A2C18">
      <w:pPr>
        <w:spacing w:line="400" w:lineRule="exact"/>
        <w:rPr>
          <w:rFonts w:ascii="宋体" w:hAnsi="宋体"/>
          <w:color w:val="auto"/>
          <w:highlight w:val="none"/>
        </w:rPr>
      </w:pPr>
    </w:p>
    <w:p w14:paraId="12A2C643">
      <w:pPr>
        <w:spacing w:line="400" w:lineRule="exact"/>
        <w:rPr>
          <w:rFonts w:ascii="宋体" w:hAnsi="宋体"/>
          <w:color w:val="auto"/>
          <w:highlight w:val="none"/>
        </w:rPr>
      </w:pPr>
    </w:p>
    <w:p w14:paraId="05C79E83">
      <w:pPr>
        <w:spacing w:line="400" w:lineRule="exact"/>
        <w:rPr>
          <w:rFonts w:ascii="宋体" w:hAnsi="宋体"/>
          <w:color w:val="auto"/>
          <w:highlight w:val="none"/>
        </w:rPr>
      </w:pPr>
    </w:p>
    <w:p w14:paraId="470C4D4A">
      <w:pPr>
        <w:spacing w:line="400" w:lineRule="exact"/>
        <w:rPr>
          <w:rFonts w:ascii="宋体" w:hAnsi="宋体"/>
          <w:color w:val="auto"/>
          <w:highlight w:val="none"/>
        </w:rPr>
      </w:pPr>
    </w:p>
    <w:p w14:paraId="0C99634E">
      <w:pPr>
        <w:spacing w:line="400" w:lineRule="exact"/>
        <w:rPr>
          <w:rFonts w:ascii="宋体" w:hAnsi="宋体"/>
          <w:color w:val="auto"/>
          <w:highlight w:val="none"/>
        </w:rPr>
      </w:pPr>
    </w:p>
    <w:p w14:paraId="4D8342EA">
      <w:pPr>
        <w:pStyle w:val="14"/>
        <w:pBdr>
          <w:bottom w:val="single" w:color="auto" w:sz="6" w:space="1"/>
        </w:pBdr>
        <w:spacing w:line="320" w:lineRule="exact"/>
        <w:jc w:val="left"/>
        <w:rPr>
          <w:rFonts w:hAnsi="宋体"/>
          <w:color w:val="auto"/>
          <w:sz w:val="24"/>
          <w:szCs w:val="24"/>
          <w:highlight w:val="none"/>
        </w:rPr>
      </w:pPr>
    </w:p>
    <w:p w14:paraId="2F429588">
      <w:pPr>
        <w:pStyle w:val="14"/>
        <w:spacing w:beforeLines="50" w:line="320" w:lineRule="exact"/>
        <w:ind w:left="620" w:hanging="620" w:hangingChars="294"/>
        <w:rPr>
          <w:rFonts w:hAnsi="宋体" w:cs="宋体"/>
          <w:color w:val="auto"/>
          <w:highlight w:val="none"/>
          <w:lang w:val="en-GB"/>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3CEDF124">
      <w:pPr>
        <w:spacing w:line="400" w:lineRule="exact"/>
        <w:rPr>
          <w:rFonts w:ascii="宋体" w:hAnsi="宋体"/>
          <w:color w:val="auto"/>
          <w:highlight w:val="none"/>
        </w:rPr>
      </w:pPr>
      <w:r>
        <w:rPr>
          <w:rFonts w:ascii="宋体" w:hAnsi="宋体"/>
          <w:color w:val="auto"/>
          <w:highlight w:val="none"/>
        </w:rPr>
        <w:br w:type="page"/>
      </w:r>
    </w:p>
    <w:p w14:paraId="70FCC1C6">
      <w:pPr>
        <w:pStyle w:val="14"/>
        <w:rPr>
          <w:rFonts w:hAnsi="宋体"/>
          <w:color w:val="auto"/>
          <w:highlight w:val="none"/>
          <w:u w:val="single"/>
        </w:rPr>
      </w:pPr>
    </w:p>
    <w:p w14:paraId="0507BE1E">
      <w:pPr>
        <w:jc w:val="center"/>
        <w:rPr>
          <w:rFonts w:ascii="宋体" w:hAnsi="宋体"/>
          <w:b/>
          <w:color w:val="auto"/>
          <w:sz w:val="32"/>
          <w:szCs w:val="32"/>
          <w:highlight w:val="none"/>
        </w:rPr>
      </w:pPr>
      <w:r>
        <w:rPr>
          <w:rFonts w:hint="eastAsia" w:ascii="宋体" w:hAnsi="宋体"/>
          <w:b/>
          <w:color w:val="auto"/>
          <w:sz w:val="32"/>
          <w:szCs w:val="32"/>
          <w:highlight w:val="none"/>
        </w:rPr>
        <w:t>企业认证、信誉荣誉及奖项证书（如有）</w:t>
      </w:r>
    </w:p>
    <w:tbl>
      <w:tblPr>
        <w:tblStyle w:val="29"/>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3676"/>
        <w:gridCol w:w="2931"/>
        <w:gridCol w:w="1838"/>
      </w:tblGrid>
      <w:tr w14:paraId="3CEF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7C2B8492">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序号</w:t>
            </w:r>
          </w:p>
        </w:tc>
        <w:tc>
          <w:tcPr>
            <w:tcW w:w="3676" w:type="dxa"/>
            <w:vAlign w:val="center"/>
          </w:tcPr>
          <w:p w14:paraId="2C0C1698">
            <w:pPr>
              <w:pStyle w:val="14"/>
              <w:snapToGrid w:val="0"/>
              <w:jc w:val="center"/>
              <w:rPr>
                <w:rFonts w:hAnsi="宋体"/>
                <w:color w:val="auto"/>
                <w:szCs w:val="24"/>
                <w:highlight w:val="none"/>
              </w:rPr>
            </w:pPr>
            <w:r>
              <w:rPr>
                <w:rFonts w:hint="eastAsia" w:hAnsi="宋体"/>
                <w:color w:val="auto"/>
                <w:sz w:val="24"/>
                <w:szCs w:val="24"/>
                <w:highlight w:val="none"/>
              </w:rPr>
              <w:t>信誉荣誉及奖项证书名称</w:t>
            </w:r>
          </w:p>
        </w:tc>
        <w:tc>
          <w:tcPr>
            <w:tcW w:w="2931" w:type="dxa"/>
            <w:vAlign w:val="center"/>
          </w:tcPr>
          <w:p w14:paraId="0DDC7FC9">
            <w:pPr>
              <w:pStyle w:val="14"/>
              <w:snapToGrid w:val="0"/>
              <w:jc w:val="center"/>
              <w:rPr>
                <w:rFonts w:hAnsi="宋体"/>
                <w:color w:val="auto"/>
                <w:szCs w:val="24"/>
                <w:highlight w:val="none"/>
              </w:rPr>
            </w:pPr>
            <w:r>
              <w:rPr>
                <w:rFonts w:hint="eastAsia" w:hAnsi="宋体"/>
                <w:color w:val="auto"/>
                <w:sz w:val="24"/>
                <w:szCs w:val="24"/>
                <w:highlight w:val="none"/>
              </w:rPr>
              <w:t>发证单位</w:t>
            </w:r>
          </w:p>
        </w:tc>
        <w:tc>
          <w:tcPr>
            <w:tcW w:w="1838" w:type="dxa"/>
            <w:vAlign w:val="center"/>
          </w:tcPr>
          <w:p w14:paraId="1BB0D584">
            <w:pPr>
              <w:pStyle w:val="14"/>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发证时间</w:t>
            </w:r>
          </w:p>
        </w:tc>
      </w:tr>
      <w:tr w14:paraId="69A3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1B85EFBD">
            <w:pPr>
              <w:pStyle w:val="14"/>
              <w:snapToGrid w:val="0"/>
              <w:jc w:val="center"/>
              <w:rPr>
                <w:rFonts w:hAnsi="宋体"/>
                <w:color w:val="auto"/>
                <w:szCs w:val="24"/>
                <w:highlight w:val="none"/>
              </w:rPr>
            </w:pPr>
            <w:r>
              <w:rPr>
                <w:rFonts w:hint="eastAsia" w:hAnsi="宋体"/>
                <w:color w:val="auto"/>
                <w:sz w:val="24"/>
                <w:szCs w:val="24"/>
                <w:highlight w:val="none"/>
              </w:rPr>
              <w:t>1</w:t>
            </w:r>
          </w:p>
        </w:tc>
        <w:tc>
          <w:tcPr>
            <w:tcW w:w="3676" w:type="dxa"/>
            <w:vAlign w:val="center"/>
          </w:tcPr>
          <w:p w14:paraId="1540EFDD">
            <w:pPr>
              <w:pStyle w:val="14"/>
              <w:snapToGrid w:val="0"/>
              <w:jc w:val="center"/>
              <w:rPr>
                <w:rFonts w:hAnsi="宋体"/>
                <w:color w:val="auto"/>
                <w:szCs w:val="24"/>
                <w:highlight w:val="none"/>
              </w:rPr>
            </w:pPr>
          </w:p>
        </w:tc>
        <w:tc>
          <w:tcPr>
            <w:tcW w:w="2931" w:type="dxa"/>
            <w:vAlign w:val="center"/>
          </w:tcPr>
          <w:p w14:paraId="3EC37D0E">
            <w:pPr>
              <w:pStyle w:val="14"/>
              <w:snapToGrid w:val="0"/>
              <w:jc w:val="center"/>
              <w:rPr>
                <w:rFonts w:hAnsi="宋体"/>
                <w:color w:val="auto"/>
                <w:szCs w:val="24"/>
                <w:highlight w:val="none"/>
              </w:rPr>
            </w:pPr>
          </w:p>
        </w:tc>
        <w:tc>
          <w:tcPr>
            <w:tcW w:w="1838" w:type="dxa"/>
            <w:vAlign w:val="center"/>
          </w:tcPr>
          <w:p w14:paraId="665C98A4">
            <w:pPr>
              <w:pStyle w:val="14"/>
              <w:snapToGrid w:val="0"/>
              <w:jc w:val="center"/>
              <w:rPr>
                <w:rFonts w:hAnsi="宋体"/>
                <w:color w:val="auto"/>
                <w:szCs w:val="24"/>
                <w:highlight w:val="none"/>
              </w:rPr>
            </w:pPr>
          </w:p>
        </w:tc>
      </w:tr>
      <w:tr w14:paraId="0764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1A7C616A">
            <w:pPr>
              <w:pStyle w:val="14"/>
              <w:snapToGrid w:val="0"/>
              <w:jc w:val="center"/>
              <w:rPr>
                <w:rFonts w:hAnsi="宋体"/>
                <w:color w:val="auto"/>
                <w:szCs w:val="24"/>
                <w:highlight w:val="none"/>
              </w:rPr>
            </w:pPr>
            <w:r>
              <w:rPr>
                <w:rFonts w:hint="eastAsia" w:hAnsi="宋体"/>
                <w:color w:val="auto"/>
                <w:sz w:val="24"/>
                <w:szCs w:val="24"/>
                <w:highlight w:val="none"/>
              </w:rPr>
              <w:t>2</w:t>
            </w:r>
          </w:p>
        </w:tc>
        <w:tc>
          <w:tcPr>
            <w:tcW w:w="3676" w:type="dxa"/>
            <w:vAlign w:val="center"/>
          </w:tcPr>
          <w:p w14:paraId="50F3F37A">
            <w:pPr>
              <w:pStyle w:val="14"/>
              <w:snapToGrid w:val="0"/>
              <w:jc w:val="center"/>
              <w:rPr>
                <w:rFonts w:hAnsi="宋体"/>
                <w:color w:val="auto"/>
                <w:szCs w:val="24"/>
                <w:highlight w:val="none"/>
              </w:rPr>
            </w:pPr>
          </w:p>
        </w:tc>
        <w:tc>
          <w:tcPr>
            <w:tcW w:w="2931" w:type="dxa"/>
            <w:vAlign w:val="center"/>
          </w:tcPr>
          <w:p w14:paraId="1FE05094">
            <w:pPr>
              <w:pStyle w:val="14"/>
              <w:snapToGrid w:val="0"/>
              <w:jc w:val="center"/>
              <w:rPr>
                <w:rFonts w:hAnsi="宋体"/>
                <w:color w:val="auto"/>
                <w:szCs w:val="24"/>
                <w:highlight w:val="none"/>
              </w:rPr>
            </w:pPr>
          </w:p>
        </w:tc>
        <w:tc>
          <w:tcPr>
            <w:tcW w:w="1838" w:type="dxa"/>
            <w:vAlign w:val="center"/>
          </w:tcPr>
          <w:p w14:paraId="1F3AC4BB">
            <w:pPr>
              <w:pStyle w:val="14"/>
              <w:snapToGrid w:val="0"/>
              <w:jc w:val="center"/>
              <w:rPr>
                <w:rFonts w:hAnsi="宋体"/>
                <w:color w:val="auto"/>
                <w:szCs w:val="24"/>
                <w:highlight w:val="none"/>
              </w:rPr>
            </w:pPr>
          </w:p>
        </w:tc>
      </w:tr>
      <w:tr w14:paraId="0BE7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6A62F239">
            <w:pPr>
              <w:pStyle w:val="14"/>
              <w:snapToGrid w:val="0"/>
              <w:jc w:val="center"/>
              <w:rPr>
                <w:rFonts w:hAnsi="宋体"/>
                <w:color w:val="auto"/>
                <w:szCs w:val="24"/>
                <w:highlight w:val="none"/>
              </w:rPr>
            </w:pPr>
            <w:r>
              <w:rPr>
                <w:rFonts w:hint="eastAsia" w:hAnsi="宋体"/>
                <w:color w:val="auto"/>
                <w:sz w:val="24"/>
                <w:szCs w:val="24"/>
                <w:highlight w:val="none"/>
              </w:rPr>
              <w:t>3</w:t>
            </w:r>
          </w:p>
        </w:tc>
        <w:tc>
          <w:tcPr>
            <w:tcW w:w="3676" w:type="dxa"/>
            <w:vAlign w:val="center"/>
          </w:tcPr>
          <w:p w14:paraId="164D2A0F">
            <w:pPr>
              <w:pStyle w:val="14"/>
              <w:snapToGrid w:val="0"/>
              <w:jc w:val="center"/>
              <w:rPr>
                <w:rFonts w:hAnsi="宋体"/>
                <w:color w:val="auto"/>
                <w:szCs w:val="24"/>
                <w:highlight w:val="none"/>
              </w:rPr>
            </w:pPr>
          </w:p>
        </w:tc>
        <w:tc>
          <w:tcPr>
            <w:tcW w:w="2931" w:type="dxa"/>
            <w:vAlign w:val="center"/>
          </w:tcPr>
          <w:p w14:paraId="6740FACE">
            <w:pPr>
              <w:pStyle w:val="14"/>
              <w:snapToGrid w:val="0"/>
              <w:jc w:val="center"/>
              <w:rPr>
                <w:rFonts w:hAnsi="宋体"/>
                <w:color w:val="auto"/>
                <w:szCs w:val="24"/>
                <w:highlight w:val="none"/>
              </w:rPr>
            </w:pPr>
          </w:p>
        </w:tc>
        <w:tc>
          <w:tcPr>
            <w:tcW w:w="1838" w:type="dxa"/>
            <w:vAlign w:val="center"/>
          </w:tcPr>
          <w:p w14:paraId="50DF42D4">
            <w:pPr>
              <w:pStyle w:val="14"/>
              <w:snapToGrid w:val="0"/>
              <w:jc w:val="center"/>
              <w:rPr>
                <w:rFonts w:hAnsi="宋体"/>
                <w:color w:val="auto"/>
                <w:szCs w:val="24"/>
                <w:highlight w:val="none"/>
              </w:rPr>
            </w:pPr>
          </w:p>
        </w:tc>
      </w:tr>
      <w:tr w14:paraId="2728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68382892">
            <w:pPr>
              <w:pStyle w:val="14"/>
              <w:snapToGrid w:val="0"/>
              <w:jc w:val="center"/>
              <w:rPr>
                <w:rFonts w:hAnsi="宋体"/>
                <w:color w:val="auto"/>
                <w:szCs w:val="24"/>
                <w:highlight w:val="none"/>
              </w:rPr>
            </w:pPr>
            <w:r>
              <w:rPr>
                <w:rFonts w:hint="eastAsia" w:hAnsi="宋体"/>
                <w:color w:val="auto"/>
                <w:sz w:val="24"/>
                <w:szCs w:val="24"/>
                <w:highlight w:val="none"/>
              </w:rPr>
              <w:t>4</w:t>
            </w:r>
          </w:p>
        </w:tc>
        <w:tc>
          <w:tcPr>
            <w:tcW w:w="3676" w:type="dxa"/>
            <w:vAlign w:val="center"/>
          </w:tcPr>
          <w:p w14:paraId="225E2D11">
            <w:pPr>
              <w:pStyle w:val="14"/>
              <w:snapToGrid w:val="0"/>
              <w:jc w:val="center"/>
              <w:rPr>
                <w:rFonts w:hAnsi="宋体"/>
                <w:color w:val="auto"/>
                <w:szCs w:val="24"/>
                <w:highlight w:val="none"/>
              </w:rPr>
            </w:pPr>
          </w:p>
        </w:tc>
        <w:tc>
          <w:tcPr>
            <w:tcW w:w="2931" w:type="dxa"/>
            <w:vAlign w:val="center"/>
          </w:tcPr>
          <w:p w14:paraId="0A5821BA">
            <w:pPr>
              <w:pStyle w:val="14"/>
              <w:snapToGrid w:val="0"/>
              <w:jc w:val="center"/>
              <w:rPr>
                <w:rFonts w:hAnsi="宋体"/>
                <w:color w:val="auto"/>
                <w:szCs w:val="24"/>
                <w:highlight w:val="none"/>
              </w:rPr>
            </w:pPr>
          </w:p>
        </w:tc>
        <w:tc>
          <w:tcPr>
            <w:tcW w:w="1838" w:type="dxa"/>
            <w:vAlign w:val="center"/>
          </w:tcPr>
          <w:p w14:paraId="7109364D">
            <w:pPr>
              <w:pStyle w:val="14"/>
              <w:snapToGrid w:val="0"/>
              <w:jc w:val="center"/>
              <w:rPr>
                <w:rFonts w:hAnsi="宋体"/>
                <w:color w:val="auto"/>
                <w:szCs w:val="24"/>
                <w:highlight w:val="none"/>
              </w:rPr>
            </w:pPr>
          </w:p>
        </w:tc>
      </w:tr>
      <w:tr w14:paraId="3325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59826C3C">
            <w:pPr>
              <w:pStyle w:val="14"/>
              <w:snapToGrid w:val="0"/>
              <w:jc w:val="center"/>
              <w:rPr>
                <w:rFonts w:hAnsi="宋体"/>
                <w:color w:val="auto"/>
                <w:szCs w:val="24"/>
                <w:highlight w:val="none"/>
              </w:rPr>
            </w:pPr>
            <w:r>
              <w:rPr>
                <w:rFonts w:hint="eastAsia" w:hAnsi="宋体"/>
                <w:color w:val="auto"/>
                <w:sz w:val="24"/>
                <w:szCs w:val="24"/>
                <w:highlight w:val="none"/>
              </w:rPr>
              <w:t>5</w:t>
            </w:r>
          </w:p>
        </w:tc>
        <w:tc>
          <w:tcPr>
            <w:tcW w:w="3676" w:type="dxa"/>
            <w:vAlign w:val="center"/>
          </w:tcPr>
          <w:p w14:paraId="5AFF2D70">
            <w:pPr>
              <w:pStyle w:val="14"/>
              <w:snapToGrid w:val="0"/>
              <w:jc w:val="center"/>
              <w:rPr>
                <w:rFonts w:hAnsi="宋体"/>
                <w:color w:val="auto"/>
                <w:szCs w:val="24"/>
                <w:highlight w:val="none"/>
              </w:rPr>
            </w:pPr>
          </w:p>
        </w:tc>
        <w:tc>
          <w:tcPr>
            <w:tcW w:w="2931" w:type="dxa"/>
            <w:vAlign w:val="center"/>
          </w:tcPr>
          <w:p w14:paraId="7153A11C">
            <w:pPr>
              <w:pStyle w:val="14"/>
              <w:snapToGrid w:val="0"/>
              <w:jc w:val="center"/>
              <w:rPr>
                <w:rFonts w:hAnsi="宋体"/>
                <w:color w:val="auto"/>
                <w:szCs w:val="24"/>
                <w:highlight w:val="none"/>
              </w:rPr>
            </w:pPr>
          </w:p>
        </w:tc>
        <w:tc>
          <w:tcPr>
            <w:tcW w:w="1838" w:type="dxa"/>
            <w:vAlign w:val="center"/>
          </w:tcPr>
          <w:p w14:paraId="71935199">
            <w:pPr>
              <w:pStyle w:val="14"/>
              <w:snapToGrid w:val="0"/>
              <w:jc w:val="center"/>
              <w:rPr>
                <w:rFonts w:hAnsi="宋体"/>
                <w:color w:val="auto"/>
                <w:szCs w:val="24"/>
                <w:highlight w:val="none"/>
              </w:rPr>
            </w:pPr>
          </w:p>
        </w:tc>
      </w:tr>
      <w:tr w14:paraId="53EA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4B97B94C">
            <w:pPr>
              <w:pStyle w:val="14"/>
              <w:snapToGrid w:val="0"/>
              <w:jc w:val="center"/>
              <w:rPr>
                <w:rFonts w:hAnsi="宋体"/>
                <w:color w:val="auto"/>
                <w:szCs w:val="24"/>
                <w:highlight w:val="none"/>
              </w:rPr>
            </w:pPr>
            <w:r>
              <w:rPr>
                <w:rFonts w:hint="eastAsia" w:hAnsi="宋体"/>
                <w:color w:val="auto"/>
                <w:sz w:val="24"/>
                <w:szCs w:val="24"/>
                <w:highlight w:val="none"/>
              </w:rPr>
              <w:t>…</w:t>
            </w:r>
          </w:p>
        </w:tc>
        <w:tc>
          <w:tcPr>
            <w:tcW w:w="3676" w:type="dxa"/>
            <w:vAlign w:val="center"/>
          </w:tcPr>
          <w:p w14:paraId="10358459">
            <w:pPr>
              <w:pStyle w:val="14"/>
              <w:snapToGrid w:val="0"/>
              <w:jc w:val="center"/>
              <w:rPr>
                <w:rFonts w:hAnsi="宋体"/>
                <w:color w:val="auto"/>
                <w:szCs w:val="24"/>
                <w:highlight w:val="none"/>
              </w:rPr>
            </w:pPr>
          </w:p>
        </w:tc>
        <w:tc>
          <w:tcPr>
            <w:tcW w:w="2931" w:type="dxa"/>
            <w:vAlign w:val="center"/>
          </w:tcPr>
          <w:p w14:paraId="06067E08">
            <w:pPr>
              <w:pStyle w:val="14"/>
              <w:snapToGrid w:val="0"/>
              <w:jc w:val="center"/>
              <w:rPr>
                <w:rFonts w:hAnsi="宋体"/>
                <w:color w:val="auto"/>
                <w:szCs w:val="24"/>
                <w:highlight w:val="none"/>
              </w:rPr>
            </w:pPr>
          </w:p>
        </w:tc>
        <w:tc>
          <w:tcPr>
            <w:tcW w:w="1838" w:type="dxa"/>
            <w:vAlign w:val="center"/>
          </w:tcPr>
          <w:p w14:paraId="3BEEC7F6">
            <w:pPr>
              <w:pStyle w:val="14"/>
              <w:snapToGrid w:val="0"/>
              <w:jc w:val="center"/>
              <w:rPr>
                <w:rFonts w:hAnsi="宋体"/>
                <w:color w:val="auto"/>
                <w:szCs w:val="24"/>
                <w:highlight w:val="none"/>
              </w:rPr>
            </w:pPr>
          </w:p>
        </w:tc>
      </w:tr>
    </w:tbl>
    <w:p w14:paraId="14570397">
      <w:pPr>
        <w:spacing w:line="400" w:lineRule="exact"/>
        <w:rPr>
          <w:rFonts w:ascii="宋体" w:hAnsi="宋体"/>
          <w:color w:val="auto"/>
          <w:highlight w:val="none"/>
        </w:rPr>
      </w:pPr>
    </w:p>
    <w:p w14:paraId="4CDD3EEC">
      <w:pPr>
        <w:spacing w:line="400" w:lineRule="exact"/>
        <w:rPr>
          <w:rFonts w:ascii="宋体" w:hAnsi="宋体"/>
          <w:color w:val="auto"/>
          <w:highlight w:val="none"/>
        </w:rPr>
      </w:pPr>
    </w:p>
    <w:p w14:paraId="64943832">
      <w:pPr>
        <w:spacing w:line="400" w:lineRule="exact"/>
        <w:rPr>
          <w:rFonts w:ascii="宋体" w:hAnsi="宋体"/>
          <w:color w:val="auto"/>
          <w:highlight w:val="none"/>
        </w:rPr>
      </w:pPr>
    </w:p>
    <w:p w14:paraId="4B6FACC8">
      <w:pPr>
        <w:spacing w:line="400" w:lineRule="exact"/>
        <w:rPr>
          <w:rFonts w:ascii="宋体" w:hAnsi="宋体"/>
          <w:color w:val="auto"/>
          <w:highlight w:val="none"/>
        </w:rPr>
      </w:pPr>
    </w:p>
    <w:p w14:paraId="3F579083">
      <w:pPr>
        <w:pStyle w:val="14"/>
        <w:rPr>
          <w:rFonts w:hAnsi="宋体"/>
          <w:bCs/>
          <w:color w:val="auto"/>
          <w:sz w:val="24"/>
          <w:szCs w:val="24"/>
          <w:highlight w:val="none"/>
        </w:rPr>
      </w:pPr>
    </w:p>
    <w:p w14:paraId="2510871E">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5395DF26">
      <w:pPr>
        <w:pStyle w:val="14"/>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21FA3CB8">
      <w:pPr>
        <w:rPr>
          <w:rFonts w:ascii="宋体" w:hAnsi="宋体"/>
          <w:color w:val="auto"/>
          <w:sz w:val="24"/>
          <w:highlight w:val="none"/>
        </w:rPr>
      </w:pPr>
    </w:p>
    <w:p w14:paraId="462C2356">
      <w:pPr>
        <w:spacing w:line="400" w:lineRule="exact"/>
        <w:rPr>
          <w:rFonts w:ascii="宋体" w:hAnsi="宋体"/>
          <w:color w:val="auto"/>
          <w:highlight w:val="none"/>
        </w:rPr>
      </w:pPr>
    </w:p>
    <w:p w14:paraId="2B6D65D5">
      <w:pPr>
        <w:spacing w:line="400" w:lineRule="exact"/>
        <w:rPr>
          <w:rFonts w:ascii="宋体" w:hAnsi="宋体"/>
          <w:color w:val="auto"/>
          <w:highlight w:val="none"/>
        </w:rPr>
      </w:pPr>
    </w:p>
    <w:p w14:paraId="5ADB3234">
      <w:pPr>
        <w:spacing w:line="400" w:lineRule="exact"/>
        <w:rPr>
          <w:rFonts w:ascii="宋体" w:hAnsi="宋体"/>
          <w:color w:val="auto"/>
          <w:highlight w:val="none"/>
        </w:rPr>
      </w:pPr>
    </w:p>
    <w:p w14:paraId="3E5538A1">
      <w:pPr>
        <w:spacing w:line="400" w:lineRule="exact"/>
        <w:rPr>
          <w:rFonts w:ascii="宋体" w:hAnsi="宋体"/>
          <w:color w:val="auto"/>
          <w:highlight w:val="none"/>
        </w:rPr>
      </w:pPr>
    </w:p>
    <w:p w14:paraId="11CE1828">
      <w:pPr>
        <w:spacing w:line="400" w:lineRule="exact"/>
        <w:rPr>
          <w:rFonts w:ascii="宋体" w:hAnsi="宋体"/>
          <w:color w:val="auto"/>
          <w:highlight w:val="none"/>
        </w:rPr>
      </w:pPr>
    </w:p>
    <w:p w14:paraId="2C7F005B">
      <w:pPr>
        <w:spacing w:line="400" w:lineRule="exact"/>
        <w:rPr>
          <w:rFonts w:ascii="宋体" w:hAnsi="宋体"/>
          <w:color w:val="auto"/>
          <w:highlight w:val="none"/>
        </w:rPr>
      </w:pPr>
    </w:p>
    <w:p w14:paraId="657A80D1">
      <w:pPr>
        <w:spacing w:line="400" w:lineRule="exact"/>
        <w:rPr>
          <w:rFonts w:ascii="宋体" w:hAnsi="宋体"/>
          <w:color w:val="auto"/>
          <w:highlight w:val="none"/>
        </w:rPr>
      </w:pPr>
    </w:p>
    <w:p w14:paraId="46066A02">
      <w:pPr>
        <w:spacing w:line="400" w:lineRule="exact"/>
        <w:rPr>
          <w:rFonts w:ascii="宋体" w:hAnsi="宋体"/>
          <w:color w:val="auto"/>
          <w:highlight w:val="none"/>
        </w:rPr>
      </w:pPr>
    </w:p>
    <w:p w14:paraId="7674BFFF">
      <w:pPr>
        <w:spacing w:line="400" w:lineRule="exact"/>
        <w:rPr>
          <w:rFonts w:ascii="宋体" w:hAnsi="宋体"/>
          <w:color w:val="auto"/>
          <w:highlight w:val="none"/>
        </w:rPr>
      </w:pPr>
    </w:p>
    <w:p w14:paraId="28C2E9CA">
      <w:pPr>
        <w:spacing w:line="400" w:lineRule="exact"/>
        <w:rPr>
          <w:rFonts w:ascii="宋体" w:hAnsi="宋体"/>
          <w:color w:val="auto"/>
          <w:highlight w:val="none"/>
        </w:rPr>
      </w:pPr>
    </w:p>
    <w:p w14:paraId="152A774C">
      <w:pPr>
        <w:pStyle w:val="14"/>
        <w:pBdr>
          <w:bottom w:val="single" w:color="auto" w:sz="6" w:space="1"/>
        </w:pBdr>
        <w:spacing w:line="320" w:lineRule="exact"/>
        <w:jc w:val="left"/>
        <w:rPr>
          <w:rFonts w:hAnsi="宋体"/>
          <w:color w:val="auto"/>
          <w:sz w:val="24"/>
          <w:szCs w:val="24"/>
          <w:highlight w:val="none"/>
        </w:rPr>
      </w:pPr>
    </w:p>
    <w:p w14:paraId="2D909DC0">
      <w:pPr>
        <w:pStyle w:val="14"/>
        <w:spacing w:beforeLines="50" w:line="320" w:lineRule="exact"/>
        <w:ind w:left="628" w:hanging="628" w:hangingChars="298"/>
        <w:rPr>
          <w:rFonts w:hAnsi="宋体"/>
          <w:color w:val="auto"/>
          <w:highlight w:val="none"/>
          <w:lang w:val="en-GB"/>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06D156B0">
      <w:pPr>
        <w:pStyle w:val="14"/>
        <w:spacing w:beforeLines="50" w:line="320" w:lineRule="exact"/>
        <w:ind w:left="626" w:hanging="625" w:hangingChars="298"/>
        <w:rPr>
          <w:rFonts w:hAnsi="宋体"/>
          <w:color w:val="auto"/>
          <w:highlight w:val="none"/>
          <w:lang w:val="en-GB"/>
        </w:rPr>
      </w:pPr>
      <w:r>
        <w:rPr>
          <w:rFonts w:hAnsi="宋体"/>
          <w:color w:val="auto"/>
          <w:highlight w:val="none"/>
          <w:lang w:val="en-GB"/>
        </w:rPr>
        <w:br w:type="page"/>
      </w:r>
    </w:p>
    <w:p w14:paraId="2E487B88">
      <w:pPr>
        <w:pStyle w:val="14"/>
        <w:spacing w:line="400" w:lineRule="exact"/>
        <w:rPr>
          <w:rFonts w:hAnsi="宋体"/>
          <w:color w:val="auto"/>
          <w:highlight w:val="none"/>
        </w:rPr>
      </w:pPr>
    </w:p>
    <w:p w14:paraId="0489F4CD">
      <w:pPr>
        <w:pStyle w:val="14"/>
        <w:spacing w:line="400" w:lineRule="exact"/>
        <w:rPr>
          <w:rFonts w:hAnsi="宋体"/>
          <w:color w:val="auto"/>
          <w:highlight w:val="none"/>
        </w:rPr>
      </w:pPr>
    </w:p>
    <w:p w14:paraId="774FD2D0">
      <w:pPr>
        <w:pStyle w:val="14"/>
        <w:spacing w:line="400" w:lineRule="exact"/>
        <w:rPr>
          <w:rFonts w:hAnsi="宋体"/>
          <w:color w:val="auto"/>
          <w:highlight w:val="none"/>
        </w:rPr>
      </w:pPr>
    </w:p>
    <w:p w14:paraId="1FF90AC7">
      <w:pPr>
        <w:pStyle w:val="14"/>
        <w:spacing w:line="400" w:lineRule="exact"/>
        <w:rPr>
          <w:rFonts w:hAnsi="宋体"/>
          <w:color w:val="auto"/>
          <w:highlight w:val="none"/>
        </w:rPr>
      </w:pPr>
    </w:p>
    <w:p w14:paraId="7FF3B67D">
      <w:pPr>
        <w:pStyle w:val="14"/>
        <w:spacing w:line="400" w:lineRule="exact"/>
        <w:rPr>
          <w:rFonts w:hAnsi="宋体"/>
          <w:color w:val="auto"/>
          <w:highlight w:val="none"/>
        </w:rPr>
      </w:pPr>
    </w:p>
    <w:p w14:paraId="38F9DE88">
      <w:pPr>
        <w:pStyle w:val="14"/>
        <w:spacing w:line="400" w:lineRule="exact"/>
        <w:rPr>
          <w:rFonts w:hAnsi="宋体"/>
          <w:color w:val="auto"/>
          <w:highlight w:val="none"/>
        </w:rPr>
      </w:pPr>
    </w:p>
    <w:p w14:paraId="19838FDC">
      <w:pPr>
        <w:pStyle w:val="14"/>
        <w:spacing w:line="400" w:lineRule="exact"/>
        <w:rPr>
          <w:rFonts w:hAnsi="宋体"/>
          <w:color w:val="auto"/>
          <w:highlight w:val="none"/>
        </w:rPr>
      </w:pPr>
    </w:p>
    <w:p w14:paraId="5161F550">
      <w:pPr>
        <w:pStyle w:val="14"/>
        <w:spacing w:line="400" w:lineRule="exact"/>
        <w:rPr>
          <w:rFonts w:hAnsi="宋体"/>
          <w:color w:val="auto"/>
          <w:highlight w:val="none"/>
        </w:rPr>
      </w:pPr>
    </w:p>
    <w:p w14:paraId="60886C20">
      <w:pPr>
        <w:pStyle w:val="14"/>
        <w:spacing w:line="400" w:lineRule="exact"/>
        <w:rPr>
          <w:rFonts w:hAnsi="宋体"/>
          <w:color w:val="auto"/>
          <w:highlight w:val="none"/>
        </w:rPr>
      </w:pPr>
    </w:p>
    <w:p w14:paraId="34D63309">
      <w:pPr>
        <w:pStyle w:val="2"/>
        <w:jc w:val="center"/>
        <w:rPr>
          <w:rFonts w:ascii="宋体" w:hAnsi="宋体"/>
          <w:bCs/>
          <w:color w:val="auto"/>
          <w:sz w:val="44"/>
          <w:highlight w:val="none"/>
        </w:rPr>
      </w:pPr>
      <w:bookmarkStart w:id="326" w:name="_Toc239839920"/>
      <w:bookmarkStart w:id="327" w:name="_Toc64706770"/>
      <w:bookmarkStart w:id="328" w:name="_Toc206525312"/>
      <w:bookmarkStart w:id="329" w:name="_Toc211355201"/>
      <w:bookmarkStart w:id="330" w:name="_Toc210184913"/>
      <w:bookmarkStart w:id="331" w:name="_Toc205094828"/>
      <w:r>
        <w:rPr>
          <w:rFonts w:hint="eastAsia" w:ascii="宋体" w:hAnsi="宋体"/>
          <w:bCs/>
          <w:color w:val="auto"/>
          <w:sz w:val="44"/>
          <w:highlight w:val="none"/>
        </w:rPr>
        <w:t>第七章  附件</w:t>
      </w:r>
      <w:bookmarkEnd w:id="326"/>
      <w:bookmarkEnd w:id="327"/>
    </w:p>
    <w:p w14:paraId="2C2326E3">
      <w:pPr>
        <w:pStyle w:val="14"/>
        <w:spacing w:line="400" w:lineRule="exact"/>
        <w:rPr>
          <w:rFonts w:hAnsi="宋体"/>
          <w:color w:val="auto"/>
          <w:highlight w:val="none"/>
        </w:rPr>
      </w:pPr>
    </w:p>
    <w:p w14:paraId="04AE4BC3">
      <w:pPr>
        <w:pStyle w:val="14"/>
        <w:spacing w:line="400" w:lineRule="exact"/>
        <w:rPr>
          <w:rFonts w:hAnsi="宋体"/>
          <w:color w:val="auto"/>
          <w:highlight w:val="none"/>
        </w:rPr>
      </w:pPr>
    </w:p>
    <w:p w14:paraId="5FEA465D">
      <w:pPr>
        <w:pStyle w:val="14"/>
        <w:spacing w:line="400" w:lineRule="exact"/>
        <w:rPr>
          <w:rFonts w:hAnsi="宋体"/>
          <w:color w:val="auto"/>
          <w:highlight w:val="none"/>
        </w:rPr>
      </w:pPr>
      <w:r>
        <w:rPr>
          <w:rFonts w:hAnsi="宋体"/>
          <w:color w:val="auto"/>
          <w:highlight w:val="none"/>
        </w:rPr>
        <w:br w:type="page"/>
      </w:r>
      <w:bookmarkEnd w:id="328"/>
      <w:bookmarkEnd w:id="329"/>
      <w:bookmarkEnd w:id="330"/>
      <w:bookmarkEnd w:id="331"/>
    </w:p>
    <w:p w14:paraId="3ECBCC5F">
      <w:pPr>
        <w:pStyle w:val="14"/>
        <w:spacing w:line="400" w:lineRule="exact"/>
        <w:rPr>
          <w:rFonts w:hAnsi="宋体"/>
          <w:b/>
          <w:color w:val="auto"/>
          <w:szCs w:val="21"/>
          <w:highlight w:val="none"/>
        </w:rPr>
      </w:pPr>
    </w:p>
    <w:p w14:paraId="3DEE7A24">
      <w:pPr>
        <w:pStyle w:val="14"/>
        <w:spacing w:line="400" w:lineRule="exact"/>
        <w:rPr>
          <w:rFonts w:hAnsi="宋体"/>
          <w:b/>
          <w:bCs/>
          <w:color w:val="auto"/>
          <w:sz w:val="28"/>
          <w:szCs w:val="28"/>
          <w:highlight w:val="none"/>
        </w:rPr>
      </w:pPr>
      <w:r>
        <w:rPr>
          <w:rFonts w:hint="eastAsia" w:hAnsi="宋体"/>
          <w:b/>
          <w:bCs/>
          <w:color w:val="auto"/>
          <w:sz w:val="28"/>
          <w:szCs w:val="28"/>
          <w:highlight w:val="none"/>
        </w:rPr>
        <w:t>附件1：</w:t>
      </w:r>
      <w:r>
        <w:rPr>
          <w:rFonts w:hint="eastAsia" w:hAnsi="宋体"/>
          <w:color w:val="auto"/>
          <w:sz w:val="28"/>
          <w:szCs w:val="28"/>
          <w:highlight w:val="none"/>
        </w:rPr>
        <w:t>磋商保证金退付意见书（由未成交供应商填写）</w:t>
      </w:r>
    </w:p>
    <w:p w14:paraId="4414BF36">
      <w:pPr>
        <w:pStyle w:val="14"/>
        <w:spacing w:line="400" w:lineRule="exact"/>
        <w:rPr>
          <w:rFonts w:hAnsi="宋体"/>
          <w:b/>
          <w:color w:val="auto"/>
          <w:szCs w:val="21"/>
          <w:highlight w:val="none"/>
        </w:rPr>
      </w:pPr>
    </w:p>
    <w:p w14:paraId="0504F574">
      <w:pPr>
        <w:pStyle w:val="14"/>
        <w:spacing w:line="400" w:lineRule="exact"/>
        <w:jc w:val="center"/>
        <w:rPr>
          <w:rFonts w:hAnsi="宋体" w:cs="宋体"/>
          <w:b/>
          <w:bCs/>
          <w:color w:val="auto"/>
          <w:kern w:val="0"/>
          <w:sz w:val="32"/>
          <w:szCs w:val="32"/>
          <w:highlight w:val="none"/>
        </w:rPr>
      </w:pPr>
      <w:r>
        <w:rPr>
          <w:rFonts w:hint="eastAsia" w:hAnsi="宋体" w:cs="宋体"/>
          <w:b/>
          <w:bCs/>
          <w:color w:val="auto"/>
          <w:kern w:val="0"/>
          <w:sz w:val="32"/>
          <w:szCs w:val="32"/>
          <w:highlight w:val="none"/>
        </w:rPr>
        <w:t>供应商磋商保证金退付意见书</w:t>
      </w:r>
    </w:p>
    <w:p w14:paraId="5F50BDA9">
      <w:pPr>
        <w:pStyle w:val="14"/>
        <w:spacing w:line="200" w:lineRule="exact"/>
        <w:rPr>
          <w:rFonts w:hAnsi="宋体"/>
          <w:b/>
          <w:color w:val="auto"/>
          <w:szCs w:val="21"/>
          <w:highlight w:val="none"/>
        </w:rPr>
      </w:pPr>
    </w:p>
    <w:tbl>
      <w:tblPr>
        <w:tblStyle w:val="29"/>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195"/>
        <w:gridCol w:w="2195"/>
        <w:gridCol w:w="2195"/>
        <w:gridCol w:w="2196"/>
      </w:tblGrid>
      <w:tr w14:paraId="4621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659" w:type="dxa"/>
            <w:vMerge w:val="restart"/>
            <w:vAlign w:val="center"/>
          </w:tcPr>
          <w:p w14:paraId="26087FA7">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供应商申请</w:t>
            </w:r>
          </w:p>
        </w:tc>
        <w:tc>
          <w:tcPr>
            <w:tcW w:w="8781" w:type="dxa"/>
            <w:gridSpan w:val="4"/>
            <w:vAlign w:val="center"/>
          </w:tcPr>
          <w:p w14:paraId="71EE44DE">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采购项目名称：</w:t>
            </w:r>
          </w:p>
        </w:tc>
      </w:tr>
      <w:tr w14:paraId="724D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59" w:type="dxa"/>
            <w:vMerge w:val="continue"/>
            <w:vAlign w:val="center"/>
          </w:tcPr>
          <w:p w14:paraId="44A6F840">
            <w:pPr>
              <w:widowControl/>
              <w:snapToGrid w:val="0"/>
              <w:jc w:val="center"/>
              <w:rPr>
                <w:rFonts w:ascii="宋体" w:hAnsi="宋体" w:cs="宋体"/>
                <w:color w:val="auto"/>
                <w:kern w:val="0"/>
                <w:sz w:val="30"/>
                <w:szCs w:val="30"/>
                <w:highlight w:val="none"/>
              </w:rPr>
            </w:pPr>
          </w:p>
        </w:tc>
        <w:tc>
          <w:tcPr>
            <w:tcW w:w="8781" w:type="dxa"/>
            <w:gridSpan w:val="4"/>
            <w:vAlign w:val="center"/>
          </w:tcPr>
          <w:p w14:paraId="342DA403">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采购项目编号：</w:t>
            </w:r>
          </w:p>
        </w:tc>
      </w:tr>
      <w:tr w14:paraId="0640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9" w:type="dxa"/>
            <w:vMerge w:val="continue"/>
            <w:vAlign w:val="center"/>
          </w:tcPr>
          <w:p w14:paraId="645BFD1D">
            <w:pPr>
              <w:widowControl/>
              <w:snapToGrid w:val="0"/>
              <w:jc w:val="left"/>
              <w:rPr>
                <w:rFonts w:ascii="宋体" w:hAnsi="宋体" w:cs="宋体"/>
                <w:color w:val="auto"/>
                <w:kern w:val="0"/>
                <w:sz w:val="32"/>
                <w:szCs w:val="32"/>
                <w:highlight w:val="none"/>
              </w:rPr>
            </w:pPr>
          </w:p>
        </w:tc>
        <w:tc>
          <w:tcPr>
            <w:tcW w:w="8781" w:type="dxa"/>
            <w:gridSpan w:val="4"/>
            <w:vAlign w:val="center"/>
          </w:tcPr>
          <w:p w14:paraId="5154D66E">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磋商保证金金额：（大写）</w:t>
            </w:r>
          </w:p>
          <w:p w14:paraId="600DDE75">
            <w:pPr>
              <w:widowControl/>
              <w:snapToGrid w:val="0"/>
              <w:ind w:firstLine="1920" w:firstLineChars="800"/>
              <w:jc w:val="left"/>
              <w:rPr>
                <w:rFonts w:ascii="宋体" w:hAnsi="宋体" w:cs="宋体"/>
                <w:color w:val="auto"/>
                <w:kern w:val="0"/>
                <w:highlight w:val="none"/>
              </w:rPr>
            </w:pPr>
            <w:r>
              <w:rPr>
                <w:rFonts w:hint="eastAsia" w:ascii="宋体" w:hAnsi="宋体" w:cs="宋体"/>
                <w:color w:val="auto"/>
                <w:kern w:val="0"/>
                <w:sz w:val="24"/>
                <w:highlight w:val="none"/>
              </w:rPr>
              <w:t>（小写）</w:t>
            </w:r>
          </w:p>
          <w:p w14:paraId="77CEF1FC">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（如有分标，请列明各分标号及金额）</w:t>
            </w:r>
          </w:p>
        </w:tc>
      </w:tr>
      <w:tr w14:paraId="24AC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7" w:hRule="atLeast"/>
        </w:trPr>
        <w:tc>
          <w:tcPr>
            <w:tcW w:w="659" w:type="dxa"/>
            <w:vMerge w:val="continue"/>
            <w:vAlign w:val="center"/>
          </w:tcPr>
          <w:p w14:paraId="489F80D1">
            <w:pPr>
              <w:widowControl/>
              <w:snapToGrid w:val="0"/>
              <w:jc w:val="left"/>
              <w:rPr>
                <w:rFonts w:ascii="宋体" w:hAnsi="宋体" w:cs="宋体"/>
                <w:color w:val="auto"/>
                <w:kern w:val="0"/>
                <w:sz w:val="32"/>
                <w:szCs w:val="32"/>
                <w:highlight w:val="none"/>
              </w:rPr>
            </w:pPr>
          </w:p>
        </w:tc>
        <w:tc>
          <w:tcPr>
            <w:tcW w:w="8781" w:type="dxa"/>
            <w:gridSpan w:val="4"/>
            <w:vAlign w:val="center"/>
          </w:tcPr>
          <w:p w14:paraId="5906E4F3">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我公司</w:t>
            </w:r>
            <w:r>
              <w:rPr>
                <w:rFonts w:hint="eastAsia" w:ascii="宋体" w:hAnsi="宋体"/>
                <w:color w:val="auto"/>
                <w:sz w:val="24"/>
                <w:highlight w:val="none"/>
              </w:rPr>
              <w:t>于年月日参加本项目政府采购活动，我公司对本项目的成交结果公告无异议，</w:t>
            </w:r>
            <w:r>
              <w:rPr>
                <w:rFonts w:hint="eastAsia" w:ascii="宋体" w:hAnsi="宋体" w:cs="宋体"/>
                <w:color w:val="auto"/>
                <w:kern w:val="0"/>
                <w:sz w:val="24"/>
                <w:highlight w:val="none"/>
              </w:rPr>
              <w:t>请将磋商保证金退付到以下账户。</w:t>
            </w:r>
          </w:p>
          <w:p w14:paraId="1A79631D">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开户名称：</w:t>
            </w:r>
          </w:p>
          <w:p w14:paraId="158F9EF5">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帐    号：</w:t>
            </w:r>
          </w:p>
          <w:p w14:paraId="333BB35D">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 户 行：</w:t>
            </w:r>
          </w:p>
          <w:p w14:paraId="1B1AACE7">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1D7BE20D">
            <w:pPr>
              <w:widowControl/>
              <w:snapToGrid w:val="0"/>
              <w:spacing w:line="400" w:lineRule="exact"/>
              <w:ind w:firstLine="420" w:firstLineChars="200"/>
              <w:jc w:val="left"/>
              <w:rPr>
                <w:rFonts w:ascii="宋体" w:hAnsi="宋体" w:cs="宋体"/>
                <w:color w:val="auto"/>
                <w:kern w:val="0"/>
                <w:highlight w:val="none"/>
              </w:rPr>
            </w:pPr>
          </w:p>
          <w:p w14:paraId="0E8FB62D">
            <w:pPr>
              <w:widowControl/>
              <w:snapToGrid w:val="0"/>
              <w:spacing w:line="400" w:lineRule="exact"/>
              <w:ind w:firstLine="420" w:firstLineChars="200"/>
              <w:jc w:val="left"/>
              <w:rPr>
                <w:rFonts w:ascii="宋体" w:hAnsi="宋体" w:cs="宋体"/>
                <w:color w:val="auto"/>
                <w:kern w:val="0"/>
                <w:highlight w:val="none"/>
              </w:rPr>
            </w:pPr>
          </w:p>
          <w:p w14:paraId="1AE92EBC">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供应商：（盖章或签字）</w:t>
            </w:r>
          </w:p>
          <w:p w14:paraId="2F856A5C">
            <w:pPr>
              <w:widowControl/>
              <w:snapToGrid w:val="0"/>
              <w:spacing w:line="400" w:lineRule="exact"/>
              <w:ind w:firstLine="4291" w:firstLineChars="1788"/>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2E10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659" w:type="dxa"/>
            <w:vMerge w:val="restart"/>
            <w:vAlign w:val="center"/>
          </w:tcPr>
          <w:p w14:paraId="48989BB6">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财务部意见</w:t>
            </w:r>
          </w:p>
        </w:tc>
        <w:tc>
          <w:tcPr>
            <w:tcW w:w="8781" w:type="dxa"/>
            <w:gridSpan w:val="4"/>
            <w:vAlign w:val="center"/>
          </w:tcPr>
          <w:p w14:paraId="2834C328">
            <w:pPr>
              <w:widowControl/>
              <w:snapToGrid w:val="0"/>
              <w:jc w:val="left"/>
              <w:rPr>
                <w:rFonts w:ascii="宋体" w:hAnsi="宋体" w:cs="宋体"/>
                <w:color w:val="auto"/>
                <w:kern w:val="0"/>
                <w:highlight w:val="none"/>
              </w:rPr>
            </w:pPr>
            <w:r>
              <w:rPr>
                <w:rFonts w:ascii="宋体" w:hAnsi="宋体" w:cs="宋体"/>
                <w:color w:val="auto"/>
                <w:kern w:val="0"/>
                <w:sz w:val="24"/>
                <w:highlight w:val="none"/>
              </w:rPr>
              <w:t>此表于</w:t>
            </w:r>
            <w:r>
              <w:rPr>
                <w:rFonts w:hint="eastAsia" w:ascii="宋体" w:hAnsi="宋体"/>
                <w:color w:val="auto"/>
                <w:sz w:val="24"/>
                <w:highlight w:val="none"/>
              </w:rPr>
              <w:t>年月日</w:t>
            </w:r>
            <w:r>
              <w:rPr>
                <w:rFonts w:ascii="宋体" w:hAnsi="宋体" w:cs="宋体"/>
                <w:color w:val="auto"/>
                <w:kern w:val="0"/>
                <w:sz w:val="24"/>
                <w:highlight w:val="none"/>
              </w:rPr>
              <w:t>收到。</w:t>
            </w:r>
          </w:p>
        </w:tc>
      </w:tr>
      <w:tr w14:paraId="04ED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659" w:type="dxa"/>
            <w:vMerge w:val="continue"/>
            <w:vAlign w:val="center"/>
          </w:tcPr>
          <w:p w14:paraId="48982CDD">
            <w:pPr>
              <w:widowControl/>
              <w:snapToGrid w:val="0"/>
              <w:jc w:val="center"/>
              <w:rPr>
                <w:rFonts w:ascii="宋体" w:hAnsi="宋体" w:cs="宋体"/>
                <w:color w:val="auto"/>
                <w:kern w:val="0"/>
                <w:sz w:val="28"/>
                <w:szCs w:val="28"/>
                <w:highlight w:val="none"/>
              </w:rPr>
            </w:pPr>
          </w:p>
        </w:tc>
        <w:tc>
          <w:tcPr>
            <w:tcW w:w="2195" w:type="dxa"/>
          </w:tcPr>
          <w:p w14:paraId="518D1901">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会计审核：</w:t>
            </w:r>
          </w:p>
        </w:tc>
        <w:tc>
          <w:tcPr>
            <w:tcW w:w="2195" w:type="dxa"/>
          </w:tcPr>
          <w:p w14:paraId="36C37981">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财务负责人审核：</w:t>
            </w:r>
          </w:p>
        </w:tc>
        <w:tc>
          <w:tcPr>
            <w:tcW w:w="2195" w:type="dxa"/>
          </w:tcPr>
          <w:p w14:paraId="4BAB5868">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单位负责人签字：</w:t>
            </w:r>
          </w:p>
        </w:tc>
        <w:tc>
          <w:tcPr>
            <w:tcW w:w="2196" w:type="dxa"/>
          </w:tcPr>
          <w:p w14:paraId="76C10C7A">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出纳办理转帐</w:t>
            </w:r>
          </w:p>
          <w:p w14:paraId="6D749D93">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日期：</w:t>
            </w:r>
          </w:p>
        </w:tc>
      </w:tr>
      <w:tr w14:paraId="27DF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0" w:type="dxa"/>
            <w:gridSpan w:val="5"/>
            <w:vAlign w:val="center"/>
          </w:tcPr>
          <w:p w14:paraId="4C1E96E6">
            <w:pPr>
              <w:widowControl/>
              <w:snapToGrid w:val="0"/>
              <w:ind w:left="737" w:hanging="736" w:hangingChars="307"/>
              <w:jc w:val="left"/>
              <w:rPr>
                <w:rFonts w:ascii="宋体" w:hAnsi="宋体" w:cs="宋体"/>
                <w:color w:val="auto"/>
                <w:kern w:val="0"/>
                <w:highlight w:val="none"/>
              </w:rPr>
            </w:pPr>
            <w:r>
              <w:rPr>
                <w:rFonts w:hint="eastAsia" w:ascii="宋体" w:hAnsi="宋体" w:cs="宋体"/>
                <w:color w:val="auto"/>
                <w:kern w:val="0"/>
                <w:sz w:val="24"/>
                <w:highlight w:val="none"/>
              </w:rPr>
              <w:t>备注：</w:t>
            </w:r>
            <w:r>
              <w:rPr>
                <w:rFonts w:hint="eastAsia" w:ascii="宋体" w:hAnsi="宋体" w:cs="宋体"/>
                <w:color w:val="auto"/>
                <w:kern w:val="0"/>
                <w:szCs w:val="21"/>
                <w:highlight w:val="none"/>
              </w:rPr>
              <w:t>附</w:t>
            </w:r>
            <w:r>
              <w:rPr>
                <w:rFonts w:hint="eastAsia" w:ascii="宋体" w:hAnsi="宋体" w:cs="宋体"/>
                <w:color w:val="auto"/>
                <w:spacing w:val="-6"/>
                <w:kern w:val="0"/>
                <w:szCs w:val="21"/>
                <w:highlight w:val="none"/>
              </w:rPr>
              <w:t>银行转帐单复印件（加盖公章）</w:t>
            </w:r>
          </w:p>
        </w:tc>
      </w:tr>
    </w:tbl>
    <w:p w14:paraId="58CDB669">
      <w:pPr>
        <w:pStyle w:val="14"/>
        <w:spacing w:line="400" w:lineRule="exact"/>
        <w:rPr>
          <w:rFonts w:hAnsi="宋体"/>
          <w:color w:val="auto"/>
          <w:highlight w:val="none"/>
        </w:rPr>
      </w:pPr>
      <w:r>
        <w:rPr>
          <w:rFonts w:hAnsi="宋体"/>
          <w:color w:val="auto"/>
          <w:highlight w:val="none"/>
        </w:rPr>
        <w:br w:type="page"/>
      </w:r>
    </w:p>
    <w:p w14:paraId="69B35FB8">
      <w:pPr>
        <w:pStyle w:val="14"/>
        <w:spacing w:line="400" w:lineRule="exact"/>
        <w:rPr>
          <w:rFonts w:hAnsi="宋体"/>
          <w:b/>
          <w:color w:val="auto"/>
          <w:szCs w:val="21"/>
          <w:highlight w:val="none"/>
        </w:rPr>
      </w:pPr>
    </w:p>
    <w:p w14:paraId="66A7484A">
      <w:pPr>
        <w:pStyle w:val="14"/>
        <w:spacing w:line="400" w:lineRule="exact"/>
        <w:rPr>
          <w:rFonts w:hAnsi="宋体"/>
          <w:color w:val="auto"/>
          <w:sz w:val="28"/>
          <w:szCs w:val="28"/>
          <w:highlight w:val="none"/>
        </w:rPr>
      </w:pPr>
      <w:r>
        <w:rPr>
          <w:rFonts w:hint="eastAsia" w:hAnsi="宋体"/>
          <w:b/>
          <w:bCs/>
          <w:color w:val="auto"/>
          <w:sz w:val="28"/>
          <w:szCs w:val="28"/>
          <w:highlight w:val="none"/>
        </w:rPr>
        <w:t>附件2：</w:t>
      </w:r>
      <w:r>
        <w:rPr>
          <w:rFonts w:hint="eastAsia" w:hAnsi="宋体"/>
          <w:color w:val="auto"/>
          <w:sz w:val="28"/>
          <w:szCs w:val="28"/>
          <w:highlight w:val="none"/>
        </w:rPr>
        <w:t>成交供应商磋商保证金退付意见书</w:t>
      </w:r>
    </w:p>
    <w:p w14:paraId="2816C4B9">
      <w:pPr>
        <w:pStyle w:val="14"/>
        <w:spacing w:line="400" w:lineRule="exact"/>
        <w:ind w:firstLine="980" w:firstLineChars="350"/>
        <w:rPr>
          <w:rFonts w:hAnsi="宋体"/>
          <w:b/>
          <w:bCs/>
          <w:color w:val="auto"/>
          <w:sz w:val="28"/>
          <w:szCs w:val="28"/>
          <w:highlight w:val="none"/>
        </w:rPr>
      </w:pPr>
      <w:r>
        <w:rPr>
          <w:rFonts w:hint="eastAsia" w:hAnsi="宋体"/>
          <w:color w:val="auto"/>
          <w:sz w:val="28"/>
          <w:szCs w:val="28"/>
          <w:highlight w:val="none"/>
        </w:rPr>
        <w:t>（当成交供应商另外提交履约保证金时填写）</w:t>
      </w:r>
    </w:p>
    <w:p w14:paraId="6AC9CE72">
      <w:pPr>
        <w:pStyle w:val="14"/>
        <w:spacing w:line="400" w:lineRule="exact"/>
        <w:rPr>
          <w:rFonts w:hAnsi="宋体"/>
          <w:b/>
          <w:color w:val="auto"/>
          <w:szCs w:val="21"/>
          <w:highlight w:val="none"/>
        </w:rPr>
      </w:pPr>
    </w:p>
    <w:p w14:paraId="052217BB">
      <w:pPr>
        <w:pStyle w:val="14"/>
        <w:spacing w:line="400" w:lineRule="exact"/>
        <w:jc w:val="center"/>
        <w:rPr>
          <w:rFonts w:hAnsi="宋体" w:cs="宋体"/>
          <w:b/>
          <w:bCs/>
          <w:color w:val="auto"/>
          <w:kern w:val="0"/>
          <w:sz w:val="32"/>
          <w:szCs w:val="32"/>
          <w:highlight w:val="none"/>
        </w:rPr>
      </w:pPr>
      <w:r>
        <w:rPr>
          <w:rFonts w:hint="eastAsia" w:hAnsi="宋体" w:cs="宋体"/>
          <w:b/>
          <w:bCs/>
          <w:color w:val="auto"/>
          <w:kern w:val="0"/>
          <w:sz w:val="32"/>
          <w:szCs w:val="32"/>
          <w:highlight w:val="none"/>
        </w:rPr>
        <w:t>成交供应商磋商保证金退付意见书</w:t>
      </w:r>
    </w:p>
    <w:p w14:paraId="539A1A05">
      <w:pPr>
        <w:pStyle w:val="14"/>
        <w:spacing w:line="200" w:lineRule="exact"/>
        <w:rPr>
          <w:rFonts w:hAnsi="宋体"/>
          <w:b/>
          <w:color w:val="auto"/>
          <w:szCs w:val="21"/>
          <w:highlight w:val="none"/>
        </w:rPr>
      </w:pPr>
    </w:p>
    <w:tbl>
      <w:tblPr>
        <w:tblStyle w:val="29"/>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195"/>
        <w:gridCol w:w="2195"/>
        <w:gridCol w:w="2195"/>
        <w:gridCol w:w="2196"/>
      </w:tblGrid>
      <w:tr w14:paraId="61E8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9" w:type="dxa"/>
            <w:vMerge w:val="restart"/>
            <w:vAlign w:val="center"/>
          </w:tcPr>
          <w:p w14:paraId="406956BA">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成交供应商申请</w:t>
            </w:r>
          </w:p>
        </w:tc>
        <w:tc>
          <w:tcPr>
            <w:tcW w:w="8781" w:type="dxa"/>
            <w:gridSpan w:val="4"/>
            <w:vAlign w:val="center"/>
          </w:tcPr>
          <w:p w14:paraId="75423C3E">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采购项目名称：</w:t>
            </w:r>
          </w:p>
        </w:tc>
      </w:tr>
      <w:tr w14:paraId="3E9B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9" w:type="dxa"/>
            <w:vMerge w:val="continue"/>
            <w:vAlign w:val="center"/>
          </w:tcPr>
          <w:p w14:paraId="5365C364">
            <w:pPr>
              <w:widowControl/>
              <w:snapToGrid w:val="0"/>
              <w:jc w:val="center"/>
              <w:rPr>
                <w:rFonts w:ascii="宋体" w:hAnsi="宋体" w:cs="宋体"/>
                <w:color w:val="auto"/>
                <w:kern w:val="0"/>
                <w:sz w:val="30"/>
                <w:szCs w:val="30"/>
                <w:highlight w:val="none"/>
              </w:rPr>
            </w:pPr>
          </w:p>
        </w:tc>
        <w:tc>
          <w:tcPr>
            <w:tcW w:w="8781" w:type="dxa"/>
            <w:gridSpan w:val="4"/>
            <w:vAlign w:val="center"/>
          </w:tcPr>
          <w:p w14:paraId="3F5074B0">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采购项目编号：</w:t>
            </w:r>
          </w:p>
        </w:tc>
      </w:tr>
      <w:tr w14:paraId="78F2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9" w:type="dxa"/>
            <w:vMerge w:val="continue"/>
            <w:vAlign w:val="center"/>
          </w:tcPr>
          <w:p w14:paraId="6E6E0547">
            <w:pPr>
              <w:widowControl/>
              <w:snapToGrid w:val="0"/>
              <w:jc w:val="left"/>
              <w:rPr>
                <w:rFonts w:ascii="宋体" w:hAnsi="宋体" w:cs="宋体"/>
                <w:color w:val="auto"/>
                <w:kern w:val="0"/>
                <w:sz w:val="32"/>
                <w:szCs w:val="32"/>
                <w:highlight w:val="none"/>
              </w:rPr>
            </w:pPr>
          </w:p>
        </w:tc>
        <w:tc>
          <w:tcPr>
            <w:tcW w:w="8781" w:type="dxa"/>
            <w:gridSpan w:val="4"/>
            <w:vAlign w:val="center"/>
          </w:tcPr>
          <w:p w14:paraId="31D5458F">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磋商保证金金额：（大写）</w:t>
            </w:r>
          </w:p>
          <w:p w14:paraId="31AAA24D">
            <w:pPr>
              <w:widowControl/>
              <w:snapToGrid w:val="0"/>
              <w:ind w:firstLine="1920" w:firstLineChars="800"/>
              <w:jc w:val="left"/>
              <w:rPr>
                <w:rFonts w:ascii="宋体" w:hAnsi="宋体" w:cs="宋体"/>
                <w:color w:val="auto"/>
                <w:kern w:val="0"/>
                <w:highlight w:val="none"/>
              </w:rPr>
            </w:pPr>
            <w:r>
              <w:rPr>
                <w:rFonts w:hint="eastAsia" w:ascii="宋体" w:hAnsi="宋体" w:cs="宋体"/>
                <w:color w:val="auto"/>
                <w:kern w:val="0"/>
                <w:sz w:val="24"/>
                <w:highlight w:val="none"/>
              </w:rPr>
              <w:t>（小写）</w:t>
            </w:r>
          </w:p>
          <w:p w14:paraId="7377138C">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（如有分标，请列明各分标号及金额）</w:t>
            </w:r>
          </w:p>
        </w:tc>
      </w:tr>
      <w:tr w14:paraId="27C3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trPr>
        <w:tc>
          <w:tcPr>
            <w:tcW w:w="659" w:type="dxa"/>
            <w:vMerge w:val="continue"/>
            <w:vAlign w:val="center"/>
          </w:tcPr>
          <w:p w14:paraId="02257FE7">
            <w:pPr>
              <w:widowControl/>
              <w:snapToGrid w:val="0"/>
              <w:jc w:val="left"/>
              <w:rPr>
                <w:rFonts w:ascii="宋体" w:hAnsi="宋体" w:cs="宋体"/>
                <w:color w:val="auto"/>
                <w:kern w:val="0"/>
                <w:sz w:val="32"/>
                <w:szCs w:val="32"/>
                <w:highlight w:val="none"/>
              </w:rPr>
            </w:pPr>
          </w:p>
        </w:tc>
        <w:tc>
          <w:tcPr>
            <w:tcW w:w="8781" w:type="dxa"/>
            <w:gridSpan w:val="4"/>
            <w:vAlign w:val="center"/>
          </w:tcPr>
          <w:p w14:paraId="7206DF9B">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我公司已</w:t>
            </w:r>
            <w:r>
              <w:rPr>
                <w:rFonts w:hint="eastAsia" w:ascii="宋体" w:hAnsi="宋体"/>
                <w:color w:val="auto"/>
                <w:sz w:val="24"/>
                <w:highlight w:val="none"/>
              </w:rPr>
              <w:t>于年月日</w:t>
            </w:r>
            <w:r>
              <w:rPr>
                <w:rFonts w:hint="eastAsia" w:ascii="宋体" w:hAnsi="宋体" w:cs="宋体"/>
                <w:color w:val="auto"/>
                <w:kern w:val="0"/>
                <w:sz w:val="24"/>
                <w:highlight w:val="none"/>
              </w:rPr>
              <w:t>与采购人签订政府采购合同，我公司已按照</w:t>
            </w:r>
            <w:r>
              <w:rPr>
                <w:rFonts w:hint="eastAsia" w:ascii="宋体" w:hAnsi="宋体"/>
                <w:color w:val="auto"/>
                <w:sz w:val="24"/>
                <w:highlight w:val="none"/>
              </w:rPr>
              <w:t>磋商文件及政府采购合同规定提交履约保证金金额（人民币），</w:t>
            </w:r>
            <w:r>
              <w:rPr>
                <w:rFonts w:hint="eastAsia" w:ascii="宋体" w:hAnsi="宋体" w:cs="宋体"/>
                <w:color w:val="auto"/>
                <w:kern w:val="0"/>
                <w:sz w:val="24"/>
                <w:highlight w:val="none"/>
              </w:rPr>
              <w:t>请将磋商保证金退付到以下账户。</w:t>
            </w:r>
          </w:p>
          <w:p w14:paraId="1BA8B7C1">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开户名称：</w:t>
            </w:r>
          </w:p>
          <w:p w14:paraId="4E5FC42A">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帐    号：</w:t>
            </w:r>
          </w:p>
          <w:p w14:paraId="07C63C62">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 户 行：</w:t>
            </w:r>
          </w:p>
          <w:p w14:paraId="3C21F406">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02673502">
            <w:pPr>
              <w:widowControl/>
              <w:snapToGrid w:val="0"/>
              <w:spacing w:line="320" w:lineRule="exact"/>
              <w:jc w:val="left"/>
              <w:rPr>
                <w:rFonts w:ascii="宋体" w:hAnsi="宋体" w:cs="宋体"/>
                <w:color w:val="auto"/>
                <w:kern w:val="0"/>
                <w:highlight w:val="none"/>
              </w:rPr>
            </w:pPr>
          </w:p>
          <w:p w14:paraId="65BA5C31">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供应商：（盖章或签字）</w:t>
            </w:r>
          </w:p>
          <w:p w14:paraId="3F5D18C5">
            <w:pPr>
              <w:widowControl/>
              <w:snapToGrid w:val="0"/>
              <w:spacing w:line="400" w:lineRule="exact"/>
              <w:ind w:firstLine="4291" w:firstLineChars="1788"/>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3138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59" w:type="dxa"/>
            <w:vAlign w:val="center"/>
          </w:tcPr>
          <w:p w14:paraId="2E6DFFAF">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采购单位意见</w:t>
            </w:r>
          </w:p>
        </w:tc>
        <w:tc>
          <w:tcPr>
            <w:tcW w:w="8781" w:type="dxa"/>
            <w:gridSpan w:val="4"/>
            <w:vAlign w:val="center"/>
          </w:tcPr>
          <w:p w14:paraId="21248AF0">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退付意见：</w:t>
            </w:r>
            <w:r>
              <w:rPr>
                <w:rFonts w:hint="eastAsia" w:ascii="宋体" w:hAnsi="宋体" w:cs="宋体"/>
                <w:color w:val="auto"/>
                <w:kern w:val="0"/>
                <w:sz w:val="24"/>
                <w:highlight w:val="none"/>
                <w:u w:val="single"/>
              </w:rPr>
              <w:t xml:space="preserve">（填写：同意或不同意）         </w:t>
            </w:r>
            <w:r>
              <w:rPr>
                <w:rFonts w:hint="eastAsia" w:ascii="宋体" w:hAnsi="宋体" w:cs="宋体"/>
                <w:color w:val="auto"/>
                <w:kern w:val="0"/>
                <w:sz w:val="24"/>
                <w:highlight w:val="none"/>
              </w:rPr>
              <w:t>退付磋商保证金及退付金额。</w:t>
            </w:r>
          </w:p>
          <w:p w14:paraId="49F3AB8B">
            <w:pPr>
              <w:widowControl/>
              <w:snapToGrid w:val="0"/>
              <w:spacing w:line="400" w:lineRule="exact"/>
              <w:ind w:firstLine="420" w:firstLineChars="200"/>
              <w:jc w:val="left"/>
              <w:rPr>
                <w:rFonts w:ascii="宋体" w:hAnsi="宋体" w:cs="宋体"/>
                <w:color w:val="auto"/>
                <w:kern w:val="0"/>
                <w:highlight w:val="none"/>
              </w:rPr>
            </w:pPr>
          </w:p>
          <w:p w14:paraId="55CCC236">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2F8FE972">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采购单位：（盖章）</w:t>
            </w:r>
          </w:p>
          <w:p w14:paraId="439D5EEA">
            <w:pPr>
              <w:widowControl/>
              <w:snapToGrid w:val="0"/>
              <w:spacing w:line="400" w:lineRule="exact"/>
              <w:ind w:firstLine="4471" w:firstLineChars="1863"/>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3397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59" w:type="dxa"/>
            <w:vMerge w:val="restart"/>
            <w:vAlign w:val="center"/>
          </w:tcPr>
          <w:p w14:paraId="63A3ACE4">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财务部意见</w:t>
            </w:r>
          </w:p>
        </w:tc>
        <w:tc>
          <w:tcPr>
            <w:tcW w:w="8781" w:type="dxa"/>
            <w:gridSpan w:val="4"/>
            <w:vAlign w:val="center"/>
          </w:tcPr>
          <w:p w14:paraId="42C6036E">
            <w:pPr>
              <w:widowControl/>
              <w:snapToGrid w:val="0"/>
              <w:jc w:val="left"/>
              <w:rPr>
                <w:rFonts w:ascii="宋体" w:hAnsi="宋体" w:cs="宋体"/>
                <w:color w:val="auto"/>
                <w:kern w:val="0"/>
                <w:highlight w:val="none"/>
              </w:rPr>
            </w:pPr>
            <w:r>
              <w:rPr>
                <w:rFonts w:ascii="宋体" w:hAnsi="宋体" w:cs="宋体"/>
                <w:color w:val="auto"/>
                <w:kern w:val="0"/>
                <w:sz w:val="24"/>
                <w:highlight w:val="none"/>
              </w:rPr>
              <w:t>此表于</w:t>
            </w:r>
            <w:r>
              <w:rPr>
                <w:rFonts w:hint="eastAsia" w:ascii="宋体" w:hAnsi="宋体"/>
                <w:color w:val="auto"/>
                <w:sz w:val="24"/>
                <w:highlight w:val="none"/>
              </w:rPr>
              <w:t>年月日</w:t>
            </w:r>
            <w:r>
              <w:rPr>
                <w:rFonts w:ascii="宋体" w:hAnsi="宋体" w:cs="宋体"/>
                <w:color w:val="auto"/>
                <w:kern w:val="0"/>
                <w:sz w:val="24"/>
                <w:highlight w:val="none"/>
              </w:rPr>
              <w:t>收到。</w:t>
            </w:r>
          </w:p>
        </w:tc>
      </w:tr>
      <w:tr w14:paraId="3797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59" w:type="dxa"/>
            <w:vMerge w:val="continue"/>
            <w:vAlign w:val="center"/>
          </w:tcPr>
          <w:p w14:paraId="5EF77DC3">
            <w:pPr>
              <w:widowControl/>
              <w:snapToGrid w:val="0"/>
              <w:jc w:val="center"/>
              <w:rPr>
                <w:rFonts w:ascii="宋体" w:hAnsi="宋体" w:cs="宋体"/>
                <w:color w:val="auto"/>
                <w:kern w:val="0"/>
                <w:sz w:val="28"/>
                <w:szCs w:val="28"/>
                <w:highlight w:val="none"/>
              </w:rPr>
            </w:pPr>
          </w:p>
        </w:tc>
        <w:tc>
          <w:tcPr>
            <w:tcW w:w="2195" w:type="dxa"/>
          </w:tcPr>
          <w:p w14:paraId="3B54C97B">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会计审核：</w:t>
            </w:r>
          </w:p>
        </w:tc>
        <w:tc>
          <w:tcPr>
            <w:tcW w:w="2195" w:type="dxa"/>
          </w:tcPr>
          <w:p w14:paraId="7342EF68">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财务负责人审核：</w:t>
            </w:r>
          </w:p>
        </w:tc>
        <w:tc>
          <w:tcPr>
            <w:tcW w:w="2195" w:type="dxa"/>
          </w:tcPr>
          <w:p w14:paraId="6513D49B">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单位负责人签字：</w:t>
            </w:r>
          </w:p>
        </w:tc>
        <w:tc>
          <w:tcPr>
            <w:tcW w:w="2196" w:type="dxa"/>
          </w:tcPr>
          <w:p w14:paraId="5808E006">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出纳办理转帐</w:t>
            </w:r>
          </w:p>
          <w:p w14:paraId="180C88E0">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日期：</w:t>
            </w:r>
          </w:p>
        </w:tc>
      </w:tr>
      <w:tr w14:paraId="7A70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0" w:type="dxa"/>
            <w:gridSpan w:val="5"/>
            <w:vAlign w:val="center"/>
          </w:tcPr>
          <w:p w14:paraId="0562C669">
            <w:pPr>
              <w:widowControl/>
              <w:snapToGrid w:val="0"/>
              <w:ind w:left="737" w:hanging="736" w:hangingChars="307"/>
              <w:jc w:val="left"/>
              <w:rPr>
                <w:rFonts w:ascii="宋体" w:hAnsi="宋体" w:cs="宋体"/>
                <w:color w:val="auto"/>
                <w:kern w:val="0"/>
                <w:highlight w:val="none"/>
              </w:rPr>
            </w:pPr>
            <w:r>
              <w:rPr>
                <w:rFonts w:hint="eastAsia" w:ascii="宋体" w:hAnsi="宋体" w:cs="宋体"/>
                <w:color w:val="auto"/>
                <w:kern w:val="0"/>
                <w:sz w:val="24"/>
                <w:highlight w:val="none"/>
              </w:rPr>
              <w:t>备注：</w:t>
            </w:r>
            <w:r>
              <w:rPr>
                <w:rFonts w:hint="eastAsia" w:ascii="宋体" w:hAnsi="宋体" w:cs="宋体"/>
                <w:color w:val="auto"/>
                <w:kern w:val="0"/>
                <w:szCs w:val="21"/>
                <w:highlight w:val="none"/>
              </w:rPr>
              <w:t>附</w:t>
            </w:r>
            <w:r>
              <w:rPr>
                <w:rFonts w:hint="eastAsia" w:ascii="宋体" w:hAnsi="宋体" w:cs="宋体"/>
                <w:color w:val="auto"/>
                <w:spacing w:val="-6"/>
                <w:kern w:val="0"/>
                <w:szCs w:val="21"/>
                <w:highlight w:val="none"/>
              </w:rPr>
              <w:t>银行转帐单复印件（加盖公章）</w:t>
            </w:r>
            <w:r>
              <w:rPr>
                <w:rFonts w:hint="eastAsia" w:ascii="宋体" w:hAnsi="宋体" w:cs="宋体"/>
                <w:color w:val="auto"/>
                <w:kern w:val="0"/>
                <w:szCs w:val="21"/>
                <w:highlight w:val="none"/>
              </w:rPr>
              <w:t>、政府采购合同</w:t>
            </w:r>
          </w:p>
        </w:tc>
      </w:tr>
    </w:tbl>
    <w:p w14:paraId="01A0A084">
      <w:pPr>
        <w:pStyle w:val="14"/>
        <w:spacing w:line="400" w:lineRule="exact"/>
        <w:rPr>
          <w:rFonts w:hAnsi="宋体"/>
          <w:color w:val="auto"/>
          <w:highlight w:val="none"/>
        </w:rPr>
      </w:pPr>
      <w:r>
        <w:rPr>
          <w:rFonts w:hAnsi="宋体"/>
          <w:color w:val="auto"/>
          <w:highlight w:val="none"/>
        </w:rPr>
        <w:br w:type="page"/>
      </w:r>
    </w:p>
    <w:p w14:paraId="340684FA">
      <w:pPr>
        <w:spacing w:line="300" w:lineRule="exact"/>
        <w:rPr>
          <w:rFonts w:ascii="宋体" w:hAnsi="宋体"/>
          <w:color w:val="auto"/>
          <w:szCs w:val="21"/>
          <w:highlight w:val="none"/>
        </w:rPr>
      </w:pPr>
    </w:p>
    <w:p w14:paraId="180B8C79">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广西壮族自治区政府采购项目合同验收书</w:t>
      </w:r>
    </w:p>
    <w:p w14:paraId="19303BD6">
      <w:pPr>
        <w:snapToGrid w:val="0"/>
        <w:spacing w:line="360" w:lineRule="exact"/>
        <w:ind w:firstLine="420" w:firstLineChars="200"/>
        <w:rPr>
          <w:rFonts w:ascii="宋体" w:hAnsi="宋体" w:cs="宋体"/>
          <w:color w:val="auto"/>
          <w:kern w:val="0"/>
          <w:szCs w:val="21"/>
          <w:highlight w:val="none"/>
        </w:rPr>
      </w:pPr>
    </w:p>
    <w:p w14:paraId="7106ABE9">
      <w:pPr>
        <w:snapToGrid w:val="0"/>
        <w:spacing w:line="360" w:lineRule="exact"/>
        <w:ind w:firstLine="420" w:firstLineChars="200"/>
        <w:rPr>
          <w:rFonts w:ascii="宋体" w:hAnsi="宋体" w:cs="Arial"/>
          <w:b/>
          <w:color w:val="auto"/>
          <w:szCs w:val="21"/>
          <w:highlight w:val="none"/>
        </w:rPr>
      </w:pPr>
      <w:r>
        <w:rPr>
          <w:rFonts w:hint="eastAsia" w:ascii="宋体" w:hAnsi="宋体" w:cs="宋体"/>
          <w:color w:val="auto"/>
          <w:kern w:val="0"/>
          <w:szCs w:val="21"/>
          <w:highlight w:val="none"/>
        </w:rPr>
        <w:t>根据政府采购项目（采购合同编号：</w:t>
      </w:r>
      <w:r>
        <w:rPr>
          <w:rFonts w:ascii="宋体" w:hAnsi="宋体" w:cs="宋体"/>
          <w:color w:val="auto"/>
          <w:kern w:val="0"/>
          <w:szCs w:val="21"/>
          <w:highlight w:val="none"/>
        </w:rPr>
        <w:t>）</w:t>
      </w:r>
      <w:r>
        <w:rPr>
          <w:rFonts w:hint="eastAsia" w:ascii="宋体" w:hAnsi="宋体" w:cs="宋体"/>
          <w:color w:val="auto"/>
          <w:kern w:val="0"/>
          <w:szCs w:val="21"/>
          <w:highlight w:val="none"/>
        </w:rPr>
        <w:t>的约定，我单位对（）政府采购项目中标（或成交）供应商(）提供的货物（或工程、服务）进行了验收，验收情况如下：</w:t>
      </w:r>
    </w:p>
    <w:tbl>
      <w:tblPr>
        <w:tblStyle w:val="29"/>
        <w:tblW w:w="99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548"/>
        <w:gridCol w:w="2586"/>
        <w:gridCol w:w="946"/>
        <w:gridCol w:w="2495"/>
        <w:gridCol w:w="205"/>
        <w:gridCol w:w="793"/>
        <w:gridCol w:w="1367"/>
      </w:tblGrid>
      <w:tr w14:paraId="663E97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7" w:hRule="atLeast"/>
          <w:jc w:val="center"/>
        </w:trPr>
        <w:tc>
          <w:tcPr>
            <w:tcW w:w="4134" w:type="dxa"/>
            <w:gridSpan w:val="2"/>
            <w:tcBorders>
              <w:top w:val="single" w:color="auto" w:sz="8" w:space="0"/>
              <w:left w:val="single" w:color="auto" w:sz="8" w:space="0"/>
              <w:bottom w:val="single" w:color="auto" w:sz="8" w:space="0"/>
              <w:right w:val="single" w:color="auto" w:sz="8" w:space="0"/>
            </w:tcBorders>
            <w:vAlign w:val="center"/>
          </w:tcPr>
          <w:p w14:paraId="4566896E">
            <w:pPr>
              <w:widowControl/>
              <w:snapToGrid w:val="0"/>
              <w:ind w:left="-3" w:firstLine="4" w:firstLineChars="2"/>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806" w:type="dxa"/>
            <w:gridSpan w:val="5"/>
            <w:tcBorders>
              <w:top w:val="single" w:color="auto" w:sz="8" w:space="0"/>
              <w:left w:val="single" w:color="auto" w:sz="8" w:space="0"/>
              <w:bottom w:val="single" w:color="auto" w:sz="8" w:space="0"/>
              <w:right w:val="single" w:color="auto" w:sz="8" w:space="0"/>
            </w:tcBorders>
            <w:vAlign w:val="center"/>
          </w:tcPr>
          <w:p w14:paraId="6D3F39C6">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4B0BBD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22"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11ED3C49">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586" w:type="dxa"/>
            <w:tcBorders>
              <w:top w:val="single" w:color="auto" w:sz="8" w:space="0"/>
              <w:left w:val="single" w:color="auto" w:sz="8" w:space="0"/>
              <w:bottom w:val="single" w:color="auto" w:sz="8" w:space="0"/>
              <w:right w:val="single" w:color="auto" w:sz="8" w:space="0"/>
            </w:tcBorders>
            <w:vAlign w:val="center"/>
          </w:tcPr>
          <w:p w14:paraId="4512DF12">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732495D8">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35F39D32">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367" w:type="dxa"/>
            <w:tcBorders>
              <w:top w:val="single" w:color="auto" w:sz="8" w:space="0"/>
              <w:left w:val="single" w:color="auto" w:sz="8" w:space="0"/>
              <w:bottom w:val="single" w:color="auto" w:sz="8" w:space="0"/>
              <w:right w:val="single" w:color="auto" w:sz="8" w:space="0"/>
            </w:tcBorders>
            <w:vAlign w:val="center"/>
          </w:tcPr>
          <w:p w14:paraId="26AC7AF3">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335B01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87"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521CC7A9">
            <w:pPr>
              <w:widowControl/>
              <w:snapToGrid w:val="0"/>
              <w:ind w:left="-3" w:firstLine="4" w:firstLineChars="2"/>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586" w:type="dxa"/>
            <w:tcBorders>
              <w:top w:val="single" w:color="auto" w:sz="8" w:space="0"/>
              <w:left w:val="single" w:color="auto" w:sz="8" w:space="0"/>
              <w:bottom w:val="single" w:color="auto" w:sz="8" w:space="0"/>
              <w:right w:val="single" w:color="auto" w:sz="8" w:space="0"/>
            </w:tcBorders>
            <w:vAlign w:val="center"/>
          </w:tcPr>
          <w:p w14:paraId="26364778">
            <w:pPr>
              <w:snapToGrid w:val="0"/>
              <w:jc w:val="center"/>
              <w:rPr>
                <w:rFonts w:ascii="宋体" w:hAnsi="宋体" w:cs="宋体"/>
                <w:color w:val="auto"/>
                <w:szCs w:val="21"/>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045219F4">
            <w:pPr>
              <w:snapToGrid w:val="0"/>
              <w:jc w:val="center"/>
              <w:rPr>
                <w:rFonts w:ascii="宋体" w:hAnsi="宋体"/>
                <w:color w:val="auto"/>
                <w:szCs w:val="21"/>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0E86C50B">
            <w:pPr>
              <w:snapToGrid w:val="0"/>
              <w:jc w:val="center"/>
              <w:rPr>
                <w:rFonts w:ascii="宋体" w:hAnsi="宋体" w:cs="Arial"/>
                <w:color w:val="auto"/>
                <w:kern w:val="0"/>
                <w:szCs w:val="21"/>
                <w:highlight w:val="none"/>
              </w:rPr>
            </w:pPr>
          </w:p>
        </w:tc>
        <w:tc>
          <w:tcPr>
            <w:tcW w:w="1367" w:type="dxa"/>
            <w:tcBorders>
              <w:top w:val="single" w:color="auto" w:sz="8" w:space="0"/>
              <w:left w:val="single" w:color="auto" w:sz="8" w:space="0"/>
              <w:bottom w:val="single" w:color="auto" w:sz="8" w:space="0"/>
              <w:right w:val="single" w:color="auto" w:sz="8" w:space="0"/>
            </w:tcBorders>
            <w:vAlign w:val="center"/>
          </w:tcPr>
          <w:p w14:paraId="4E66F35F">
            <w:pPr>
              <w:pStyle w:val="17"/>
              <w:jc w:val="center"/>
              <w:rPr>
                <w:rFonts w:hAnsi="宋体"/>
                <w:color w:val="auto"/>
                <w:sz w:val="21"/>
                <w:szCs w:val="21"/>
                <w:highlight w:val="none"/>
              </w:rPr>
            </w:pPr>
          </w:p>
        </w:tc>
      </w:tr>
      <w:tr w14:paraId="234939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837" w:hRule="atLeast"/>
          <w:jc w:val="center"/>
        </w:trPr>
        <w:tc>
          <w:tcPr>
            <w:tcW w:w="4134" w:type="dxa"/>
            <w:gridSpan w:val="2"/>
            <w:tcBorders>
              <w:top w:val="single" w:color="auto" w:sz="8" w:space="0"/>
              <w:left w:val="single" w:color="auto" w:sz="8" w:space="0"/>
              <w:bottom w:val="single" w:color="auto" w:sz="8" w:space="0"/>
              <w:right w:val="single" w:color="auto" w:sz="8" w:space="0"/>
            </w:tcBorders>
            <w:vAlign w:val="center"/>
          </w:tcPr>
          <w:p w14:paraId="1294AE6E">
            <w:pPr>
              <w:snapToGrid w:val="0"/>
              <w:jc w:val="center"/>
              <w:rPr>
                <w:rFonts w:ascii="宋体" w:hAnsi="宋体"/>
                <w:color w:val="auto"/>
                <w:szCs w:val="21"/>
                <w:highlight w:val="none"/>
              </w:rPr>
            </w:pPr>
            <w:r>
              <w:rPr>
                <w:rFonts w:hint="eastAsia" w:ascii="宋体" w:hAnsi="宋体"/>
                <w:color w:val="auto"/>
                <w:szCs w:val="21"/>
                <w:highlight w:val="none"/>
              </w:rPr>
              <w:t>合计</w:t>
            </w:r>
          </w:p>
        </w:tc>
        <w:tc>
          <w:tcPr>
            <w:tcW w:w="5806" w:type="dxa"/>
            <w:gridSpan w:val="5"/>
            <w:tcBorders>
              <w:top w:val="single" w:color="auto" w:sz="8" w:space="0"/>
              <w:left w:val="single" w:color="auto" w:sz="8" w:space="0"/>
              <w:bottom w:val="single" w:color="auto" w:sz="8" w:space="0"/>
              <w:right w:val="single" w:color="auto" w:sz="8" w:space="0"/>
            </w:tcBorders>
            <w:vAlign w:val="center"/>
          </w:tcPr>
          <w:p w14:paraId="338B1D5E">
            <w:pPr>
              <w:pStyle w:val="17"/>
              <w:tabs>
                <w:tab w:val="clear" w:pos="4153"/>
              </w:tabs>
              <w:jc w:val="center"/>
              <w:rPr>
                <w:rFonts w:hAnsi="宋体"/>
                <w:color w:val="auto"/>
                <w:sz w:val="21"/>
                <w:szCs w:val="21"/>
                <w:highlight w:val="none"/>
              </w:rPr>
            </w:pPr>
          </w:p>
        </w:tc>
      </w:tr>
      <w:tr w14:paraId="2E53A5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41" w:hRule="atLeast"/>
          <w:jc w:val="center"/>
        </w:trPr>
        <w:tc>
          <w:tcPr>
            <w:tcW w:w="9940" w:type="dxa"/>
            <w:gridSpan w:val="7"/>
            <w:tcBorders>
              <w:top w:val="single" w:color="auto" w:sz="8" w:space="0"/>
              <w:left w:val="single" w:color="auto" w:sz="8" w:space="0"/>
              <w:bottom w:val="single" w:color="auto" w:sz="8" w:space="0"/>
              <w:right w:val="single" w:color="auto" w:sz="8" w:space="0"/>
            </w:tcBorders>
            <w:vAlign w:val="center"/>
          </w:tcPr>
          <w:p w14:paraId="60C1A8FD">
            <w:pPr>
              <w:widowControl/>
              <w:snapToGrid w:val="0"/>
              <w:ind w:firstLine="2" w:firstLineChars="1"/>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仟佰拾万仟佰拾元角分</w:t>
            </w:r>
          </w:p>
        </w:tc>
      </w:tr>
      <w:tr w14:paraId="09286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41"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50369035">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532" w:type="dxa"/>
            <w:gridSpan w:val="2"/>
            <w:tcBorders>
              <w:top w:val="single" w:color="auto" w:sz="8" w:space="0"/>
              <w:left w:val="single" w:color="auto" w:sz="8" w:space="0"/>
              <w:bottom w:val="single" w:color="auto" w:sz="8" w:space="0"/>
              <w:right w:val="single" w:color="auto" w:sz="8" w:space="0"/>
            </w:tcBorders>
            <w:vAlign w:val="center"/>
          </w:tcPr>
          <w:p w14:paraId="652BA99F">
            <w:pPr>
              <w:snapToGrid w:val="0"/>
              <w:jc w:val="center"/>
              <w:rPr>
                <w:rFonts w:ascii="宋体" w:hAnsi="宋体" w:cs="宋体"/>
                <w:color w:val="auto"/>
                <w:kern w:val="0"/>
                <w:szCs w:val="21"/>
                <w:highlight w:val="none"/>
              </w:rPr>
            </w:pPr>
          </w:p>
        </w:tc>
        <w:tc>
          <w:tcPr>
            <w:tcW w:w="2700" w:type="dxa"/>
            <w:gridSpan w:val="2"/>
            <w:tcBorders>
              <w:top w:val="single" w:color="auto" w:sz="8" w:space="0"/>
              <w:left w:val="single" w:color="auto" w:sz="8" w:space="0"/>
              <w:bottom w:val="single" w:color="auto" w:sz="8" w:space="0"/>
              <w:right w:val="single" w:color="auto" w:sz="8" w:space="0"/>
            </w:tcBorders>
            <w:vAlign w:val="center"/>
          </w:tcPr>
          <w:p w14:paraId="779DCD0E">
            <w:pPr>
              <w:snapToGrid w:val="0"/>
              <w:ind w:firstLine="39" w:firstLineChars="19"/>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60" w:type="dxa"/>
            <w:gridSpan w:val="2"/>
            <w:tcBorders>
              <w:top w:val="single" w:color="auto" w:sz="8" w:space="0"/>
              <w:left w:val="single" w:color="auto" w:sz="8" w:space="0"/>
              <w:bottom w:val="single" w:color="auto" w:sz="8" w:space="0"/>
              <w:right w:val="single" w:color="auto" w:sz="8" w:space="0"/>
            </w:tcBorders>
            <w:vAlign w:val="center"/>
          </w:tcPr>
          <w:p w14:paraId="576F72AE">
            <w:pPr>
              <w:snapToGrid w:val="0"/>
              <w:jc w:val="center"/>
              <w:rPr>
                <w:rFonts w:ascii="宋体" w:hAnsi="宋体" w:cs="宋体"/>
                <w:color w:val="auto"/>
                <w:kern w:val="0"/>
                <w:szCs w:val="21"/>
                <w:highlight w:val="none"/>
              </w:rPr>
            </w:pPr>
          </w:p>
        </w:tc>
      </w:tr>
      <w:tr w14:paraId="47BFA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120" w:hRule="atLeast"/>
          <w:jc w:val="center"/>
        </w:trPr>
        <w:tc>
          <w:tcPr>
            <w:tcW w:w="1548" w:type="dxa"/>
            <w:tcBorders>
              <w:top w:val="single" w:color="auto" w:sz="8" w:space="0"/>
              <w:left w:val="single" w:color="auto" w:sz="8" w:space="0"/>
              <w:right w:val="single" w:color="auto" w:sz="8" w:space="0"/>
            </w:tcBorders>
            <w:tcMar>
              <w:top w:w="0" w:type="dxa"/>
              <w:left w:w="108" w:type="dxa"/>
              <w:bottom w:w="0" w:type="dxa"/>
              <w:right w:w="108" w:type="dxa"/>
            </w:tcMar>
            <w:vAlign w:val="center"/>
          </w:tcPr>
          <w:p w14:paraId="4F887669">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392"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E9C4BE">
            <w:pPr>
              <w:adjustRightInd w:val="0"/>
              <w:snapToGrid w:val="0"/>
              <w:rPr>
                <w:rFonts w:ascii="宋体" w:hAnsi="宋体"/>
                <w:color w:val="auto"/>
                <w:szCs w:val="21"/>
                <w:highlight w:val="none"/>
              </w:rPr>
            </w:pPr>
            <w:r>
              <w:rPr>
                <w:rFonts w:hint="eastAsia" w:ascii="宋体" w:hAnsi="宋体"/>
                <w:color w:val="auto"/>
                <w:szCs w:val="21"/>
                <w:highlight w:val="none"/>
              </w:rPr>
              <w:t>（应按采购合同、采购文件、响应文件或者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019E1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12" w:hRule="atLeast"/>
          <w:jc w:val="center"/>
        </w:trPr>
        <w:tc>
          <w:tcPr>
            <w:tcW w:w="1548"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3643AD">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392" w:type="dxa"/>
            <w:gridSpan w:val="6"/>
            <w:tcBorders>
              <w:top w:val="single" w:color="auto" w:sz="8" w:space="0"/>
              <w:left w:val="single" w:color="auto" w:sz="8" w:space="0"/>
              <w:bottom w:val="single" w:color="auto" w:sz="4" w:space="0"/>
              <w:right w:val="single" w:color="auto" w:sz="8" w:space="0"/>
            </w:tcBorders>
            <w:vAlign w:val="center"/>
          </w:tcPr>
          <w:p w14:paraId="5BFE94A2">
            <w:pPr>
              <w:adjustRightInd w:val="0"/>
              <w:snapToGrid w:val="0"/>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212FD7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07" w:hRule="atLeast"/>
          <w:jc w:val="center"/>
        </w:trPr>
        <w:tc>
          <w:tcPr>
            <w:tcW w:w="1548" w:type="dxa"/>
            <w:vMerge w:val="continue"/>
            <w:tcBorders>
              <w:top w:val="single" w:color="auto" w:sz="8" w:space="0"/>
              <w:left w:val="single" w:color="auto" w:sz="8" w:space="0"/>
              <w:bottom w:val="single" w:color="auto" w:sz="8" w:space="0"/>
              <w:right w:val="single" w:color="auto" w:sz="8" w:space="0"/>
            </w:tcBorders>
            <w:vAlign w:val="center"/>
          </w:tcPr>
          <w:p w14:paraId="733EFE2A">
            <w:pPr>
              <w:widowControl/>
              <w:snapToGrid w:val="0"/>
              <w:jc w:val="left"/>
              <w:rPr>
                <w:rFonts w:ascii="宋体" w:hAnsi="宋体" w:cs="宋体"/>
                <w:color w:val="auto"/>
                <w:kern w:val="0"/>
                <w:szCs w:val="21"/>
                <w:highlight w:val="none"/>
              </w:rPr>
            </w:pPr>
          </w:p>
        </w:tc>
        <w:tc>
          <w:tcPr>
            <w:tcW w:w="8392" w:type="dxa"/>
            <w:gridSpan w:val="6"/>
            <w:tcBorders>
              <w:top w:val="single" w:color="auto" w:sz="4" w:space="0"/>
              <w:left w:val="single" w:color="auto" w:sz="8" w:space="0"/>
              <w:bottom w:val="single" w:color="auto" w:sz="8" w:space="0"/>
              <w:right w:val="single" w:color="auto" w:sz="8" w:space="0"/>
            </w:tcBorders>
            <w:vAlign w:val="center"/>
          </w:tcPr>
          <w:p w14:paraId="48F9E296">
            <w:pPr>
              <w:adjustRightInd w:val="0"/>
              <w:snapToGrid w:val="0"/>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3BCC909D">
            <w:pPr>
              <w:adjustRightInd w:val="0"/>
              <w:snapToGrid w:val="0"/>
              <w:rPr>
                <w:rFonts w:ascii="宋体" w:hAnsi="宋体" w:cs="宋体"/>
                <w:color w:val="auto"/>
                <w:kern w:val="0"/>
                <w:szCs w:val="21"/>
                <w:highlight w:val="none"/>
              </w:rPr>
            </w:pPr>
          </w:p>
          <w:p w14:paraId="1F9593AB">
            <w:pPr>
              <w:adjustRightInd w:val="0"/>
              <w:snapToGrid w:val="0"/>
              <w:ind w:firstLine="5775" w:firstLineChars="2750"/>
              <w:rPr>
                <w:rFonts w:ascii="宋体" w:hAnsi="宋体" w:cs="宋体"/>
                <w:color w:val="auto"/>
                <w:kern w:val="0"/>
                <w:szCs w:val="21"/>
                <w:highlight w:val="none"/>
              </w:rPr>
            </w:pPr>
            <w:r>
              <w:rPr>
                <w:rFonts w:hint="eastAsia" w:ascii="宋体" w:hAnsi="宋体"/>
                <w:color w:val="auto"/>
                <w:szCs w:val="21"/>
                <w:highlight w:val="none"/>
              </w:rPr>
              <w:t>签字</w:t>
            </w:r>
            <w:r>
              <w:rPr>
                <w:rFonts w:hint="eastAsia" w:ascii="宋体" w:hAnsi="宋体" w:cs="宋体"/>
                <w:color w:val="auto"/>
                <w:kern w:val="0"/>
                <w:szCs w:val="21"/>
                <w:highlight w:val="none"/>
              </w:rPr>
              <w:t>：</w:t>
            </w:r>
          </w:p>
        </w:tc>
      </w:tr>
      <w:tr w14:paraId="35D3F6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4" w:hRule="atLeast"/>
          <w:jc w:val="center"/>
        </w:trPr>
        <w:tc>
          <w:tcPr>
            <w:tcW w:w="9940" w:type="dxa"/>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8D85A8">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03D619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36" w:hRule="atLeast"/>
          <w:jc w:val="center"/>
        </w:trPr>
        <w:tc>
          <w:tcPr>
            <w:tcW w:w="9940" w:type="dxa"/>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2C50B6">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监督人员或其他相关人员签字：或受邀机构的意见（盖章）：</w:t>
            </w:r>
          </w:p>
        </w:tc>
      </w:tr>
      <w:tr w14:paraId="61EE0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552" w:hRule="atLeast"/>
          <w:jc w:val="center"/>
        </w:trPr>
        <w:tc>
          <w:tcPr>
            <w:tcW w:w="5080" w:type="dxa"/>
            <w:gridSpan w:val="3"/>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2F0E79E1">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5241EA98">
            <w:pPr>
              <w:widowControl/>
              <w:snapToGrid w:val="0"/>
              <w:jc w:val="left"/>
              <w:rPr>
                <w:rFonts w:ascii="宋体" w:hAnsi="宋体" w:cs="宋体"/>
                <w:color w:val="auto"/>
                <w:kern w:val="0"/>
                <w:szCs w:val="21"/>
                <w:highlight w:val="none"/>
              </w:rPr>
            </w:pPr>
          </w:p>
          <w:p w14:paraId="3BA49E4D">
            <w:pPr>
              <w:widowControl/>
              <w:snapToGrid w:val="0"/>
              <w:jc w:val="left"/>
              <w:rPr>
                <w:rFonts w:ascii="宋体" w:hAnsi="宋体" w:cs="宋体"/>
                <w:color w:val="auto"/>
                <w:kern w:val="0"/>
                <w:szCs w:val="21"/>
                <w:highlight w:val="none"/>
              </w:rPr>
            </w:pPr>
          </w:p>
          <w:p w14:paraId="167DD29E">
            <w:pPr>
              <w:widowControl/>
              <w:snapToGrid w:val="0"/>
              <w:jc w:val="left"/>
              <w:rPr>
                <w:rFonts w:ascii="宋体" w:hAnsi="宋体" w:cs="宋体"/>
                <w:color w:val="auto"/>
                <w:kern w:val="0"/>
                <w:szCs w:val="21"/>
                <w:highlight w:val="none"/>
              </w:rPr>
            </w:pPr>
          </w:p>
          <w:p w14:paraId="3FF211FD">
            <w:pPr>
              <w:widowControl/>
              <w:snapToGrid w:val="0"/>
              <w:jc w:val="left"/>
              <w:rPr>
                <w:rFonts w:ascii="宋体" w:hAnsi="宋体" w:cs="宋体"/>
                <w:color w:val="auto"/>
                <w:kern w:val="0"/>
                <w:szCs w:val="21"/>
                <w:highlight w:val="none"/>
              </w:rPr>
            </w:pPr>
          </w:p>
          <w:p w14:paraId="2D689DE4">
            <w:pPr>
              <w:widowControl/>
              <w:snapToGrid w:val="0"/>
              <w:jc w:val="left"/>
              <w:rPr>
                <w:rFonts w:ascii="宋体" w:hAnsi="宋体" w:cs="宋体"/>
                <w:color w:val="auto"/>
                <w:kern w:val="0"/>
                <w:szCs w:val="21"/>
                <w:highlight w:val="none"/>
              </w:rPr>
            </w:pPr>
          </w:p>
          <w:p w14:paraId="6EE7CB2F">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vAlign w:val="center"/>
          </w:tcPr>
          <w:p w14:paraId="01152913">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182E6786">
            <w:pPr>
              <w:widowControl/>
              <w:snapToGrid w:val="0"/>
              <w:jc w:val="left"/>
              <w:rPr>
                <w:rFonts w:ascii="宋体" w:hAnsi="宋体" w:cs="宋体"/>
                <w:color w:val="auto"/>
                <w:kern w:val="0"/>
                <w:szCs w:val="21"/>
                <w:highlight w:val="none"/>
              </w:rPr>
            </w:pPr>
          </w:p>
          <w:p w14:paraId="10D60600">
            <w:pPr>
              <w:widowControl/>
              <w:snapToGrid w:val="0"/>
              <w:jc w:val="left"/>
              <w:rPr>
                <w:rFonts w:ascii="宋体" w:hAnsi="宋体" w:cs="宋体"/>
                <w:color w:val="auto"/>
                <w:kern w:val="0"/>
                <w:szCs w:val="21"/>
                <w:highlight w:val="none"/>
              </w:rPr>
            </w:pPr>
          </w:p>
          <w:p w14:paraId="2CBB82EC">
            <w:pPr>
              <w:widowControl/>
              <w:snapToGrid w:val="0"/>
              <w:jc w:val="left"/>
              <w:rPr>
                <w:rFonts w:ascii="宋体" w:hAnsi="宋体" w:cs="宋体"/>
                <w:color w:val="auto"/>
                <w:kern w:val="0"/>
                <w:szCs w:val="21"/>
                <w:highlight w:val="none"/>
              </w:rPr>
            </w:pPr>
          </w:p>
          <w:p w14:paraId="48220276">
            <w:pPr>
              <w:widowControl/>
              <w:snapToGrid w:val="0"/>
              <w:jc w:val="left"/>
              <w:rPr>
                <w:rFonts w:ascii="宋体" w:hAnsi="宋体" w:cs="宋体"/>
                <w:color w:val="auto"/>
                <w:kern w:val="0"/>
                <w:szCs w:val="21"/>
                <w:highlight w:val="none"/>
              </w:rPr>
            </w:pPr>
          </w:p>
          <w:p w14:paraId="332346A7">
            <w:pPr>
              <w:widowControl/>
              <w:snapToGrid w:val="0"/>
              <w:jc w:val="left"/>
              <w:rPr>
                <w:rFonts w:ascii="宋体" w:hAnsi="宋体" w:cs="宋体"/>
                <w:color w:val="auto"/>
                <w:kern w:val="0"/>
                <w:szCs w:val="21"/>
                <w:highlight w:val="none"/>
              </w:rPr>
            </w:pPr>
          </w:p>
          <w:p w14:paraId="2EFB0767">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297E7876">
      <w:pPr>
        <w:spacing w:line="300" w:lineRule="exact"/>
        <w:rPr>
          <w:rFonts w:ascii="宋体" w:hAnsi="宋体"/>
          <w:color w:val="auto"/>
          <w:szCs w:val="21"/>
          <w:highlight w:val="none"/>
        </w:rPr>
      </w:pPr>
    </w:p>
    <w:p w14:paraId="7079CBCF">
      <w:pPr>
        <w:spacing w:line="300" w:lineRule="exact"/>
        <w:rPr>
          <w:rFonts w:ascii="宋体" w:hAnsi="宋体"/>
          <w:color w:val="auto"/>
          <w:szCs w:val="21"/>
          <w:highlight w:val="none"/>
        </w:rPr>
      </w:pPr>
      <w:r>
        <w:rPr>
          <w:rFonts w:hint="eastAsia" w:ascii="宋体" w:hAnsi="宋体"/>
          <w:color w:val="auto"/>
          <w:szCs w:val="21"/>
          <w:highlight w:val="none"/>
        </w:rPr>
        <w:t>备注：本验收书一式4份（采购单位1份、供应商1份、采购监督部门备案1份、采购代理机构1份）。</w:t>
      </w:r>
      <w:bookmarkEnd w:id="0"/>
      <w:bookmarkEnd w:id="1"/>
      <w:bookmarkEnd w:id="2"/>
      <w:bookmarkEnd w:id="3"/>
    </w:p>
    <w:p w14:paraId="15ED6869">
      <w:pPr>
        <w:rPr>
          <w:rFonts w:ascii="宋体" w:hAnsi="宋体"/>
          <w:color w:val="auto"/>
          <w:szCs w:val="21"/>
          <w:highlight w:val="none"/>
        </w:rPr>
      </w:pPr>
      <w:r>
        <w:rPr>
          <w:rFonts w:hint="eastAsia" w:ascii="宋体" w:hAnsi="宋体"/>
          <w:color w:val="auto"/>
          <w:szCs w:val="21"/>
          <w:highlight w:val="none"/>
        </w:rPr>
        <w:br w:type="page"/>
      </w:r>
    </w:p>
    <w:p w14:paraId="4FCB8A90">
      <w:pPr>
        <w:spacing w:line="300" w:lineRule="exact"/>
        <w:rPr>
          <w:rFonts w:ascii="宋体" w:hAnsi="宋体"/>
          <w:color w:val="auto"/>
          <w:szCs w:val="21"/>
          <w:highlight w:val="none"/>
        </w:rPr>
      </w:pPr>
      <w:r>
        <w:rPr>
          <w:rFonts w:hint="eastAsia" w:ascii="宋体" w:hAnsi="宋体"/>
          <w:color w:val="auto"/>
          <w:szCs w:val="21"/>
          <w:highlight w:val="none"/>
        </w:rPr>
        <w:drawing>
          <wp:inline distT="0" distB="0" distL="0" distR="0">
            <wp:extent cx="5900420" cy="7248525"/>
            <wp:effectExtent l="0" t="0" r="5080" b="9525"/>
            <wp:docPr id="36" name="图片 3" descr="《金融业企业划型标准规定》的通知（银发[2015]309号）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金融业企业划型标准规定》的通知（银发[2015]309号）_page-0007.jpg"/>
                    <pic:cNvPicPr>
                      <a:picLocks noChangeAspect="1"/>
                    </pic:cNvPicPr>
                  </pic:nvPicPr>
                  <pic:blipFill>
                    <a:blip r:embed="rId11" cstate="print">
                      <a:lum bright="-20000" contrast="40000"/>
                    </a:blip>
                    <a:srcRect l="9125" t="16105" r="8909" b="12887"/>
                    <a:stretch>
                      <a:fillRect/>
                    </a:stretch>
                  </pic:blipFill>
                  <pic:spPr>
                    <a:xfrm>
                      <a:off x="0" y="0"/>
                      <a:ext cx="5900420" cy="7248525"/>
                    </a:xfrm>
                    <a:prstGeom prst="rect">
                      <a:avLst/>
                    </a:prstGeom>
                  </pic:spPr>
                </pic:pic>
              </a:graphicData>
            </a:graphic>
          </wp:inline>
        </w:drawing>
      </w:r>
    </w:p>
    <w:p w14:paraId="3EF2E994">
      <w:pPr>
        <w:spacing w:line="440" w:lineRule="exact"/>
        <w:rPr>
          <w:rFonts w:ascii="宋体" w:hAnsi="宋体"/>
          <w:b/>
          <w:bCs/>
          <w:color w:val="auto"/>
          <w:sz w:val="24"/>
          <w:highlight w:val="none"/>
        </w:rPr>
      </w:pPr>
      <w:r>
        <w:rPr>
          <w:rFonts w:hint="eastAsia" w:ascii="宋体" w:hAnsi="宋体"/>
          <w:b/>
          <w:bCs/>
          <w:color w:val="auto"/>
          <w:sz w:val="24"/>
          <w:highlight w:val="none"/>
        </w:rPr>
        <w:t>附件3：中小微企业划型标准</w:t>
      </w:r>
    </w:p>
    <w:p w14:paraId="02CFD341">
      <w:pPr>
        <w:spacing w:line="300" w:lineRule="exact"/>
        <w:rPr>
          <w:rFonts w:ascii="宋体" w:hAnsi="宋体"/>
          <w:color w:val="auto"/>
          <w:szCs w:val="21"/>
          <w:highlight w:val="none"/>
        </w:rPr>
      </w:pPr>
      <w:r>
        <w:rPr>
          <w:rFonts w:ascii="宋体" w:hAnsi="宋体"/>
          <w:color w:val="auto"/>
          <w:szCs w:val="21"/>
          <w:highlight w:val="none"/>
        </w:rPr>
        <w:drawing>
          <wp:anchor distT="0" distB="0" distL="0" distR="0" simplePos="0" relativeHeight="251659264" behindDoc="0" locked="0" layoutInCell="1" allowOverlap="1">
            <wp:simplePos x="0" y="0"/>
            <wp:positionH relativeFrom="column">
              <wp:posOffset>548005</wp:posOffset>
            </wp:positionH>
            <wp:positionV relativeFrom="paragraph">
              <wp:posOffset>20320</wp:posOffset>
            </wp:positionV>
            <wp:extent cx="4984750" cy="7856220"/>
            <wp:effectExtent l="0" t="0" r="6350" b="11430"/>
            <wp:wrapTopAndBottom/>
            <wp:docPr id="7" name="图片 1" descr="中小微企业划型标准（列表）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中小微企业划型标准（列表）_page-0001.jpg"/>
                    <pic:cNvPicPr>
                      <a:picLocks noChangeAspect="1"/>
                    </pic:cNvPicPr>
                  </pic:nvPicPr>
                  <pic:blipFill>
                    <a:blip r:embed="rId12" cstate="print">
                      <a:lum bright="-10000" contrast="20000"/>
                    </a:blip>
                    <a:srcRect l="7855" t="6763" r="7735" b="7214"/>
                    <a:stretch>
                      <a:fillRect/>
                    </a:stretch>
                  </pic:blipFill>
                  <pic:spPr>
                    <a:xfrm>
                      <a:off x="0" y="0"/>
                      <a:ext cx="4984750" cy="7856220"/>
                    </a:xfrm>
                    <a:prstGeom prst="rect">
                      <a:avLst/>
                    </a:prstGeom>
                  </pic:spPr>
                </pic:pic>
              </a:graphicData>
            </a:graphic>
          </wp:anchor>
        </w:drawing>
      </w:r>
    </w:p>
    <w:p w14:paraId="312A9A79">
      <w:pPr>
        <w:rPr>
          <w:rFonts w:ascii="宋体" w:hAnsi="宋体"/>
          <w:color w:val="auto"/>
          <w:szCs w:val="21"/>
          <w:highlight w:val="none"/>
        </w:rPr>
      </w:pPr>
      <w:r>
        <w:rPr>
          <w:rFonts w:hint="eastAsia" w:ascii="宋体" w:hAnsi="宋体"/>
          <w:color w:val="auto"/>
          <w:szCs w:val="21"/>
          <w:highlight w:val="none"/>
        </w:rPr>
        <w:br w:type="page"/>
      </w:r>
    </w:p>
    <w:p w14:paraId="6A1BB6F1">
      <w:pPr>
        <w:spacing w:line="440" w:lineRule="exact"/>
        <w:rPr>
          <w:rFonts w:ascii="宋体" w:hAnsi="宋体"/>
          <w:b/>
          <w:bCs/>
          <w:color w:val="auto"/>
          <w:sz w:val="24"/>
          <w:highlight w:val="none"/>
        </w:rPr>
      </w:pPr>
      <w:r>
        <w:rPr>
          <w:rFonts w:hint="eastAsia" w:ascii="宋体" w:hAnsi="宋体"/>
          <w:b/>
          <w:bCs/>
          <w:color w:val="auto"/>
          <w:sz w:val="24"/>
          <w:highlight w:val="none"/>
        </w:rPr>
        <w:t>附件4：金融业企业划型标准</w:t>
      </w:r>
    </w:p>
    <w:p w14:paraId="0389812A">
      <w:pPr>
        <w:spacing w:line="300" w:lineRule="exact"/>
        <w:rPr>
          <w:rFonts w:ascii="宋体" w:hAnsi="宋体"/>
          <w:color w:val="auto"/>
          <w:szCs w:val="21"/>
          <w:highlight w:val="none"/>
        </w:rPr>
      </w:pPr>
      <w:r>
        <w:rPr>
          <w:rFonts w:hint="eastAsia" w:ascii="宋体" w:hAnsi="宋体"/>
          <w:color w:val="auto"/>
          <w:szCs w:val="21"/>
          <w:highlight w:val="none"/>
        </w:rPr>
        <w:drawing>
          <wp:anchor distT="0" distB="0" distL="0" distR="0" simplePos="0" relativeHeight="251660288" behindDoc="0" locked="0" layoutInCell="1" allowOverlap="1">
            <wp:simplePos x="0" y="0"/>
            <wp:positionH relativeFrom="column">
              <wp:posOffset>182245</wp:posOffset>
            </wp:positionH>
            <wp:positionV relativeFrom="paragraph">
              <wp:posOffset>461645</wp:posOffset>
            </wp:positionV>
            <wp:extent cx="5960745" cy="7325995"/>
            <wp:effectExtent l="0" t="0" r="1905" b="8255"/>
            <wp:wrapTopAndBottom/>
            <wp:docPr id="9" name="图片 3" descr="《金融业企业划型标准规定》的通知（银发[2015]309号）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金融业企业划型标准规定》的通知（银发[2015]309号）_page-0007.jpg"/>
                    <pic:cNvPicPr>
                      <a:picLocks noChangeAspect="1"/>
                    </pic:cNvPicPr>
                  </pic:nvPicPr>
                  <pic:blipFill>
                    <a:blip r:embed="rId11" cstate="print">
                      <a:lum bright="-20000" contrast="40000"/>
                    </a:blip>
                    <a:srcRect l="9125" t="16105" r="8909" b="12887"/>
                    <a:stretch>
                      <a:fillRect/>
                    </a:stretch>
                  </pic:blipFill>
                  <pic:spPr>
                    <a:xfrm>
                      <a:off x="0" y="0"/>
                      <a:ext cx="5960745" cy="7325995"/>
                    </a:xfrm>
                    <a:prstGeom prst="rect">
                      <a:avLst/>
                    </a:prstGeom>
                  </pic:spPr>
                </pic:pic>
              </a:graphicData>
            </a:graphic>
          </wp:anchor>
        </w:drawing>
      </w:r>
      <w:r>
        <w:rPr>
          <w:rFonts w:hint="eastAsia" w:ascii="宋体" w:hAnsi="宋体"/>
          <w:b/>
          <w:bCs/>
          <w:color w:val="auto"/>
          <w:sz w:val="24"/>
          <w:highlight w:val="none"/>
        </w:rPr>
        <w:t>（中型金融业企业标准上限即为大型金融业企业下限）</w:t>
      </w:r>
    </w:p>
    <w:sectPr>
      <w:headerReference r:id="rId5" w:type="first"/>
      <w:headerReference r:id="rId3" w:type="default"/>
      <w:footerReference r:id="rId6" w:type="default"/>
      <w:headerReference r:id="rId4" w:type="even"/>
      <w:footerReference r:id="rId7" w:type="even"/>
      <w:pgSz w:w="11906" w:h="16838"/>
      <w:pgMar w:top="1247" w:right="1247" w:bottom="1418" w:left="1247" w:header="680" w:footer="624" w:gutter="0"/>
      <w:pgNumType w:start="0"/>
      <w:cols w:space="72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方正仿宋简体">
    <w:altName w:val="微软雅黑"/>
    <w:panose1 w:val="00000000000000000000"/>
    <w:charset w:val="86"/>
    <w:family w:val="auto"/>
    <w:pitch w:val="default"/>
    <w:sig w:usb0="00000000" w:usb1="00000000" w:usb2="00000012"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6B52">
    <w:pPr>
      <w:pStyle w:val="17"/>
      <w:pBdr>
        <w:top w:val="single" w:color="auto" w:sz="4" w:space="5"/>
      </w:pBdr>
      <w:tabs>
        <w:tab w:val="clear" w:pos="4153"/>
        <w:tab w:val="clear" w:pos="8306"/>
      </w:tabs>
      <w:jc w:val="center"/>
    </w:pPr>
    <w:r>
      <w:fldChar w:fldCharType="begin"/>
    </w:r>
    <w:r>
      <w:instrText xml:space="preserve"> PAGE   \* MERGEFORMAT </w:instrText>
    </w:r>
    <w:r>
      <w:fldChar w:fldCharType="separate"/>
    </w:r>
    <w:r>
      <w:rPr>
        <w:lang w:val="zh-CN"/>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7518E">
    <w:pPr>
      <w:pStyle w:val="17"/>
      <w:framePr w:wrap="around" w:vAnchor="text" w:hAnchor="margin" w:xAlign="center" w:y="1"/>
      <w:rPr>
        <w:rStyle w:val="33"/>
      </w:rPr>
    </w:pPr>
    <w:r>
      <w:rPr>
        <w:rStyle w:val="33"/>
      </w:rPr>
      <w:fldChar w:fldCharType="begin"/>
    </w:r>
    <w:r>
      <w:rPr>
        <w:rStyle w:val="33"/>
      </w:rPr>
      <w:instrText xml:space="preserve">PAGE  </w:instrText>
    </w:r>
    <w:r>
      <w:rPr>
        <w:rStyle w:val="33"/>
      </w:rPr>
      <w:fldChar w:fldCharType="separate"/>
    </w:r>
    <w:r>
      <w:rPr>
        <w:rStyle w:val="33"/>
      </w:rPr>
      <w:t>1</w:t>
    </w:r>
    <w:r>
      <w:rPr>
        <w:rStyle w:val="33"/>
      </w:rPr>
      <w:fldChar w:fldCharType="end"/>
    </w:r>
  </w:p>
  <w:p w14:paraId="09160EE7">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FEE44">
    <w:pPr>
      <w:pStyle w:val="19"/>
      <w:pBdr>
        <w:bottom w:val="single" w:color="auto" w:sz="6" w:space="3"/>
      </w:pBdr>
      <w:tabs>
        <w:tab w:val="clear" w:pos="4153"/>
        <w:tab w:val="clear" w:pos="8306"/>
      </w:tabs>
      <w:rPr>
        <w:rFonts w:hAnsi="宋体"/>
      </w:rPr>
    </w:pPr>
    <w:r>
      <w:rPr>
        <w:rFonts w:hint="eastAsia" w:hAnsi="宋体"/>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64E56">
    <w:pPr>
      <w:pStyle w:val="19"/>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78180" cy="826135"/>
          <wp:effectExtent l="0" t="0" r="7620" b="12065"/>
          <wp:wrapNone/>
          <wp:docPr id="2" name="WordPictureWatermark2" descr="中意LOGO（用于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 descr="中意LOGO（用于WORD）"/>
                  <pic:cNvPicPr>
                    <a:picLocks noChangeAspect="1"/>
                  </pic:cNvPicPr>
                </pic:nvPicPr>
                <pic:blipFill>
                  <a:blip r:embed="rId1">
                    <a:lum bright="70001" contrast="-70000"/>
                  </a:blip>
                  <a:stretch>
                    <a:fillRect/>
                  </a:stretch>
                </pic:blipFill>
                <pic:spPr>
                  <a:xfrm>
                    <a:off x="0" y="0"/>
                    <a:ext cx="678180" cy="82613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3C124">
    <w:pPr>
      <w:pStyle w:val="19"/>
      <w:pBdr>
        <w:bottom w:val="none" w:color="auto" w:sz="0" w:space="0"/>
      </w:pBdr>
      <w:ind w:firstLine="1980"/>
      <w:jc w:val="right"/>
      <w:rPr>
        <w:rFonts w:ascii="方正仿宋简体" w:eastAsia="方正仿宋简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419F71"/>
    <w:multiLevelType w:val="singleLevel"/>
    <w:tmpl w:val="C0419F71"/>
    <w:lvl w:ilvl="0" w:tentative="0">
      <w:start w:val="2"/>
      <w:numFmt w:val="chineseCounting"/>
      <w:suff w:val="nothing"/>
      <w:lvlText w:val="（%1）"/>
      <w:lvlJc w:val="left"/>
      <w:rPr>
        <w:rFonts w:hint="eastAsia"/>
      </w:rPr>
    </w:lvl>
  </w:abstractNum>
  <w:abstractNum w:abstractNumId="1">
    <w:nsid w:val="01654BE8"/>
    <w:multiLevelType w:val="singleLevel"/>
    <w:tmpl w:val="01654BE8"/>
    <w:lvl w:ilvl="0" w:tentative="0">
      <w:start w:val="1"/>
      <w:numFmt w:val="decimal"/>
      <w:suff w:val="nothing"/>
      <w:lvlText w:val="%1、"/>
      <w:lvlJc w:val="left"/>
    </w:lvl>
  </w:abstractNum>
  <w:abstractNum w:abstractNumId="2">
    <w:nsid w:val="09DC7194"/>
    <w:multiLevelType w:val="multilevel"/>
    <w:tmpl w:val="09DC7194"/>
    <w:lvl w:ilvl="0" w:tentative="0">
      <w:start w:val="1"/>
      <w:numFmt w:val="decimal"/>
      <w:pStyle w:val="49"/>
      <w:lvlText w:val="%1"/>
      <w:lvlJc w:val="left"/>
      <w:pPr>
        <w:tabs>
          <w:tab w:val="left" w:pos="709"/>
        </w:tabs>
        <w:ind w:left="709" w:hanging="709"/>
      </w:pPr>
    </w:lvl>
    <w:lvl w:ilvl="1" w:tentative="0">
      <w:start w:val="4"/>
      <w:numFmt w:val="decimal"/>
      <w:lvlText w:val="3.%2"/>
      <w:lvlJc w:val="left"/>
      <w:pPr>
        <w:tabs>
          <w:tab w:val="left" w:pos="709"/>
        </w:tabs>
        <w:ind w:left="709" w:hanging="709"/>
      </w:p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5BB16942"/>
    <w:multiLevelType w:val="multilevel"/>
    <w:tmpl w:val="5BB1694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enforcement="1" w:cryptProviderType="rsaFull" w:cryptAlgorithmClass="hash" w:cryptAlgorithmType="typeAny" w:cryptAlgorithmSid="4" w:cryptSpinCount="0" w:hash="1E9kBRZqpDTG8on74fIOUKHgWgY=" w:salt="ZTADBe2r/lSE5DYl1yh41w=="/>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WQzNTY2OTVkZGUxNDg2Y2M1MTE2NjczN2EwOGU3MWQifQ=="/>
  </w:docVars>
  <w:rsids>
    <w:rsidRoot w:val="00F96461"/>
    <w:rsid w:val="000015FE"/>
    <w:rsid w:val="00001BA0"/>
    <w:rsid w:val="00004394"/>
    <w:rsid w:val="00017A3C"/>
    <w:rsid w:val="000225BB"/>
    <w:rsid w:val="00031543"/>
    <w:rsid w:val="0003561C"/>
    <w:rsid w:val="00056A72"/>
    <w:rsid w:val="0006382C"/>
    <w:rsid w:val="000739FE"/>
    <w:rsid w:val="000833C7"/>
    <w:rsid w:val="00090ADC"/>
    <w:rsid w:val="00091553"/>
    <w:rsid w:val="000B06C9"/>
    <w:rsid w:val="000B4C96"/>
    <w:rsid w:val="000C010C"/>
    <w:rsid w:val="000C1A40"/>
    <w:rsid w:val="000C66E8"/>
    <w:rsid w:val="000D51C8"/>
    <w:rsid w:val="000F0768"/>
    <w:rsid w:val="000F23C5"/>
    <w:rsid w:val="000F433B"/>
    <w:rsid w:val="00106E4B"/>
    <w:rsid w:val="00127F5B"/>
    <w:rsid w:val="0013670E"/>
    <w:rsid w:val="00136BBC"/>
    <w:rsid w:val="0014125F"/>
    <w:rsid w:val="00150496"/>
    <w:rsid w:val="00151B62"/>
    <w:rsid w:val="00152B04"/>
    <w:rsid w:val="00153A84"/>
    <w:rsid w:val="0015721E"/>
    <w:rsid w:val="00165F72"/>
    <w:rsid w:val="00173C28"/>
    <w:rsid w:val="001761C9"/>
    <w:rsid w:val="00187AEF"/>
    <w:rsid w:val="00197D80"/>
    <w:rsid w:val="001A40BC"/>
    <w:rsid w:val="001A7B27"/>
    <w:rsid w:val="001B0E6F"/>
    <w:rsid w:val="001D1CAB"/>
    <w:rsid w:val="001E6215"/>
    <w:rsid w:val="00206C41"/>
    <w:rsid w:val="002212D1"/>
    <w:rsid w:val="002345A9"/>
    <w:rsid w:val="00234E7E"/>
    <w:rsid w:val="002476E6"/>
    <w:rsid w:val="00256CC2"/>
    <w:rsid w:val="002603FF"/>
    <w:rsid w:val="0027242F"/>
    <w:rsid w:val="00292DB9"/>
    <w:rsid w:val="00293E5B"/>
    <w:rsid w:val="00294288"/>
    <w:rsid w:val="002C696E"/>
    <w:rsid w:val="002D5CE6"/>
    <w:rsid w:val="00312072"/>
    <w:rsid w:val="00324350"/>
    <w:rsid w:val="00331571"/>
    <w:rsid w:val="003417D3"/>
    <w:rsid w:val="00346A34"/>
    <w:rsid w:val="00353A95"/>
    <w:rsid w:val="00360A2D"/>
    <w:rsid w:val="00375294"/>
    <w:rsid w:val="003772C8"/>
    <w:rsid w:val="003838D3"/>
    <w:rsid w:val="00387874"/>
    <w:rsid w:val="0039232C"/>
    <w:rsid w:val="003945B2"/>
    <w:rsid w:val="003A52A8"/>
    <w:rsid w:val="003B221F"/>
    <w:rsid w:val="003B4E76"/>
    <w:rsid w:val="003D0A00"/>
    <w:rsid w:val="003D69FC"/>
    <w:rsid w:val="003E654A"/>
    <w:rsid w:val="004218C8"/>
    <w:rsid w:val="00421BD7"/>
    <w:rsid w:val="00422FBA"/>
    <w:rsid w:val="004250E6"/>
    <w:rsid w:val="00427349"/>
    <w:rsid w:val="004273C9"/>
    <w:rsid w:val="00427B1D"/>
    <w:rsid w:val="0044661F"/>
    <w:rsid w:val="004642C5"/>
    <w:rsid w:val="004665F3"/>
    <w:rsid w:val="00470A02"/>
    <w:rsid w:val="00482A69"/>
    <w:rsid w:val="00485E1F"/>
    <w:rsid w:val="00493CFF"/>
    <w:rsid w:val="004A3DAC"/>
    <w:rsid w:val="004B2362"/>
    <w:rsid w:val="004E461B"/>
    <w:rsid w:val="004E6F25"/>
    <w:rsid w:val="004F03D3"/>
    <w:rsid w:val="004F2FF8"/>
    <w:rsid w:val="00535777"/>
    <w:rsid w:val="0054542F"/>
    <w:rsid w:val="005523FC"/>
    <w:rsid w:val="005532DA"/>
    <w:rsid w:val="00553ADD"/>
    <w:rsid w:val="00557C8D"/>
    <w:rsid w:val="0057287B"/>
    <w:rsid w:val="00580F61"/>
    <w:rsid w:val="00590381"/>
    <w:rsid w:val="00592D07"/>
    <w:rsid w:val="00596FDF"/>
    <w:rsid w:val="005A10B3"/>
    <w:rsid w:val="005A5562"/>
    <w:rsid w:val="005B2E54"/>
    <w:rsid w:val="005B2F9F"/>
    <w:rsid w:val="005B72C1"/>
    <w:rsid w:val="005C4676"/>
    <w:rsid w:val="005E55A5"/>
    <w:rsid w:val="005F6204"/>
    <w:rsid w:val="005F6851"/>
    <w:rsid w:val="00603101"/>
    <w:rsid w:val="006132C3"/>
    <w:rsid w:val="0062046D"/>
    <w:rsid w:val="00626F8B"/>
    <w:rsid w:val="00640C18"/>
    <w:rsid w:val="00640DAA"/>
    <w:rsid w:val="00647505"/>
    <w:rsid w:val="006627EF"/>
    <w:rsid w:val="006737CA"/>
    <w:rsid w:val="006739EE"/>
    <w:rsid w:val="00676368"/>
    <w:rsid w:val="00681A7F"/>
    <w:rsid w:val="006900DB"/>
    <w:rsid w:val="006A74E7"/>
    <w:rsid w:val="006B0BD7"/>
    <w:rsid w:val="006B362B"/>
    <w:rsid w:val="006C0380"/>
    <w:rsid w:val="006E1609"/>
    <w:rsid w:val="006E5954"/>
    <w:rsid w:val="00700A88"/>
    <w:rsid w:val="00702356"/>
    <w:rsid w:val="0070765D"/>
    <w:rsid w:val="00726687"/>
    <w:rsid w:val="00730447"/>
    <w:rsid w:val="00744290"/>
    <w:rsid w:val="0075544A"/>
    <w:rsid w:val="00755901"/>
    <w:rsid w:val="00760C71"/>
    <w:rsid w:val="00775D2E"/>
    <w:rsid w:val="00784FFA"/>
    <w:rsid w:val="007B14CB"/>
    <w:rsid w:val="007B2981"/>
    <w:rsid w:val="007B4795"/>
    <w:rsid w:val="007B5EEF"/>
    <w:rsid w:val="007D1E41"/>
    <w:rsid w:val="007D460E"/>
    <w:rsid w:val="007D54A8"/>
    <w:rsid w:val="007D55CC"/>
    <w:rsid w:val="007E201B"/>
    <w:rsid w:val="007E6C6E"/>
    <w:rsid w:val="00804FD2"/>
    <w:rsid w:val="00820ED9"/>
    <w:rsid w:val="00824EF5"/>
    <w:rsid w:val="00825C29"/>
    <w:rsid w:val="00840A4D"/>
    <w:rsid w:val="00844537"/>
    <w:rsid w:val="00854FC0"/>
    <w:rsid w:val="008559FD"/>
    <w:rsid w:val="00871A12"/>
    <w:rsid w:val="00874579"/>
    <w:rsid w:val="008827E2"/>
    <w:rsid w:val="0089793E"/>
    <w:rsid w:val="008A3757"/>
    <w:rsid w:val="008D6A07"/>
    <w:rsid w:val="008F26BB"/>
    <w:rsid w:val="008F7BA4"/>
    <w:rsid w:val="009128FD"/>
    <w:rsid w:val="0092543F"/>
    <w:rsid w:val="0093281D"/>
    <w:rsid w:val="00932C67"/>
    <w:rsid w:val="0093372B"/>
    <w:rsid w:val="00934679"/>
    <w:rsid w:val="00935638"/>
    <w:rsid w:val="00941493"/>
    <w:rsid w:val="0094433D"/>
    <w:rsid w:val="00957D7F"/>
    <w:rsid w:val="00963FC4"/>
    <w:rsid w:val="00964014"/>
    <w:rsid w:val="00967909"/>
    <w:rsid w:val="0097144A"/>
    <w:rsid w:val="0098342B"/>
    <w:rsid w:val="009A70CE"/>
    <w:rsid w:val="009A75F1"/>
    <w:rsid w:val="009B05CA"/>
    <w:rsid w:val="009B05DF"/>
    <w:rsid w:val="009B4D81"/>
    <w:rsid w:val="009D3A81"/>
    <w:rsid w:val="009D4405"/>
    <w:rsid w:val="009D781E"/>
    <w:rsid w:val="009E6DAD"/>
    <w:rsid w:val="009F2CBB"/>
    <w:rsid w:val="009F6744"/>
    <w:rsid w:val="009F6EA9"/>
    <w:rsid w:val="00A01D49"/>
    <w:rsid w:val="00A07BCA"/>
    <w:rsid w:val="00A13CDC"/>
    <w:rsid w:val="00A172AD"/>
    <w:rsid w:val="00A23012"/>
    <w:rsid w:val="00A25E5C"/>
    <w:rsid w:val="00A3091A"/>
    <w:rsid w:val="00A372FB"/>
    <w:rsid w:val="00A52A89"/>
    <w:rsid w:val="00A604A4"/>
    <w:rsid w:val="00A67CB2"/>
    <w:rsid w:val="00A751C0"/>
    <w:rsid w:val="00A82AF4"/>
    <w:rsid w:val="00A9015A"/>
    <w:rsid w:val="00AA0CF4"/>
    <w:rsid w:val="00AA6BEE"/>
    <w:rsid w:val="00AB24F8"/>
    <w:rsid w:val="00AB2FE6"/>
    <w:rsid w:val="00AB600B"/>
    <w:rsid w:val="00AD2DE2"/>
    <w:rsid w:val="00AF1AE9"/>
    <w:rsid w:val="00AF5F82"/>
    <w:rsid w:val="00B07610"/>
    <w:rsid w:val="00B07616"/>
    <w:rsid w:val="00B17EAF"/>
    <w:rsid w:val="00B40600"/>
    <w:rsid w:val="00B51632"/>
    <w:rsid w:val="00B531C7"/>
    <w:rsid w:val="00B72FEB"/>
    <w:rsid w:val="00B76764"/>
    <w:rsid w:val="00BA08AF"/>
    <w:rsid w:val="00BA5C59"/>
    <w:rsid w:val="00BB1E02"/>
    <w:rsid w:val="00BB41EB"/>
    <w:rsid w:val="00BB7B63"/>
    <w:rsid w:val="00BC3441"/>
    <w:rsid w:val="00BC74F2"/>
    <w:rsid w:val="00BD17D4"/>
    <w:rsid w:val="00BE595D"/>
    <w:rsid w:val="00BE613A"/>
    <w:rsid w:val="00BF2A44"/>
    <w:rsid w:val="00C04729"/>
    <w:rsid w:val="00C05802"/>
    <w:rsid w:val="00C07B90"/>
    <w:rsid w:val="00C10C56"/>
    <w:rsid w:val="00C11833"/>
    <w:rsid w:val="00C13808"/>
    <w:rsid w:val="00C2012B"/>
    <w:rsid w:val="00C240E5"/>
    <w:rsid w:val="00C2584D"/>
    <w:rsid w:val="00C25DDF"/>
    <w:rsid w:val="00C340E2"/>
    <w:rsid w:val="00C464ED"/>
    <w:rsid w:val="00C56783"/>
    <w:rsid w:val="00C7401D"/>
    <w:rsid w:val="00C80141"/>
    <w:rsid w:val="00C80D6B"/>
    <w:rsid w:val="00C84DEE"/>
    <w:rsid w:val="00C865F3"/>
    <w:rsid w:val="00C954D8"/>
    <w:rsid w:val="00C97210"/>
    <w:rsid w:val="00CA796E"/>
    <w:rsid w:val="00CB24E3"/>
    <w:rsid w:val="00CB4F4A"/>
    <w:rsid w:val="00CB5AC9"/>
    <w:rsid w:val="00CC783C"/>
    <w:rsid w:val="00CD2B1D"/>
    <w:rsid w:val="00CD43C0"/>
    <w:rsid w:val="00CD473D"/>
    <w:rsid w:val="00CE6412"/>
    <w:rsid w:val="00CF1114"/>
    <w:rsid w:val="00D31FF1"/>
    <w:rsid w:val="00D35956"/>
    <w:rsid w:val="00D43454"/>
    <w:rsid w:val="00D71413"/>
    <w:rsid w:val="00D72EC5"/>
    <w:rsid w:val="00D74E4D"/>
    <w:rsid w:val="00DA110A"/>
    <w:rsid w:val="00DC5DB5"/>
    <w:rsid w:val="00DD1D2A"/>
    <w:rsid w:val="00DD2771"/>
    <w:rsid w:val="00DE2284"/>
    <w:rsid w:val="00DF1013"/>
    <w:rsid w:val="00DF5C70"/>
    <w:rsid w:val="00DF6332"/>
    <w:rsid w:val="00E04A83"/>
    <w:rsid w:val="00E12B65"/>
    <w:rsid w:val="00E15F74"/>
    <w:rsid w:val="00E21B47"/>
    <w:rsid w:val="00E23765"/>
    <w:rsid w:val="00E34611"/>
    <w:rsid w:val="00E414DB"/>
    <w:rsid w:val="00E5093F"/>
    <w:rsid w:val="00E50E5C"/>
    <w:rsid w:val="00E51646"/>
    <w:rsid w:val="00E53FAA"/>
    <w:rsid w:val="00E5702A"/>
    <w:rsid w:val="00E63B52"/>
    <w:rsid w:val="00E6434D"/>
    <w:rsid w:val="00E70079"/>
    <w:rsid w:val="00E7397D"/>
    <w:rsid w:val="00E857A6"/>
    <w:rsid w:val="00E87024"/>
    <w:rsid w:val="00E87F0D"/>
    <w:rsid w:val="00EA2D60"/>
    <w:rsid w:val="00EA6F8D"/>
    <w:rsid w:val="00EE072A"/>
    <w:rsid w:val="00EE3F3F"/>
    <w:rsid w:val="00EF3BFD"/>
    <w:rsid w:val="00F00808"/>
    <w:rsid w:val="00F00C98"/>
    <w:rsid w:val="00F213E9"/>
    <w:rsid w:val="00F257B9"/>
    <w:rsid w:val="00F25FC0"/>
    <w:rsid w:val="00F335D1"/>
    <w:rsid w:val="00F36685"/>
    <w:rsid w:val="00F40DD7"/>
    <w:rsid w:val="00F436A8"/>
    <w:rsid w:val="00F44F54"/>
    <w:rsid w:val="00F5065E"/>
    <w:rsid w:val="00F7318D"/>
    <w:rsid w:val="00F87545"/>
    <w:rsid w:val="00F96461"/>
    <w:rsid w:val="00F97034"/>
    <w:rsid w:val="00FB23D8"/>
    <w:rsid w:val="00FB5E3D"/>
    <w:rsid w:val="00FC46B1"/>
    <w:rsid w:val="00FE4C41"/>
    <w:rsid w:val="00FE7EBE"/>
    <w:rsid w:val="00FF5B9D"/>
    <w:rsid w:val="01DE76E3"/>
    <w:rsid w:val="04974BC7"/>
    <w:rsid w:val="05E65BAD"/>
    <w:rsid w:val="06CC3835"/>
    <w:rsid w:val="07415EBC"/>
    <w:rsid w:val="07724CA3"/>
    <w:rsid w:val="07DD536D"/>
    <w:rsid w:val="07E01965"/>
    <w:rsid w:val="07FC1E1B"/>
    <w:rsid w:val="092B0554"/>
    <w:rsid w:val="0A927BD4"/>
    <w:rsid w:val="0B2A3AE4"/>
    <w:rsid w:val="0C692CE7"/>
    <w:rsid w:val="10DC52BB"/>
    <w:rsid w:val="115E6A7D"/>
    <w:rsid w:val="137E2058"/>
    <w:rsid w:val="138A31FB"/>
    <w:rsid w:val="143C6F3E"/>
    <w:rsid w:val="15016838"/>
    <w:rsid w:val="15427DC1"/>
    <w:rsid w:val="15D70AFC"/>
    <w:rsid w:val="176A21ED"/>
    <w:rsid w:val="17C80289"/>
    <w:rsid w:val="17EA0A1A"/>
    <w:rsid w:val="18055854"/>
    <w:rsid w:val="18C60C7C"/>
    <w:rsid w:val="19962186"/>
    <w:rsid w:val="19E8320E"/>
    <w:rsid w:val="1A6E3D2F"/>
    <w:rsid w:val="1A86711A"/>
    <w:rsid w:val="1B573C56"/>
    <w:rsid w:val="1BC50D52"/>
    <w:rsid w:val="1CDF6F2F"/>
    <w:rsid w:val="1D854494"/>
    <w:rsid w:val="204E7F91"/>
    <w:rsid w:val="209B2ED0"/>
    <w:rsid w:val="211D1904"/>
    <w:rsid w:val="21397926"/>
    <w:rsid w:val="216058A9"/>
    <w:rsid w:val="21CB1B06"/>
    <w:rsid w:val="256E2A35"/>
    <w:rsid w:val="257E73D1"/>
    <w:rsid w:val="26301DA8"/>
    <w:rsid w:val="26534601"/>
    <w:rsid w:val="27DD3115"/>
    <w:rsid w:val="2957738F"/>
    <w:rsid w:val="29966084"/>
    <w:rsid w:val="2B045B24"/>
    <w:rsid w:val="2D9578BB"/>
    <w:rsid w:val="2FA04B67"/>
    <w:rsid w:val="2FC32442"/>
    <w:rsid w:val="305B1216"/>
    <w:rsid w:val="3138131F"/>
    <w:rsid w:val="333A4076"/>
    <w:rsid w:val="338274AB"/>
    <w:rsid w:val="33A54BB1"/>
    <w:rsid w:val="34E44201"/>
    <w:rsid w:val="376AA674"/>
    <w:rsid w:val="385F6DDE"/>
    <w:rsid w:val="388B08B9"/>
    <w:rsid w:val="394F432A"/>
    <w:rsid w:val="3A191CD8"/>
    <w:rsid w:val="3C0F179A"/>
    <w:rsid w:val="3EFE4D01"/>
    <w:rsid w:val="3FF027C2"/>
    <w:rsid w:val="40D6179E"/>
    <w:rsid w:val="41FA7666"/>
    <w:rsid w:val="42BD52C6"/>
    <w:rsid w:val="42CF65A9"/>
    <w:rsid w:val="432953C3"/>
    <w:rsid w:val="4626626F"/>
    <w:rsid w:val="47256557"/>
    <w:rsid w:val="479A189C"/>
    <w:rsid w:val="48F16D82"/>
    <w:rsid w:val="4A630267"/>
    <w:rsid w:val="4B3C2918"/>
    <w:rsid w:val="4B424A74"/>
    <w:rsid w:val="4CB41768"/>
    <w:rsid w:val="4CE57B51"/>
    <w:rsid w:val="4E4E6EE8"/>
    <w:rsid w:val="4E8430BC"/>
    <w:rsid w:val="4F2822A5"/>
    <w:rsid w:val="50200D70"/>
    <w:rsid w:val="50EA001D"/>
    <w:rsid w:val="5133521A"/>
    <w:rsid w:val="51974352"/>
    <w:rsid w:val="53223664"/>
    <w:rsid w:val="5495442E"/>
    <w:rsid w:val="54BC0090"/>
    <w:rsid w:val="561B2A38"/>
    <w:rsid w:val="58022CEA"/>
    <w:rsid w:val="594E1489"/>
    <w:rsid w:val="5A53673A"/>
    <w:rsid w:val="5B1D5B74"/>
    <w:rsid w:val="5B92313B"/>
    <w:rsid w:val="5C2076B7"/>
    <w:rsid w:val="5F1E4D13"/>
    <w:rsid w:val="60C5024B"/>
    <w:rsid w:val="62EA7BC4"/>
    <w:rsid w:val="63944205"/>
    <w:rsid w:val="649F0642"/>
    <w:rsid w:val="651E1972"/>
    <w:rsid w:val="657A02B4"/>
    <w:rsid w:val="65CD2D31"/>
    <w:rsid w:val="65F918CF"/>
    <w:rsid w:val="67337135"/>
    <w:rsid w:val="675A4A50"/>
    <w:rsid w:val="681269AB"/>
    <w:rsid w:val="6869290F"/>
    <w:rsid w:val="69961BE9"/>
    <w:rsid w:val="6A0A0BD9"/>
    <w:rsid w:val="6A495D4E"/>
    <w:rsid w:val="6A5D0587"/>
    <w:rsid w:val="6AD062FD"/>
    <w:rsid w:val="6B5C00AD"/>
    <w:rsid w:val="6CDD3CB8"/>
    <w:rsid w:val="6E1E7562"/>
    <w:rsid w:val="6E7262FA"/>
    <w:rsid w:val="72776073"/>
    <w:rsid w:val="73607CB6"/>
    <w:rsid w:val="73BE54DC"/>
    <w:rsid w:val="77B344A6"/>
    <w:rsid w:val="77F1495E"/>
    <w:rsid w:val="7977049D"/>
    <w:rsid w:val="79A21069"/>
    <w:rsid w:val="7BAF624E"/>
    <w:rsid w:val="7BBE6C7C"/>
    <w:rsid w:val="7C2A1191"/>
    <w:rsid w:val="7CCA16C9"/>
    <w:rsid w:val="7CF27D4C"/>
    <w:rsid w:val="7F243C51"/>
    <w:rsid w:val="AB6767C8"/>
    <w:rsid w:val="BFBF25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outlineLvl w:val="0"/>
    </w:pPr>
    <w:rPr>
      <w:b/>
    </w:rPr>
  </w:style>
  <w:style w:type="paragraph" w:styleId="3">
    <w:name w:val="heading 2"/>
    <w:basedOn w:val="1"/>
    <w:next w:val="1"/>
    <w:link w:val="3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7"/>
    <w:basedOn w:val="1"/>
    <w:next w:val="1"/>
    <w:link w:val="41"/>
    <w:semiHidden/>
    <w:unhideWhenUsed/>
    <w:qFormat/>
    <w:uiPriority w:val="9"/>
    <w:pPr>
      <w:keepNext/>
      <w:keepLines/>
      <w:spacing w:before="240" w:after="64" w:line="320" w:lineRule="auto"/>
      <w:outlineLvl w:val="6"/>
    </w:pPr>
    <w:rPr>
      <w:b/>
      <w:bCs/>
      <w:sz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6"/>
    <w:qFormat/>
    <w:uiPriority w:val="0"/>
    <w:pPr>
      <w:ind w:firstLine="420"/>
    </w:pPr>
    <w:rPr>
      <w:szCs w:val="20"/>
    </w:rPr>
  </w:style>
  <w:style w:type="paragraph" w:styleId="9">
    <w:name w:val="caption"/>
    <w:basedOn w:val="1"/>
    <w:next w:val="1"/>
    <w:qFormat/>
    <w:uiPriority w:val="0"/>
    <w:rPr>
      <w:rFonts w:ascii="Arial" w:hAnsi="Arial" w:eastAsia="黑体" w:cs="Arial"/>
      <w:sz w:val="20"/>
      <w:szCs w:val="20"/>
    </w:rPr>
  </w:style>
  <w:style w:type="paragraph" w:styleId="10">
    <w:name w:val="annotation text"/>
    <w:basedOn w:val="1"/>
    <w:link w:val="55"/>
    <w:qFormat/>
    <w:uiPriority w:val="0"/>
    <w:pPr>
      <w:jc w:val="left"/>
    </w:pPr>
  </w:style>
  <w:style w:type="paragraph" w:styleId="11">
    <w:name w:val="Body Text"/>
    <w:basedOn w:val="1"/>
    <w:next w:val="12"/>
    <w:semiHidden/>
    <w:qFormat/>
    <w:uiPriority w:val="0"/>
    <w:rPr>
      <w:rFonts w:ascii="宋体" w:hAnsi="宋体" w:cs="宋体"/>
      <w:sz w:val="32"/>
      <w:szCs w:val="32"/>
      <w:lang w:eastAsia="en-US"/>
    </w:rPr>
  </w:style>
  <w:style w:type="paragraph" w:customStyle="1" w:styleId="12">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styleId="13">
    <w:name w:val="Body Text Indent"/>
    <w:basedOn w:val="1"/>
    <w:link w:val="51"/>
    <w:qFormat/>
    <w:uiPriority w:val="0"/>
    <w:pPr>
      <w:spacing w:line="200" w:lineRule="exact"/>
      <w:ind w:firstLine="301"/>
    </w:pPr>
    <w:rPr>
      <w:rFonts w:ascii="宋体" w:hAnsi="Courier New"/>
      <w:spacing w:val="-4"/>
      <w:sz w:val="18"/>
      <w:szCs w:val="20"/>
    </w:rPr>
  </w:style>
  <w:style w:type="paragraph" w:styleId="14">
    <w:name w:val="Plain Text"/>
    <w:basedOn w:val="1"/>
    <w:next w:val="1"/>
    <w:link w:val="44"/>
    <w:qFormat/>
    <w:uiPriority w:val="0"/>
    <w:rPr>
      <w:rFonts w:ascii="宋体" w:hAnsi="Courier New"/>
      <w:szCs w:val="20"/>
    </w:rPr>
  </w:style>
  <w:style w:type="paragraph" w:styleId="15">
    <w:name w:val="Date"/>
    <w:basedOn w:val="1"/>
    <w:next w:val="1"/>
    <w:link w:val="57"/>
    <w:qFormat/>
    <w:uiPriority w:val="0"/>
    <w:pPr>
      <w:ind w:left="100" w:leftChars="2500"/>
    </w:pPr>
  </w:style>
  <w:style w:type="paragraph" w:styleId="16">
    <w:name w:val="Balloon Text"/>
    <w:basedOn w:val="1"/>
    <w:link w:val="54"/>
    <w:semiHidden/>
    <w:qFormat/>
    <w:uiPriority w:val="0"/>
    <w:rPr>
      <w:sz w:val="18"/>
      <w:szCs w:val="18"/>
    </w:rPr>
  </w:style>
  <w:style w:type="paragraph" w:styleId="17">
    <w:name w:val="footer"/>
    <w:basedOn w:val="1"/>
    <w:link w:val="46"/>
    <w:qFormat/>
    <w:uiPriority w:val="0"/>
    <w:pPr>
      <w:tabs>
        <w:tab w:val="center" w:pos="4153"/>
        <w:tab w:val="right" w:pos="8306"/>
      </w:tabs>
      <w:snapToGrid w:val="0"/>
      <w:jc w:val="left"/>
    </w:pPr>
    <w:rPr>
      <w:rFonts w:ascii="宋体" w:hAnsi="Courier New"/>
      <w:sz w:val="18"/>
      <w:szCs w:val="20"/>
    </w:rPr>
  </w:style>
  <w:style w:type="paragraph" w:styleId="18">
    <w:name w:val="envelope return"/>
    <w:basedOn w:val="1"/>
    <w:qFormat/>
    <w:uiPriority w:val="99"/>
    <w:pPr>
      <w:snapToGrid w:val="0"/>
    </w:pPr>
    <w:rPr>
      <w:rFonts w:ascii="Arial" w:hAnsi="Arial"/>
    </w:rPr>
  </w:style>
  <w:style w:type="paragraph" w:styleId="19">
    <w:name w:val="header"/>
    <w:basedOn w:val="1"/>
    <w:link w:val="45"/>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0">
    <w:name w:val="toc 1"/>
    <w:basedOn w:val="1"/>
    <w:next w:val="1"/>
    <w:qFormat/>
    <w:uiPriority w:val="0"/>
    <w:pPr>
      <w:tabs>
        <w:tab w:val="right" w:leader="dot" w:pos="8820"/>
      </w:tabs>
      <w:ind w:left="540"/>
      <w:jc w:val="left"/>
    </w:pPr>
    <w:rPr>
      <w:rFonts w:ascii="宋体" w:hAnsi="宋体"/>
      <w:b/>
      <w:bCs/>
      <w:caps/>
      <w:szCs w:val="21"/>
    </w:rPr>
  </w:style>
  <w:style w:type="paragraph" w:styleId="21">
    <w:name w:val="index heading"/>
    <w:basedOn w:val="1"/>
    <w:next w:val="22"/>
    <w:qFormat/>
    <w:uiPriority w:val="0"/>
    <w:rPr>
      <w:szCs w:val="21"/>
    </w:rPr>
  </w:style>
  <w:style w:type="paragraph" w:styleId="22">
    <w:name w:val="index 1"/>
    <w:basedOn w:val="1"/>
    <w:next w:val="1"/>
    <w:semiHidden/>
    <w:unhideWhenUsed/>
    <w:qFormat/>
    <w:uiPriority w:val="0"/>
  </w:style>
  <w:style w:type="paragraph" w:styleId="23">
    <w:name w:val="Body Text Indent 3"/>
    <w:basedOn w:val="1"/>
    <w:link w:val="60"/>
    <w:qFormat/>
    <w:uiPriority w:val="0"/>
    <w:pPr>
      <w:spacing w:after="120"/>
      <w:ind w:left="420" w:leftChars="200"/>
    </w:pPr>
    <w:rPr>
      <w:sz w:val="16"/>
      <w:szCs w:val="16"/>
    </w:rPr>
  </w:style>
  <w:style w:type="paragraph" w:styleId="24">
    <w:name w:val="HTML Preformatted"/>
    <w:basedOn w:val="1"/>
    <w:link w:val="4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link w:val="84"/>
    <w:qFormat/>
    <w:uiPriority w:val="0"/>
    <w:pPr>
      <w:widowControl/>
      <w:spacing w:before="240" w:after="60" w:line="360" w:lineRule="auto"/>
      <w:ind w:firstLine="200" w:firstLineChars="200"/>
      <w:jc w:val="left"/>
      <w:outlineLvl w:val="4"/>
    </w:pPr>
    <w:rPr>
      <w:rFonts w:ascii="Cambria" w:hAnsi="Cambria" w:eastAsia="华文中宋" w:cstheme="minorBidi"/>
      <w:b/>
      <w:bCs/>
      <w:kern w:val="28"/>
      <w:szCs w:val="32"/>
      <w:lang w:eastAsia="en-US"/>
    </w:rPr>
  </w:style>
  <w:style w:type="paragraph" w:styleId="27">
    <w:name w:val="annotation subject"/>
    <w:basedOn w:val="10"/>
    <w:next w:val="10"/>
    <w:link w:val="80"/>
    <w:semiHidden/>
    <w:qFormat/>
    <w:uiPriority w:val="0"/>
    <w:rPr>
      <w:b/>
      <w:bCs/>
    </w:rPr>
  </w:style>
  <w:style w:type="paragraph" w:styleId="28">
    <w:name w:val="Body Text First Indent 2"/>
    <w:basedOn w:val="13"/>
    <w:link w:val="89"/>
    <w:qFormat/>
    <w:uiPriority w:val="0"/>
    <w:pPr>
      <w:spacing w:after="120" w:line="240" w:lineRule="auto"/>
      <w:ind w:left="420" w:leftChars="200" w:firstLine="420" w:firstLineChars="200"/>
    </w:pPr>
    <w:rPr>
      <w:rFonts w:ascii="黑体" w:eastAsia="黑体" w:cs="Courier New"/>
      <w:spacing w:val="0"/>
      <w:kern w:val="0"/>
      <w:sz w:val="20"/>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0"/>
    <w:rPr>
      <w:b/>
      <w:bCs/>
    </w:rPr>
  </w:style>
  <w:style w:type="character" w:styleId="33">
    <w:name w:val="page number"/>
    <w:basedOn w:val="31"/>
    <w:qFormat/>
    <w:uiPriority w:val="0"/>
  </w:style>
  <w:style w:type="character" w:styleId="34">
    <w:name w:val="Emphasis"/>
    <w:basedOn w:val="31"/>
    <w:qFormat/>
    <w:uiPriority w:val="20"/>
    <w:rPr>
      <w:i/>
      <w:iCs/>
    </w:rPr>
  </w:style>
  <w:style w:type="character" w:styleId="35">
    <w:name w:val="Hyperlink"/>
    <w:basedOn w:val="31"/>
    <w:qFormat/>
    <w:uiPriority w:val="99"/>
    <w:rPr>
      <w:color w:val="0000FF"/>
      <w:u w:val="single"/>
    </w:rPr>
  </w:style>
  <w:style w:type="character" w:styleId="36">
    <w:name w:val="annotation reference"/>
    <w:basedOn w:val="31"/>
    <w:qFormat/>
    <w:uiPriority w:val="0"/>
    <w:rPr>
      <w:sz w:val="21"/>
      <w:szCs w:val="21"/>
    </w:rPr>
  </w:style>
  <w:style w:type="paragraph" w:customStyle="1" w:styleId="37">
    <w:name w:val="样式 0正文 + 首行缩进:  2 字符1"/>
    <w:basedOn w:val="1"/>
    <w:qFormat/>
    <w:uiPriority w:val="99"/>
    <w:pPr>
      <w:spacing w:line="360" w:lineRule="auto"/>
      <w:ind w:firstLine="200" w:firstLineChars="200"/>
    </w:pPr>
    <w:rPr>
      <w:szCs w:val="20"/>
    </w:rPr>
  </w:style>
  <w:style w:type="character" w:customStyle="1" w:styleId="38">
    <w:name w:val="标题 1 Char"/>
    <w:basedOn w:val="31"/>
    <w:link w:val="2"/>
    <w:qFormat/>
    <w:uiPriority w:val="0"/>
    <w:rPr>
      <w:rFonts w:ascii="Times New Roman" w:hAnsi="Times New Roman" w:eastAsia="宋体" w:cs="Times New Roman"/>
      <w:b/>
      <w:szCs w:val="24"/>
    </w:rPr>
  </w:style>
  <w:style w:type="character" w:customStyle="1" w:styleId="39">
    <w:name w:val="标题 2 Char"/>
    <w:basedOn w:val="31"/>
    <w:link w:val="3"/>
    <w:qFormat/>
    <w:uiPriority w:val="9"/>
    <w:rPr>
      <w:rFonts w:ascii="Arial" w:hAnsi="Arial" w:eastAsia="黑体" w:cs="Times New Roman"/>
      <w:b/>
      <w:bCs/>
      <w:sz w:val="32"/>
      <w:szCs w:val="32"/>
    </w:rPr>
  </w:style>
  <w:style w:type="character" w:customStyle="1" w:styleId="40">
    <w:name w:val="标题 4 Char"/>
    <w:basedOn w:val="31"/>
    <w:link w:val="5"/>
    <w:qFormat/>
    <w:uiPriority w:val="0"/>
    <w:rPr>
      <w:rFonts w:ascii="Arial" w:hAnsi="Arial" w:eastAsia="黑体" w:cs="Times New Roman"/>
      <w:b/>
      <w:bCs/>
      <w:sz w:val="28"/>
      <w:szCs w:val="28"/>
    </w:rPr>
  </w:style>
  <w:style w:type="character" w:customStyle="1" w:styleId="41">
    <w:name w:val="标题 7 Char"/>
    <w:basedOn w:val="31"/>
    <w:link w:val="8"/>
    <w:semiHidden/>
    <w:qFormat/>
    <w:uiPriority w:val="9"/>
    <w:rPr>
      <w:rFonts w:ascii="Times New Roman" w:hAnsi="Times New Roman" w:eastAsia="宋体" w:cs="Times New Roman"/>
      <w:b/>
      <w:bCs/>
      <w:sz w:val="24"/>
      <w:szCs w:val="24"/>
    </w:rPr>
  </w:style>
  <w:style w:type="paragraph" w:customStyle="1" w:styleId="42">
    <w:name w:val="Char Char Char Char"/>
    <w:basedOn w:val="1"/>
    <w:qFormat/>
    <w:uiPriority w:val="0"/>
    <w:rPr>
      <w:rFonts w:ascii="Tahoma" w:hAnsi="Tahoma"/>
      <w:sz w:val="24"/>
      <w:szCs w:val="20"/>
    </w:rPr>
  </w:style>
  <w:style w:type="character" w:customStyle="1" w:styleId="43">
    <w:name w:val="纯文本 Char"/>
    <w:basedOn w:val="31"/>
    <w:link w:val="14"/>
    <w:qFormat/>
    <w:uiPriority w:val="99"/>
    <w:rPr>
      <w:rFonts w:ascii="宋体" w:hAnsi="Courier New" w:eastAsia="宋体" w:cs="Courier New"/>
      <w:szCs w:val="21"/>
    </w:rPr>
  </w:style>
  <w:style w:type="character" w:customStyle="1" w:styleId="44">
    <w:name w:val="纯文本 Char1"/>
    <w:basedOn w:val="31"/>
    <w:link w:val="14"/>
    <w:qFormat/>
    <w:locked/>
    <w:uiPriority w:val="0"/>
    <w:rPr>
      <w:rFonts w:ascii="宋体" w:hAnsi="Courier New" w:eastAsia="宋体" w:cs="Times New Roman"/>
      <w:szCs w:val="20"/>
    </w:rPr>
  </w:style>
  <w:style w:type="character" w:customStyle="1" w:styleId="45">
    <w:name w:val="页眉 Char"/>
    <w:basedOn w:val="31"/>
    <w:link w:val="19"/>
    <w:qFormat/>
    <w:uiPriority w:val="0"/>
    <w:rPr>
      <w:rFonts w:ascii="宋体" w:hAnsi="Courier New" w:eastAsia="宋体" w:cs="Times New Roman"/>
      <w:sz w:val="18"/>
      <w:szCs w:val="20"/>
    </w:rPr>
  </w:style>
  <w:style w:type="character" w:customStyle="1" w:styleId="46">
    <w:name w:val="页脚 Char"/>
    <w:basedOn w:val="31"/>
    <w:link w:val="17"/>
    <w:qFormat/>
    <w:uiPriority w:val="0"/>
    <w:rPr>
      <w:rFonts w:ascii="宋体" w:hAnsi="Courier New" w:eastAsia="宋体" w:cs="Times New Roman"/>
      <w:sz w:val="18"/>
      <w:szCs w:val="20"/>
    </w:rPr>
  </w:style>
  <w:style w:type="paragraph" w:customStyle="1" w:styleId="47">
    <w:name w:val="2"/>
    <w:basedOn w:val="1"/>
    <w:next w:val="14"/>
    <w:qFormat/>
    <w:uiPriority w:val="0"/>
    <w:rPr>
      <w:rFonts w:ascii="宋体" w:hAnsi="Courier New"/>
      <w:szCs w:val="20"/>
    </w:rPr>
  </w:style>
  <w:style w:type="character" w:customStyle="1" w:styleId="48">
    <w:name w:val="HTML 预设格式 Char"/>
    <w:basedOn w:val="31"/>
    <w:link w:val="24"/>
    <w:qFormat/>
    <w:uiPriority w:val="0"/>
    <w:rPr>
      <w:rFonts w:ascii="黑体" w:hAnsi="Courier New" w:eastAsia="黑体" w:cs="Courier New"/>
      <w:kern w:val="0"/>
      <w:sz w:val="20"/>
      <w:szCs w:val="20"/>
    </w:rPr>
  </w:style>
  <w:style w:type="paragraph" w:customStyle="1" w:styleId="49">
    <w:name w:val="样式1"/>
    <w:basedOn w:val="1"/>
    <w:qFormat/>
    <w:uiPriority w:val="0"/>
    <w:pPr>
      <w:numPr>
        <w:ilvl w:val="0"/>
        <w:numId w:val="2"/>
      </w:numPr>
      <w:adjustRightInd w:val="0"/>
    </w:pPr>
    <w:rPr>
      <w:rFonts w:ascii="宋体" w:hAnsi="宋体"/>
      <w:kern w:val="0"/>
      <w:szCs w:val="21"/>
    </w:rPr>
  </w:style>
  <w:style w:type="paragraph" w:customStyle="1" w:styleId="50">
    <w:name w:val="Char Char"/>
    <w:basedOn w:val="1"/>
    <w:qFormat/>
    <w:uiPriority w:val="0"/>
    <w:rPr>
      <w:rFonts w:ascii="仿宋_GB2312" w:eastAsia="仿宋_GB2312"/>
      <w:b/>
      <w:sz w:val="32"/>
      <w:szCs w:val="32"/>
    </w:rPr>
  </w:style>
  <w:style w:type="character" w:customStyle="1" w:styleId="51">
    <w:name w:val="正文文本缩进 Char"/>
    <w:basedOn w:val="31"/>
    <w:link w:val="13"/>
    <w:qFormat/>
    <w:uiPriority w:val="0"/>
    <w:rPr>
      <w:rFonts w:ascii="宋体" w:hAnsi="Courier New" w:eastAsia="宋体" w:cs="Times New Roman"/>
      <w:spacing w:val="-4"/>
      <w:sz w:val="18"/>
      <w:szCs w:val="20"/>
    </w:rPr>
  </w:style>
  <w:style w:type="paragraph" w:customStyle="1" w:styleId="52">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53">
    <w:name w:val="Char2 Char Char Char"/>
    <w:basedOn w:val="1"/>
    <w:qFormat/>
    <w:uiPriority w:val="0"/>
    <w:rPr>
      <w:rFonts w:ascii="Tahoma" w:hAnsi="Tahoma"/>
      <w:sz w:val="24"/>
      <w:szCs w:val="20"/>
    </w:rPr>
  </w:style>
  <w:style w:type="character" w:customStyle="1" w:styleId="54">
    <w:name w:val="批注框文本 Char"/>
    <w:basedOn w:val="31"/>
    <w:link w:val="16"/>
    <w:semiHidden/>
    <w:qFormat/>
    <w:uiPriority w:val="0"/>
    <w:rPr>
      <w:rFonts w:ascii="Times New Roman" w:hAnsi="Times New Roman" w:eastAsia="宋体" w:cs="Times New Roman"/>
      <w:sz w:val="18"/>
      <w:szCs w:val="18"/>
    </w:rPr>
  </w:style>
  <w:style w:type="character" w:customStyle="1" w:styleId="55">
    <w:name w:val="批注文字 Char"/>
    <w:basedOn w:val="31"/>
    <w:link w:val="10"/>
    <w:qFormat/>
    <w:uiPriority w:val="0"/>
    <w:rPr>
      <w:rFonts w:ascii="Times New Roman" w:hAnsi="Times New Roman" w:eastAsia="宋体" w:cs="Times New Roman"/>
      <w:szCs w:val="24"/>
    </w:rPr>
  </w:style>
  <w:style w:type="character" w:customStyle="1" w:styleId="56">
    <w:name w:val="正文缩进 Char"/>
    <w:basedOn w:val="31"/>
    <w:link w:val="7"/>
    <w:qFormat/>
    <w:uiPriority w:val="0"/>
    <w:rPr>
      <w:rFonts w:ascii="Times New Roman" w:hAnsi="Times New Roman" w:eastAsia="宋体" w:cs="Times New Roman"/>
      <w:szCs w:val="20"/>
    </w:rPr>
  </w:style>
  <w:style w:type="character" w:customStyle="1" w:styleId="57">
    <w:name w:val="日期 Char"/>
    <w:basedOn w:val="31"/>
    <w:link w:val="15"/>
    <w:qFormat/>
    <w:uiPriority w:val="0"/>
    <w:rPr>
      <w:rFonts w:ascii="Times New Roman" w:hAnsi="Times New Roman" w:eastAsia="宋体" w:cs="Times New Roman"/>
      <w:szCs w:val="24"/>
    </w:rPr>
  </w:style>
  <w:style w:type="paragraph" w:customStyle="1" w:styleId="5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59">
    <w:name w:val="正文0"/>
    <w:basedOn w:val="1"/>
    <w:qFormat/>
    <w:uiPriority w:val="0"/>
    <w:pPr>
      <w:autoSpaceDE w:val="0"/>
      <w:autoSpaceDN w:val="0"/>
      <w:adjustRightInd w:val="0"/>
      <w:spacing w:before="240" w:after="60" w:line="360" w:lineRule="atLeast"/>
    </w:pPr>
    <w:rPr>
      <w:b/>
      <w:kern w:val="0"/>
      <w:sz w:val="24"/>
      <w:szCs w:val="20"/>
    </w:rPr>
  </w:style>
  <w:style w:type="character" w:customStyle="1" w:styleId="60">
    <w:name w:val="正文文本缩进 3 Char"/>
    <w:basedOn w:val="31"/>
    <w:link w:val="23"/>
    <w:qFormat/>
    <w:uiPriority w:val="0"/>
    <w:rPr>
      <w:rFonts w:ascii="Times New Roman" w:hAnsi="Times New Roman" w:eastAsia="宋体" w:cs="Times New Roman"/>
      <w:sz w:val="16"/>
      <w:szCs w:val="16"/>
    </w:rPr>
  </w:style>
  <w:style w:type="paragraph" w:customStyle="1" w:styleId="61">
    <w:name w:val="列出段落1"/>
    <w:basedOn w:val="1"/>
    <w:qFormat/>
    <w:uiPriority w:val="0"/>
    <w:pPr>
      <w:spacing w:line="360" w:lineRule="auto"/>
      <w:ind w:firstLine="420" w:firstLineChars="200"/>
    </w:pPr>
    <w:rPr>
      <w:rFonts w:ascii="宋体" w:hAnsi="宋体" w:cs="宋体"/>
      <w:sz w:val="24"/>
    </w:rPr>
  </w:style>
  <w:style w:type="character" w:customStyle="1" w:styleId="62">
    <w:name w:val="105v1"/>
    <w:qFormat/>
    <w:uiPriority w:val="0"/>
    <w:rPr>
      <w:rFonts w:hint="default" w:ascii="ˎ̥" w:hAnsi="ˎ̥"/>
      <w:sz w:val="21"/>
      <w:szCs w:val="21"/>
    </w:rPr>
  </w:style>
  <w:style w:type="character" w:customStyle="1" w:styleId="63">
    <w:name w:val="htd0"/>
    <w:basedOn w:val="31"/>
    <w:qFormat/>
    <w:uiPriority w:val="0"/>
  </w:style>
  <w:style w:type="paragraph" w:customStyle="1" w:styleId="64">
    <w:name w:val="_Style 5"/>
    <w:basedOn w:val="1"/>
    <w:qFormat/>
    <w:uiPriority w:val="0"/>
    <w:pPr>
      <w:tabs>
        <w:tab w:val="left" w:pos="360"/>
      </w:tabs>
      <w:spacing w:line="360" w:lineRule="auto"/>
      <w:ind w:left="482" w:firstLine="200" w:firstLineChars="200"/>
    </w:pPr>
  </w:style>
  <w:style w:type="character" w:customStyle="1" w:styleId="65">
    <w:name w:val="普通文字 Char Char2"/>
    <w:basedOn w:val="31"/>
    <w:qFormat/>
    <w:uiPriority w:val="0"/>
    <w:rPr>
      <w:rFonts w:ascii="宋体" w:hAnsi="Courier New" w:eastAsia="宋体"/>
      <w:kern w:val="2"/>
      <w:sz w:val="21"/>
      <w:lang w:val="en-US" w:eastAsia="zh-CN" w:bidi="ar-SA"/>
    </w:rPr>
  </w:style>
  <w:style w:type="paragraph" w:customStyle="1" w:styleId="66">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7">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0"/>
    </w:rPr>
  </w:style>
  <w:style w:type="character" w:customStyle="1" w:styleId="68">
    <w:name w:val="Char Char2"/>
    <w:basedOn w:val="31"/>
    <w:qFormat/>
    <w:uiPriority w:val="0"/>
    <w:rPr>
      <w:rFonts w:ascii="宋体" w:hAnsi="Courier New" w:eastAsia="宋体"/>
      <w:kern w:val="2"/>
      <w:sz w:val="21"/>
      <w:lang w:val="en-US" w:eastAsia="zh-CN" w:bidi="ar-SA"/>
    </w:rPr>
  </w:style>
  <w:style w:type="paragraph" w:customStyle="1" w:styleId="6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70">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71">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72">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apple-converted-space"/>
    <w:basedOn w:val="31"/>
    <w:qFormat/>
    <w:uiPriority w:val="0"/>
  </w:style>
  <w:style w:type="paragraph" w:customStyle="1" w:styleId="74">
    <w:name w:val="题注5"/>
    <w:basedOn w:val="1"/>
    <w:next w:val="9"/>
    <w:qFormat/>
    <w:uiPriority w:val="0"/>
    <w:pPr>
      <w:jc w:val="center"/>
    </w:pPr>
    <w:rPr>
      <w:b/>
      <w:bCs/>
      <w:color w:val="000000"/>
      <w:sz w:val="24"/>
    </w:rPr>
  </w:style>
  <w:style w:type="paragraph" w:customStyle="1" w:styleId="75">
    <w:name w:val="图"/>
    <w:basedOn w:val="1"/>
    <w:qFormat/>
    <w:uiPriority w:val="0"/>
    <w:pPr>
      <w:keepNext/>
      <w:adjustRightInd w:val="0"/>
      <w:spacing w:before="60" w:after="60" w:line="300" w:lineRule="auto"/>
      <w:jc w:val="center"/>
      <w:textAlignment w:val="center"/>
    </w:pPr>
    <w:rPr>
      <w:spacing w:val="20"/>
      <w:kern w:val="0"/>
      <w:sz w:val="24"/>
    </w:rPr>
  </w:style>
  <w:style w:type="character" w:customStyle="1" w:styleId="76">
    <w:name w:val="Char Char8"/>
    <w:qFormat/>
    <w:uiPriority w:val="0"/>
    <w:rPr>
      <w:rFonts w:eastAsia="宋体"/>
      <w:kern w:val="2"/>
      <w:sz w:val="21"/>
      <w:szCs w:val="24"/>
      <w:lang w:val="en-US" w:eastAsia="zh-CN" w:bidi="ar-SA"/>
    </w:rPr>
  </w:style>
  <w:style w:type="character" w:customStyle="1" w:styleId="77">
    <w:name w:val="Char Char25"/>
    <w:qFormat/>
    <w:locked/>
    <w:uiPriority w:val="0"/>
    <w:rPr>
      <w:rFonts w:ascii="Arial" w:hAnsi="Arial" w:eastAsia="黑体"/>
      <w:b/>
      <w:kern w:val="2"/>
      <w:sz w:val="28"/>
      <w:lang w:bidi="ar-SA"/>
    </w:rPr>
  </w:style>
  <w:style w:type="character" w:customStyle="1" w:styleId="78">
    <w:name w:val="普通文字 Char Char3"/>
    <w:qFormat/>
    <w:locked/>
    <w:uiPriority w:val="0"/>
    <w:rPr>
      <w:rFonts w:ascii="宋体" w:hAnsi="Courier New" w:eastAsia="宋体"/>
      <w:kern w:val="2"/>
      <w:sz w:val="21"/>
      <w:lang w:val="en-US" w:eastAsia="zh-CN" w:bidi="ar-SA"/>
    </w:rPr>
  </w:style>
  <w:style w:type="character" w:customStyle="1" w:styleId="79">
    <w:name w:val="Char Char19"/>
    <w:qFormat/>
    <w:uiPriority w:val="0"/>
    <w:rPr>
      <w:rFonts w:eastAsia="宋体"/>
      <w:kern w:val="2"/>
      <w:sz w:val="21"/>
      <w:szCs w:val="24"/>
      <w:lang w:val="en-US" w:eastAsia="zh-CN" w:bidi="ar-SA"/>
    </w:rPr>
  </w:style>
  <w:style w:type="character" w:customStyle="1" w:styleId="80">
    <w:name w:val="批注主题 Char"/>
    <w:basedOn w:val="55"/>
    <w:link w:val="27"/>
    <w:semiHidden/>
    <w:qFormat/>
    <w:uiPriority w:val="0"/>
    <w:rPr>
      <w:b/>
      <w:bCs/>
    </w:rPr>
  </w:style>
  <w:style w:type="character" w:customStyle="1" w:styleId="81">
    <w:name w:val="Char Char7"/>
    <w:basedOn w:val="31"/>
    <w:qFormat/>
    <w:locked/>
    <w:uiPriority w:val="0"/>
    <w:rPr>
      <w:rFonts w:ascii="宋体" w:hAnsi="Courier New" w:eastAsia="宋体"/>
      <w:kern w:val="2"/>
      <w:sz w:val="21"/>
      <w:lang w:val="en-US" w:eastAsia="zh-CN" w:bidi="ar-SA"/>
    </w:rPr>
  </w:style>
  <w:style w:type="character" w:customStyle="1" w:styleId="82">
    <w:name w:val="纯文本 Char2"/>
    <w:qFormat/>
    <w:locked/>
    <w:uiPriority w:val="0"/>
    <w:rPr>
      <w:rFonts w:ascii="宋体" w:hAnsi="Courier New" w:eastAsia="宋体"/>
      <w:kern w:val="2"/>
      <w:sz w:val="21"/>
      <w:lang w:val="en-US" w:eastAsia="zh-CN" w:bidi="ar-SA"/>
    </w:rPr>
  </w:style>
  <w:style w:type="character" w:customStyle="1" w:styleId="83">
    <w:name w:val="标题 Char"/>
    <w:link w:val="26"/>
    <w:qFormat/>
    <w:locked/>
    <w:uiPriority w:val="0"/>
    <w:rPr>
      <w:rFonts w:ascii="Cambria" w:hAnsi="Cambria" w:eastAsia="华文中宋"/>
      <w:b/>
      <w:bCs/>
      <w:kern w:val="28"/>
      <w:szCs w:val="32"/>
      <w:lang w:eastAsia="en-US"/>
    </w:rPr>
  </w:style>
  <w:style w:type="character" w:customStyle="1" w:styleId="84">
    <w:name w:val="标题 Char1"/>
    <w:basedOn w:val="31"/>
    <w:link w:val="26"/>
    <w:qFormat/>
    <w:uiPriority w:val="0"/>
    <w:rPr>
      <w:rFonts w:eastAsia="宋体" w:asciiTheme="majorHAnsi" w:hAnsiTheme="majorHAnsi" w:cstheme="majorBidi"/>
      <w:b/>
      <w:bCs/>
      <w:sz w:val="32"/>
      <w:szCs w:val="32"/>
    </w:rPr>
  </w:style>
  <w:style w:type="paragraph" w:customStyle="1" w:styleId="85">
    <w:name w:val="默认段落字体 Para Char Char Char Char Char Char Char Char Char1 Char Char Char Char"/>
    <w:basedOn w:val="1"/>
    <w:qFormat/>
    <w:uiPriority w:val="0"/>
    <w:pPr>
      <w:adjustRightInd w:val="0"/>
      <w:snapToGrid w:val="0"/>
      <w:spacing w:line="360" w:lineRule="auto"/>
      <w:ind w:firstLine="200" w:firstLineChars="200"/>
    </w:pPr>
    <w:rPr>
      <w:rFonts w:ascii="Tahoma" w:hAnsi="Tahoma"/>
      <w:sz w:val="24"/>
      <w:szCs w:val="20"/>
    </w:rPr>
  </w:style>
  <w:style w:type="character" w:customStyle="1" w:styleId="86">
    <w:name w:val="批注文字 Char1"/>
    <w:qFormat/>
    <w:uiPriority w:val="0"/>
    <w:rPr>
      <w:rFonts w:ascii="Times New Roman" w:hAnsi="Times New Roman"/>
      <w:kern w:val="2"/>
      <w:sz w:val="21"/>
      <w:szCs w:val="24"/>
    </w:rPr>
  </w:style>
  <w:style w:type="paragraph" w:customStyle="1" w:styleId="87">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8">
    <w:name w:val="NormalCharacter"/>
    <w:qFormat/>
    <w:uiPriority w:val="99"/>
  </w:style>
  <w:style w:type="character" w:customStyle="1" w:styleId="89">
    <w:name w:val="正文首行缩进 2 Char"/>
    <w:basedOn w:val="51"/>
    <w:link w:val="28"/>
    <w:qFormat/>
    <w:uiPriority w:val="0"/>
    <w:rPr>
      <w:rFonts w:ascii="黑体" w:eastAsia="黑体" w:cs="Courier New"/>
      <w:kern w:val="0"/>
      <w:sz w:val="20"/>
    </w:rPr>
  </w:style>
  <w:style w:type="paragraph" w:styleId="90">
    <w:name w:val="List Paragraph"/>
    <w:basedOn w:val="1"/>
    <w:qFormat/>
    <w:uiPriority w:val="34"/>
    <w:pPr>
      <w:ind w:firstLine="420" w:firstLineChars="200"/>
    </w:pPr>
  </w:style>
  <w:style w:type="paragraph" w:customStyle="1" w:styleId="91">
    <w:name w:val="p0"/>
    <w:basedOn w:val="1"/>
    <w:qFormat/>
    <w:uiPriority w:val="99"/>
    <w:pPr>
      <w:widowControl/>
      <w:adjustRightInd w:val="0"/>
      <w:snapToGrid w:val="0"/>
      <w:spacing w:after="200"/>
      <w:jc w:val="left"/>
    </w:pPr>
    <w:rPr>
      <w:rFonts w:ascii="Tahoma" w:hAnsi="Tahoma" w:eastAsia="微软雅黑"/>
      <w:kern w:val="0"/>
      <w:sz w:val="22"/>
      <w:szCs w:val="21"/>
    </w:rPr>
  </w:style>
  <w:style w:type="paragraph" w:customStyle="1" w:styleId="92">
    <w:name w:val="Table Text"/>
    <w:basedOn w:val="1"/>
    <w:semiHidden/>
    <w:qFormat/>
    <w:uiPriority w:val="0"/>
    <w:rPr>
      <w:rFonts w:ascii="宋体" w:hAnsi="宋体" w:cs="宋体"/>
      <w:sz w:val="24"/>
      <w:lang w:eastAsia="en-US"/>
    </w:rPr>
  </w:style>
  <w:style w:type="paragraph" w:customStyle="1" w:styleId="93">
    <w:name w:val="Table Paragraph"/>
    <w:basedOn w:val="1"/>
    <w:qFormat/>
    <w:uiPriority w:val="1"/>
    <w:pPr>
      <w:autoSpaceDE w:val="0"/>
      <w:autoSpaceDN w:val="0"/>
      <w:adjustRightInd w:val="0"/>
      <w:jc w:val="left"/>
    </w:pPr>
    <w:rPr>
      <w:rFonts w:asci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广西中意招标造价咨询有限公司</Company>
  <Pages>96</Pages>
  <Words>20761</Words>
  <Characters>22125</Characters>
  <Lines>400</Lines>
  <Paragraphs>112</Paragraphs>
  <TotalTime>122</TotalTime>
  <ScaleCrop>false</ScaleCrop>
  <LinksUpToDate>false</LinksUpToDate>
  <CharactersWithSpaces>22309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2026-08-27T03:23:00Z</dcterms:created>
  <dc:creator>A</dc:creator>
  <cp:lastModifiedBy>L－H</cp:lastModifiedBy>
  <cp:lastPrinted>2026-04-09T01:10:00Z</cp:lastPrinted>
  <dcterms:modified xsi:type="dcterms:W3CDTF">2026-08-28T09:16:33Z</dcterms:modified>
  <dc:subject>竞争性磋商文件</dc:subject>
  <dc:title>2023年苍梧县各单位公务员补充医疗保险服务（WZZC2023-C3-210127-GXZY）</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07117275F1D640F0B44B7731E191BA7E_13</vt:lpwstr>
  </property>
  <property fmtid="{D5CDD505-2E9C-101B-9397-08002B2CF9AE}" pid="4" name="KSOTemplateDocerSaveRecord">
    <vt:lpwstr>eyJoZGlkIjoiODdmYzE1OWJhZmM3Y2U5YmVlZDU1ZWJmOGFkYmUzYjkiLCJ1c2VySWQiOiI3MjY0ODYzNzgifQ==</vt:lpwstr>
  </property>
</Properties>
</file>