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20A7F6A">
      <w:pPr>
        <w:pStyle w:val="296"/>
        <w:spacing w:line="360" w:lineRule="auto"/>
        <w:jc w:val="center"/>
        <w:rPr>
          <w:rFonts w:hint="eastAsia" w:hAnsi="宋体" w:eastAsia="华文新魏"/>
          <w:color w:val="auto"/>
          <w:spacing w:val="74"/>
          <w:sz w:val="48"/>
          <w:szCs w:val="48"/>
          <w:highlight w:val="none"/>
          <w:lang w:eastAsia="zh-CN"/>
        </w:rPr>
      </w:pPr>
    </w:p>
    <w:p w14:paraId="65B960AB">
      <w:pPr>
        <w:pStyle w:val="296"/>
        <w:spacing w:line="360" w:lineRule="auto"/>
        <w:jc w:val="center"/>
        <w:rPr>
          <w:rFonts w:hint="eastAsia" w:ascii="宋体" w:hAnsi="宋体"/>
          <w:color w:val="auto"/>
          <w:highlight w:val="none"/>
        </w:rPr>
      </w:pPr>
      <w:r>
        <w:rPr>
          <w:rFonts w:hint="eastAsia" w:hAnsi="宋体" w:eastAsia="华文新魏"/>
          <w:color w:val="auto"/>
          <w:spacing w:val="74"/>
          <w:sz w:val="48"/>
          <w:szCs w:val="48"/>
          <w:highlight w:val="none"/>
          <w:lang w:eastAsia="zh-CN"/>
        </w:rPr>
        <w:t>广西万安工程咨询有限公司</w:t>
      </w:r>
      <w:r>
        <w:rPr>
          <w:rFonts w:hint="eastAsia" w:ascii="华文新魏" w:eastAsia="华文新魏"/>
          <w:color w:val="auto"/>
          <w:sz w:val="84"/>
          <w:szCs w:val="84"/>
          <w:highlight w:val="none"/>
        </w:rPr>
        <w:tab/>
      </w:r>
    </w:p>
    <w:p w14:paraId="40A1E21A">
      <w:pPr>
        <w:spacing w:line="720" w:lineRule="exact"/>
        <w:jc w:val="center"/>
        <w:rPr>
          <w:rFonts w:ascii="文鼎中隶简" w:eastAsia="文鼎中隶简"/>
          <w:color w:val="auto"/>
          <w:kern w:val="0"/>
          <w:sz w:val="52"/>
          <w:highlight w:val="none"/>
        </w:rPr>
      </w:pPr>
      <w:r>
        <w:rPr>
          <w:rFonts w:ascii="文鼎中隶简" w:eastAsia="文鼎中隶简"/>
          <w:color w:val="auto"/>
          <w:kern w:val="0"/>
          <w:sz w:val="52"/>
          <w:highlight w:val="none"/>
        </w:rPr>
        <w:cr/>
      </w:r>
    </w:p>
    <w:p w14:paraId="414EE5F8">
      <w:pPr>
        <w:spacing w:line="1400" w:lineRule="exact"/>
        <w:jc w:val="center"/>
        <w:rPr>
          <w:rFonts w:hint="eastAsia" w:ascii="宋体" w:hAnsi="宋体"/>
          <w:b/>
          <w:color w:val="auto"/>
          <w:spacing w:val="60"/>
          <w:sz w:val="96"/>
          <w:szCs w:val="132"/>
          <w:highlight w:val="none"/>
        </w:rPr>
      </w:pPr>
      <w:r>
        <w:rPr>
          <w:rFonts w:hint="eastAsia" w:ascii="宋体" w:hAnsi="宋体"/>
          <w:b/>
          <w:color w:val="auto"/>
          <w:spacing w:val="60"/>
          <w:sz w:val="96"/>
          <w:szCs w:val="132"/>
          <w:highlight w:val="none"/>
        </w:rPr>
        <w:t>招标文件</w:t>
      </w:r>
    </w:p>
    <w:p w14:paraId="6F67C3A6">
      <w:pPr>
        <w:spacing w:line="1000" w:lineRule="exact"/>
        <w:jc w:val="center"/>
        <w:rPr>
          <w:rFonts w:ascii="楷体_GB2312" w:eastAsia="楷体_GB2312"/>
          <w:b/>
          <w:color w:val="auto"/>
          <w:kern w:val="0"/>
          <w:sz w:val="84"/>
          <w:szCs w:val="84"/>
          <w:highlight w:val="none"/>
        </w:rPr>
      </w:pPr>
      <w:r>
        <w:rPr>
          <w:rFonts w:hint="eastAsia" w:ascii="楷体_GB2312" w:eastAsia="楷体_GB2312"/>
          <w:b/>
          <w:color w:val="auto"/>
          <w:kern w:val="0"/>
          <w:sz w:val="84"/>
          <w:szCs w:val="84"/>
          <w:highlight w:val="none"/>
        </w:rPr>
        <w:cr/>
      </w:r>
    </w:p>
    <w:p w14:paraId="1998E11E">
      <w:pPr>
        <w:pStyle w:val="27"/>
        <w:ind w:firstLine="3990" w:firstLineChars="1900"/>
        <w:rPr>
          <w:color w:val="auto"/>
          <w:kern w:val="0"/>
          <w:highlight w:val="none"/>
        </w:rPr>
      </w:pPr>
    </w:p>
    <w:p w14:paraId="5D89998E">
      <w:pPr>
        <w:ind w:left="2713" w:leftChars="527" w:hanging="1606" w:hangingChars="500"/>
        <w:rPr>
          <w:rFonts w:ascii="宋体" w:hAnsi="宋体" w:cs="宋体"/>
          <w:b/>
          <w:bCs/>
          <w:color w:val="auto"/>
          <w:kern w:val="0"/>
          <w:sz w:val="32"/>
          <w:highlight w:val="none"/>
        </w:rPr>
      </w:pPr>
    </w:p>
    <w:p w14:paraId="6B852E02">
      <w:pPr>
        <w:spacing w:line="360" w:lineRule="auto"/>
        <w:ind w:left="2713" w:leftChars="527" w:hanging="1606" w:hangingChars="500"/>
        <w:rPr>
          <w:rFonts w:hint="eastAsia" w:ascii="宋体" w:hAnsi="宋体" w:cs="宋体"/>
          <w:b/>
          <w:bCs/>
          <w:color w:val="auto"/>
          <w:kern w:val="0"/>
          <w:sz w:val="32"/>
          <w:highlight w:val="none"/>
          <w:lang w:eastAsia="zh-CN"/>
        </w:rPr>
      </w:pPr>
      <w:r>
        <w:rPr>
          <w:rFonts w:hint="eastAsia" w:ascii="宋体" w:hAnsi="宋体" w:cs="宋体"/>
          <w:b/>
          <w:bCs/>
          <w:color w:val="auto"/>
          <w:kern w:val="0"/>
          <w:sz w:val="32"/>
          <w:highlight w:val="none"/>
        </w:rPr>
        <w:t>项目名称:</w:t>
      </w:r>
      <w:r>
        <w:rPr>
          <w:rFonts w:hint="eastAsia" w:ascii="宋体" w:hAnsi="宋体" w:cs="宋体"/>
          <w:b/>
          <w:bCs/>
          <w:color w:val="auto"/>
          <w:kern w:val="0"/>
          <w:sz w:val="32"/>
          <w:highlight w:val="none"/>
          <w:lang w:eastAsia="zh-CN"/>
        </w:rPr>
        <w:t>阳朔县中等职业技术学校专业实训、信息化教学及阅览资源提质建设项目（重）</w:t>
      </w:r>
    </w:p>
    <w:p w14:paraId="0809863C">
      <w:pPr>
        <w:spacing w:line="360" w:lineRule="auto"/>
        <w:ind w:left="2713" w:leftChars="527" w:hanging="1606" w:hangingChars="500"/>
        <w:rPr>
          <w:rFonts w:hint="eastAsia" w:ascii="宋体" w:hAnsi="宋体" w:eastAsia="宋体" w:cs="宋体"/>
          <w:b/>
          <w:bCs/>
          <w:color w:val="auto"/>
          <w:kern w:val="0"/>
          <w:sz w:val="32"/>
          <w:highlight w:val="none"/>
          <w:lang w:eastAsia="zh-CN"/>
        </w:rPr>
      </w:pPr>
      <w:r>
        <w:rPr>
          <w:rFonts w:hint="eastAsia" w:ascii="宋体" w:hAnsi="宋体" w:cs="宋体"/>
          <w:b/>
          <w:bCs/>
          <w:color w:val="auto"/>
          <w:kern w:val="0"/>
          <w:sz w:val="32"/>
          <w:highlight w:val="none"/>
          <w:lang w:eastAsia="zh-CN"/>
        </w:rPr>
        <w:t>项目编号：GLZC2026-G1-210069-GXWA</w:t>
      </w:r>
    </w:p>
    <w:p w14:paraId="0B631FA6">
      <w:pPr>
        <w:spacing w:line="360" w:lineRule="auto"/>
        <w:ind w:left="-2" w:leftChars="-1" w:firstLine="630" w:firstLineChars="300"/>
        <w:rPr>
          <w:rFonts w:hint="eastAsia" w:ascii="宋体" w:hAnsi="宋体" w:cs="宋体"/>
          <w:color w:val="auto"/>
          <w:kern w:val="0"/>
          <w:highlight w:val="none"/>
        </w:rPr>
      </w:pPr>
    </w:p>
    <w:p w14:paraId="178F832D">
      <w:pPr>
        <w:outlineLvl w:val="9"/>
        <w:rPr>
          <w:rFonts w:hint="eastAsia"/>
          <w:color w:val="auto"/>
          <w:highlight w:val="none"/>
        </w:rPr>
      </w:pPr>
    </w:p>
    <w:p w14:paraId="191EA0A8">
      <w:pPr>
        <w:outlineLvl w:val="9"/>
        <w:rPr>
          <w:rFonts w:hint="eastAsia"/>
          <w:color w:val="auto"/>
          <w:highlight w:val="none"/>
        </w:rPr>
      </w:pPr>
    </w:p>
    <w:p w14:paraId="0A6ACBFF">
      <w:pPr>
        <w:spacing w:line="360" w:lineRule="auto"/>
        <w:ind w:firstLine="1446" w:firstLineChars="450"/>
        <w:jc w:val="both"/>
        <w:rPr>
          <w:rFonts w:hint="eastAsia" w:ascii="宋体" w:hAnsi="宋体" w:cs="宋体"/>
          <w:b/>
          <w:bCs/>
          <w:color w:val="auto"/>
          <w:kern w:val="0"/>
          <w:sz w:val="32"/>
          <w:highlight w:val="none"/>
          <w:lang w:eastAsia="zh-CN"/>
        </w:rPr>
      </w:pPr>
    </w:p>
    <w:p w14:paraId="1B9463FA">
      <w:pPr>
        <w:spacing w:line="360" w:lineRule="auto"/>
        <w:ind w:firstLine="2088" w:firstLineChars="650"/>
        <w:jc w:val="both"/>
        <w:rPr>
          <w:rFonts w:hint="eastAsia" w:ascii="宋体" w:hAnsi="宋体" w:cs="宋体"/>
          <w:b/>
          <w:bCs/>
          <w:color w:val="auto"/>
          <w:kern w:val="0"/>
          <w:sz w:val="32"/>
          <w:highlight w:val="none"/>
          <w:lang w:eastAsia="zh-CN"/>
        </w:rPr>
      </w:pPr>
      <w:r>
        <w:rPr>
          <w:rFonts w:hint="eastAsia" w:ascii="宋体" w:hAnsi="宋体" w:cs="宋体"/>
          <w:b/>
          <w:bCs/>
          <w:color w:val="auto"/>
          <w:kern w:val="0"/>
          <w:sz w:val="32"/>
          <w:highlight w:val="none"/>
          <w:lang w:eastAsia="zh-CN"/>
        </w:rPr>
        <w:t>采购人：阳朔县教育局</w:t>
      </w:r>
    </w:p>
    <w:p w14:paraId="49138274">
      <w:pPr>
        <w:spacing w:line="360" w:lineRule="auto"/>
        <w:jc w:val="center"/>
        <w:rPr>
          <w:rFonts w:hint="eastAsia" w:ascii="宋体" w:hAnsi="宋体" w:eastAsia="宋体" w:cs="宋体"/>
          <w:b/>
          <w:bCs/>
          <w:color w:val="auto"/>
          <w:kern w:val="0"/>
          <w:sz w:val="32"/>
          <w:highlight w:val="none"/>
          <w:lang w:eastAsia="zh-CN"/>
        </w:rPr>
      </w:pPr>
      <w:r>
        <w:rPr>
          <w:rFonts w:hint="eastAsia" w:ascii="宋体" w:hAnsi="宋体" w:cs="宋体"/>
          <w:b/>
          <w:bCs/>
          <w:color w:val="auto"/>
          <w:kern w:val="0"/>
          <w:sz w:val="32"/>
          <w:highlight w:val="none"/>
        </w:rPr>
        <w:t>采购代理机构：</w:t>
      </w:r>
      <w:r>
        <w:rPr>
          <w:rFonts w:hint="eastAsia" w:ascii="宋体" w:hAnsi="宋体" w:cs="宋体"/>
          <w:b/>
          <w:bCs/>
          <w:color w:val="auto"/>
          <w:kern w:val="0"/>
          <w:sz w:val="32"/>
          <w:highlight w:val="none"/>
          <w:lang w:eastAsia="zh-CN"/>
        </w:rPr>
        <w:t>广西万安工程咨询有限公司</w:t>
      </w:r>
    </w:p>
    <w:p w14:paraId="44097309">
      <w:pPr>
        <w:spacing w:line="360" w:lineRule="auto"/>
        <w:jc w:val="center"/>
        <w:rPr>
          <w:rFonts w:hint="eastAsia" w:ascii="宋体" w:hAnsi="宋体" w:eastAsia="宋体" w:cs="宋体"/>
          <w:b/>
          <w:bCs/>
          <w:color w:val="auto"/>
          <w:kern w:val="0"/>
          <w:sz w:val="32"/>
          <w:highlight w:val="none"/>
          <w:lang w:val="en-US" w:eastAsia="zh-CN"/>
        </w:rPr>
      </w:pPr>
      <w:r>
        <w:rPr>
          <w:rFonts w:hint="eastAsia" w:ascii="宋体" w:hAnsi="宋体" w:cs="宋体"/>
          <w:b/>
          <w:bCs/>
          <w:color w:val="auto"/>
          <w:kern w:val="0"/>
          <w:sz w:val="32"/>
          <w:highlight w:val="none"/>
        </w:rPr>
        <w:t xml:space="preserve"> 202</w:t>
      </w:r>
      <w:r>
        <w:rPr>
          <w:rFonts w:hint="eastAsia" w:ascii="宋体" w:hAnsi="宋体" w:cs="宋体"/>
          <w:b/>
          <w:bCs/>
          <w:color w:val="auto"/>
          <w:kern w:val="0"/>
          <w:sz w:val="32"/>
          <w:highlight w:val="none"/>
          <w:lang w:val="en-US" w:eastAsia="zh-CN"/>
        </w:rPr>
        <w:t>6</w:t>
      </w:r>
      <w:r>
        <w:rPr>
          <w:rFonts w:hint="eastAsia" w:ascii="宋体" w:hAnsi="宋体" w:cs="宋体"/>
          <w:b/>
          <w:bCs/>
          <w:color w:val="auto"/>
          <w:kern w:val="0"/>
          <w:sz w:val="32"/>
          <w:highlight w:val="none"/>
        </w:rPr>
        <w:t>年</w:t>
      </w:r>
      <w:r>
        <w:rPr>
          <w:rFonts w:hint="eastAsia" w:ascii="宋体" w:hAnsi="宋体" w:cs="宋体"/>
          <w:b/>
          <w:bCs/>
          <w:color w:val="auto"/>
          <w:kern w:val="0"/>
          <w:sz w:val="32"/>
          <w:highlight w:val="none"/>
          <w:lang w:val="en-US" w:eastAsia="zh-CN"/>
        </w:rPr>
        <w:t>8</w:t>
      </w:r>
      <w:r>
        <w:rPr>
          <w:rFonts w:hint="eastAsia" w:ascii="宋体" w:hAnsi="宋体" w:cs="宋体"/>
          <w:b/>
          <w:bCs/>
          <w:color w:val="auto"/>
          <w:kern w:val="0"/>
          <w:sz w:val="32"/>
          <w:highlight w:val="none"/>
        </w:rPr>
        <w:t>月</w:t>
      </w:r>
    </w:p>
    <w:p w14:paraId="303AF75E">
      <w:pPr>
        <w:ind w:left="103" w:leftChars="49" w:firstLine="2249" w:firstLineChars="700"/>
        <w:jc w:val="center"/>
        <w:rPr>
          <w:rFonts w:hint="eastAsia" w:ascii="宋体" w:hAnsi="宋体"/>
          <w:b/>
          <w:bCs/>
          <w:color w:val="auto"/>
          <w:sz w:val="32"/>
          <w:highlight w:val="none"/>
        </w:rPr>
      </w:pPr>
    </w:p>
    <w:p w14:paraId="17E2EE44">
      <w:pPr>
        <w:pStyle w:val="269"/>
        <w:spacing w:before="0" w:line="360" w:lineRule="auto"/>
        <w:jc w:val="center"/>
        <w:rPr>
          <w:color w:val="auto"/>
          <w:sz w:val="36"/>
          <w:highlight w:val="none"/>
        </w:rPr>
      </w:pPr>
      <w:r>
        <w:rPr>
          <w:color w:val="auto"/>
          <w:sz w:val="36"/>
          <w:highlight w:val="none"/>
          <w:lang w:val="zh-CN"/>
        </w:rPr>
        <w:t>目</w:t>
      </w:r>
      <w:r>
        <w:rPr>
          <w:rFonts w:hint="eastAsia"/>
          <w:color w:val="auto"/>
          <w:sz w:val="36"/>
          <w:highlight w:val="none"/>
          <w:lang w:val="zh-CN"/>
        </w:rPr>
        <w:t xml:space="preserve">  </w:t>
      </w:r>
      <w:r>
        <w:rPr>
          <w:color w:val="auto"/>
          <w:sz w:val="36"/>
          <w:highlight w:val="none"/>
          <w:lang w:val="zh-CN"/>
        </w:rPr>
        <w:t>录</w:t>
      </w:r>
    </w:p>
    <w:p w14:paraId="77DB7586">
      <w:pPr>
        <w:pStyle w:val="36"/>
        <w:tabs>
          <w:tab w:val="right" w:leader="dot" w:pos="9060"/>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TOC \o "1-3" \h \z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"_Toc90288696" </w:instrText>
      </w:r>
      <w:r>
        <w:rPr>
          <w:color w:val="auto"/>
          <w:highlight w:val="none"/>
        </w:rPr>
        <w:fldChar w:fldCharType="separate"/>
      </w:r>
      <w:r>
        <w:rPr>
          <w:rStyle w:val="60"/>
          <w:rFonts w:hint="eastAsia" w:ascii="宋体" w:hAnsi="宋体"/>
          <w:b/>
          <w:color w:val="auto"/>
          <w:sz w:val="28"/>
          <w:szCs w:val="28"/>
          <w:highlight w:val="none"/>
        </w:rPr>
        <w:t>第一章</w:t>
      </w:r>
      <w:r>
        <w:rPr>
          <w:rStyle w:val="60"/>
          <w:rFonts w:ascii="宋体" w:hAnsi="宋体"/>
          <w:color w:val="auto"/>
          <w:sz w:val="28"/>
          <w:szCs w:val="28"/>
          <w:highlight w:val="none"/>
        </w:rPr>
        <w:t xml:space="preserve">  </w:t>
      </w:r>
      <w:r>
        <w:rPr>
          <w:rStyle w:val="60"/>
          <w:rFonts w:hint="eastAsia" w:ascii="宋体" w:hAnsi="宋体"/>
          <w:b/>
          <w:color w:val="auto"/>
          <w:sz w:val="28"/>
          <w:szCs w:val="28"/>
          <w:highlight w:val="none"/>
        </w:rPr>
        <w:t>公开招标公告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_Toc90288696 \h </w:instrText>
      </w:r>
      <w:r>
        <w:rPr>
          <w:color w:val="auto"/>
          <w:sz w:val="28"/>
          <w:szCs w:val="28"/>
          <w:highlight w:val="none"/>
        </w:rPr>
        <w:fldChar w:fldCharType="separate"/>
      </w:r>
      <w:r>
        <w:rPr>
          <w:color w:val="auto"/>
          <w:sz w:val="28"/>
          <w:szCs w:val="28"/>
          <w:highlight w:val="none"/>
        </w:rPr>
        <w:t>3</w:t>
      </w:r>
      <w:r>
        <w:rPr>
          <w:color w:val="auto"/>
          <w:sz w:val="28"/>
          <w:szCs w:val="28"/>
          <w:highlight w:val="none"/>
        </w:rPr>
        <w:fldChar w:fldCharType="end"/>
      </w:r>
      <w:r>
        <w:rPr>
          <w:color w:val="auto"/>
          <w:sz w:val="28"/>
          <w:szCs w:val="28"/>
          <w:highlight w:val="none"/>
        </w:rPr>
        <w:fldChar w:fldCharType="end"/>
      </w:r>
    </w:p>
    <w:p w14:paraId="3938992E">
      <w:pPr>
        <w:pStyle w:val="36"/>
        <w:tabs>
          <w:tab w:val="right" w:leader="dot" w:pos="9060"/>
        </w:tabs>
        <w:spacing w:line="360" w:lineRule="auto"/>
        <w:rPr>
          <w:color w:val="auto"/>
          <w:sz w:val="28"/>
          <w:szCs w:val="28"/>
          <w:highlight w:val="none"/>
        </w:rPr>
      </w:pPr>
      <w:r>
        <w:rPr>
          <w:color w:val="auto"/>
          <w:highlight w:val="none"/>
        </w:rPr>
        <w:fldChar w:fldCharType="begin"/>
      </w:r>
      <w:r>
        <w:rPr>
          <w:color w:val="auto"/>
          <w:highlight w:val="none"/>
        </w:rPr>
        <w:instrText xml:space="preserve"> HYPERLINK \l "_Toc90288697" </w:instrText>
      </w:r>
      <w:r>
        <w:rPr>
          <w:color w:val="auto"/>
          <w:highlight w:val="none"/>
        </w:rPr>
        <w:fldChar w:fldCharType="separate"/>
      </w:r>
      <w:r>
        <w:rPr>
          <w:rStyle w:val="60"/>
          <w:rFonts w:hint="eastAsia" w:ascii="宋体" w:hAnsi="宋体"/>
          <w:b/>
          <w:color w:val="auto"/>
          <w:sz w:val="28"/>
          <w:szCs w:val="28"/>
          <w:highlight w:val="none"/>
        </w:rPr>
        <w:t>第二章</w:t>
      </w:r>
      <w:r>
        <w:rPr>
          <w:rStyle w:val="60"/>
          <w:rFonts w:ascii="宋体" w:hAnsi="宋体"/>
          <w:b/>
          <w:color w:val="auto"/>
          <w:sz w:val="28"/>
          <w:szCs w:val="28"/>
          <w:highlight w:val="none"/>
        </w:rPr>
        <w:t xml:space="preserve">  </w:t>
      </w:r>
      <w:r>
        <w:rPr>
          <w:rStyle w:val="60"/>
          <w:rFonts w:hint="eastAsia" w:ascii="宋体" w:hAnsi="宋体"/>
          <w:b/>
          <w:color w:val="auto"/>
          <w:sz w:val="28"/>
          <w:szCs w:val="28"/>
          <w:highlight w:val="none"/>
        </w:rPr>
        <w:t>投标人须知</w:t>
      </w:r>
      <w:r>
        <w:rPr>
          <w:color w:val="auto"/>
          <w:sz w:val="28"/>
          <w:szCs w:val="28"/>
          <w:highlight w:val="none"/>
        </w:rPr>
        <w:tab/>
      </w:r>
      <w:r>
        <w:rPr>
          <w:rFonts w:hint="eastAsia"/>
          <w:color w:val="auto"/>
          <w:sz w:val="28"/>
          <w:szCs w:val="28"/>
          <w:highlight w:val="none"/>
        </w:rPr>
        <w:t>6</w:t>
      </w:r>
      <w:r>
        <w:rPr>
          <w:rFonts w:hint="eastAsia"/>
          <w:color w:val="auto"/>
          <w:sz w:val="28"/>
          <w:szCs w:val="28"/>
          <w:highlight w:val="none"/>
        </w:rPr>
        <w:fldChar w:fldCharType="end"/>
      </w:r>
    </w:p>
    <w:p w14:paraId="4B594B28">
      <w:pPr>
        <w:pStyle w:val="36"/>
        <w:tabs>
          <w:tab w:val="right" w:leader="dot" w:pos="9060"/>
        </w:tabs>
        <w:spacing w:line="360" w:lineRule="auto"/>
        <w:rPr>
          <w:rFonts w:hint="eastAsia" w:eastAsia="宋体"/>
          <w:color w:val="auto"/>
          <w:sz w:val="28"/>
          <w:szCs w:val="28"/>
          <w:highlight w:val="none"/>
          <w:lang w:val="en-US" w:eastAsia="zh-CN"/>
        </w:rPr>
      </w:pPr>
      <w:r>
        <w:rPr>
          <w:color w:val="auto"/>
          <w:highlight w:val="none"/>
        </w:rPr>
        <w:fldChar w:fldCharType="begin"/>
      </w:r>
      <w:r>
        <w:rPr>
          <w:color w:val="auto"/>
          <w:highlight w:val="none"/>
        </w:rPr>
        <w:instrText xml:space="preserve"> HYPERLINK \l "_Toc90288706" </w:instrText>
      </w:r>
      <w:r>
        <w:rPr>
          <w:color w:val="auto"/>
          <w:highlight w:val="none"/>
        </w:rPr>
        <w:fldChar w:fldCharType="separate"/>
      </w:r>
      <w:r>
        <w:rPr>
          <w:rStyle w:val="60"/>
          <w:rFonts w:hint="eastAsia" w:ascii="宋体" w:hAnsi="宋体"/>
          <w:b/>
          <w:color w:val="auto"/>
          <w:sz w:val="28"/>
          <w:szCs w:val="28"/>
          <w:highlight w:val="none"/>
        </w:rPr>
        <w:t>第三章　货物采购需求</w:t>
      </w:r>
      <w:r>
        <w:rPr>
          <w:color w:val="auto"/>
          <w:sz w:val="28"/>
          <w:szCs w:val="28"/>
          <w:highlight w:val="none"/>
        </w:rPr>
        <w:tab/>
      </w:r>
      <w:r>
        <w:rPr>
          <w:rFonts w:hint="eastAsia"/>
          <w:color w:val="auto"/>
          <w:sz w:val="28"/>
          <w:szCs w:val="28"/>
          <w:highlight w:val="none"/>
        </w:rPr>
        <w:t>2</w:t>
      </w:r>
      <w:r>
        <w:rPr>
          <w:rFonts w:hint="eastAsia"/>
          <w:color w:val="auto"/>
          <w:sz w:val="28"/>
          <w:szCs w:val="28"/>
          <w:highlight w:val="none"/>
        </w:rPr>
        <w:fldChar w:fldCharType="end"/>
      </w:r>
      <w:r>
        <w:rPr>
          <w:rFonts w:hint="eastAsia"/>
          <w:color w:val="auto"/>
          <w:sz w:val="28"/>
          <w:szCs w:val="28"/>
          <w:highlight w:val="none"/>
          <w:lang w:val="en-US" w:eastAsia="zh-CN"/>
        </w:rPr>
        <w:t>6</w:t>
      </w:r>
    </w:p>
    <w:p w14:paraId="3BA52861">
      <w:pPr>
        <w:pStyle w:val="36"/>
        <w:tabs>
          <w:tab w:val="right" w:leader="dot" w:pos="9060"/>
        </w:tabs>
        <w:spacing w:line="360" w:lineRule="auto"/>
        <w:rPr>
          <w:color w:val="auto"/>
          <w:sz w:val="28"/>
          <w:szCs w:val="28"/>
          <w:highlight w:val="none"/>
        </w:rPr>
      </w:pPr>
      <w:r>
        <w:rPr>
          <w:color w:val="auto"/>
          <w:highlight w:val="none"/>
        </w:rPr>
        <w:fldChar w:fldCharType="begin"/>
      </w:r>
      <w:r>
        <w:rPr>
          <w:color w:val="auto"/>
          <w:highlight w:val="none"/>
        </w:rPr>
        <w:instrText xml:space="preserve"> HYPERLINK \l "_Toc90288707" </w:instrText>
      </w:r>
      <w:r>
        <w:rPr>
          <w:color w:val="auto"/>
          <w:highlight w:val="none"/>
        </w:rPr>
        <w:fldChar w:fldCharType="separate"/>
      </w:r>
      <w:r>
        <w:rPr>
          <w:rStyle w:val="60"/>
          <w:rFonts w:hint="eastAsia" w:ascii="宋体" w:hAnsi="宋体"/>
          <w:b/>
          <w:color w:val="auto"/>
          <w:sz w:val="28"/>
          <w:szCs w:val="28"/>
          <w:highlight w:val="none"/>
        </w:rPr>
        <w:t>第四章</w:t>
      </w:r>
      <w:r>
        <w:rPr>
          <w:rStyle w:val="60"/>
          <w:rFonts w:ascii="宋体" w:hAnsi="宋体"/>
          <w:b/>
          <w:color w:val="auto"/>
          <w:sz w:val="28"/>
          <w:szCs w:val="28"/>
          <w:highlight w:val="none"/>
        </w:rPr>
        <w:t xml:space="preserve">  </w:t>
      </w:r>
      <w:r>
        <w:rPr>
          <w:rStyle w:val="60"/>
          <w:rFonts w:hint="eastAsia" w:ascii="宋体" w:hAnsi="宋体"/>
          <w:b/>
          <w:color w:val="auto"/>
          <w:sz w:val="28"/>
          <w:szCs w:val="28"/>
          <w:highlight w:val="none"/>
        </w:rPr>
        <w:t>评标办法</w:t>
      </w:r>
      <w:r>
        <w:rPr>
          <w:color w:val="auto"/>
          <w:sz w:val="28"/>
          <w:szCs w:val="28"/>
          <w:highlight w:val="none"/>
        </w:rPr>
        <w:tab/>
      </w:r>
      <w:r>
        <w:rPr>
          <w:rFonts w:hint="eastAsia"/>
          <w:color w:val="auto"/>
          <w:sz w:val="28"/>
          <w:szCs w:val="28"/>
          <w:highlight w:val="none"/>
          <w:lang w:val="en-US" w:eastAsia="zh-CN"/>
        </w:rPr>
        <w:t>147</w:t>
      </w:r>
      <w:r>
        <w:rPr>
          <w:rFonts w:hint="eastAsia"/>
          <w:color w:val="auto"/>
          <w:sz w:val="28"/>
          <w:szCs w:val="28"/>
          <w:highlight w:val="none"/>
        </w:rPr>
        <w:fldChar w:fldCharType="end"/>
      </w:r>
    </w:p>
    <w:p w14:paraId="4A0AEBD4">
      <w:pPr>
        <w:pStyle w:val="36"/>
        <w:tabs>
          <w:tab w:val="right" w:leader="dot" w:pos="9060"/>
        </w:tabs>
        <w:spacing w:line="360" w:lineRule="auto"/>
        <w:rPr>
          <w:color w:val="auto"/>
          <w:sz w:val="28"/>
          <w:szCs w:val="28"/>
          <w:highlight w:val="none"/>
        </w:rPr>
      </w:pPr>
      <w:r>
        <w:rPr>
          <w:color w:val="auto"/>
          <w:highlight w:val="none"/>
        </w:rPr>
        <w:fldChar w:fldCharType="begin"/>
      </w:r>
      <w:r>
        <w:rPr>
          <w:color w:val="auto"/>
          <w:highlight w:val="none"/>
        </w:rPr>
        <w:instrText xml:space="preserve"> HYPERLINK \l "_Toc90288708" </w:instrText>
      </w:r>
      <w:r>
        <w:rPr>
          <w:color w:val="auto"/>
          <w:highlight w:val="none"/>
        </w:rPr>
        <w:fldChar w:fldCharType="separate"/>
      </w:r>
      <w:r>
        <w:rPr>
          <w:rStyle w:val="60"/>
          <w:rFonts w:hint="eastAsia" w:hAnsi="宋体"/>
          <w:b/>
          <w:color w:val="auto"/>
          <w:sz w:val="28"/>
          <w:szCs w:val="28"/>
          <w:highlight w:val="none"/>
        </w:rPr>
        <w:t>第五章</w:t>
      </w:r>
      <w:r>
        <w:rPr>
          <w:rStyle w:val="60"/>
          <w:rFonts w:hAnsi="宋体"/>
          <w:b/>
          <w:color w:val="auto"/>
          <w:sz w:val="28"/>
          <w:szCs w:val="28"/>
          <w:highlight w:val="none"/>
        </w:rPr>
        <w:t xml:space="preserve">  </w:t>
      </w:r>
      <w:r>
        <w:rPr>
          <w:rStyle w:val="60"/>
          <w:rFonts w:hint="eastAsia" w:hAnsi="宋体"/>
          <w:b/>
          <w:color w:val="auto"/>
          <w:sz w:val="28"/>
          <w:szCs w:val="28"/>
          <w:highlight w:val="none"/>
        </w:rPr>
        <w:t>合同主要条款及格式</w:t>
      </w:r>
      <w:r>
        <w:rPr>
          <w:color w:val="auto"/>
          <w:sz w:val="28"/>
          <w:szCs w:val="28"/>
          <w:highlight w:val="none"/>
        </w:rPr>
        <w:tab/>
      </w:r>
      <w:r>
        <w:rPr>
          <w:rFonts w:hint="eastAsia"/>
          <w:color w:val="auto"/>
          <w:sz w:val="28"/>
          <w:szCs w:val="28"/>
          <w:highlight w:val="none"/>
          <w:lang w:val="en-US" w:eastAsia="zh-CN"/>
        </w:rPr>
        <w:t>1</w:t>
      </w:r>
      <w:r>
        <w:rPr>
          <w:rFonts w:hint="eastAsia"/>
          <w:color w:val="auto"/>
          <w:sz w:val="28"/>
          <w:szCs w:val="28"/>
          <w:highlight w:val="none"/>
        </w:rPr>
        <w:fldChar w:fldCharType="end"/>
      </w:r>
      <w:r>
        <w:rPr>
          <w:rFonts w:hint="eastAsia"/>
          <w:color w:val="auto"/>
          <w:sz w:val="28"/>
          <w:szCs w:val="28"/>
          <w:highlight w:val="none"/>
          <w:lang w:val="en-US" w:eastAsia="zh-CN"/>
        </w:rPr>
        <w:t>50</w:t>
      </w:r>
    </w:p>
    <w:p w14:paraId="2005EEA5">
      <w:pPr>
        <w:pStyle w:val="36"/>
        <w:tabs>
          <w:tab w:val="right" w:leader="dot" w:pos="9060"/>
        </w:tabs>
        <w:spacing w:line="360" w:lineRule="auto"/>
        <w:rPr>
          <w:color w:val="auto"/>
          <w:sz w:val="28"/>
          <w:szCs w:val="28"/>
          <w:highlight w:val="none"/>
        </w:rPr>
      </w:pPr>
      <w:r>
        <w:rPr>
          <w:color w:val="auto"/>
          <w:highlight w:val="none"/>
        </w:rPr>
        <w:fldChar w:fldCharType="begin"/>
      </w:r>
      <w:r>
        <w:rPr>
          <w:color w:val="auto"/>
          <w:highlight w:val="none"/>
        </w:rPr>
        <w:instrText xml:space="preserve"> HYPERLINK \l "_Toc90288709" </w:instrText>
      </w:r>
      <w:r>
        <w:rPr>
          <w:color w:val="auto"/>
          <w:highlight w:val="none"/>
        </w:rPr>
        <w:fldChar w:fldCharType="separate"/>
      </w:r>
      <w:r>
        <w:rPr>
          <w:rStyle w:val="60"/>
          <w:rFonts w:hint="eastAsia" w:ascii="宋体" w:hAnsi="宋体"/>
          <w:b/>
          <w:color w:val="auto"/>
          <w:sz w:val="28"/>
          <w:szCs w:val="28"/>
          <w:highlight w:val="none"/>
        </w:rPr>
        <w:t>第六章</w:t>
      </w:r>
      <w:r>
        <w:rPr>
          <w:rStyle w:val="60"/>
          <w:rFonts w:ascii="宋体" w:hAnsi="宋体"/>
          <w:b/>
          <w:color w:val="auto"/>
          <w:sz w:val="28"/>
          <w:szCs w:val="28"/>
          <w:highlight w:val="none"/>
        </w:rPr>
        <w:t xml:space="preserve">  </w:t>
      </w:r>
      <w:r>
        <w:rPr>
          <w:rStyle w:val="60"/>
          <w:rFonts w:hint="eastAsia" w:ascii="宋体" w:hAnsi="宋体"/>
          <w:b/>
          <w:color w:val="auto"/>
          <w:sz w:val="28"/>
          <w:szCs w:val="28"/>
          <w:highlight w:val="none"/>
        </w:rPr>
        <w:t>投标文件格式</w:t>
      </w:r>
      <w:r>
        <w:rPr>
          <w:color w:val="auto"/>
          <w:sz w:val="28"/>
          <w:szCs w:val="28"/>
          <w:highlight w:val="none"/>
        </w:rPr>
        <w:tab/>
      </w:r>
      <w:r>
        <w:rPr>
          <w:rFonts w:hint="eastAsia"/>
          <w:color w:val="auto"/>
          <w:sz w:val="28"/>
          <w:szCs w:val="28"/>
          <w:highlight w:val="none"/>
          <w:lang w:val="en-US" w:eastAsia="zh-CN"/>
        </w:rPr>
        <w:t>155</w:t>
      </w:r>
      <w:r>
        <w:rPr>
          <w:rFonts w:hint="eastAsia"/>
          <w:color w:val="auto"/>
          <w:sz w:val="28"/>
          <w:szCs w:val="28"/>
          <w:highlight w:val="none"/>
        </w:rPr>
        <w:fldChar w:fldCharType="end"/>
      </w:r>
    </w:p>
    <w:p w14:paraId="1EA1067C">
      <w:pPr>
        <w:pStyle w:val="36"/>
        <w:tabs>
          <w:tab w:val="right" w:leader="dot" w:pos="9060"/>
        </w:tabs>
        <w:spacing w:line="360" w:lineRule="auto"/>
        <w:rPr>
          <w:color w:val="auto"/>
          <w:sz w:val="28"/>
          <w:szCs w:val="28"/>
          <w:highlight w:val="none"/>
        </w:rPr>
      </w:pPr>
    </w:p>
    <w:p w14:paraId="22829505">
      <w:pPr>
        <w:spacing w:line="360" w:lineRule="auto"/>
        <w:rPr>
          <w:color w:val="auto"/>
          <w:highlight w:val="none"/>
        </w:rPr>
      </w:pPr>
      <w:r>
        <w:rPr>
          <w:color w:val="auto"/>
          <w:sz w:val="28"/>
          <w:szCs w:val="28"/>
          <w:highlight w:val="none"/>
        </w:rPr>
        <w:fldChar w:fldCharType="end"/>
      </w:r>
    </w:p>
    <w:p w14:paraId="069BAFB8">
      <w:pPr>
        <w:pStyle w:val="233"/>
        <w:ind w:firstLine="480"/>
        <w:rPr>
          <w:rFonts w:ascii="Times New Roman"/>
          <w:color w:val="auto"/>
          <w:highlight w:val="none"/>
        </w:rPr>
      </w:pPr>
    </w:p>
    <w:p w14:paraId="1DB0E396">
      <w:pPr>
        <w:rPr>
          <w:color w:val="auto"/>
          <w:highlight w:val="none"/>
        </w:rPr>
      </w:pPr>
    </w:p>
    <w:p w14:paraId="2617BEBF">
      <w:pPr>
        <w:pStyle w:val="233"/>
        <w:ind w:firstLine="480"/>
        <w:rPr>
          <w:rFonts w:ascii="Times New Roman"/>
          <w:color w:val="auto"/>
          <w:highlight w:val="none"/>
        </w:rPr>
      </w:pPr>
    </w:p>
    <w:p w14:paraId="77FD6346">
      <w:pPr>
        <w:rPr>
          <w:color w:val="auto"/>
          <w:highlight w:val="none"/>
        </w:rPr>
      </w:pPr>
    </w:p>
    <w:p w14:paraId="4ED675FB">
      <w:pPr>
        <w:pStyle w:val="233"/>
        <w:ind w:firstLine="480"/>
        <w:rPr>
          <w:rFonts w:ascii="Times New Roman"/>
          <w:color w:val="auto"/>
          <w:highlight w:val="none"/>
        </w:rPr>
      </w:pPr>
    </w:p>
    <w:p w14:paraId="1478FA46">
      <w:pPr>
        <w:rPr>
          <w:color w:val="auto"/>
          <w:highlight w:val="none"/>
        </w:rPr>
      </w:pPr>
    </w:p>
    <w:p w14:paraId="00260BFA">
      <w:pPr>
        <w:pStyle w:val="233"/>
        <w:ind w:firstLine="480"/>
        <w:rPr>
          <w:rFonts w:ascii="Times New Roman"/>
          <w:color w:val="auto"/>
          <w:highlight w:val="none"/>
        </w:rPr>
      </w:pPr>
    </w:p>
    <w:p w14:paraId="4EA6204E">
      <w:pPr>
        <w:pStyle w:val="2"/>
        <w:spacing w:before="480"/>
        <w:jc w:val="center"/>
        <w:rPr>
          <w:rFonts w:hint="eastAsia" w:ascii="宋体" w:hAnsi="宋体"/>
          <w:color w:val="auto"/>
          <w:highlight w:val="none"/>
        </w:rPr>
      </w:pPr>
      <w:bookmarkStart w:id="0" w:name="_Toc90288696"/>
      <w:r>
        <w:rPr>
          <w:rFonts w:hint="eastAsia" w:ascii="宋体" w:hAnsi="宋体"/>
          <w:b/>
          <w:color w:val="auto"/>
          <w:highlight w:val="none"/>
        </w:rPr>
        <w:br w:type="page"/>
      </w:r>
      <w:r>
        <w:rPr>
          <w:rFonts w:hint="eastAsia" w:ascii="宋体" w:hAnsi="宋体"/>
          <w:b/>
          <w:color w:val="auto"/>
          <w:highlight w:val="none"/>
        </w:rPr>
        <w:t>第一章</w:t>
      </w:r>
      <w:r>
        <w:rPr>
          <w:rFonts w:hint="eastAsia" w:ascii="宋体" w:hAnsi="宋体"/>
          <w:color w:val="auto"/>
          <w:highlight w:val="none"/>
        </w:rPr>
        <w:t xml:space="preserve">  </w:t>
      </w:r>
      <w:r>
        <w:rPr>
          <w:rFonts w:hint="eastAsia" w:ascii="宋体" w:hAnsi="宋体"/>
          <w:b/>
          <w:color w:val="auto"/>
          <w:highlight w:val="none"/>
        </w:rPr>
        <w:t>公开招标公告</w:t>
      </w:r>
      <w:bookmarkEnd w:id="0"/>
    </w:p>
    <w:tbl>
      <w:tblPr>
        <w:tblStyle w:val="51"/>
        <w:tblpPr w:leftFromText="180" w:rightFromText="180" w:vertAnchor="text" w:tblpX="526" w:tblpY="28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0"/>
      </w:tblGrid>
      <w:tr w14:paraId="3FB5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trPr>
        <w:tc>
          <w:tcPr>
            <w:tcW w:w="8930" w:type="dxa"/>
          </w:tcPr>
          <w:p w14:paraId="563229CD">
            <w:pPr>
              <w:pStyle w:val="238"/>
              <w:keepNext w:val="0"/>
              <w:keepLines w:val="0"/>
              <w:suppressLineNumbers w:val="0"/>
              <w:spacing w:before="0" w:beforeAutospacing="0" w:after="0" w:afterAutospacing="0" w:line="360" w:lineRule="exact"/>
              <w:ind w:left="0" w:right="0" w:firstLine="0" w:firstLineChars="0"/>
              <w:rPr>
                <w:rFonts w:hint="eastAsia" w:ascii="宋体" w:hAnsi="宋体"/>
                <w:color w:val="auto"/>
                <w:szCs w:val="21"/>
                <w:highlight w:val="none"/>
              </w:rPr>
            </w:pPr>
            <w:r>
              <w:rPr>
                <w:rFonts w:hint="eastAsia" w:ascii="宋体" w:hAnsi="宋体"/>
                <w:color w:val="auto"/>
                <w:szCs w:val="21"/>
                <w:highlight w:val="none"/>
              </w:rPr>
              <w:t>项目概况：</w:t>
            </w:r>
          </w:p>
          <w:p w14:paraId="5D7A810D">
            <w:pPr>
              <w:pStyle w:val="238"/>
              <w:keepNext w:val="0"/>
              <w:keepLines w:val="0"/>
              <w:suppressLineNumbers w:val="0"/>
              <w:spacing w:before="0" w:beforeAutospacing="0" w:after="0" w:afterAutospacing="0" w:line="360" w:lineRule="auto"/>
              <w:ind w:left="0" w:right="0" w:firstLine="420"/>
              <w:rPr>
                <w:rFonts w:hint="eastAsia" w:ascii="宋体" w:hAnsi="宋体"/>
                <w:color w:val="auto"/>
                <w:szCs w:val="21"/>
                <w:highlight w:val="none"/>
              </w:rPr>
            </w:pPr>
            <w:r>
              <w:rPr>
                <w:rFonts w:hint="eastAsia" w:ascii="宋体" w:hAnsi="宋体"/>
                <w:color w:val="auto"/>
                <w:szCs w:val="21"/>
                <w:highlight w:val="none"/>
                <w:u w:val="single"/>
                <w:lang w:eastAsia="zh-CN"/>
              </w:rPr>
              <w:t>阳朔县中等职业技术学校专业实训、信息化教学及阅览资源提质建设项目（重）</w:t>
            </w:r>
            <w:r>
              <w:rPr>
                <w:rFonts w:hint="eastAsia" w:ascii="宋体" w:hAnsi="宋体"/>
                <w:color w:val="auto"/>
                <w:szCs w:val="21"/>
                <w:highlight w:val="none"/>
              </w:rPr>
              <w:t>潜在投标人应在https://login.gcy.zfcg.gxzf.gov.cn（</w:t>
            </w:r>
            <w:r>
              <w:rPr>
                <w:rFonts w:hint="default"/>
                <w:color w:val="auto"/>
                <w:highlight w:val="none"/>
              </w:rPr>
              <w:fldChar w:fldCharType="begin"/>
            </w:r>
            <w:r>
              <w:rPr>
                <w:rFonts w:hint="default"/>
                <w:color w:val="auto"/>
                <w:highlight w:val="none"/>
              </w:rPr>
              <w:instrText xml:space="preserve"> HYPERLINK "http://www.zcygov.cn（政采云平台）获取招标文件电子版，并2023年月" </w:instrText>
            </w:r>
            <w:r>
              <w:rPr>
                <w:rFonts w:hint="default"/>
                <w:color w:val="auto"/>
                <w:highlight w:val="none"/>
              </w:rPr>
              <w:fldChar w:fldCharType="separate"/>
            </w:r>
            <w:r>
              <w:rPr>
                <w:rFonts w:hint="eastAsia" w:ascii="宋体" w:hAnsi="宋体"/>
                <w:color w:val="auto"/>
                <w:szCs w:val="21"/>
                <w:highlight w:val="none"/>
              </w:rPr>
              <w:t>广西政府采购云平台）获取招标文件电子版，并202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rPr>
              <w:fldChar w:fldCharType="end"/>
            </w:r>
            <w:r>
              <w:rPr>
                <w:rFonts w:hint="eastAsia" w:ascii="宋体" w:hAnsi="宋体"/>
                <w:color w:val="auto"/>
                <w:szCs w:val="21"/>
                <w:highlight w:val="none"/>
                <w:lang w:val="en-US" w:eastAsia="zh-CN"/>
              </w:rPr>
              <w:t>21</w:t>
            </w:r>
            <w:r>
              <w:rPr>
                <w:rFonts w:hint="eastAsia" w:ascii="宋体" w:hAnsi="宋体"/>
                <w:color w:val="auto"/>
                <w:szCs w:val="21"/>
                <w:highlight w:val="none"/>
              </w:rPr>
              <w:t>日09时30 分（北京时间）前通过“广西政府采购云”平台在线提交投标文件。</w:t>
            </w:r>
          </w:p>
        </w:tc>
      </w:tr>
    </w:tbl>
    <w:p w14:paraId="39841079">
      <w:pPr>
        <w:pStyle w:val="238"/>
        <w:spacing w:line="360" w:lineRule="auto"/>
        <w:ind w:firstLine="420"/>
        <w:rPr>
          <w:rFonts w:hint="eastAsia" w:ascii="宋体" w:hAnsi="宋体"/>
          <w:b/>
          <w:color w:val="auto"/>
          <w:szCs w:val="21"/>
          <w:highlight w:val="none"/>
        </w:rPr>
      </w:pPr>
      <w:r>
        <w:rPr>
          <w:rFonts w:hint="eastAsia" w:ascii="宋体" w:hAnsi="宋体"/>
          <w:b/>
          <w:color w:val="auto"/>
          <w:szCs w:val="21"/>
          <w:highlight w:val="none"/>
        </w:rPr>
        <w:t>一、项目基本情况</w:t>
      </w:r>
    </w:p>
    <w:p w14:paraId="1A78CA86">
      <w:pPr>
        <w:pStyle w:val="238"/>
        <w:spacing w:line="360" w:lineRule="auto"/>
        <w:ind w:firstLine="420"/>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项目编号：GLZC2026-G1-210069-GXWA</w:t>
      </w:r>
    </w:p>
    <w:p w14:paraId="26FE44FB">
      <w:pPr>
        <w:pStyle w:val="238"/>
        <w:spacing w:line="360" w:lineRule="auto"/>
        <w:ind w:firstLine="420"/>
        <w:rPr>
          <w:rFonts w:hint="eastAsia" w:ascii="宋体" w:hAns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lang w:eastAsia="zh-CN"/>
        </w:rPr>
        <w:t>阳朔县中等职业技术学校专业实训、信息化教学及阅览资源提质建设项目（重）</w:t>
      </w:r>
      <w:r>
        <w:rPr>
          <w:rFonts w:hint="eastAsia" w:ascii="宋体" w:hAnsi="宋体"/>
          <w:color w:val="auto"/>
          <w:szCs w:val="21"/>
          <w:highlight w:val="none"/>
        </w:rPr>
        <w:t xml:space="preserve">   </w:t>
      </w:r>
    </w:p>
    <w:p w14:paraId="03A923E9">
      <w:pPr>
        <w:pStyle w:val="238"/>
        <w:spacing w:line="360" w:lineRule="auto"/>
        <w:ind w:firstLine="420"/>
        <w:rPr>
          <w:rFonts w:hint="default" w:ascii="宋体" w:hAnsi="宋体" w:eastAsia="宋体"/>
          <w:color w:val="auto"/>
          <w:szCs w:val="21"/>
          <w:highlight w:val="none"/>
          <w:lang w:val="en-US" w:eastAsia="zh-CN"/>
        </w:rPr>
      </w:pPr>
      <w:r>
        <w:rPr>
          <w:rFonts w:hint="eastAsia" w:ascii="宋体" w:hAnsi="宋体"/>
          <w:color w:val="auto"/>
          <w:szCs w:val="21"/>
          <w:highlight w:val="none"/>
        </w:rPr>
        <w:t>预算总金额（元）：</w:t>
      </w:r>
      <w:r>
        <w:rPr>
          <w:rFonts w:hint="eastAsia" w:ascii="宋体" w:hAnsi="宋体"/>
          <w:color w:val="auto"/>
          <w:szCs w:val="21"/>
          <w:highlight w:val="none"/>
          <w:lang w:val="en-US" w:eastAsia="zh-CN"/>
        </w:rPr>
        <w:t>1420000.00</w:t>
      </w:r>
    </w:p>
    <w:p w14:paraId="6EA3B2F4">
      <w:pPr>
        <w:spacing w:line="360" w:lineRule="auto"/>
        <w:ind w:firstLine="420" w:firstLineChars="200"/>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采购需求：</w:t>
      </w:r>
    </w:p>
    <w:p w14:paraId="6F196133">
      <w:pPr>
        <w:spacing w:line="360" w:lineRule="auto"/>
        <w:ind w:firstLine="422" w:firstLineChars="200"/>
        <w:rPr>
          <w:rFonts w:hint="eastAsia" w:ascii="宋体" w:hAnsi="宋体" w:eastAsia="宋体" w:cs="宋体"/>
          <w:b/>
          <w:bCs/>
          <w:color w:val="auto"/>
          <w:szCs w:val="21"/>
          <w:highlight w:val="none"/>
        </w:rPr>
      </w:pPr>
    </w:p>
    <w:p w14:paraId="5E2F4FA8">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标项</w:t>
      </w:r>
      <w:r>
        <w:rPr>
          <w:rFonts w:hint="eastAsia" w:ascii="宋体" w:hAnsi="宋体" w:eastAsia="宋体" w:cs="宋体"/>
          <w:b/>
          <w:bCs/>
          <w:color w:val="auto"/>
          <w:szCs w:val="21"/>
          <w:highlight w:val="none"/>
          <w:lang w:val="en-US" w:eastAsia="zh-CN"/>
        </w:rPr>
        <w:t>一</w:t>
      </w:r>
      <w:r>
        <w:rPr>
          <w:rFonts w:hint="eastAsia" w:ascii="宋体" w:hAnsi="宋体" w:eastAsia="宋体" w:cs="宋体"/>
          <w:b/>
          <w:bCs/>
          <w:color w:val="auto"/>
          <w:szCs w:val="21"/>
          <w:highlight w:val="none"/>
        </w:rPr>
        <w:t>：</w:t>
      </w:r>
    </w:p>
    <w:p w14:paraId="63177D87">
      <w:pPr>
        <w:spacing w:line="360" w:lineRule="auto"/>
        <w:ind w:left="420" w:leftChars="200"/>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rPr>
        <w:t>标项名称:</w:t>
      </w:r>
      <w:r>
        <w:rPr>
          <w:rFonts w:hint="eastAsia" w:ascii="宋体" w:hAnsi="宋体"/>
          <w:color w:val="auto"/>
          <w:szCs w:val="21"/>
          <w:highlight w:val="none"/>
          <w:lang w:eastAsia="zh-CN"/>
        </w:rPr>
        <w:t>阳朔县中等职业技术学校专业实训、信息化教学及阅览资源提质建设项目（重）</w:t>
      </w:r>
      <w:r>
        <w:rPr>
          <w:rFonts w:hint="eastAsia" w:ascii="宋体" w:hAnsi="宋体"/>
          <w:color w:val="auto"/>
          <w:szCs w:val="21"/>
          <w:highlight w:val="none"/>
          <w:lang w:val="en-US" w:eastAsia="zh-CN"/>
        </w:rPr>
        <w:t>-A分标</w:t>
      </w:r>
    </w:p>
    <w:p w14:paraId="00F203F9">
      <w:pPr>
        <w:spacing w:line="360" w:lineRule="auto"/>
        <w:ind w:left="420" w:left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预算金额（元）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660000.00</w:t>
      </w:r>
    </w:p>
    <w:p w14:paraId="78A84F47">
      <w:pPr>
        <w:pStyle w:val="27"/>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最高限价（元）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660000.00</w:t>
      </w:r>
    </w:p>
    <w:p w14:paraId="50034F92">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简要规格描述或项目基本概况介绍、用途：生物和化学实验室</w:t>
      </w:r>
      <w:r>
        <w:rPr>
          <w:rFonts w:hint="eastAsia" w:ascii="宋体" w:hAnsi="宋体" w:eastAsia="宋体" w:cs="宋体"/>
          <w:color w:val="auto"/>
          <w:szCs w:val="21"/>
          <w:highlight w:val="none"/>
          <w:lang w:val="en-US" w:eastAsia="zh-CN"/>
        </w:rPr>
        <w:t>设备和仪器一批，具体详见第三章《货物采购需求》。</w:t>
      </w:r>
    </w:p>
    <w:p w14:paraId="7B8DD34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合同履行期限：</w:t>
      </w:r>
      <w:r>
        <w:rPr>
          <w:rFonts w:hint="eastAsia" w:ascii="宋体" w:hAnsi="宋体" w:cs="宋体"/>
          <w:color w:val="auto"/>
          <w:szCs w:val="21"/>
          <w:highlight w:val="none"/>
          <w:lang w:eastAsia="zh-CN"/>
        </w:rPr>
        <w:t>自签订合同之日起30个日历日内全部安装调试合格并交付使用</w:t>
      </w:r>
      <w:r>
        <w:rPr>
          <w:rFonts w:hint="eastAsia" w:ascii="宋体" w:hAnsi="宋体" w:eastAsia="宋体" w:cs="宋体"/>
          <w:color w:val="auto"/>
          <w:szCs w:val="21"/>
          <w:highlight w:val="none"/>
        </w:rPr>
        <w:t>；</w:t>
      </w:r>
    </w:p>
    <w:p w14:paraId="5F9C911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本标项（</w:t>
      </w:r>
      <w:r>
        <w:rPr>
          <w:rFonts w:hint="eastAsia" w:ascii="宋体" w:hAnsi="宋体" w:cs="宋体"/>
          <w:color w:val="auto"/>
          <w:szCs w:val="21"/>
          <w:highlight w:val="none"/>
          <w:lang w:val="en-US" w:eastAsia="zh-CN"/>
        </w:rPr>
        <w:t>否</w:t>
      </w:r>
      <w:r>
        <w:rPr>
          <w:rFonts w:hint="eastAsia" w:ascii="宋体" w:hAnsi="宋体" w:eastAsia="宋体" w:cs="宋体"/>
          <w:color w:val="auto"/>
          <w:szCs w:val="21"/>
          <w:highlight w:val="none"/>
        </w:rPr>
        <w:t>）接受联合体投标</w:t>
      </w:r>
    </w:p>
    <w:p w14:paraId="76103600">
      <w:pPr>
        <w:spacing w:line="360" w:lineRule="auto"/>
        <w:ind w:firstLine="422" w:firstLineChars="200"/>
        <w:rPr>
          <w:rFonts w:hint="eastAsia" w:ascii="宋体" w:hAnsi="宋体" w:eastAsia="宋体" w:cs="宋体"/>
          <w:b/>
          <w:bCs/>
          <w:color w:val="auto"/>
          <w:szCs w:val="21"/>
          <w:highlight w:val="none"/>
        </w:rPr>
      </w:pPr>
    </w:p>
    <w:p w14:paraId="1E0863AD">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标项</w:t>
      </w:r>
      <w:r>
        <w:rPr>
          <w:rFonts w:hint="eastAsia" w:ascii="宋体" w:hAnsi="宋体" w:eastAsia="宋体" w:cs="宋体"/>
          <w:b/>
          <w:bCs/>
          <w:color w:val="auto"/>
          <w:szCs w:val="21"/>
          <w:highlight w:val="none"/>
          <w:lang w:val="en-US" w:eastAsia="zh-CN"/>
        </w:rPr>
        <w:t>二</w:t>
      </w:r>
      <w:r>
        <w:rPr>
          <w:rFonts w:hint="eastAsia" w:ascii="宋体" w:hAnsi="宋体" w:eastAsia="宋体" w:cs="宋体"/>
          <w:b/>
          <w:bCs/>
          <w:color w:val="auto"/>
          <w:szCs w:val="21"/>
          <w:highlight w:val="none"/>
        </w:rPr>
        <w:t>：</w:t>
      </w:r>
    </w:p>
    <w:p w14:paraId="76F4FC7D">
      <w:pPr>
        <w:spacing w:line="360" w:lineRule="auto"/>
        <w:ind w:left="420" w:leftChars="200"/>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rPr>
        <w:t>标项名称:</w:t>
      </w:r>
      <w:r>
        <w:rPr>
          <w:rFonts w:hint="eastAsia" w:ascii="宋体" w:hAnsi="宋体"/>
          <w:color w:val="auto"/>
          <w:szCs w:val="21"/>
          <w:highlight w:val="none"/>
          <w:lang w:eastAsia="zh-CN"/>
        </w:rPr>
        <w:t>阳朔县中等职业技术学校专业实训、信息化教学及阅览资源提质建设项目（重）</w:t>
      </w:r>
      <w:r>
        <w:rPr>
          <w:rFonts w:hint="eastAsia" w:ascii="宋体" w:hAnsi="宋体"/>
          <w:color w:val="auto"/>
          <w:szCs w:val="21"/>
          <w:highlight w:val="none"/>
          <w:lang w:val="en-US" w:eastAsia="zh-CN"/>
        </w:rPr>
        <w:t>-B分标</w:t>
      </w:r>
    </w:p>
    <w:p w14:paraId="7557F889">
      <w:pPr>
        <w:spacing w:line="360" w:lineRule="auto"/>
        <w:ind w:left="420" w:left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预算金额（元）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760000.00</w:t>
      </w:r>
    </w:p>
    <w:p w14:paraId="77B50C56">
      <w:pPr>
        <w:pStyle w:val="27"/>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最高限价（元）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760000.00</w:t>
      </w:r>
    </w:p>
    <w:p w14:paraId="0A30F16B">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简要规格描述或项目基本概况介绍、用途：精品录播教室</w:t>
      </w:r>
      <w:r>
        <w:rPr>
          <w:rFonts w:hint="eastAsia" w:ascii="宋体" w:hAnsi="宋体" w:eastAsia="宋体" w:cs="宋体"/>
          <w:color w:val="auto"/>
          <w:szCs w:val="21"/>
          <w:highlight w:val="none"/>
          <w:lang w:val="en-US" w:eastAsia="zh-CN"/>
        </w:rPr>
        <w:t>设备</w:t>
      </w:r>
      <w:r>
        <w:rPr>
          <w:rFonts w:hint="eastAsia" w:ascii="宋体" w:hAnsi="宋体" w:eastAsia="宋体" w:cs="宋体"/>
          <w:color w:val="auto"/>
          <w:szCs w:val="21"/>
          <w:highlight w:val="none"/>
        </w:rPr>
        <w:t>、智慧校园数字化管理系统</w:t>
      </w:r>
      <w:r>
        <w:rPr>
          <w:rFonts w:hint="eastAsia" w:ascii="宋体" w:hAnsi="宋体" w:eastAsia="宋体" w:cs="宋体"/>
          <w:color w:val="auto"/>
          <w:szCs w:val="21"/>
          <w:highlight w:val="none"/>
          <w:lang w:eastAsia="zh-CN"/>
        </w:rPr>
        <w:t>、图书与阅览室资源</w:t>
      </w:r>
      <w:r>
        <w:rPr>
          <w:rFonts w:hint="eastAsia" w:ascii="宋体" w:hAnsi="宋体" w:eastAsia="宋体" w:cs="宋体"/>
          <w:color w:val="auto"/>
          <w:szCs w:val="21"/>
          <w:highlight w:val="none"/>
          <w:lang w:val="en-US" w:eastAsia="zh-CN"/>
        </w:rPr>
        <w:t>一批，具体详见第三章《货物采购需求》。</w:t>
      </w:r>
    </w:p>
    <w:p w14:paraId="7C9F6FA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合同履行期限：</w:t>
      </w:r>
      <w:r>
        <w:rPr>
          <w:rFonts w:hint="eastAsia" w:ascii="宋体" w:hAnsi="宋体" w:cs="宋体"/>
          <w:color w:val="auto"/>
          <w:szCs w:val="21"/>
          <w:highlight w:val="none"/>
          <w:lang w:eastAsia="zh-CN"/>
        </w:rPr>
        <w:t>自签订合同之日起30个日历日内全部安装调试合格并交付使用</w:t>
      </w:r>
      <w:r>
        <w:rPr>
          <w:rFonts w:hint="eastAsia" w:ascii="宋体" w:hAnsi="宋体" w:eastAsia="宋体" w:cs="宋体"/>
          <w:color w:val="auto"/>
          <w:szCs w:val="21"/>
          <w:highlight w:val="none"/>
        </w:rPr>
        <w:t>；</w:t>
      </w:r>
    </w:p>
    <w:p w14:paraId="18A358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本标项（</w:t>
      </w:r>
      <w:r>
        <w:rPr>
          <w:rFonts w:hint="eastAsia" w:ascii="宋体" w:hAnsi="宋体" w:cs="宋体"/>
          <w:color w:val="auto"/>
          <w:szCs w:val="21"/>
          <w:highlight w:val="none"/>
          <w:lang w:val="en-US" w:eastAsia="zh-CN"/>
        </w:rPr>
        <w:t>是</w:t>
      </w:r>
      <w:r>
        <w:rPr>
          <w:rFonts w:hint="eastAsia" w:ascii="宋体" w:hAnsi="宋体" w:eastAsia="宋体" w:cs="宋体"/>
          <w:color w:val="auto"/>
          <w:szCs w:val="21"/>
          <w:highlight w:val="none"/>
        </w:rPr>
        <w:t>）接受联合体投标</w:t>
      </w:r>
    </w:p>
    <w:p w14:paraId="3F752A22">
      <w:pPr>
        <w:pStyle w:val="238"/>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二、申请人的资格要求：</w:t>
      </w:r>
    </w:p>
    <w:p w14:paraId="0CDE2402">
      <w:pPr>
        <w:pStyle w:val="238"/>
        <w:spacing w:line="420" w:lineRule="exact"/>
        <w:ind w:firstLine="420"/>
        <w:rPr>
          <w:rFonts w:hint="eastAsia"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41182968">
      <w:pPr>
        <w:pStyle w:val="238"/>
        <w:spacing w:line="420" w:lineRule="exact"/>
        <w:ind w:firstLine="420"/>
        <w:rPr>
          <w:rFonts w:hint="eastAsia" w:ascii="宋体" w:hAnsi="宋体"/>
          <w:color w:val="auto"/>
          <w:szCs w:val="21"/>
          <w:highlight w:val="none"/>
        </w:rPr>
      </w:pPr>
      <w:r>
        <w:rPr>
          <w:rFonts w:hint="eastAsia" w:ascii="宋体" w:hAnsi="宋体"/>
          <w:color w:val="auto"/>
          <w:szCs w:val="21"/>
          <w:highlight w:val="none"/>
        </w:rPr>
        <w:t>2.落实政府采购政策需满足的资格要求：</w:t>
      </w:r>
      <w:r>
        <w:rPr>
          <w:rFonts w:hint="eastAsia" w:ascii="宋体" w:hAnsi="宋体" w:cs="宋体"/>
          <w:color w:val="auto"/>
          <w:szCs w:val="21"/>
          <w:highlight w:val="none"/>
        </w:rPr>
        <w:t>无；</w:t>
      </w:r>
    </w:p>
    <w:p w14:paraId="56F95BF6">
      <w:pPr>
        <w:pStyle w:val="238"/>
        <w:spacing w:line="420" w:lineRule="exact"/>
        <w:ind w:firstLine="420"/>
        <w:rPr>
          <w:rFonts w:hint="eastAsia" w:ascii="宋体" w:hAnsi="宋体" w:eastAsia="宋体"/>
          <w:color w:val="auto"/>
          <w:szCs w:val="21"/>
          <w:highlight w:val="none"/>
          <w:lang w:val="en-US" w:eastAsia="zh-CN"/>
        </w:rPr>
      </w:pPr>
      <w:r>
        <w:rPr>
          <w:rFonts w:hint="eastAsia" w:ascii="宋体" w:hAnsi="宋体"/>
          <w:color w:val="auto"/>
          <w:szCs w:val="21"/>
          <w:highlight w:val="none"/>
        </w:rPr>
        <w:t>3.本项目的特定资格要求：标项二须具备有效的《出版物经营许可证》（零售或批发资质均可）</w:t>
      </w:r>
      <w:r>
        <w:rPr>
          <w:rFonts w:hint="eastAsia" w:ascii="宋体" w:hAnsi="宋体"/>
          <w:color w:val="auto"/>
          <w:szCs w:val="21"/>
          <w:highlight w:val="none"/>
          <w:lang w:eastAsia="zh-CN"/>
        </w:rPr>
        <w:t>。</w:t>
      </w:r>
    </w:p>
    <w:p w14:paraId="3749DCC3">
      <w:pPr>
        <w:pStyle w:val="238"/>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三、获取招标文件：</w:t>
      </w:r>
    </w:p>
    <w:p w14:paraId="27A6EA00">
      <w:pPr>
        <w:pStyle w:val="238"/>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招标文件获取时间：202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8月31日</w:t>
      </w:r>
      <w:r>
        <w:rPr>
          <w:rFonts w:hint="eastAsia" w:ascii="宋体" w:hAnsi="宋体"/>
          <w:bCs/>
          <w:color w:val="auto"/>
          <w:szCs w:val="21"/>
          <w:highlight w:val="none"/>
        </w:rPr>
        <w:t>至202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9月21日</w:t>
      </w:r>
      <w:r>
        <w:rPr>
          <w:rFonts w:hint="eastAsia" w:ascii="宋体" w:hAnsi="宋体"/>
          <w:bCs/>
          <w:color w:val="auto"/>
          <w:szCs w:val="21"/>
          <w:highlight w:val="none"/>
        </w:rPr>
        <w:t>9时30分。</w:t>
      </w:r>
    </w:p>
    <w:p w14:paraId="496BCE94">
      <w:pPr>
        <w:pStyle w:val="238"/>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地点（网址）：“广西政府采购云”平台（https://login.gcy.zfcg.gxzf.gov.cn）</w:t>
      </w:r>
    </w:p>
    <w:p w14:paraId="47E0CFAB">
      <w:pPr>
        <w:pStyle w:val="238"/>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方式：投标人登录广西政府采购云平台https://login.gcy.zfcg.gxzf.gov.cn在线申请获取招标文件（进入“项目采购”应用，在获取招标文件菜单中选择项目，申请获取招标文件） </w:t>
      </w:r>
    </w:p>
    <w:p w14:paraId="168BAD0A">
      <w:pPr>
        <w:pStyle w:val="238"/>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售价（元）：0</w:t>
      </w:r>
    </w:p>
    <w:p w14:paraId="077A0AEA">
      <w:pPr>
        <w:pStyle w:val="238"/>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四、提交投标文件截止时间、开标时间和地点</w:t>
      </w:r>
    </w:p>
    <w:p w14:paraId="700161E9">
      <w:pPr>
        <w:pStyle w:val="238"/>
        <w:spacing w:line="420" w:lineRule="exact"/>
        <w:ind w:firstLine="422"/>
        <w:rPr>
          <w:rFonts w:hint="eastAsia" w:ascii="宋体" w:hAnsi="宋体"/>
          <w:color w:val="auto"/>
          <w:szCs w:val="21"/>
          <w:highlight w:val="none"/>
        </w:rPr>
      </w:pPr>
      <w:r>
        <w:rPr>
          <w:rFonts w:hint="eastAsia" w:ascii="宋体" w:hAnsi="宋体"/>
          <w:color w:val="auto"/>
          <w:szCs w:val="21"/>
          <w:highlight w:val="none"/>
        </w:rPr>
        <w:t>投标截止时间：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9月21日</w:t>
      </w:r>
      <w:r>
        <w:rPr>
          <w:rFonts w:hint="eastAsia" w:ascii="宋体" w:hAnsi="宋体" w:cs="宋体"/>
          <w:color w:val="auto"/>
          <w:szCs w:val="21"/>
          <w:highlight w:val="none"/>
        </w:rPr>
        <w:t>9时30分</w:t>
      </w:r>
      <w:r>
        <w:rPr>
          <w:rFonts w:hint="eastAsia" w:ascii="宋体" w:hAnsi="宋体" w:cs="宋体"/>
          <w:color w:val="auto"/>
          <w:spacing w:val="1"/>
          <w:szCs w:val="21"/>
          <w:highlight w:val="none"/>
        </w:rPr>
        <w:t>（北京时间）</w:t>
      </w:r>
      <w:r>
        <w:rPr>
          <w:rFonts w:hint="eastAsia" w:ascii="宋体" w:hAnsi="宋体"/>
          <w:color w:val="auto"/>
          <w:szCs w:val="21"/>
          <w:highlight w:val="none"/>
        </w:rPr>
        <w:t>。</w:t>
      </w:r>
    </w:p>
    <w:p w14:paraId="00161C9D">
      <w:pPr>
        <w:pStyle w:val="238"/>
        <w:spacing w:line="420" w:lineRule="exact"/>
        <w:ind w:firstLine="422"/>
        <w:rPr>
          <w:rFonts w:hint="eastAsia" w:ascii="宋体" w:hAnsi="宋体" w:cs="宋体"/>
          <w:color w:val="auto"/>
          <w:spacing w:val="1"/>
          <w:szCs w:val="21"/>
          <w:highlight w:val="none"/>
        </w:rPr>
      </w:pPr>
      <w:r>
        <w:rPr>
          <w:rFonts w:hint="eastAsia" w:ascii="宋体" w:hAnsi="宋体" w:cs="宋体"/>
          <w:color w:val="auto"/>
          <w:spacing w:val="1"/>
          <w:szCs w:val="21"/>
          <w:highlight w:val="none"/>
        </w:rPr>
        <w:t>投标地点：通过“</w:t>
      </w:r>
      <w:r>
        <w:rPr>
          <w:rFonts w:hint="eastAsia" w:ascii="宋体" w:hAnsi="宋体" w:cs="宋体"/>
          <w:color w:val="auto"/>
          <w:szCs w:val="21"/>
          <w:highlight w:val="none"/>
        </w:rPr>
        <w:t>广西政府采购云</w:t>
      </w:r>
      <w:r>
        <w:rPr>
          <w:rFonts w:hint="eastAsia" w:ascii="宋体" w:hAnsi="宋体" w:cs="宋体"/>
          <w:color w:val="auto"/>
          <w:spacing w:val="1"/>
          <w:szCs w:val="21"/>
          <w:highlight w:val="none"/>
        </w:rPr>
        <w:t>”平台在线投标。</w:t>
      </w:r>
    </w:p>
    <w:p w14:paraId="6B5454FA">
      <w:pPr>
        <w:pStyle w:val="238"/>
        <w:spacing w:line="420" w:lineRule="exact"/>
        <w:ind w:firstLine="422"/>
        <w:rPr>
          <w:rFonts w:hint="eastAsia" w:ascii="宋体" w:hAnsi="宋体"/>
          <w:b w:val="0"/>
          <w:bCs/>
          <w:color w:val="auto"/>
          <w:szCs w:val="21"/>
          <w:highlight w:val="none"/>
        </w:rPr>
      </w:pPr>
      <w:r>
        <w:rPr>
          <w:rFonts w:hint="eastAsia" w:ascii="宋体" w:hAnsi="宋体"/>
          <w:b w:val="0"/>
          <w:bCs/>
          <w:color w:val="auto"/>
          <w:szCs w:val="21"/>
          <w:highlight w:val="none"/>
        </w:rPr>
        <w:t>开标时间：202</w:t>
      </w:r>
      <w:r>
        <w:rPr>
          <w:rFonts w:hint="eastAsia" w:ascii="宋体" w:hAnsi="宋体"/>
          <w:b w:val="0"/>
          <w:bCs/>
          <w:color w:val="auto"/>
          <w:szCs w:val="21"/>
          <w:highlight w:val="none"/>
          <w:lang w:val="en-US" w:eastAsia="zh-CN"/>
        </w:rPr>
        <w:t>6</w:t>
      </w:r>
      <w:r>
        <w:rPr>
          <w:rFonts w:hint="eastAsia" w:ascii="宋体" w:hAnsi="宋体"/>
          <w:b w:val="0"/>
          <w:bCs/>
          <w:color w:val="auto"/>
          <w:szCs w:val="21"/>
          <w:highlight w:val="none"/>
        </w:rPr>
        <w:t>年</w:t>
      </w:r>
      <w:r>
        <w:rPr>
          <w:rFonts w:hint="eastAsia" w:ascii="宋体" w:hAnsi="宋体"/>
          <w:b w:val="0"/>
          <w:bCs/>
          <w:color w:val="auto"/>
          <w:szCs w:val="21"/>
          <w:highlight w:val="none"/>
          <w:lang w:val="en-US" w:eastAsia="zh-CN"/>
        </w:rPr>
        <w:t>9月21日</w:t>
      </w:r>
      <w:r>
        <w:rPr>
          <w:rFonts w:hint="eastAsia" w:ascii="宋体" w:hAnsi="宋体"/>
          <w:b w:val="0"/>
          <w:bCs/>
          <w:color w:val="auto"/>
          <w:szCs w:val="21"/>
          <w:highlight w:val="none"/>
        </w:rPr>
        <w:t>上午09时30分（北京时间）；</w:t>
      </w:r>
    </w:p>
    <w:p w14:paraId="1D4CDF87">
      <w:pPr>
        <w:pStyle w:val="238"/>
        <w:spacing w:line="420" w:lineRule="exact"/>
        <w:ind w:firstLine="422"/>
        <w:rPr>
          <w:rFonts w:hint="eastAsia" w:ascii="宋体" w:hAnsi="宋体" w:cs="宋体"/>
          <w:color w:val="auto"/>
          <w:spacing w:val="1"/>
          <w:szCs w:val="21"/>
          <w:highlight w:val="none"/>
        </w:rPr>
      </w:pPr>
      <w:r>
        <w:rPr>
          <w:rFonts w:hint="eastAsia" w:ascii="宋体" w:hAnsi="宋体" w:cs="宋体"/>
          <w:color w:val="auto"/>
          <w:spacing w:val="1"/>
          <w:szCs w:val="21"/>
          <w:highlight w:val="none"/>
        </w:rPr>
        <w:t>开标地点：</w:t>
      </w:r>
      <w:r>
        <w:rPr>
          <w:rFonts w:hint="eastAsia" w:ascii="宋体" w:hAnsi="宋体" w:cs="宋体"/>
          <w:bCs/>
          <w:color w:val="auto"/>
          <w:highlight w:val="none"/>
        </w:rPr>
        <w:t>通过“广西政府采购云”平台在线解密、开标。</w:t>
      </w:r>
    </w:p>
    <w:p w14:paraId="2928041A">
      <w:pPr>
        <w:pStyle w:val="238"/>
        <w:spacing w:line="420" w:lineRule="exact"/>
        <w:ind w:firstLine="422"/>
        <w:rPr>
          <w:rFonts w:hint="eastAsia" w:ascii="宋体" w:hAnsi="宋体"/>
          <w:color w:val="auto"/>
          <w:szCs w:val="21"/>
          <w:highlight w:val="none"/>
        </w:rPr>
      </w:pPr>
      <w:r>
        <w:rPr>
          <w:rFonts w:hint="eastAsia" w:ascii="宋体" w:hAnsi="宋体"/>
          <w:b/>
          <w:color w:val="auto"/>
          <w:szCs w:val="21"/>
          <w:highlight w:val="none"/>
        </w:rPr>
        <w:t>五、公告期限：</w:t>
      </w:r>
    </w:p>
    <w:p w14:paraId="7F322CE9">
      <w:pPr>
        <w:pStyle w:val="238"/>
        <w:spacing w:line="420" w:lineRule="exact"/>
        <w:ind w:firstLine="420"/>
        <w:rPr>
          <w:rFonts w:hint="eastAsia" w:ascii="宋体" w:hAnsi="宋体"/>
          <w:color w:val="auto"/>
          <w:szCs w:val="21"/>
          <w:highlight w:val="none"/>
        </w:rPr>
      </w:pPr>
      <w:r>
        <w:rPr>
          <w:rFonts w:hint="eastAsia" w:ascii="宋体" w:hAnsi="宋体"/>
          <w:color w:val="auto"/>
          <w:szCs w:val="21"/>
          <w:highlight w:val="none"/>
        </w:rPr>
        <w:t>自本公告发布之日起5个工作日。</w:t>
      </w:r>
    </w:p>
    <w:p w14:paraId="42F1F42F">
      <w:pPr>
        <w:pStyle w:val="238"/>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六、其他补充事宜：</w:t>
      </w:r>
    </w:p>
    <w:p w14:paraId="57318D8F">
      <w:pPr>
        <w:spacing w:line="420" w:lineRule="exact"/>
        <w:ind w:firstLine="420" w:firstLineChars="200"/>
        <w:rPr>
          <w:color w:val="auto"/>
          <w:highlight w:val="none"/>
        </w:rPr>
      </w:pPr>
      <w:r>
        <w:rPr>
          <w:rFonts w:hint="eastAsia" w:asciiTheme="minorEastAsia" w:hAnsiTheme="minorEastAsia" w:eastAsiaTheme="minorEastAsia" w:cstheme="minorEastAsia"/>
          <w:color w:val="auto"/>
          <w:szCs w:val="21"/>
          <w:highlight w:val="none"/>
          <w:shd w:val="clear" w:color="auto" w:fill="FFFFFF"/>
        </w:rPr>
        <w:t>1.信息公告发布媒体：</w:t>
      </w:r>
      <w:r>
        <w:rPr>
          <w:rFonts w:hint="eastAsia" w:ascii="宋体" w:hAnsi="宋体" w:cs="宋体"/>
          <w:color w:val="auto"/>
          <w:szCs w:val="21"/>
          <w:highlight w:val="none"/>
        </w:rPr>
        <w:t>本项目信息发布媒体：http://www.ccgp.gov.cn（中国政府采购网）、http://www.ccgp-guangxi.gov.cn/（广西壮族自治区政府采购网）、桂林市政府采购网（zfcg.czj.guilin.gov.cn）。</w:t>
      </w:r>
    </w:p>
    <w:p w14:paraId="231082AA">
      <w:pPr>
        <w:wordWrap w:val="0"/>
        <w:spacing w:line="372" w:lineRule="auto"/>
        <w:ind w:firstLine="420" w:firstLineChars="200"/>
        <w:rPr>
          <w:rFonts w:hint="eastAsia" w:ascii="宋体" w:hAnsi="宋体" w:cs="宋体"/>
          <w:color w:val="auto"/>
          <w:szCs w:val="21"/>
          <w:highlight w:val="none"/>
          <w:shd w:val="clear" w:color="auto" w:fill="FFFFFF"/>
        </w:rPr>
      </w:pPr>
      <w:r>
        <w:rPr>
          <w:rFonts w:hint="eastAsia" w:asciiTheme="minorEastAsia" w:hAnsiTheme="minorEastAsia" w:eastAsiaTheme="minorEastAsia" w:cstheme="minorEastAsia"/>
          <w:color w:val="auto"/>
          <w:szCs w:val="21"/>
          <w:highlight w:val="none"/>
          <w:shd w:val="clear" w:color="auto" w:fill="FFFFFF"/>
        </w:rPr>
        <w:t>2.投标人认为招标文件使自己的合法权益受到损害的，应当在本项目公告期限届满之日起七个工作日内以书面形式向采购代理机构提出质疑；投标人认为招标过程或中标结果使自己的合法权益受到损害的，应当在各采购程序环节结束之日或中标公告期限届满之日起七个工作日内，以书面形式向采购代理机构提出质疑（“质疑函”格式见附表1）。否则，采购代理机构有权拒收。</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lang w:val="en-US" w:eastAsia="zh-CN"/>
        </w:rPr>
        <w:t xml:space="preserve">    </w:t>
      </w:r>
      <w:r>
        <w:rPr>
          <w:rFonts w:hint="eastAsia" w:asciiTheme="minorEastAsia" w:hAnsiTheme="minorEastAsia" w:eastAsiaTheme="minorEastAsia" w:cstheme="minorEastAsia"/>
          <w:color w:val="auto"/>
          <w:szCs w:val="21"/>
          <w:highlight w:val="none"/>
          <w:shd w:val="clear" w:color="auto" w:fill="FFFFFF"/>
        </w:rPr>
        <w:t>3.本项目需要落实的政府采购政策</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rPr>
        <w:t>（1）政府采购促进中小企业发展。</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rPr>
        <w:t>（2）政府采购支持监狱企业发展。</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rPr>
        <w:t>（3）政府采购促进残疾人就业政策。</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rPr>
        <w:t>（4）优先采购节能产品、环境标志产品。</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rPr>
        <w:t>（5）政府采购支持采用本国产品的政策。</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lang w:val="en-US" w:eastAsia="zh-CN"/>
        </w:rPr>
        <w:t xml:space="preserve">   </w:t>
      </w:r>
      <w:r>
        <w:rPr>
          <w:rFonts w:hint="eastAsia" w:asciiTheme="minorEastAsia" w:hAnsiTheme="minorEastAsia" w:eastAsiaTheme="minorEastAsia" w:cstheme="minorEastAsia"/>
          <w:color w:val="auto"/>
          <w:szCs w:val="21"/>
          <w:highlight w:val="none"/>
          <w:shd w:val="clear" w:color="auto" w:fill="FFFFFF"/>
        </w:rPr>
        <w:t>4.</w:t>
      </w:r>
      <w:r>
        <w:rPr>
          <w:rFonts w:ascii="宋体" w:hAnsi="宋体" w:cs="宋体"/>
          <w:color w:val="auto"/>
          <w:spacing w:val="8"/>
          <w:position w:val="1"/>
          <w:szCs w:val="21"/>
          <w:highlight w:val="none"/>
        </w:rPr>
        <w:t>本项目所属行业：</w:t>
      </w:r>
      <w:r>
        <w:rPr>
          <w:rFonts w:hint="eastAsia" w:ascii="宋体" w:hAnsi="宋体" w:cs="宋体"/>
          <w:color w:val="auto"/>
          <w:spacing w:val="8"/>
          <w:position w:val="1"/>
          <w:szCs w:val="21"/>
          <w:highlight w:val="none"/>
        </w:rPr>
        <w:t>工业</w:t>
      </w:r>
      <w:r>
        <w:rPr>
          <w:rFonts w:ascii="宋体" w:hAnsi="宋体" w:cs="宋体"/>
          <w:color w:val="auto"/>
          <w:spacing w:val="8"/>
          <w:position w:val="1"/>
          <w:szCs w:val="21"/>
          <w:highlight w:val="none"/>
        </w:rPr>
        <w:t>。</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lang w:val="en-US" w:eastAsia="zh-CN"/>
        </w:rPr>
        <w:t xml:space="preserve">   </w:t>
      </w:r>
      <w:r>
        <w:rPr>
          <w:rFonts w:hint="eastAsia" w:asciiTheme="minorEastAsia" w:hAnsiTheme="minorEastAsia" w:eastAsiaTheme="minorEastAsia" w:cstheme="minorEastAsia"/>
          <w:color w:val="auto"/>
          <w:szCs w:val="21"/>
          <w:highlight w:val="none"/>
          <w:shd w:val="clear" w:color="auto" w:fill="FFFFFF"/>
        </w:rPr>
        <w:t>5.资格条件特别说明：</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rPr>
        <w:t>（1）单位负责人为同一人或者存在直接控股、管理关系的不同投标人，不得参加同一合同项下的政府采购活动。为本项目提供过整体设计、规范编制或者项目管理、监理、检测等服务的投标人，不得再参加本项目上述服务以外的其他采购活动；</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rPr>
        <w:t>（2）对在“信用中国”网站(www.creditchina.gov.cn) 、中国政府采购网(www.ccgp.gov.cn)被列入失信被执行人、重大税收违法案件当事人名单、政府采购严重违法失信行为记录名单及其他不符合《中华人民共和国政府采购法》第二十二条规定条件的投标人，不得参与政府采购活动。</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lang w:val="en-US" w:eastAsia="zh-CN"/>
        </w:rPr>
        <w:t xml:space="preserve">   </w:t>
      </w:r>
      <w:r>
        <w:rPr>
          <w:rFonts w:hint="eastAsia" w:asciiTheme="minorEastAsia" w:hAnsiTheme="minorEastAsia" w:eastAsiaTheme="minorEastAsia" w:cstheme="minorEastAsia"/>
          <w:color w:val="auto"/>
          <w:szCs w:val="21"/>
          <w:highlight w:val="none"/>
          <w:shd w:val="clear" w:color="auto" w:fill="FFFFFF"/>
        </w:rPr>
        <w:t>6.</w:t>
      </w:r>
      <w:r>
        <w:rPr>
          <w:rFonts w:hint="eastAsia" w:ascii="宋体" w:hAnsi="宋体" w:cs="宋体"/>
          <w:color w:val="auto"/>
          <w:szCs w:val="21"/>
          <w:highlight w:val="none"/>
          <w:shd w:val="clear" w:color="auto" w:fill="FFFFFF"/>
        </w:rPr>
        <w:t>“广西政府采购云”平台电子投标相关事宜说明：</w:t>
      </w:r>
      <w:r>
        <w:rPr>
          <w:rFonts w:hint="eastAsia" w:ascii="宋体" w:hAnsi="宋体" w:cs="宋体"/>
          <w:color w:val="auto"/>
          <w:szCs w:val="21"/>
          <w:highlight w:val="none"/>
          <w:shd w:val="clear" w:color="auto" w:fill="FFFFFF"/>
        </w:rPr>
        <w:br w:type="textWrapping"/>
      </w:r>
      <w:r>
        <w:rPr>
          <w:rFonts w:hint="eastAsia" w:ascii="宋体" w:hAnsi="宋体" w:cs="宋体"/>
          <w:color w:val="auto"/>
          <w:szCs w:val="21"/>
          <w:highlight w:val="none"/>
          <w:shd w:val="clear" w:color="auto" w:fill="FFFFFF"/>
          <w:lang w:val="en-US" w:eastAsia="zh-CN"/>
        </w:rPr>
        <w:t xml:space="preserve">  </w:t>
      </w:r>
      <w:r>
        <w:rPr>
          <w:rFonts w:hint="eastAsia" w:ascii="宋体" w:hAnsi="宋体" w:cs="宋体"/>
          <w:color w:val="auto"/>
          <w:szCs w:val="21"/>
          <w:highlight w:val="none"/>
          <w:shd w:val="clear" w:color="auto" w:fill="FFFFFF"/>
        </w:rPr>
        <w:t>（1）本项目实行全流程电子化采购，投标人通过“广西政府采购云”平台参与电子投标，并应做好以下相关准备工作：①在“广西政府采购云”平台注册成为正式投标人（操作方法详见广西壮族自治区政府采购网—办事服务—办事指南）；②完成CA证书申领和绑定（费用由投标人自行承担，办理流程详见广西壮族自治区政府采购网—办事服务—下载专区，完成CA证书办理预计一周左右，建议投标人尽快办理）；③下载“广西壮族自治区全流程电子招投标项目管理系统--投标人客户端”（操作方法详见广西壮族自治区政府采购网—办事服务—下载专区，以下称“广西政府采购云电子投标客户端”）并安装成功，投标人应当在提交投标文件截止时间前在“广西政府采购云”平台完成的身份认证，确保能够对相关数据电文进行加密和使用电子签章；④自备计算机和网络设备并确保能接入互联网（费用由投标人自行承担，设备确保可进行视频通话和读取广西政府采购云CA证书）。因投标人未做好相关准备工作等自身原因导致无法参加本项目电子投标或投标失败的，造成的一切后果，由投标人自行承担。</w:t>
      </w:r>
      <w:r>
        <w:rPr>
          <w:rFonts w:hint="eastAsia" w:ascii="宋体" w:hAnsi="宋体" w:cs="宋体"/>
          <w:color w:val="auto"/>
          <w:szCs w:val="21"/>
          <w:highlight w:val="none"/>
          <w:shd w:val="clear" w:color="auto" w:fill="FFFFFF"/>
        </w:rPr>
        <w:br w:type="textWrapping"/>
      </w:r>
      <w:r>
        <w:rPr>
          <w:rFonts w:hint="eastAsia" w:ascii="宋体" w:hAnsi="宋体" w:cs="宋体"/>
          <w:color w:val="auto"/>
          <w:szCs w:val="21"/>
          <w:highlight w:val="none"/>
          <w:shd w:val="clear" w:color="auto" w:fill="FFFFFF"/>
          <w:lang w:val="en-US" w:eastAsia="zh-CN"/>
        </w:rPr>
        <w:t xml:space="preserve">  </w:t>
      </w:r>
      <w:r>
        <w:rPr>
          <w:rFonts w:hint="eastAsia" w:ascii="宋体" w:hAnsi="宋体" w:cs="宋体"/>
          <w:color w:val="auto"/>
          <w:szCs w:val="21"/>
          <w:highlight w:val="none"/>
          <w:shd w:val="clear" w:color="auto" w:fill="FFFFFF"/>
        </w:rPr>
        <w:t>（2）电子投标具体操作流程参考《政府采购项目电子交易管理操作指南-投标人》（详见桂林市政府采购网—采购资讯—重要通知）；如遇平台技术问题详询95763。</w:t>
      </w:r>
      <w:r>
        <w:rPr>
          <w:rFonts w:hint="eastAsia" w:ascii="宋体" w:hAnsi="宋体" w:cs="宋体"/>
          <w:color w:val="auto"/>
          <w:szCs w:val="21"/>
          <w:highlight w:val="none"/>
          <w:shd w:val="clear" w:color="auto" w:fill="FFFFFF"/>
        </w:rPr>
        <w:br w:type="textWrapping"/>
      </w:r>
      <w:r>
        <w:rPr>
          <w:rFonts w:hint="eastAsia" w:ascii="宋体" w:hAnsi="宋体" w:cs="宋体"/>
          <w:color w:val="auto"/>
          <w:szCs w:val="21"/>
          <w:highlight w:val="none"/>
          <w:shd w:val="clear" w:color="auto" w:fill="FFFFFF"/>
          <w:lang w:val="en-US" w:eastAsia="zh-CN"/>
        </w:rPr>
        <w:t xml:space="preserve">  </w:t>
      </w:r>
      <w:r>
        <w:rPr>
          <w:rFonts w:hint="eastAsia" w:ascii="宋体" w:hAnsi="宋体" w:cs="宋体"/>
          <w:color w:val="auto"/>
          <w:szCs w:val="21"/>
          <w:highlight w:val="none"/>
          <w:shd w:val="clear" w:color="auto" w:fill="FFFFFF"/>
        </w:rPr>
        <w:t>（3）电子投标文件的制作、加密、提交、解密等相关事宜详见第二章 “投标人须知”。</w:t>
      </w:r>
    </w:p>
    <w:p w14:paraId="26C5D1F6">
      <w:pPr>
        <w:wordWrap w:val="0"/>
        <w:spacing w:line="372" w:lineRule="auto"/>
        <w:ind w:firstLine="210" w:firstLineChars="100"/>
        <w:rPr>
          <w:rFonts w:hint="eastAsia" w:ascii="宋体" w:hAnsi="宋体" w:eastAsia="宋体" w:cs="宋体"/>
          <w:color w:val="auto"/>
          <w:szCs w:val="21"/>
          <w:highlight w:val="none"/>
          <w:shd w:val="clear" w:color="auto" w:fill="FFFFFF"/>
          <w:lang w:eastAsia="zh-CN"/>
        </w:rPr>
      </w:pPr>
      <w:r>
        <w:rPr>
          <w:rFonts w:hint="eastAsia" w:ascii="宋体" w:hAnsi="宋体" w:cs="宋体"/>
          <w:color w:val="auto"/>
          <w:szCs w:val="21"/>
          <w:highlight w:val="none"/>
          <w:shd w:val="clear" w:color="auto" w:fill="FFFFFF"/>
          <w:lang w:val="en-US" w:eastAsia="zh-CN"/>
        </w:rPr>
        <w:t>7.</w:t>
      </w:r>
      <w:r>
        <w:rPr>
          <w:rFonts w:hint="eastAsia" w:ascii="宋体" w:hAnsi="宋体"/>
          <w:color w:val="auto"/>
          <w:szCs w:val="21"/>
          <w:highlight w:val="none"/>
        </w:rPr>
        <w:t>监督管理机构</w:t>
      </w:r>
      <w:r>
        <w:rPr>
          <w:rFonts w:hint="eastAsia" w:ascii="宋体" w:hAnsi="宋体"/>
          <w:color w:val="auto"/>
          <w:szCs w:val="21"/>
          <w:highlight w:val="none"/>
          <w:lang w:eastAsia="zh-CN"/>
        </w:rPr>
        <w:t>：</w:t>
      </w:r>
      <w:r>
        <w:rPr>
          <w:rFonts w:hint="eastAsia" w:ascii="宋体" w:hAnsi="宋体"/>
          <w:color w:val="auto"/>
          <w:highlight w:val="none"/>
          <w:lang w:val="en-US" w:eastAsia="zh-CN"/>
        </w:rPr>
        <w:t xml:space="preserve">阳朔县财政局      </w:t>
      </w:r>
      <w:r>
        <w:rPr>
          <w:rFonts w:hint="eastAsia" w:ascii="宋体" w:hAnsi="宋体"/>
          <w:color w:val="auto"/>
          <w:highlight w:val="none"/>
        </w:rPr>
        <w:t>联系电话：</w:t>
      </w:r>
      <w:r>
        <w:rPr>
          <w:rFonts w:hint="eastAsia" w:ascii="宋体" w:hAnsi="宋体"/>
          <w:color w:val="auto"/>
          <w:highlight w:val="none"/>
          <w:lang w:eastAsia="zh-CN"/>
        </w:rPr>
        <w:t>0773-</w:t>
      </w:r>
      <w:r>
        <w:rPr>
          <w:rFonts w:hint="eastAsia" w:ascii="宋体" w:hAnsi="宋体"/>
          <w:color w:val="auto"/>
          <w:highlight w:val="none"/>
          <w:lang w:val="en-US" w:eastAsia="zh-CN"/>
        </w:rPr>
        <w:t>8811598</w:t>
      </w:r>
    </w:p>
    <w:p w14:paraId="4B7173D2">
      <w:pPr>
        <w:pStyle w:val="238"/>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七、对本次招标提出询问，请按以下方式联系</w:t>
      </w:r>
    </w:p>
    <w:p w14:paraId="0CCCD3D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olor w:val="auto"/>
          <w:szCs w:val="21"/>
          <w:highlight w:val="none"/>
        </w:rPr>
        <w:t xml:space="preserve">   </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采购人信息</w:t>
      </w:r>
    </w:p>
    <w:p w14:paraId="36162B94">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阳朔</w:t>
      </w:r>
      <w:r>
        <w:rPr>
          <w:rFonts w:hint="eastAsia" w:ascii="宋体" w:hAnsi="宋体" w:eastAsia="宋体" w:cs="宋体"/>
          <w:color w:val="auto"/>
          <w:sz w:val="21"/>
          <w:szCs w:val="21"/>
          <w:highlight w:val="none"/>
        </w:rPr>
        <w:t>县</w:t>
      </w:r>
      <w:r>
        <w:rPr>
          <w:rFonts w:hint="eastAsia" w:ascii="宋体" w:hAnsi="宋体" w:eastAsia="宋体" w:cs="宋体"/>
          <w:color w:val="auto"/>
          <w:sz w:val="21"/>
          <w:szCs w:val="21"/>
          <w:highlight w:val="none"/>
          <w:lang w:eastAsia="zh-CN"/>
        </w:rPr>
        <w:t>教育局</w:t>
      </w:r>
    </w:p>
    <w:p w14:paraId="7DCFC33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  地址：</w:t>
      </w:r>
      <w:r>
        <w:rPr>
          <w:rFonts w:hint="eastAsia" w:ascii="宋体" w:hAnsi="宋体" w:eastAsia="宋体" w:cs="宋体"/>
          <w:color w:val="auto"/>
          <w:sz w:val="21"/>
          <w:szCs w:val="21"/>
          <w:highlight w:val="none"/>
          <w:lang w:eastAsia="zh-CN"/>
        </w:rPr>
        <w:t>阳朔</w:t>
      </w:r>
      <w:r>
        <w:rPr>
          <w:rFonts w:hint="eastAsia" w:ascii="宋体" w:hAnsi="宋体" w:eastAsia="宋体" w:cs="宋体"/>
          <w:color w:val="auto"/>
          <w:sz w:val="21"/>
          <w:szCs w:val="21"/>
          <w:highlight w:val="none"/>
        </w:rPr>
        <w:t>县</w:t>
      </w:r>
      <w:r>
        <w:rPr>
          <w:rFonts w:hint="eastAsia" w:ascii="宋体" w:hAnsi="宋体" w:eastAsia="宋体" w:cs="宋体"/>
          <w:color w:val="auto"/>
          <w:sz w:val="21"/>
          <w:szCs w:val="21"/>
          <w:highlight w:val="none"/>
          <w:lang w:eastAsia="zh-CN"/>
        </w:rPr>
        <w:t>阳朔镇龙岳路</w:t>
      </w:r>
      <w:r>
        <w:rPr>
          <w:rFonts w:hint="eastAsia" w:ascii="宋体" w:hAnsi="宋体" w:eastAsia="宋体" w:cs="宋体"/>
          <w:color w:val="auto"/>
          <w:sz w:val="21"/>
          <w:szCs w:val="21"/>
          <w:highlight w:val="none"/>
          <w:lang w:val="en-US" w:eastAsia="zh-CN"/>
        </w:rPr>
        <w:t>30号</w:t>
      </w:r>
    </w:p>
    <w:p w14:paraId="3EBBC24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  联系人：陈玉龙</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p>
    <w:p w14:paraId="37E9556F">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cs="宋体"/>
          <w:color w:val="auto"/>
          <w:sz w:val="21"/>
          <w:szCs w:val="21"/>
          <w:highlight w:val="none"/>
          <w:lang w:val="en-US" w:eastAsia="zh-CN"/>
        </w:rPr>
        <w:t xml:space="preserve"> 0773-8886822</w:t>
      </w:r>
    </w:p>
    <w:p w14:paraId="72B374F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采购代理机构信息</w:t>
      </w:r>
      <w:r>
        <w:rPr>
          <w:rFonts w:hint="eastAsia" w:ascii="宋体" w:hAnsi="宋体" w:cs="宋体"/>
          <w:color w:val="auto"/>
          <w:sz w:val="21"/>
          <w:szCs w:val="21"/>
          <w:highlight w:val="none"/>
          <w:lang w:val="en-US" w:eastAsia="zh-CN"/>
        </w:rPr>
        <w:t xml:space="preserve"> </w:t>
      </w:r>
    </w:p>
    <w:p w14:paraId="2D6B1280">
      <w:pPr>
        <w:keepNext w:val="0"/>
        <w:keepLines w:val="0"/>
        <w:pageBreakBefore w:val="0"/>
        <w:widowControl w:val="0"/>
        <w:kinsoku/>
        <w:wordWrap/>
        <w:overflowPunct/>
        <w:topLinePunct w:val="0"/>
        <w:autoSpaceDE/>
        <w:autoSpaceDN/>
        <w:bidi w:val="0"/>
        <w:adjustRightInd/>
        <w:snapToGrid/>
        <w:spacing w:line="420" w:lineRule="exact"/>
        <w:ind w:left="0" w:leftChars="0" w:firstLine="638" w:firstLineChars="304"/>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广西万安工程咨询有限公司</w:t>
      </w:r>
    </w:p>
    <w:p w14:paraId="3848EF3A">
      <w:pPr>
        <w:keepNext w:val="0"/>
        <w:keepLines w:val="0"/>
        <w:pageBreakBefore w:val="0"/>
        <w:widowControl w:val="0"/>
        <w:kinsoku/>
        <w:wordWrap/>
        <w:overflowPunct/>
        <w:topLinePunct w:val="0"/>
        <w:autoSpaceDE/>
        <w:autoSpaceDN/>
        <w:bidi w:val="0"/>
        <w:adjustRightInd/>
        <w:snapToGrid/>
        <w:spacing w:line="420" w:lineRule="exact"/>
        <w:ind w:left="0" w:leftChars="0" w:firstLine="638" w:firstLineChars="304"/>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lang w:eastAsia="zh-CN"/>
        </w:rPr>
        <w:t>桂林市秀峰区机场路路口村 137 号</w:t>
      </w:r>
      <w:r>
        <w:rPr>
          <w:rFonts w:hint="eastAsia" w:ascii="宋体" w:hAnsi="宋体" w:eastAsia="宋体" w:cs="宋体"/>
          <w:color w:val="auto"/>
          <w:sz w:val="21"/>
          <w:szCs w:val="21"/>
          <w:highlight w:val="none"/>
        </w:rPr>
        <w:t xml:space="preserve">      </w:t>
      </w:r>
    </w:p>
    <w:p w14:paraId="0CF95BC7">
      <w:pPr>
        <w:keepNext w:val="0"/>
        <w:keepLines w:val="0"/>
        <w:pageBreakBefore w:val="0"/>
        <w:widowControl w:val="0"/>
        <w:kinsoku/>
        <w:wordWrap/>
        <w:overflowPunct/>
        <w:topLinePunct w:val="0"/>
        <w:autoSpaceDE/>
        <w:autoSpaceDN/>
        <w:bidi w:val="0"/>
        <w:adjustRightInd/>
        <w:snapToGrid/>
        <w:spacing w:line="420" w:lineRule="exact"/>
        <w:ind w:left="0" w:leftChars="0" w:firstLine="638" w:firstLineChars="304"/>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项目联系人：</w:t>
      </w:r>
      <w:r>
        <w:rPr>
          <w:rFonts w:hint="eastAsia" w:ascii="宋体" w:hAnsi="宋体" w:eastAsia="宋体" w:cs="宋体"/>
          <w:color w:val="auto"/>
          <w:sz w:val="21"/>
          <w:szCs w:val="21"/>
          <w:highlight w:val="none"/>
          <w:lang w:eastAsia="zh-CN"/>
        </w:rPr>
        <w:t>李工</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p>
    <w:p w14:paraId="523C65E5">
      <w:pPr>
        <w:keepNext w:val="0"/>
        <w:keepLines w:val="0"/>
        <w:pageBreakBefore w:val="0"/>
        <w:widowControl w:val="0"/>
        <w:kinsoku/>
        <w:wordWrap/>
        <w:overflowPunct/>
        <w:topLinePunct w:val="0"/>
        <w:autoSpaceDE/>
        <w:autoSpaceDN/>
        <w:bidi w:val="0"/>
        <w:adjustRightInd/>
        <w:snapToGrid/>
        <w:spacing w:line="420" w:lineRule="exact"/>
        <w:ind w:left="0" w:leftChars="0" w:firstLine="638" w:firstLineChars="304"/>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eastAsia="zh-CN"/>
        </w:rPr>
        <w:t>：0773-3635731</w:t>
      </w:r>
      <w:r>
        <w:rPr>
          <w:rFonts w:hint="eastAsia" w:ascii="宋体" w:hAnsi="宋体" w:eastAsia="宋体" w:cs="宋体"/>
          <w:color w:val="auto"/>
          <w:sz w:val="21"/>
          <w:szCs w:val="21"/>
          <w:highlight w:val="none"/>
          <w:lang w:val="en-US" w:eastAsia="zh-CN"/>
        </w:rPr>
        <w:t>/15878397350</w:t>
      </w:r>
    </w:p>
    <w:p w14:paraId="36F001D8">
      <w:pPr>
        <w:keepNext w:val="0"/>
        <w:keepLines w:val="0"/>
        <w:pageBreakBefore w:val="0"/>
        <w:widowControl w:val="0"/>
        <w:kinsoku/>
        <w:wordWrap/>
        <w:overflowPunct/>
        <w:topLinePunct w:val="0"/>
        <w:autoSpaceDE/>
        <w:autoSpaceDN/>
        <w:bidi w:val="0"/>
        <w:adjustRightInd/>
        <w:snapToGrid/>
        <w:spacing w:line="360" w:lineRule="auto"/>
        <w:ind w:firstLine="525" w:firstLineChars="25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w:t>
      </w:r>
    </w:p>
    <w:p w14:paraId="39A30D2F">
      <w:pPr>
        <w:keepNext w:val="0"/>
        <w:keepLines w:val="0"/>
        <w:pageBreakBefore w:val="0"/>
        <w:widowControl w:val="0"/>
        <w:kinsoku/>
        <w:wordWrap/>
        <w:overflowPunct/>
        <w:topLinePunct w:val="0"/>
        <w:autoSpaceDE/>
        <w:autoSpaceDN/>
        <w:bidi w:val="0"/>
        <w:adjustRightInd/>
        <w:snapToGrid/>
        <w:spacing w:line="360" w:lineRule="auto"/>
        <w:ind w:firstLine="525" w:firstLineChars="250"/>
        <w:jc w:val="center"/>
        <w:textAlignment w:val="auto"/>
        <w:rPr>
          <w:rFonts w:hint="eastAsia" w:ascii="宋体" w:hAnsi="宋体" w:eastAsia="宋体"/>
          <w:color w:val="auto"/>
          <w:szCs w:val="21"/>
          <w:highlight w:val="none"/>
          <w:lang w:eastAsia="zh-CN"/>
        </w:rPr>
      </w:pPr>
      <w:r>
        <w:rPr>
          <w:rFonts w:hint="eastAsia" w:ascii="宋体" w:hAnsi="宋体" w:eastAsia="宋体" w:cs="宋体"/>
          <w:color w:val="auto"/>
          <w:highlight w:val="none"/>
          <w:lang w:val="en-US" w:eastAsia="zh-CN"/>
        </w:rPr>
        <w:t xml:space="preserve">                                            </w:t>
      </w:r>
      <w:r>
        <w:rPr>
          <w:rFonts w:hint="eastAsia" w:ascii="宋体" w:hAnsi="宋体" w:eastAsia="宋体" w:cs="宋体"/>
          <w:color w:val="auto"/>
          <w:sz w:val="21"/>
          <w:szCs w:val="21"/>
          <w:highlight w:val="none"/>
          <w:lang w:eastAsia="zh-CN"/>
        </w:rPr>
        <w:t>广西万安工程咨询有限公司</w:t>
      </w:r>
    </w:p>
    <w:p w14:paraId="376C8170">
      <w:pPr>
        <w:keepNext w:val="0"/>
        <w:keepLines w:val="0"/>
        <w:pageBreakBefore w:val="0"/>
        <w:widowControl w:val="0"/>
        <w:kinsoku/>
        <w:wordWrap/>
        <w:overflowPunct/>
        <w:topLinePunct w:val="0"/>
        <w:autoSpaceDE/>
        <w:autoSpaceDN/>
        <w:bidi w:val="0"/>
        <w:adjustRightInd/>
        <w:snapToGrid/>
        <w:spacing w:line="360" w:lineRule="auto"/>
        <w:ind w:firstLine="6720" w:firstLineChars="3200"/>
        <w:textAlignment w:val="auto"/>
        <w:rPr>
          <w:rFonts w:hint="eastAsia"/>
          <w:color w:val="auto"/>
          <w:highlight w:val="none"/>
          <w:lang w:eastAsia="zh-CN"/>
        </w:rPr>
      </w:pP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8月31日</w:t>
      </w:r>
    </w:p>
    <w:p w14:paraId="1A834929">
      <w:pPr>
        <w:pStyle w:val="2"/>
        <w:spacing w:before="480"/>
        <w:jc w:val="center"/>
        <w:rPr>
          <w:rFonts w:hint="eastAsia" w:ascii="宋体" w:hAnsi="宋体"/>
          <w:b/>
          <w:color w:val="auto"/>
          <w:highlight w:val="none"/>
        </w:rPr>
      </w:pPr>
      <w:bookmarkStart w:id="1" w:name="_Toc90288697"/>
      <w:r>
        <w:rPr>
          <w:rFonts w:hint="eastAsia" w:ascii="宋体" w:hAnsi="宋体"/>
          <w:b/>
          <w:color w:val="auto"/>
          <w:highlight w:val="none"/>
        </w:rPr>
        <w:br w:type="page"/>
      </w:r>
      <w:r>
        <w:rPr>
          <w:rFonts w:hint="eastAsia" w:ascii="宋体" w:hAnsi="宋体"/>
          <w:b/>
          <w:color w:val="auto"/>
          <w:highlight w:val="none"/>
        </w:rPr>
        <w:t>第二章  投标人须知</w:t>
      </w:r>
      <w:bookmarkEnd w:id="1"/>
    </w:p>
    <w:p w14:paraId="399A5D4C">
      <w:pPr>
        <w:tabs>
          <w:tab w:val="left" w:pos="1065"/>
          <w:tab w:val="center" w:pos="4411"/>
        </w:tabs>
        <w:spacing w:line="440" w:lineRule="atLeast"/>
        <w:jc w:val="center"/>
        <w:rPr>
          <w:rFonts w:hint="eastAsia" w:ascii="宋体" w:hAnsi="宋体"/>
          <w:b/>
          <w:color w:val="auto"/>
          <w:sz w:val="24"/>
          <w:highlight w:val="none"/>
        </w:rPr>
      </w:pPr>
      <w:r>
        <w:rPr>
          <w:rFonts w:hint="eastAsia" w:ascii="宋体" w:hAnsi="宋体"/>
          <w:b/>
          <w:color w:val="auto"/>
          <w:sz w:val="24"/>
          <w:highlight w:val="none"/>
        </w:rPr>
        <w:t>投 标 人 须 知 前 附 表</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992"/>
        <w:gridCol w:w="1418"/>
        <w:gridCol w:w="6521"/>
      </w:tblGrid>
      <w:tr w14:paraId="5B01E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5" w:type="dxa"/>
            <w:vAlign w:val="center"/>
          </w:tcPr>
          <w:p w14:paraId="71F9F74F">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序号</w:t>
            </w:r>
          </w:p>
        </w:tc>
        <w:tc>
          <w:tcPr>
            <w:tcW w:w="992" w:type="dxa"/>
            <w:vAlign w:val="center"/>
          </w:tcPr>
          <w:p w14:paraId="1D919593">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条款号</w:t>
            </w:r>
          </w:p>
        </w:tc>
        <w:tc>
          <w:tcPr>
            <w:tcW w:w="1418" w:type="dxa"/>
            <w:vAlign w:val="center"/>
          </w:tcPr>
          <w:p w14:paraId="7523F640">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条款名称</w:t>
            </w:r>
          </w:p>
        </w:tc>
        <w:tc>
          <w:tcPr>
            <w:tcW w:w="6521" w:type="dxa"/>
            <w:vAlign w:val="center"/>
          </w:tcPr>
          <w:p w14:paraId="7FAAEAE2">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内容、要求</w:t>
            </w:r>
          </w:p>
        </w:tc>
      </w:tr>
      <w:tr w14:paraId="503B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675" w:type="dxa"/>
            <w:vAlign w:val="center"/>
          </w:tcPr>
          <w:p w14:paraId="730F562F">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w:t>
            </w:r>
          </w:p>
        </w:tc>
        <w:tc>
          <w:tcPr>
            <w:tcW w:w="992" w:type="dxa"/>
            <w:vAlign w:val="center"/>
          </w:tcPr>
          <w:p w14:paraId="2E6A2DEE">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w:t>
            </w:r>
          </w:p>
        </w:tc>
        <w:tc>
          <w:tcPr>
            <w:tcW w:w="1418" w:type="dxa"/>
            <w:vAlign w:val="center"/>
          </w:tcPr>
          <w:p w14:paraId="3A70C9D2">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项目名称及项目编号</w:t>
            </w:r>
          </w:p>
        </w:tc>
        <w:tc>
          <w:tcPr>
            <w:tcW w:w="6521" w:type="dxa"/>
            <w:vAlign w:val="center"/>
          </w:tcPr>
          <w:p w14:paraId="13FB4646">
            <w:pPr>
              <w:keepNext w:val="0"/>
              <w:keepLines w:val="0"/>
              <w:suppressLineNumbers w:val="0"/>
              <w:spacing w:before="0" w:beforeAutospacing="0" w:after="0" w:afterAutospacing="0" w:line="380" w:lineRule="exact"/>
              <w:ind w:left="0" w:right="0"/>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阳朔县中等职业技术学校专业实训、信息化教学及阅览资源提质建设项目（重）</w:t>
            </w:r>
            <w:r>
              <w:rPr>
                <w:rFonts w:hint="eastAsia" w:ascii="宋体" w:hAnsi="宋体"/>
                <w:color w:val="auto"/>
                <w:szCs w:val="21"/>
                <w:highlight w:val="none"/>
              </w:rPr>
              <w:t xml:space="preserve">  </w:t>
            </w:r>
          </w:p>
          <w:p w14:paraId="29C39BC3">
            <w:pPr>
              <w:keepNext w:val="0"/>
              <w:keepLines w:val="0"/>
              <w:suppressLineNumbers w:val="0"/>
              <w:spacing w:before="0" w:beforeAutospacing="0" w:after="0" w:afterAutospacing="0" w:line="380" w:lineRule="exact"/>
              <w:ind w:left="0" w:right="0"/>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项目编号：GLZC2026-G1-210069-GXWA</w:t>
            </w:r>
          </w:p>
        </w:tc>
      </w:tr>
      <w:tr w14:paraId="178F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trPr>
        <w:tc>
          <w:tcPr>
            <w:tcW w:w="675" w:type="dxa"/>
            <w:vAlign w:val="center"/>
          </w:tcPr>
          <w:p w14:paraId="0C4839A0">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2</w:t>
            </w:r>
          </w:p>
        </w:tc>
        <w:tc>
          <w:tcPr>
            <w:tcW w:w="992" w:type="dxa"/>
            <w:vAlign w:val="center"/>
          </w:tcPr>
          <w:p w14:paraId="49D76D9D">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5</w:t>
            </w:r>
          </w:p>
        </w:tc>
        <w:tc>
          <w:tcPr>
            <w:tcW w:w="1418" w:type="dxa"/>
            <w:vAlign w:val="center"/>
          </w:tcPr>
          <w:p w14:paraId="68950C9B">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投标人资格</w:t>
            </w:r>
          </w:p>
        </w:tc>
        <w:tc>
          <w:tcPr>
            <w:tcW w:w="6521" w:type="dxa"/>
            <w:vAlign w:val="center"/>
          </w:tcPr>
          <w:p w14:paraId="391177B7">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5.1满足《中华人民共和国政府采购法》第二十二条规定；</w:t>
            </w:r>
          </w:p>
          <w:p w14:paraId="6E2A866A">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5.2落实政府采购政策需满足的资格要求：</w:t>
            </w:r>
            <w:r>
              <w:rPr>
                <w:rFonts w:hint="eastAsia" w:ascii="宋体" w:hAnsi="宋体" w:cs="宋体"/>
                <w:color w:val="auto"/>
                <w:szCs w:val="21"/>
                <w:highlight w:val="none"/>
              </w:rPr>
              <w:t>无</w:t>
            </w:r>
            <w:r>
              <w:rPr>
                <w:rFonts w:hint="eastAsia" w:ascii="宋体" w:hAnsi="宋体"/>
                <w:color w:val="auto"/>
                <w:szCs w:val="21"/>
                <w:highlight w:val="none"/>
              </w:rPr>
              <w:t>；</w:t>
            </w:r>
          </w:p>
          <w:p w14:paraId="70736FAA">
            <w:pPr>
              <w:keepNext w:val="0"/>
              <w:keepLines w:val="0"/>
              <w:suppressLineNumbers w:val="0"/>
              <w:spacing w:before="0" w:beforeAutospacing="0" w:after="0" w:afterAutospacing="0" w:line="380" w:lineRule="exact"/>
              <w:ind w:left="0" w:right="0"/>
              <w:rPr>
                <w:rFonts w:hint="eastAsia" w:ascii="宋体" w:hAnsi="宋体" w:eastAsia="宋体"/>
                <w:color w:val="auto"/>
                <w:szCs w:val="21"/>
                <w:highlight w:val="none"/>
                <w:lang w:val="en-US" w:eastAsia="zh-CN"/>
              </w:rPr>
            </w:pPr>
            <w:r>
              <w:rPr>
                <w:rFonts w:hint="eastAsia" w:ascii="宋体" w:hAnsi="宋体"/>
                <w:color w:val="auto"/>
                <w:szCs w:val="21"/>
                <w:highlight w:val="none"/>
              </w:rPr>
              <w:t>5.3本项目的特定资格要求</w:t>
            </w:r>
            <w:r>
              <w:rPr>
                <w:rFonts w:hint="eastAsia" w:ascii="宋体" w:hAnsi="宋体"/>
                <w:color w:val="auto"/>
                <w:szCs w:val="21"/>
                <w:highlight w:val="none"/>
                <w:lang w:eastAsia="zh-CN"/>
              </w:rPr>
              <w:t>：</w:t>
            </w:r>
            <w:r>
              <w:rPr>
                <w:rFonts w:hint="eastAsia" w:ascii="宋体" w:hAnsi="宋体"/>
                <w:color w:val="auto"/>
                <w:szCs w:val="21"/>
                <w:highlight w:val="none"/>
              </w:rPr>
              <w:t>标项二须具备有效的《出版物经营许可证》（零售或批发资质均可）</w:t>
            </w:r>
            <w:r>
              <w:rPr>
                <w:rFonts w:hint="eastAsia" w:ascii="宋体" w:hAnsi="宋体"/>
                <w:color w:val="auto"/>
                <w:szCs w:val="21"/>
                <w:highlight w:val="none"/>
                <w:lang w:eastAsia="zh-CN"/>
              </w:rPr>
              <w:t>。</w:t>
            </w:r>
          </w:p>
        </w:tc>
      </w:tr>
      <w:tr w14:paraId="2A5D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4" w:hRule="atLeast"/>
        </w:trPr>
        <w:tc>
          <w:tcPr>
            <w:tcW w:w="675" w:type="dxa"/>
            <w:vAlign w:val="center"/>
          </w:tcPr>
          <w:p w14:paraId="00EADFCF">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3</w:t>
            </w:r>
          </w:p>
        </w:tc>
        <w:tc>
          <w:tcPr>
            <w:tcW w:w="992" w:type="dxa"/>
            <w:vAlign w:val="center"/>
          </w:tcPr>
          <w:p w14:paraId="4D98C963">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6</w:t>
            </w:r>
          </w:p>
        </w:tc>
        <w:tc>
          <w:tcPr>
            <w:tcW w:w="1418" w:type="dxa"/>
            <w:vAlign w:val="center"/>
          </w:tcPr>
          <w:p w14:paraId="7972B5DA">
            <w:pPr>
              <w:keepNext w:val="0"/>
              <w:keepLines w:val="0"/>
              <w:suppressLineNumbers w:val="0"/>
              <w:spacing w:before="0" w:beforeAutospacing="0" w:after="0" w:afterAutospacing="0" w:line="380" w:lineRule="exact"/>
              <w:ind w:left="0" w:right="0"/>
              <w:jc w:val="center"/>
              <w:rPr>
                <w:rFonts w:hint="eastAsia" w:ascii="宋体" w:hAnsi="宋体"/>
                <w:color w:val="auto"/>
                <w:position w:val="-2"/>
                <w:szCs w:val="21"/>
                <w:highlight w:val="none"/>
              </w:rPr>
            </w:pPr>
            <w:r>
              <w:rPr>
                <w:rFonts w:hint="eastAsia" w:ascii="宋体" w:hAnsi="宋体"/>
                <w:color w:val="auto"/>
                <w:szCs w:val="21"/>
                <w:highlight w:val="none"/>
              </w:rPr>
              <w:t>参与电子投标的准备工作及投标费用</w:t>
            </w:r>
          </w:p>
        </w:tc>
        <w:tc>
          <w:tcPr>
            <w:tcW w:w="6521" w:type="dxa"/>
            <w:vAlign w:val="center"/>
          </w:tcPr>
          <w:p w14:paraId="40B75E29">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6.1参与电子投标的准备工作</w:t>
            </w:r>
          </w:p>
          <w:p w14:paraId="55A42F5F">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6.1.1本项目实行全流程电子化采购，投标人通过“广西政府采购云”平台参与电子投标，并应做好以下相关准备工作：①在“广西政府采购云”平台注册成为正式投标人（操作方法详见广西壮族自治区政府采购网—办事服务—下载专区-广西政府采购云投标人入驻指南）；②完成CA证书申领和绑定（费用由投标人自行承担，办理流程详见广西壮族自治区政府采购网—办事服务—下载专区-广西政府采购云CA证书办理操作指南。完成CA证书办理预计一周左右，建议投标人尽快办理）；③下载“广西壮族自治区全流程电子招投标项目管理系统--投标人客户端”（操作方法详见广西壮族自治区政府采购网—办事服务—下载专区-广西壮族自治区全流程电子招投标项目管理系统--投标人客户端，以下称“广西政府采购云电子投标客户端”）并安装成功，投标人应当在提交投标文件截止时间前在“广西政府采购云”平台完成身份认证，确保能够对相关数据电文进行加密和使用电子签章；④自备计算机和网络设备并确保能接入互联网（费用由投标人自行承担，设备确保可进行视频通话和读取广西政府采购云CA证书）。因投标人未做好相关准备工作等自身原因导致无法参加本项目电子投标或投标失败的，造成的一切后果，由投标人自行承担。</w:t>
            </w:r>
          </w:p>
          <w:p w14:paraId="16BA3F9B">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6.1.2</w:t>
            </w:r>
            <w:r>
              <w:rPr>
                <w:rFonts w:hint="eastAsia" w:ascii="宋体" w:hAnsi="宋体" w:cs="宋体"/>
                <w:color w:val="auto"/>
                <w:szCs w:val="21"/>
                <w:highlight w:val="none"/>
                <w:shd w:val="clear" w:color="auto" w:fill="FFFFFF"/>
              </w:rPr>
              <w:t>电子投标具体操作流程参考《政府采购项目电子交易管理操作指南-投标人》（详见桂林市政府采购网—采购资讯—重要通知）；如遇平台技术问题详询95763。</w:t>
            </w:r>
          </w:p>
          <w:p w14:paraId="0226ECF6">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6.2投标费用：不论投标结果如何，均应自行承担所有与投标有关的全部费用。</w:t>
            </w:r>
          </w:p>
        </w:tc>
      </w:tr>
      <w:tr w14:paraId="5C236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0" w:hRule="atLeast"/>
        </w:trPr>
        <w:tc>
          <w:tcPr>
            <w:tcW w:w="675" w:type="dxa"/>
            <w:vAlign w:val="center"/>
          </w:tcPr>
          <w:p w14:paraId="58D56695">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4</w:t>
            </w:r>
          </w:p>
        </w:tc>
        <w:tc>
          <w:tcPr>
            <w:tcW w:w="992" w:type="dxa"/>
            <w:vAlign w:val="center"/>
          </w:tcPr>
          <w:p w14:paraId="0DCD3AC6">
            <w:pPr>
              <w:keepNext w:val="0"/>
              <w:keepLines w:val="0"/>
              <w:suppressLineNumbers w:val="0"/>
              <w:spacing w:before="0" w:beforeAutospacing="0" w:after="0" w:afterAutospacing="0" w:line="380" w:lineRule="exact"/>
              <w:ind w:left="0" w:right="0"/>
              <w:jc w:val="center"/>
              <w:rPr>
                <w:rFonts w:hint="eastAsia" w:ascii="宋体" w:hAnsi="宋体"/>
                <w:color w:val="auto"/>
                <w:position w:val="-2"/>
                <w:szCs w:val="21"/>
                <w:highlight w:val="none"/>
              </w:rPr>
            </w:pPr>
            <w:r>
              <w:rPr>
                <w:rFonts w:hint="eastAsia" w:ascii="宋体" w:hAnsi="宋体"/>
                <w:color w:val="auto"/>
                <w:position w:val="-2"/>
                <w:szCs w:val="21"/>
                <w:highlight w:val="none"/>
              </w:rPr>
              <w:t>15</w:t>
            </w:r>
          </w:p>
        </w:tc>
        <w:tc>
          <w:tcPr>
            <w:tcW w:w="1418" w:type="dxa"/>
            <w:vAlign w:val="center"/>
          </w:tcPr>
          <w:p w14:paraId="15546CD6">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采购预算金额及投标报价</w:t>
            </w:r>
          </w:p>
        </w:tc>
        <w:tc>
          <w:tcPr>
            <w:tcW w:w="6521" w:type="dxa"/>
            <w:vAlign w:val="center"/>
          </w:tcPr>
          <w:p w14:paraId="6F5E38F7">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15.1项目采购预算金额（人民币）：</w:t>
            </w:r>
            <w:r>
              <w:rPr>
                <w:rFonts w:hint="eastAsia" w:ascii="宋体" w:hAnsi="宋体"/>
                <w:color w:val="auto"/>
                <w:szCs w:val="21"/>
                <w:highlight w:val="none"/>
                <w:u w:val="single"/>
                <w:lang w:val="en-US" w:eastAsia="zh-CN"/>
              </w:rPr>
              <w:t>1420000.00</w:t>
            </w:r>
            <w:r>
              <w:rPr>
                <w:rFonts w:hint="eastAsia" w:ascii="宋体" w:hAnsi="宋体" w:cs="Arial"/>
                <w:bCs/>
                <w:color w:val="auto"/>
                <w:szCs w:val="21"/>
                <w:highlight w:val="none"/>
                <w:u w:val="single"/>
              </w:rPr>
              <w:t>元</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w:t>
            </w:r>
            <w:r>
              <w:rPr>
                <w:rFonts w:hint="eastAsia" w:ascii="宋体" w:hAnsi="宋体"/>
                <w:color w:val="auto"/>
                <w:szCs w:val="21"/>
                <w:highlight w:val="none"/>
                <w:u w:val="none"/>
                <w:lang w:val="en-US" w:eastAsia="zh-CN"/>
              </w:rPr>
              <w:t>其中标段一预算金额：</w:t>
            </w:r>
            <w:r>
              <w:rPr>
                <w:rFonts w:hint="eastAsia" w:ascii="宋体" w:hAnsi="宋体" w:eastAsia="宋体" w:cs="宋体"/>
                <w:color w:val="auto"/>
                <w:szCs w:val="21"/>
                <w:highlight w:val="none"/>
                <w:u w:val="none"/>
                <w:lang w:val="en-US" w:eastAsia="zh-CN"/>
              </w:rPr>
              <w:t>660000.00元；标段二预算金额：</w:t>
            </w:r>
            <w:r>
              <w:rPr>
                <w:rFonts w:hint="eastAsia" w:ascii="宋体" w:hAnsi="宋体" w:eastAsia="宋体" w:cs="宋体"/>
                <w:color w:val="auto"/>
                <w:szCs w:val="21"/>
                <w:highlight w:val="none"/>
                <w:lang w:val="en-US" w:eastAsia="zh-CN"/>
              </w:rPr>
              <w:t>760000.00元。</w:t>
            </w:r>
            <w:r>
              <w:rPr>
                <w:rFonts w:hint="eastAsia" w:ascii="宋体" w:hAnsi="宋体"/>
                <w:color w:val="auto"/>
                <w:szCs w:val="21"/>
                <w:highlight w:val="none"/>
              </w:rPr>
              <w:t>投标报价超出采购预算金额的，作投标无效处理。</w:t>
            </w:r>
          </w:p>
          <w:p w14:paraId="4AAC2433">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15.2投标报价</w:t>
            </w:r>
          </w:p>
          <w:p w14:paraId="48F59643">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15.2.1投标报价必须按招标文件中第六章“投标文件（格式）”填写，投标报价超过采购预算金额的，投标文件按无效处理。</w:t>
            </w:r>
          </w:p>
          <w:p w14:paraId="10926B19">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15.2.2投标人必须就《货物采购需求》中所有货物和服务内容作完整唯一报价，否则，其投标将被拒绝；投标文件只允许有一个报价，有选择的或有条件的报价将不予接受。</w:t>
            </w:r>
          </w:p>
        </w:tc>
      </w:tr>
      <w:tr w14:paraId="1A6F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675" w:type="dxa"/>
            <w:vAlign w:val="center"/>
          </w:tcPr>
          <w:p w14:paraId="544CD1FB">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5</w:t>
            </w:r>
          </w:p>
        </w:tc>
        <w:tc>
          <w:tcPr>
            <w:tcW w:w="992" w:type="dxa"/>
            <w:vAlign w:val="center"/>
          </w:tcPr>
          <w:p w14:paraId="22205EA1">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16.1</w:t>
            </w:r>
          </w:p>
        </w:tc>
        <w:tc>
          <w:tcPr>
            <w:tcW w:w="1418" w:type="dxa"/>
            <w:vAlign w:val="center"/>
          </w:tcPr>
          <w:p w14:paraId="4EDB152A">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投标有效期</w:t>
            </w:r>
          </w:p>
        </w:tc>
        <w:tc>
          <w:tcPr>
            <w:tcW w:w="6521" w:type="dxa"/>
            <w:vAlign w:val="center"/>
          </w:tcPr>
          <w:p w14:paraId="45C7BB75">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s="宋体"/>
                <w:color w:val="auto"/>
                <w:szCs w:val="21"/>
                <w:highlight w:val="none"/>
              </w:rPr>
              <w:t>投标截止时间之日起90天。</w:t>
            </w:r>
          </w:p>
        </w:tc>
      </w:tr>
      <w:tr w14:paraId="1A6A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675" w:type="dxa"/>
            <w:vAlign w:val="center"/>
          </w:tcPr>
          <w:p w14:paraId="3B87CF07">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6</w:t>
            </w:r>
          </w:p>
        </w:tc>
        <w:tc>
          <w:tcPr>
            <w:tcW w:w="992" w:type="dxa"/>
            <w:vAlign w:val="center"/>
          </w:tcPr>
          <w:p w14:paraId="641E254B">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17.1</w:t>
            </w:r>
          </w:p>
        </w:tc>
        <w:tc>
          <w:tcPr>
            <w:tcW w:w="1418" w:type="dxa"/>
            <w:vAlign w:val="center"/>
          </w:tcPr>
          <w:p w14:paraId="7389A1B5">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电子投标文件的制作、加密</w:t>
            </w:r>
          </w:p>
        </w:tc>
        <w:tc>
          <w:tcPr>
            <w:tcW w:w="6521" w:type="dxa"/>
          </w:tcPr>
          <w:p w14:paraId="020D9970">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17.1.1投标人制作电子投标文件前，必须登陆“广西政府采购云”平台进行招标文件的获取操作。</w:t>
            </w:r>
          </w:p>
          <w:p w14:paraId="5EC41AC1">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17.1.2投标人下载或获取招标文件后，登录“广西政府采购云平台电子投标客户端”，按照本招标文件规定的投标文件格式、顺序以及“广西政府采购云”平台的要求，通过“广西政府采购云平台电子投标客户端”编制电子投标文件。</w:t>
            </w:r>
          </w:p>
          <w:p w14:paraId="24433961">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17.1.3投标人应按“广西政府采购云平台电子投标客户端”载明的“标书关联”功能进行电子投标文件相应内容的关联定位，以便评标委员会在评审时点击相应评审项可直接定位到该评审内容；如投标人的电子投标文件未能关联定位相应内容，或者关联定位的内容与该评审项不符，导致评标委员会无法查询并做出对投标人不利的评审，相关后果由投标人自行承担。</w:t>
            </w:r>
          </w:p>
          <w:p w14:paraId="41FD11DC">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17.1.4电子投标文件不得涂改，若有修改错漏处，须由法定代表人（负责人、自然人）或授权委托代理人通过“广西政府采购云平台电子投标客户端”采用广西政府采购云平台个人CA证书签章，没有办理广西政府采购云平台个人CA证书签章的，在投标文件中响应位置手写签字后扫描或者拍照做成 PDF 的格式上传。因投标文件字迹潦草、表达不清、内容不完整、编排混乱导致投标文件被误读、漏读，或者在按招标文件规定的部位查找不到相关内容的，其不利后果由投标人自行承担。</w:t>
            </w:r>
          </w:p>
          <w:p w14:paraId="24A2F3AC">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r>
              <w:rPr>
                <w:rFonts w:hint="eastAsia" w:ascii="宋体" w:hAnsi="宋体"/>
                <w:color w:val="auto"/>
                <w:szCs w:val="21"/>
                <w:highlight w:val="none"/>
              </w:rPr>
              <w:t>17.1.5投标人编制、生成电子投标文件后应当加密投标文件。投标人未按规定编制并加密的投标文件，“广西政府采购云”平台将予以拒收。</w:t>
            </w:r>
          </w:p>
        </w:tc>
      </w:tr>
      <w:tr w14:paraId="1897A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1" w:hRule="atLeast"/>
        </w:trPr>
        <w:tc>
          <w:tcPr>
            <w:tcW w:w="675" w:type="dxa"/>
            <w:vAlign w:val="center"/>
          </w:tcPr>
          <w:p w14:paraId="11AC532A">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7</w:t>
            </w:r>
          </w:p>
        </w:tc>
        <w:tc>
          <w:tcPr>
            <w:tcW w:w="992" w:type="dxa"/>
            <w:vAlign w:val="center"/>
          </w:tcPr>
          <w:p w14:paraId="1AFF2F67">
            <w:pPr>
              <w:keepNext w:val="0"/>
              <w:keepLines w:val="0"/>
              <w:suppressLineNumbers w:val="0"/>
              <w:spacing w:before="0" w:beforeAutospacing="0" w:after="0" w:afterAutospacing="0" w:line="38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17.2</w:t>
            </w:r>
          </w:p>
        </w:tc>
        <w:tc>
          <w:tcPr>
            <w:tcW w:w="1418" w:type="dxa"/>
            <w:vAlign w:val="center"/>
          </w:tcPr>
          <w:p w14:paraId="4ACA3E49">
            <w:pPr>
              <w:keepNext w:val="0"/>
              <w:keepLines w:val="0"/>
              <w:suppressLineNumbers w:val="0"/>
              <w:snapToGrid w:val="0"/>
              <w:spacing w:before="0" w:beforeAutospacing="0" w:after="0" w:afterAutospacing="0" w:line="380" w:lineRule="exact"/>
              <w:ind w:left="0" w:right="0"/>
              <w:jc w:val="center"/>
              <w:rPr>
                <w:rFonts w:hint="eastAsia" w:ascii="宋体" w:hAnsi="宋体" w:cs="Arial"/>
                <w:color w:val="auto"/>
                <w:szCs w:val="21"/>
                <w:highlight w:val="none"/>
              </w:rPr>
            </w:pPr>
            <w:r>
              <w:rPr>
                <w:rFonts w:hint="eastAsia" w:ascii="宋体" w:hAnsi="宋体" w:cs="Arial"/>
                <w:color w:val="auto"/>
                <w:szCs w:val="21"/>
                <w:highlight w:val="none"/>
              </w:rPr>
              <w:t>投标人公章及签字</w:t>
            </w:r>
          </w:p>
        </w:tc>
        <w:tc>
          <w:tcPr>
            <w:tcW w:w="6521" w:type="dxa"/>
            <w:vAlign w:val="center"/>
          </w:tcPr>
          <w:p w14:paraId="4BC45561">
            <w:pPr>
              <w:keepNext w:val="0"/>
              <w:keepLines w:val="0"/>
              <w:suppressLineNumbers w:val="0"/>
              <w:tabs>
                <w:tab w:val="left" w:pos="1305"/>
              </w:tabs>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17.2.1本招标文件中描述投标人的“公章”是指投标人通过指定电子化政府采购平台办理数字证书（CA认证证书）获得的以法定主体行为名称制作的电子印章。</w:t>
            </w:r>
          </w:p>
          <w:p w14:paraId="460C426E">
            <w:pPr>
              <w:keepNext w:val="0"/>
              <w:keepLines w:val="0"/>
              <w:suppressLineNumbers w:val="0"/>
              <w:tabs>
                <w:tab w:val="left" w:pos="1305"/>
              </w:tabs>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17.2.2本招标文件中要求投标人对其电子投标文件的相关内容加盖公章的，均指采用CA证书签章。</w:t>
            </w:r>
          </w:p>
          <w:p w14:paraId="5F5D47C8">
            <w:pPr>
              <w:keepNext w:val="0"/>
              <w:keepLines w:val="0"/>
              <w:suppressLineNumbers w:val="0"/>
              <w:tabs>
                <w:tab w:val="left" w:pos="1305"/>
              </w:tabs>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17.2.3本招标文件中描述投标人的“签字”是指投标人通过指定电子化政府采购平台办理数字证书（CA认证证书）获得的以投标人法定代表人（自负责人、自然人）或者委托代理人姓名制作的个人电子印章或手写签字。没有办理个人CA证书的，可以为手写签字的形式。</w:t>
            </w:r>
          </w:p>
        </w:tc>
      </w:tr>
      <w:tr w14:paraId="542A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7" w:hRule="atLeast"/>
        </w:trPr>
        <w:tc>
          <w:tcPr>
            <w:tcW w:w="675" w:type="dxa"/>
            <w:vAlign w:val="center"/>
          </w:tcPr>
          <w:p w14:paraId="0D874B89">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8</w:t>
            </w:r>
          </w:p>
        </w:tc>
        <w:tc>
          <w:tcPr>
            <w:tcW w:w="992" w:type="dxa"/>
            <w:vAlign w:val="center"/>
          </w:tcPr>
          <w:p w14:paraId="1A696CE9">
            <w:pPr>
              <w:keepNext w:val="0"/>
              <w:keepLines w:val="0"/>
              <w:suppressLineNumbers w:val="0"/>
              <w:snapToGrid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18</w:t>
            </w:r>
          </w:p>
        </w:tc>
        <w:tc>
          <w:tcPr>
            <w:tcW w:w="1418" w:type="dxa"/>
            <w:vAlign w:val="center"/>
          </w:tcPr>
          <w:p w14:paraId="5983EB94">
            <w:pPr>
              <w:keepNext w:val="0"/>
              <w:keepLines w:val="0"/>
              <w:suppressLineNumbers w:val="0"/>
              <w:snapToGrid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投标文件的补充、修改和撤回</w:t>
            </w:r>
          </w:p>
        </w:tc>
        <w:tc>
          <w:tcPr>
            <w:tcW w:w="6521" w:type="dxa"/>
            <w:vAlign w:val="center"/>
          </w:tcPr>
          <w:p w14:paraId="34F16ACD">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18.1投标人应当在提交投标文件截止时间前，将生成的电子投标文件上传提交至“广西政府采购云”平台。投标文件提交截止时间前可以补充、修改或撤回电子投标文件，补充、修改电子投标文件的，应当先行撤回原文件，补充、修改后重新传输提交。在投标文件提交截止时间后的投标文件有效期内，投标人不得撤回其投标文件。提交投标文件截止时间前未成功将电子投标文件上传“广西政府采购云”平台的，视为未提交投标文件。</w:t>
            </w:r>
          </w:p>
          <w:p w14:paraId="2C9B12BD">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18.2在投标文件递交截止时间后的投标文件有效期内，投标人不得撤回其投标文件。</w:t>
            </w:r>
          </w:p>
        </w:tc>
      </w:tr>
      <w:tr w14:paraId="2DA4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675" w:type="dxa"/>
            <w:vAlign w:val="center"/>
          </w:tcPr>
          <w:p w14:paraId="057FDFFC">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9</w:t>
            </w:r>
          </w:p>
        </w:tc>
        <w:tc>
          <w:tcPr>
            <w:tcW w:w="992" w:type="dxa"/>
            <w:vAlign w:val="center"/>
          </w:tcPr>
          <w:p w14:paraId="15C08CE8">
            <w:pPr>
              <w:keepNext w:val="0"/>
              <w:keepLines w:val="0"/>
              <w:suppressLineNumbers w:val="0"/>
              <w:spacing w:before="0" w:beforeAutospacing="0" w:after="0" w:afterAutospacing="0" w:line="380" w:lineRule="exact"/>
              <w:ind w:left="0" w:right="0"/>
              <w:jc w:val="center"/>
              <w:rPr>
                <w:rFonts w:hint="eastAsia" w:ascii="宋体" w:hAnsi="宋体"/>
                <w:color w:val="auto"/>
                <w:position w:val="-2"/>
                <w:szCs w:val="21"/>
                <w:highlight w:val="none"/>
              </w:rPr>
            </w:pPr>
            <w:r>
              <w:rPr>
                <w:rFonts w:hint="eastAsia" w:ascii="宋体" w:hAnsi="宋体"/>
                <w:color w:val="auto"/>
                <w:szCs w:val="21"/>
                <w:highlight w:val="none"/>
              </w:rPr>
              <w:t>19.1</w:t>
            </w:r>
          </w:p>
        </w:tc>
        <w:tc>
          <w:tcPr>
            <w:tcW w:w="1418" w:type="dxa"/>
            <w:vAlign w:val="center"/>
          </w:tcPr>
          <w:p w14:paraId="16EA6944">
            <w:pPr>
              <w:keepNext w:val="0"/>
              <w:keepLines w:val="0"/>
              <w:suppressLineNumbers w:val="0"/>
              <w:snapToGrid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提交投标文件截止时间、地点</w:t>
            </w:r>
          </w:p>
        </w:tc>
        <w:tc>
          <w:tcPr>
            <w:tcW w:w="6521" w:type="dxa"/>
            <w:vAlign w:val="center"/>
          </w:tcPr>
          <w:p w14:paraId="39D50608">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19.1.1提交投标文件截止时间： 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9月21日</w:t>
            </w:r>
            <w:r>
              <w:rPr>
                <w:rFonts w:hint="eastAsia" w:ascii="宋体" w:hAnsi="宋体"/>
                <w:color w:val="auto"/>
                <w:szCs w:val="21"/>
                <w:highlight w:val="none"/>
              </w:rPr>
              <w:t>上午09时30分（北京时间）。</w:t>
            </w:r>
          </w:p>
          <w:p w14:paraId="3C5540D1">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19.1.2地点：通过“广西政府采购云”平台在线提交。</w:t>
            </w:r>
          </w:p>
        </w:tc>
      </w:tr>
      <w:tr w14:paraId="7AAC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75" w:type="dxa"/>
            <w:vAlign w:val="center"/>
          </w:tcPr>
          <w:p w14:paraId="14E730FC">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10</w:t>
            </w:r>
          </w:p>
        </w:tc>
        <w:tc>
          <w:tcPr>
            <w:tcW w:w="992" w:type="dxa"/>
            <w:vAlign w:val="center"/>
          </w:tcPr>
          <w:p w14:paraId="044EF9C2">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19.2</w:t>
            </w:r>
          </w:p>
        </w:tc>
        <w:tc>
          <w:tcPr>
            <w:tcW w:w="1418" w:type="dxa"/>
            <w:vAlign w:val="center"/>
          </w:tcPr>
          <w:p w14:paraId="64D04285">
            <w:pPr>
              <w:keepNext w:val="0"/>
              <w:keepLines w:val="0"/>
              <w:suppressLineNumbers w:val="0"/>
              <w:tabs>
                <w:tab w:val="left" w:pos="2190"/>
              </w:tabs>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投标文件解密</w:t>
            </w:r>
          </w:p>
        </w:tc>
        <w:tc>
          <w:tcPr>
            <w:tcW w:w="6521" w:type="dxa"/>
            <w:vAlign w:val="center"/>
          </w:tcPr>
          <w:p w14:paraId="2494C741">
            <w:pPr>
              <w:keepNext w:val="0"/>
              <w:keepLines w:val="0"/>
              <w:suppressLineNumbers w:val="0"/>
              <w:spacing w:before="0" w:beforeAutospacing="0" w:after="0" w:afterAutospacing="0" w:line="380" w:lineRule="exact"/>
              <w:ind w:left="0" w:right="0" w:firstLine="420" w:firstLineChars="200"/>
              <w:rPr>
                <w:rFonts w:hint="eastAsia" w:ascii="宋体" w:hAnsi="宋体" w:cs="宋体"/>
                <w:bCs/>
                <w:color w:val="auto"/>
                <w:szCs w:val="21"/>
                <w:highlight w:val="none"/>
              </w:rPr>
            </w:pPr>
            <w:r>
              <w:rPr>
                <w:rFonts w:hint="eastAsia" w:ascii="宋体" w:hAnsi="宋体"/>
                <w:bCs/>
                <w:color w:val="auto"/>
                <w:szCs w:val="21"/>
                <w:highlight w:val="none"/>
              </w:rPr>
              <w:t>提交投标文件截止时间，“广西政府采购云”平台自动提取所有投标人投标文件，各投标人须在提交投标文件截止</w:t>
            </w:r>
            <w:r>
              <w:rPr>
                <w:rFonts w:hint="eastAsia" w:ascii="宋体" w:hAnsi="宋体" w:cs="宋体"/>
                <w:bCs/>
                <w:color w:val="auto"/>
                <w:szCs w:val="21"/>
                <w:highlight w:val="none"/>
              </w:rPr>
              <w:t>后30分钟内（</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9月21日</w:t>
            </w:r>
            <w:r>
              <w:rPr>
                <w:rFonts w:hint="eastAsia" w:ascii="宋体" w:hAnsi="宋体"/>
                <w:color w:val="auto"/>
                <w:szCs w:val="21"/>
                <w:highlight w:val="none"/>
              </w:rPr>
              <w:t>上午09时30分</w:t>
            </w:r>
            <w:r>
              <w:rPr>
                <w:rFonts w:hint="eastAsia" w:ascii="宋体" w:hAnsi="宋体" w:cs="宋体"/>
                <w:bCs/>
                <w:color w:val="auto"/>
                <w:szCs w:val="21"/>
                <w:highlight w:val="none"/>
              </w:rPr>
              <w:t>至10时00分)，登录“</w:t>
            </w:r>
            <w:r>
              <w:rPr>
                <w:rFonts w:hint="eastAsia" w:ascii="宋体" w:hAnsi="宋体"/>
                <w:bCs/>
                <w:color w:val="auto"/>
                <w:szCs w:val="21"/>
                <w:highlight w:val="none"/>
              </w:rPr>
              <w:t>广西政府采购云</w:t>
            </w:r>
            <w:r>
              <w:rPr>
                <w:rFonts w:hint="eastAsia" w:ascii="宋体" w:hAnsi="宋体" w:cs="宋体"/>
                <w:bCs/>
                <w:color w:val="auto"/>
                <w:szCs w:val="21"/>
                <w:highlight w:val="none"/>
              </w:rPr>
              <w:t>”平台，通过“项目采购-开标评标”功能解密电子投标文件。若投标人在规定时间内无法解密或解密失败的，</w:t>
            </w:r>
            <w:r>
              <w:rPr>
                <w:rFonts w:hint="default" w:ascii="宋体" w:hAnsi="宋体" w:cs="宋体"/>
                <w:b/>
                <w:color w:val="auto"/>
                <w:szCs w:val="21"/>
                <w:highlight w:val="none"/>
                <w:u w:val="single"/>
              </w:rPr>
              <w:t>可以以电子备份投标文件作为依据</w:t>
            </w:r>
            <w:r>
              <w:rPr>
                <w:rFonts w:hint="default" w:ascii="宋体" w:hAnsi="宋体" w:cs="宋体"/>
                <w:b/>
                <w:bCs/>
                <w:color w:val="auto"/>
                <w:szCs w:val="21"/>
                <w:highlight w:val="none"/>
                <w:u w:val="single"/>
              </w:rPr>
              <w:t>【在接到无法解密或解密失败的通知后，投标人可根据自身实际情况按通知时要求的时间到</w:t>
            </w:r>
            <w:r>
              <w:rPr>
                <w:rFonts w:hint="eastAsia" w:ascii="宋体" w:hAnsi="宋体"/>
                <w:b/>
                <w:color w:val="auto"/>
                <w:szCs w:val="21"/>
                <w:highlight w:val="none"/>
                <w:u w:val="single"/>
              </w:rPr>
              <w:t>桂林市公共资源交易中心</w:t>
            </w:r>
            <w:r>
              <w:rPr>
                <w:rFonts w:hint="eastAsia" w:ascii="宋体" w:hAnsi="宋体"/>
                <w:b/>
                <w:color w:val="auto"/>
                <w:szCs w:val="21"/>
                <w:highlight w:val="none"/>
                <w:u w:val="single"/>
                <w:lang w:val="en-US" w:eastAsia="zh-CN"/>
              </w:rPr>
              <w:t>1号政采</w:t>
            </w:r>
            <w:r>
              <w:rPr>
                <w:rFonts w:hint="eastAsia" w:ascii="宋体" w:hAnsi="宋体"/>
                <w:b/>
                <w:color w:val="auto"/>
                <w:szCs w:val="21"/>
                <w:highlight w:val="none"/>
                <w:u w:val="single"/>
              </w:rPr>
              <w:t>开标仓</w:t>
            </w:r>
            <w:r>
              <w:rPr>
                <w:rFonts w:hint="default" w:ascii="宋体" w:hAnsi="宋体"/>
                <w:b/>
                <w:color w:val="auto"/>
                <w:szCs w:val="21"/>
                <w:highlight w:val="none"/>
                <w:u w:val="single"/>
              </w:rPr>
              <w:t>（</w:t>
            </w:r>
            <w:r>
              <w:rPr>
                <w:rFonts w:hint="eastAsia" w:ascii="宋体" w:hAnsi="宋体"/>
                <w:b/>
                <w:color w:val="auto"/>
                <w:szCs w:val="21"/>
                <w:highlight w:val="none"/>
                <w:u w:val="single"/>
              </w:rPr>
              <w:t>广西壮族自治区桂林市临桂区西城中路69号创业大厦西辅楼4楼</w:t>
            </w:r>
            <w:r>
              <w:rPr>
                <w:rFonts w:hint="default" w:ascii="宋体" w:hAnsi="宋体"/>
                <w:b/>
                <w:color w:val="auto"/>
                <w:szCs w:val="21"/>
                <w:highlight w:val="none"/>
                <w:u w:val="single"/>
              </w:rPr>
              <w:t>）</w:t>
            </w:r>
            <w:r>
              <w:rPr>
                <w:rFonts w:hint="default" w:ascii="宋体" w:hAnsi="宋体" w:cs="宋体"/>
                <w:b/>
                <w:bCs/>
                <w:color w:val="auto"/>
                <w:szCs w:val="21"/>
                <w:highlight w:val="none"/>
                <w:u w:val="single"/>
              </w:rPr>
              <w:t>现场提交或以电子邮件的形式（以通知时所告知的电子邮箱地址为准）提交电子备份投标文件】</w:t>
            </w:r>
            <w:r>
              <w:rPr>
                <w:rFonts w:hint="default" w:ascii="宋体" w:hAnsi="宋体" w:cs="宋体"/>
                <w:b/>
                <w:color w:val="auto"/>
                <w:szCs w:val="21"/>
                <w:highlight w:val="none"/>
                <w:u w:val="single"/>
              </w:rPr>
              <w:t>，若投标人在规定时间内无法解密或解密失败且未提供电子备份投标文件的(包含提供的电子备份文件无效或无法解密的情况)</w:t>
            </w:r>
            <w:r>
              <w:rPr>
                <w:rFonts w:hint="eastAsia" w:ascii="宋体" w:hAnsi="宋体" w:cs="宋体"/>
                <w:b/>
                <w:bCs/>
                <w:color w:val="auto"/>
                <w:szCs w:val="21"/>
                <w:highlight w:val="none"/>
              </w:rPr>
              <w:t>视为自动放弃，</w:t>
            </w:r>
            <w:r>
              <w:rPr>
                <w:rFonts w:hint="eastAsia" w:ascii="宋体" w:hAnsi="宋体" w:cs="宋体"/>
                <w:bCs/>
                <w:color w:val="auto"/>
                <w:szCs w:val="21"/>
                <w:highlight w:val="none"/>
              </w:rPr>
              <w:t>投标文件按投标无效处理。</w:t>
            </w:r>
          </w:p>
        </w:tc>
      </w:tr>
      <w:tr w14:paraId="34D93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trPr>
        <w:tc>
          <w:tcPr>
            <w:tcW w:w="675" w:type="dxa"/>
            <w:vAlign w:val="center"/>
          </w:tcPr>
          <w:p w14:paraId="5084A6D8">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11</w:t>
            </w:r>
          </w:p>
        </w:tc>
        <w:tc>
          <w:tcPr>
            <w:tcW w:w="992" w:type="dxa"/>
            <w:vAlign w:val="center"/>
          </w:tcPr>
          <w:p w14:paraId="0C01943F">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20.1</w:t>
            </w:r>
          </w:p>
        </w:tc>
        <w:tc>
          <w:tcPr>
            <w:tcW w:w="1418" w:type="dxa"/>
            <w:vAlign w:val="center"/>
          </w:tcPr>
          <w:p w14:paraId="33A0FE51">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开标时间及地点</w:t>
            </w:r>
          </w:p>
        </w:tc>
        <w:tc>
          <w:tcPr>
            <w:tcW w:w="6521" w:type="dxa"/>
          </w:tcPr>
          <w:p w14:paraId="42494391">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olor w:val="auto"/>
                <w:szCs w:val="21"/>
                <w:highlight w:val="none"/>
              </w:rPr>
            </w:pPr>
            <w:r>
              <w:rPr>
                <w:rFonts w:hint="eastAsia" w:ascii="宋体" w:hAnsi="宋体"/>
                <w:color w:val="auto"/>
                <w:szCs w:val="21"/>
                <w:highlight w:val="none"/>
              </w:rPr>
              <w:t>20.1.1开标时间：202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9月21日</w:t>
            </w:r>
            <w:r>
              <w:rPr>
                <w:rFonts w:hint="eastAsia" w:ascii="宋体" w:hAnsi="宋体"/>
                <w:color w:val="auto"/>
                <w:szCs w:val="21"/>
                <w:highlight w:val="none"/>
              </w:rPr>
              <w:t>上午09时30分（北京时间）；</w:t>
            </w:r>
          </w:p>
          <w:p w14:paraId="2B75F914">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s="宋体"/>
                <w:color w:val="auto"/>
                <w:spacing w:val="-3"/>
                <w:highlight w:val="none"/>
              </w:rPr>
            </w:pPr>
            <w:r>
              <w:rPr>
                <w:rFonts w:hint="eastAsia" w:ascii="宋体" w:hAnsi="宋体"/>
                <w:color w:val="auto"/>
                <w:szCs w:val="21"/>
                <w:highlight w:val="none"/>
              </w:rPr>
              <w:t>20.1.2开标地点：</w:t>
            </w:r>
            <w:r>
              <w:rPr>
                <w:rFonts w:hint="eastAsia" w:ascii="宋体" w:hAnsi="宋体" w:cs="宋体"/>
                <w:color w:val="auto"/>
                <w:spacing w:val="-3"/>
                <w:highlight w:val="none"/>
              </w:rPr>
              <w:t>通过广西政府采购云平台实行在线解密开启。</w:t>
            </w:r>
          </w:p>
          <w:p w14:paraId="0FB1D8DC">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olor w:val="auto"/>
                <w:szCs w:val="21"/>
                <w:highlight w:val="none"/>
              </w:rPr>
            </w:pPr>
            <w:r>
              <w:rPr>
                <w:rFonts w:hint="eastAsia" w:ascii="宋体" w:hAnsi="宋体" w:cs="宋体"/>
                <w:color w:val="auto"/>
                <w:highlight w:val="none"/>
              </w:rPr>
              <w:t>投标人可以由法定代表人、负责人、自然人或其委托代理人出席开标会议。</w:t>
            </w:r>
          </w:p>
        </w:tc>
      </w:tr>
      <w:tr w14:paraId="6EF7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trPr>
        <w:tc>
          <w:tcPr>
            <w:tcW w:w="675" w:type="dxa"/>
            <w:vAlign w:val="center"/>
          </w:tcPr>
          <w:p w14:paraId="0C65ECBE">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12</w:t>
            </w:r>
          </w:p>
        </w:tc>
        <w:tc>
          <w:tcPr>
            <w:tcW w:w="992" w:type="dxa"/>
            <w:vAlign w:val="center"/>
          </w:tcPr>
          <w:p w14:paraId="3D37F2B1">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23</w:t>
            </w:r>
          </w:p>
        </w:tc>
        <w:tc>
          <w:tcPr>
            <w:tcW w:w="1418" w:type="dxa"/>
            <w:vAlign w:val="center"/>
          </w:tcPr>
          <w:p w14:paraId="26663696">
            <w:pPr>
              <w:pStyle w:val="27"/>
              <w:keepNext w:val="0"/>
              <w:keepLines w:val="0"/>
              <w:suppressLineNumbers w:val="0"/>
              <w:spacing w:before="0" w:beforeAutospacing="0" w:after="0" w:afterAutospacing="0" w:line="380" w:lineRule="exact"/>
              <w:ind w:left="0" w:right="0"/>
              <w:jc w:val="center"/>
              <w:rPr>
                <w:rFonts w:hint="eastAsia" w:hAnsi="宋体" w:cs="Arial"/>
                <w:color w:val="auto"/>
                <w:kern w:val="0"/>
                <w:szCs w:val="21"/>
                <w:highlight w:val="none"/>
              </w:rPr>
            </w:pPr>
            <w:r>
              <w:rPr>
                <w:rFonts w:hint="eastAsia" w:hAnsi="宋体" w:cs="Arial"/>
                <w:color w:val="auto"/>
                <w:kern w:val="0"/>
                <w:szCs w:val="21"/>
                <w:highlight w:val="none"/>
              </w:rPr>
              <w:t>评标委员会组成</w:t>
            </w:r>
          </w:p>
        </w:tc>
        <w:tc>
          <w:tcPr>
            <w:tcW w:w="6521" w:type="dxa"/>
            <w:vAlign w:val="center"/>
          </w:tcPr>
          <w:p w14:paraId="3A48DA81">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23.1评标委员会构成：评标委员会由采购人代表和有关技术、经济等方面的专家组成，成员人数共 5 人，其中采购人代表 1 人，专家 4 人。</w:t>
            </w:r>
          </w:p>
          <w:p w14:paraId="17F361AE">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23.2专家确定方式：开标前从广西壮族自治区政府采购专家库中通过电脑随机抽取。</w:t>
            </w:r>
          </w:p>
        </w:tc>
      </w:tr>
      <w:tr w14:paraId="35541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675" w:type="dxa"/>
            <w:vAlign w:val="center"/>
          </w:tcPr>
          <w:p w14:paraId="162FBEC9">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13</w:t>
            </w:r>
          </w:p>
        </w:tc>
        <w:tc>
          <w:tcPr>
            <w:tcW w:w="992" w:type="dxa"/>
            <w:vAlign w:val="center"/>
          </w:tcPr>
          <w:p w14:paraId="40B6D1E7">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24.2</w:t>
            </w:r>
          </w:p>
        </w:tc>
        <w:tc>
          <w:tcPr>
            <w:tcW w:w="1418" w:type="dxa"/>
            <w:vAlign w:val="center"/>
          </w:tcPr>
          <w:p w14:paraId="409F5D31">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评标办法</w:t>
            </w:r>
          </w:p>
        </w:tc>
        <w:tc>
          <w:tcPr>
            <w:tcW w:w="6521" w:type="dxa"/>
            <w:vAlign w:val="center"/>
          </w:tcPr>
          <w:p w14:paraId="3CC6E536">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综合评分法，具体评标内容及标准详见第四章：评标办法。</w:t>
            </w:r>
          </w:p>
        </w:tc>
      </w:tr>
      <w:tr w14:paraId="6F9A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5" w:hRule="atLeast"/>
        </w:trPr>
        <w:tc>
          <w:tcPr>
            <w:tcW w:w="675" w:type="dxa"/>
            <w:vAlign w:val="center"/>
          </w:tcPr>
          <w:p w14:paraId="76CC1EE8">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14</w:t>
            </w:r>
          </w:p>
        </w:tc>
        <w:tc>
          <w:tcPr>
            <w:tcW w:w="992" w:type="dxa"/>
            <w:vAlign w:val="center"/>
          </w:tcPr>
          <w:p w14:paraId="0FCAA6D1">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31</w:t>
            </w:r>
          </w:p>
        </w:tc>
        <w:tc>
          <w:tcPr>
            <w:tcW w:w="1418" w:type="dxa"/>
            <w:vAlign w:val="center"/>
          </w:tcPr>
          <w:p w14:paraId="6C6E4F34">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中标人信用信息查询</w:t>
            </w:r>
          </w:p>
        </w:tc>
        <w:tc>
          <w:tcPr>
            <w:tcW w:w="6521" w:type="dxa"/>
            <w:vAlign w:val="center"/>
          </w:tcPr>
          <w:p w14:paraId="5EE16F55">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olor w:val="auto"/>
                <w:szCs w:val="21"/>
                <w:highlight w:val="none"/>
              </w:rPr>
            </w:pPr>
            <w:r>
              <w:rPr>
                <w:rFonts w:hint="eastAsia" w:ascii="宋体" w:hAnsi="宋体"/>
                <w:color w:val="auto"/>
                <w:szCs w:val="21"/>
                <w:highlight w:val="none"/>
              </w:rPr>
              <w:t>根据《关于做好政府采购有关信用主体标识码登记及在政府采购活动中查询使用信用记录有关问题的通知》桂财采〔2016〕37号的通知，采购代理机构对中标人进行信用查询：</w:t>
            </w:r>
          </w:p>
          <w:p w14:paraId="0978EA05">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olor w:val="auto"/>
                <w:szCs w:val="21"/>
                <w:highlight w:val="none"/>
              </w:rPr>
            </w:pPr>
            <w:r>
              <w:rPr>
                <w:rFonts w:hint="eastAsia" w:ascii="宋体" w:hAnsi="宋体"/>
                <w:color w:val="auto"/>
                <w:szCs w:val="21"/>
                <w:highlight w:val="none"/>
              </w:rPr>
              <w:t>（1）查询渠道：“信用中国”网站（www.creditchina.gov.cn）、中国政府采购网（www.ccgp.gov.cn）等；</w:t>
            </w:r>
          </w:p>
          <w:p w14:paraId="7EB688FF">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olor w:val="auto"/>
                <w:szCs w:val="21"/>
                <w:highlight w:val="none"/>
              </w:rPr>
            </w:pPr>
            <w:r>
              <w:rPr>
                <w:rFonts w:hint="eastAsia" w:ascii="宋体" w:hAnsi="宋体"/>
                <w:color w:val="auto"/>
                <w:szCs w:val="21"/>
                <w:highlight w:val="none"/>
              </w:rPr>
              <w:t>（2）查询截止时点：中标通知书发出前；</w:t>
            </w:r>
          </w:p>
          <w:p w14:paraId="3BB28DE8">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olor w:val="auto"/>
                <w:szCs w:val="21"/>
                <w:highlight w:val="none"/>
              </w:rPr>
            </w:pPr>
            <w:r>
              <w:rPr>
                <w:rFonts w:hint="eastAsia" w:ascii="宋体" w:hAnsi="宋体"/>
                <w:color w:val="auto"/>
                <w:szCs w:val="21"/>
                <w:highlight w:val="none"/>
              </w:rPr>
              <w:t>（3）信用信息查询记录和证据留存方式：在查询网站中直接打印查询记录，打印材料作为采购活动资料保存。</w:t>
            </w:r>
          </w:p>
          <w:p w14:paraId="4BFACD14">
            <w:pPr>
              <w:keepNext w:val="0"/>
              <w:keepLines w:val="0"/>
              <w:suppressLineNumbers w:val="0"/>
              <w:spacing w:before="0" w:beforeAutospacing="0" w:after="0" w:afterAutospacing="0" w:line="380" w:lineRule="exact"/>
              <w:ind w:left="0" w:right="0"/>
              <w:rPr>
                <w:rFonts w:hint="eastAsia" w:ascii="宋体" w:hAnsi="宋体"/>
                <w:color w:val="auto"/>
                <w:spacing w:val="-4"/>
                <w:szCs w:val="21"/>
                <w:highlight w:val="none"/>
              </w:rPr>
            </w:pPr>
            <w:r>
              <w:rPr>
                <w:rFonts w:hint="eastAsia" w:ascii="宋体" w:hAnsi="宋体"/>
                <w:color w:val="auto"/>
                <w:spacing w:val="-4"/>
                <w:szCs w:val="21"/>
                <w:highlight w:val="none"/>
              </w:rPr>
              <w:t>（4）信用信息使用规则：在“信用中国”网站（www.creditchina.gov.cn）、中国政府采购网（www.ccgp.gov.cn）等渠道列入失信被执行人、重大税收违法案件当事人名单、政府采购严重违法失信行为记录名单及其他不符合《中华人民共和国政府采购法》第二十二条规定条件的投标人，不得参与政府采购活动，取消其中标候选人资格。采购人依法按照评标报告中评标委员会推荐中标候选人排序表确定排名第二的中标候选人为中标投标人或者重新组织采购。</w:t>
            </w:r>
          </w:p>
        </w:tc>
      </w:tr>
      <w:tr w14:paraId="40D5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675" w:type="dxa"/>
            <w:vAlign w:val="center"/>
          </w:tcPr>
          <w:p w14:paraId="10DEE9DE">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15</w:t>
            </w:r>
          </w:p>
        </w:tc>
        <w:tc>
          <w:tcPr>
            <w:tcW w:w="992" w:type="dxa"/>
            <w:vAlign w:val="center"/>
          </w:tcPr>
          <w:p w14:paraId="52BEAC1C">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32</w:t>
            </w:r>
          </w:p>
        </w:tc>
        <w:tc>
          <w:tcPr>
            <w:tcW w:w="1418" w:type="dxa"/>
            <w:vAlign w:val="center"/>
          </w:tcPr>
          <w:p w14:paraId="77DD8C6E">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中标公告及中标通知书</w:t>
            </w:r>
          </w:p>
        </w:tc>
        <w:tc>
          <w:tcPr>
            <w:tcW w:w="6521" w:type="dxa"/>
          </w:tcPr>
          <w:p w14:paraId="09614523">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32.1采购代理机构于评标结束后两个工作日内将评标报告送交采购人，采购人应当自收到评标报告五个工作日内在评标报告推荐的中标候选人中按顺序确定中标投标人，采购代理机构在中标投标人确定之日起两个工作日内发出中标通知书，并在指定媒体上公告中标信息，</w:t>
            </w:r>
            <w:r>
              <w:rPr>
                <w:rFonts w:hint="default" w:ascii="宋体" w:hAnsi="宋体"/>
                <w:color w:val="auto"/>
                <w:szCs w:val="21"/>
                <w:highlight w:val="none"/>
              </w:rPr>
              <w:t>中标公告期限为1个工作日</w:t>
            </w:r>
            <w:r>
              <w:rPr>
                <w:rFonts w:hint="eastAsia" w:ascii="宋体" w:hAnsi="宋体"/>
                <w:color w:val="auto"/>
                <w:szCs w:val="21"/>
                <w:highlight w:val="none"/>
              </w:rPr>
              <w:t>。</w:t>
            </w:r>
          </w:p>
          <w:p w14:paraId="73A5F5DA">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32.2中标公告发布同时，采购代理机构在线向中标投标人发出中标通知书。</w:t>
            </w:r>
          </w:p>
        </w:tc>
      </w:tr>
      <w:tr w14:paraId="7E85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675" w:type="dxa"/>
            <w:vAlign w:val="center"/>
          </w:tcPr>
          <w:p w14:paraId="5D219ACF">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16</w:t>
            </w:r>
          </w:p>
        </w:tc>
        <w:tc>
          <w:tcPr>
            <w:tcW w:w="992" w:type="dxa"/>
            <w:vAlign w:val="center"/>
          </w:tcPr>
          <w:p w14:paraId="6D3CCF76">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33</w:t>
            </w:r>
          </w:p>
        </w:tc>
        <w:tc>
          <w:tcPr>
            <w:tcW w:w="1418" w:type="dxa"/>
            <w:vAlign w:val="center"/>
          </w:tcPr>
          <w:p w14:paraId="50EFE105">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履约保证金</w:t>
            </w:r>
          </w:p>
        </w:tc>
        <w:tc>
          <w:tcPr>
            <w:tcW w:w="6521" w:type="dxa"/>
          </w:tcPr>
          <w:p w14:paraId="52E6E251">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hAnsi="宋体"/>
                <w:color w:val="auto"/>
                <w:szCs w:val="21"/>
                <w:highlight w:val="none"/>
              </w:rPr>
              <w:t>无</w:t>
            </w:r>
          </w:p>
        </w:tc>
      </w:tr>
      <w:tr w14:paraId="49B0B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75" w:type="dxa"/>
            <w:vAlign w:val="center"/>
          </w:tcPr>
          <w:p w14:paraId="527E6183">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17</w:t>
            </w:r>
          </w:p>
        </w:tc>
        <w:tc>
          <w:tcPr>
            <w:tcW w:w="992" w:type="dxa"/>
            <w:vAlign w:val="center"/>
          </w:tcPr>
          <w:p w14:paraId="556FC8E9">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34.1</w:t>
            </w:r>
          </w:p>
        </w:tc>
        <w:tc>
          <w:tcPr>
            <w:tcW w:w="1418" w:type="dxa"/>
            <w:vAlign w:val="center"/>
          </w:tcPr>
          <w:p w14:paraId="3C7B892E">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签订合同时间</w:t>
            </w:r>
          </w:p>
        </w:tc>
        <w:tc>
          <w:tcPr>
            <w:tcW w:w="6521" w:type="dxa"/>
            <w:vAlign w:val="center"/>
          </w:tcPr>
          <w:p w14:paraId="6A4A912F">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s="宋体"/>
                <w:color w:val="auto"/>
                <w:szCs w:val="21"/>
                <w:highlight w:val="none"/>
              </w:rPr>
              <w:t>中标通知书发出之日八个工作日内。中标投标人领取中标通知书后，应按规定与采购人签订合同。</w:t>
            </w:r>
          </w:p>
        </w:tc>
      </w:tr>
      <w:tr w14:paraId="4CBC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75" w:type="dxa"/>
            <w:vAlign w:val="center"/>
          </w:tcPr>
          <w:p w14:paraId="1AB737AF">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18</w:t>
            </w:r>
          </w:p>
        </w:tc>
        <w:tc>
          <w:tcPr>
            <w:tcW w:w="992" w:type="dxa"/>
            <w:vAlign w:val="center"/>
          </w:tcPr>
          <w:p w14:paraId="01DFFA43">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34.3</w:t>
            </w:r>
          </w:p>
        </w:tc>
        <w:tc>
          <w:tcPr>
            <w:tcW w:w="1418" w:type="dxa"/>
            <w:vAlign w:val="center"/>
          </w:tcPr>
          <w:p w14:paraId="08908CF9">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合同备案存档</w:t>
            </w:r>
          </w:p>
        </w:tc>
        <w:tc>
          <w:tcPr>
            <w:tcW w:w="6521" w:type="dxa"/>
            <w:vAlign w:val="center"/>
          </w:tcPr>
          <w:p w14:paraId="2C7CDB84">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b/>
                <w:color w:val="auto"/>
                <w:szCs w:val="21"/>
                <w:highlight w:val="none"/>
              </w:rPr>
            </w:pPr>
            <w:r>
              <w:rPr>
                <w:rFonts w:hint="eastAsia" w:ascii="宋体" w:hAnsi="宋体"/>
                <w:color w:val="auto"/>
                <w:szCs w:val="21"/>
                <w:highlight w:val="none"/>
              </w:rPr>
              <w:t>政府采购合同双方自签订之日起1个工作日内将合同原件壹份交采购代理机构存档。采购代理机构将政府采购合同在省级以上人民政府财政部门指定媒体上公告并在广西政府采购云系统中进行备案。</w:t>
            </w:r>
          </w:p>
          <w:p w14:paraId="4CFE241F">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b/>
                <w:color w:val="auto"/>
                <w:szCs w:val="21"/>
                <w:highlight w:val="none"/>
              </w:rPr>
              <w:t>注：未在广西政府采购云注册的成交投标人可在发出成交通知后登录广西政府采购云进行注册，如在操作过程中遇到问题或者需要技术支持，请致电广西政府采购云客服热线：95763。</w:t>
            </w:r>
          </w:p>
        </w:tc>
      </w:tr>
      <w:tr w14:paraId="59AF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675" w:type="dxa"/>
            <w:vAlign w:val="center"/>
          </w:tcPr>
          <w:p w14:paraId="779F6272">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19</w:t>
            </w:r>
          </w:p>
        </w:tc>
        <w:tc>
          <w:tcPr>
            <w:tcW w:w="992" w:type="dxa"/>
            <w:vAlign w:val="center"/>
          </w:tcPr>
          <w:p w14:paraId="3890A893">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35</w:t>
            </w:r>
          </w:p>
        </w:tc>
        <w:tc>
          <w:tcPr>
            <w:tcW w:w="1418" w:type="dxa"/>
            <w:vAlign w:val="center"/>
          </w:tcPr>
          <w:p w14:paraId="209FDE4E">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招标代理服务费</w:t>
            </w:r>
          </w:p>
        </w:tc>
        <w:tc>
          <w:tcPr>
            <w:tcW w:w="6521" w:type="dxa"/>
            <w:vAlign w:val="center"/>
          </w:tcPr>
          <w:p w14:paraId="30201414">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s="宋体"/>
                <w:color w:val="auto"/>
                <w:szCs w:val="21"/>
                <w:highlight w:val="none"/>
              </w:rPr>
              <w:t>本项目的采购代理服务费：参照计价格[2002]1980号《招标代理服务收费管理暂行办法》货物类收费标准计取。在领取中标通知书前，由中标人向</w:t>
            </w:r>
            <w:r>
              <w:rPr>
                <w:rFonts w:hint="eastAsia" w:ascii="宋体" w:hAnsi="宋体" w:cs="宋体"/>
                <w:color w:val="auto"/>
                <w:spacing w:val="-4"/>
                <w:highlight w:val="none"/>
                <w:lang w:eastAsia="zh-CN"/>
              </w:rPr>
              <w:t>广西万安工程咨询有限公司</w:t>
            </w:r>
            <w:r>
              <w:rPr>
                <w:rFonts w:hint="eastAsia" w:ascii="宋体" w:hAnsi="宋体" w:cs="宋体"/>
                <w:color w:val="auto"/>
                <w:szCs w:val="21"/>
                <w:highlight w:val="none"/>
              </w:rPr>
              <w:t>一次性付清代理服务费。</w:t>
            </w:r>
          </w:p>
        </w:tc>
      </w:tr>
      <w:tr w14:paraId="1E17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5" w:type="dxa"/>
            <w:vAlign w:val="center"/>
          </w:tcPr>
          <w:p w14:paraId="2C197C35">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20</w:t>
            </w:r>
          </w:p>
        </w:tc>
        <w:tc>
          <w:tcPr>
            <w:tcW w:w="992" w:type="dxa"/>
            <w:vAlign w:val="center"/>
          </w:tcPr>
          <w:p w14:paraId="68BED871">
            <w:pPr>
              <w:keepNext w:val="0"/>
              <w:keepLines w:val="0"/>
              <w:suppressLineNumbers w:val="0"/>
              <w:spacing w:before="0" w:beforeAutospacing="0" w:after="0" w:afterAutospacing="0" w:line="380" w:lineRule="exact"/>
              <w:ind w:left="0" w:right="0"/>
              <w:jc w:val="center"/>
              <w:rPr>
                <w:rFonts w:hint="eastAsia" w:ascii="宋体" w:hAnsi="宋体" w:eastAsia="宋体"/>
                <w:color w:val="auto"/>
                <w:szCs w:val="21"/>
                <w:highlight w:val="none"/>
                <w:lang w:val="en-US" w:eastAsia="zh-CN"/>
              </w:rPr>
            </w:pPr>
            <w:r>
              <w:rPr>
                <w:rFonts w:hint="eastAsia" w:ascii="宋体" w:hAnsi="宋体"/>
                <w:color w:val="auto"/>
                <w:szCs w:val="21"/>
                <w:highlight w:val="none"/>
              </w:rPr>
              <w:t>3</w:t>
            </w:r>
            <w:r>
              <w:rPr>
                <w:rFonts w:hint="eastAsia" w:ascii="宋体" w:hAnsi="宋体"/>
                <w:color w:val="auto"/>
                <w:szCs w:val="21"/>
                <w:highlight w:val="none"/>
                <w:lang w:val="en-US" w:eastAsia="zh-CN"/>
              </w:rPr>
              <w:t>6</w:t>
            </w:r>
          </w:p>
        </w:tc>
        <w:tc>
          <w:tcPr>
            <w:tcW w:w="1418" w:type="dxa"/>
            <w:vAlign w:val="center"/>
          </w:tcPr>
          <w:p w14:paraId="7C82430F">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解释权</w:t>
            </w:r>
          </w:p>
        </w:tc>
        <w:tc>
          <w:tcPr>
            <w:tcW w:w="6521" w:type="dxa"/>
            <w:vAlign w:val="center"/>
          </w:tcPr>
          <w:p w14:paraId="2C5398C0">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本招标文件是根据《中华人民共和国政府采购法》、《中华人民共和国政府采购法实施条例》及</w:t>
            </w:r>
            <w:r>
              <w:rPr>
                <w:rStyle w:val="54"/>
                <w:rFonts w:hint="default" w:ascii="宋体" w:hAnsi="宋体" w:cs="Arial"/>
                <w:b w:val="0"/>
                <w:color w:val="auto"/>
                <w:szCs w:val="21"/>
                <w:highlight w:val="none"/>
              </w:rPr>
              <w:t>财政部令第87号</w:t>
            </w:r>
            <w:r>
              <w:rPr>
                <w:rFonts w:hint="default" w:ascii="宋体" w:hAnsi="宋体" w:cs="Arial"/>
                <w:color w:val="auto"/>
                <w:szCs w:val="21"/>
                <w:highlight w:val="none"/>
              </w:rPr>
              <w:t>《政府采购货物和服务招标投标管理办法》</w:t>
            </w:r>
            <w:r>
              <w:rPr>
                <w:rFonts w:hint="eastAsia" w:ascii="宋体" w:hAnsi="宋体"/>
                <w:color w:val="auto"/>
                <w:szCs w:val="21"/>
                <w:highlight w:val="none"/>
              </w:rPr>
              <w:t>等相关规定编制，本招标文件的解释权属于采购代理机构。</w:t>
            </w:r>
          </w:p>
        </w:tc>
      </w:tr>
      <w:tr w14:paraId="01D2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675" w:type="dxa"/>
            <w:vAlign w:val="center"/>
          </w:tcPr>
          <w:p w14:paraId="12FE95CF">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21</w:t>
            </w:r>
          </w:p>
        </w:tc>
        <w:tc>
          <w:tcPr>
            <w:tcW w:w="992" w:type="dxa"/>
            <w:vAlign w:val="center"/>
          </w:tcPr>
          <w:p w14:paraId="4BC5D46E">
            <w:pPr>
              <w:keepNext w:val="0"/>
              <w:keepLines w:val="0"/>
              <w:suppressLineNumbers w:val="0"/>
              <w:spacing w:before="0" w:beforeAutospacing="0" w:after="0" w:afterAutospacing="0" w:line="380" w:lineRule="exact"/>
              <w:ind w:left="0" w:right="0"/>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37</w:t>
            </w:r>
          </w:p>
        </w:tc>
        <w:tc>
          <w:tcPr>
            <w:tcW w:w="1418" w:type="dxa"/>
            <w:vAlign w:val="center"/>
          </w:tcPr>
          <w:p w14:paraId="7F735C92">
            <w:pPr>
              <w:keepNext w:val="0"/>
              <w:keepLines w:val="0"/>
              <w:suppressLineNumbers w:val="0"/>
              <w:spacing w:before="0" w:beforeAutospacing="0" w:after="0" w:afterAutospacing="0" w:line="380" w:lineRule="exact"/>
              <w:ind w:left="0" w:right="0"/>
              <w:jc w:val="center"/>
              <w:rPr>
                <w:rFonts w:hint="eastAsia" w:ascii="宋体" w:hAnsi="宋体"/>
                <w:color w:val="auto"/>
                <w:position w:val="10"/>
                <w:szCs w:val="21"/>
                <w:highlight w:val="none"/>
              </w:rPr>
            </w:pPr>
            <w:r>
              <w:rPr>
                <w:rFonts w:hint="eastAsia" w:ascii="宋体" w:hAnsi="宋体"/>
                <w:color w:val="auto"/>
                <w:szCs w:val="21"/>
                <w:highlight w:val="none"/>
              </w:rPr>
              <w:t>监督管理机构</w:t>
            </w:r>
          </w:p>
        </w:tc>
        <w:tc>
          <w:tcPr>
            <w:tcW w:w="6521" w:type="dxa"/>
            <w:vAlign w:val="center"/>
          </w:tcPr>
          <w:p w14:paraId="07B33A5D">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highlight w:val="none"/>
                <w:lang w:val="en-US" w:eastAsia="zh-CN"/>
              </w:rPr>
              <w:t xml:space="preserve">阳朔县财政局      </w:t>
            </w:r>
            <w:r>
              <w:rPr>
                <w:rFonts w:hint="eastAsia" w:ascii="宋体" w:hAnsi="宋体"/>
                <w:color w:val="auto"/>
                <w:highlight w:val="none"/>
              </w:rPr>
              <w:t>联系电话：</w:t>
            </w:r>
            <w:r>
              <w:rPr>
                <w:rFonts w:hint="eastAsia" w:ascii="宋体" w:hAnsi="宋体"/>
                <w:color w:val="auto"/>
                <w:highlight w:val="none"/>
                <w:lang w:eastAsia="zh-CN"/>
              </w:rPr>
              <w:t>0773-</w:t>
            </w:r>
            <w:r>
              <w:rPr>
                <w:rFonts w:hint="eastAsia" w:ascii="宋体" w:hAnsi="宋体"/>
                <w:color w:val="auto"/>
                <w:highlight w:val="none"/>
                <w:lang w:val="en-US" w:eastAsia="zh-CN"/>
              </w:rPr>
              <w:t>8811598</w:t>
            </w:r>
          </w:p>
        </w:tc>
      </w:tr>
    </w:tbl>
    <w:p w14:paraId="76E94B36">
      <w:pPr>
        <w:rPr>
          <w:rFonts w:hint="eastAsia" w:ascii="宋体" w:hAnsi="宋体"/>
          <w:b/>
          <w:color w:val="auto"/>
          <w:sz w:val="28"/>
          <w:szCs w:val="28"/>
          <w:highlight w:val="none"/>
        </w:rPr>
      </w:pPr>
      <w:bookmarkStart w:id="2" w:name="_Toc90288698"/>
      <w:r>
        <w:rPr>
          <w:rFonts w:hint="eastAsia" w:ascii="宋体" w:hAnsi="宋体"/>
          <w:b/>
          <w:color w:val="auto"/>
          <w:sz w:val="28"/>
          <w:szCs w:val="28"/>
          <w:highlight w:val="none"/>
        </w:rPr>
        <w:br w:type="page"/>
      </w:r>
    </w:p>
    <w:p w14:paraId="2182B687">
      <w:pPr>
        <w:spacing w:line="360" w:lineRule="auto"/>
        <w:jc w:val="center"/>
        <w:outlineLvl w:val="0"/>
        <w:rPr>
          <w:rFonts w:hint="eastAsia" w:ascii="宋体" w:hAnsi="宋体"/>
          <w:b/>
          <w:color w:val="auto"/>
          <w:sz w:val="28"/>
          <w:szCs w:val="28"/>
          <w:highlight w:val="none"/>
        </w:rPr>
      </w:pPr>
      <w:r>
        <w:rPr>
          <w:rFonts w:hint="eastAsia" w:ascii="宋体" w:hAnsi="宋体"/>
          <w:b/>
          <w:color w:val="auto"/>
          <w:sz w:val="28"/>
          <w:szCs w:val="28"/>
          <w:highlight w:val="none"/>
        </w:rPr>
        <w:t>一、总则</w:t>
      </w:r>
      <w:bookmarkEnd w:id="2"/>
    </w:p>
    <w:p w14:paraId="2EA116A3">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1.项目名称及项目编号</w:t>
      </w:r>
    </w:p>
    <w:p w14:paraId="6D090A32">
      <w:pPr>
        <w:spacing w:line="360" w:lineRule="auto"/>
        <w:ind w:firstLine="617" w:firstLineChars="294"/>
        <w:rPr>
          <w:rFonts w:hint="eastAsia" w:ascii="宋体" w:hAnsi="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阳朔县中等职业技术学校专业实训、信息化教学及阅览资源提质建设项目（重）</w:t>
      </w:r>
    </w:p>
    <w:p w14:paraId="6FE26989">
      <w:pPr>
        <w:spacing w:line="360" w:lineRule="auto"/>
        <w:ind w:firstLine="617" w:firstLineChars="294"/>
        <w:rPr>
          <w:rFonts w:hint="eastAsia" w:ascii="宋体" w:hAnsi="宋体" w:eastAsia="宋体"/>
          <w:b/>
          <w:color w:val="auto"/>
          <w:szCs w:val="21"/>
          <w:highlight w:val="none"/>
          <w:lang w:eastAsia="zh-CN"/>
        </w:rPr>
      </w:pPr>
      <w:r>
        <w:rPr>
          <w:rFonts w:hint="eastAsia" w:ascii="宋体" w:hAnsi="宋体"/>
          <w:color w:val="auto"/>
          <w:szCs w:val="21"/>
          <w:highlight w:val="none"/>
          <w:lang w:eastAsia="zh-CN"/>
        </w:rPr>
        <w:t>项目编号：GLZC2026-G1-210069-GXWA</w:t>
      </w:r>
    </w:p>
    <w:p w14:paraId="5BF7AD92">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2.适应范围</w:t>
      </w:r>
    </w:p>
    <w:p w14:paraId="47CA9D2B">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本招标文件适用本招标采购项目的招标、投标、评标、合同履约、验收、付款等行为（法律、法规另有规定的，从其规定）。</w:t>
      </w:r>
    </w:p>
    <w:p w14:paraId="42FC6060">
      <w:pPr>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3.定义</w:t>
      </w:r>
    </w:p>
    <w:p w14:paraId="670A0FF9">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3.1“投标人”系指响应招标、参加投标竞争的法人、其他组织或者自然人。</w:t>
      </w:r>
    </w:p>
    <w:p w14:paraId="0813C024">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3.2“货物”系指按招标文件规定，投标人须向采购人提供的一切设备、保险、税金、备品备件、工具、手册及其它有关技术资料和材料。</w:t>
      </w:r>
    </w:p>
    <w:p w14:paraId="78BEE224">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3.3“服务”系指按招标文件规定，投标人须承担的安装、调试、技术协助、校准、培训、技术指导以及其他类似的义务。</w:t>
      </w:r>
    </w:p>
    <w:p w14:paraId="4DF680B4">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3.4“项目”系指按招标文件规定向采购人提供的货物和服务。</w:t>
      </w:r>
    </w:p>
    <w:p w14:paraId="04B45C86">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3.5“书面形式”包括信函、传真、电报等。</w:t>
      </w:r>
    </w:p>
    <w:p w14:paraId="164E4012">
      <w:pPr>
        <w:spacing w:line="360" w:lineRule="auto"/>
        <w:ind w:firstLine="435"/>
        <w:rPr>
          <w:rFonts w:hint="eastAsia" w:ascii="宋体" w:hAnsi="宋体"/>
          <w:color w:val="auto"/>
          <w:szCs w:val="21"/>
          <w:highlight w:val="none"/>
        </w:rPr>
      </w:pPr>
      <w:r>
        <w:rPr>
          <w:rFonts w:hint="eastAsia" w:ascii="宋体" w:hAnsi="宋体"/>
          <w:b/>
          <w:color w:val="auto"/>
          <w:szCs w:val="21"/>
          <w:highlight w:val="none"/>
        </w:rPr>
        <w:t>3.6实质性要求：第三章《货物采购需求》中标注★号项的条款及商务要求均为实质性要求，投标时必须响应。</w:t>
      </w:r>
    </w:p>
    <w:p w14:paraId="52FCBFA4">
      <w:pPr>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4.招标方式</w:t>
      </w:r>
    </w:p>
    <w:p w14:paraId="4550CCE5">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公开招标方式。</w:t>
      </w:r>
    </w:p>
    <w:p w14:paraId="47D1509F">
      <w:pPr>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5.投标人资格</w:t>
      </w:r>
    </w:p>
    <w:p w14:paraId="440EBF06">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详见《投标人须知前附表》第2条。</w:t>
      </w:r>
    </w:p>
    <w:p w14:paraId="04C32C2A">
      <w:pPr>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6.投标费用</w:t>
      </w:r>
    </w:p>
    <w:p w14:paraId="4E81F8B6">
      <w:pPr>
        <w:pStyle w:val="238"/>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6.1参与电子投标的准备工作</w:t>
      </w:r>
    </w:p>
    <w:p w14:paraId="6B2F3375">
      <w:pPr>
        <w:pStyle w:val="238"/>
        <w:spacing w:line="360" w:lineRule="auto"/>
        <w:ind w:firstLine="420"/>
        <w:rPr>
          <w:rFonts w:hint="eastAsia" w:ascii="宋体" w:hAnsi="宋体"/>
          <w:color w:val="auto"/>
          <w:szCs w:val="21"/>
          <w:highlight w:val="none"/>
        </w:rPr>
      </w:pPr>
      <w:r>
        <w:rPr>
          <w:rFonts w:hint="eastAsia" w:ascii="宋体" w:hAnsi="宋体"/>
          <w:color w:val="auto"/>
          <w:szCs w:val="21"/>
          <w:highlight w:val="none"/>
        </w:rPr>
        <w:t>6.1.1本项目实行全流程电子化采购，投标人通过“广西政府采购云”平台参与电子投标，并应做好以下相关准备工作：①在“广西政府采购云”平台注册成为正式投标人（操作方法详见广西壮族自治区政府采购网—办事服务—下载专区-广西政府采购云投标人入驻指南）；②完成CA证书申领和绑定（费用由投标人自行承担，办理流程详见广西壮族自治区政府采购网—办事服务—下载专区-广西政府采购云CA证书办理操作指南。完成CA证书办理预计一周左右，建议投标人尽快办理）；③下载“广西壮族自治区全流程电子招投标项目管理系统--投标人客户端”（操作方法详见广西壮族自治区政府采购网—办事服务—下载专区-广西壮族自治区全流程电子招投标项目管理系统--投标人客户端，以下称“广西政府采购云电子投标客户端”）并安装成功，投标人应当在提交投标文件截止时间前在“广西政府采购云”平台完成身份认证，确保能够对相关数据电文进行加密和使用电子签章；④自备计算机和网络设备并确保能接入互联网（费用由投标人自行承担，设备确保可进行视频通话和读取广西政府采购云CA证书）。因投标人未做好相关准备工作等自身原因导致无法参加本项目电子投标或投标失败的，造成的一切后果，由投标人自行承担。</w:t>
      </w:r>
    </w:p>
    <w:p w14:paraId="0CD60B70">
      <w:pPr>
        <w:pStyle w:val="238"/>
        <w:spacing w:line="360" w:lineRule="auto"/>
        <w:ind w:firstLine="420"/>
        <w:rPr>
          <w:rFonts w:hint="eastAsia" w:ascii="宋体" w:hAnsi="宋体"/>
          <w:color w:val="auto"/>
          <w:szCs w:val="21"/>
          <w:highlight w:val="none"/>
        </w:rPr>
      </w:pPr>
      <w:r>
        <w:rPr>
          <w:rFonts w:hint="eastAsia" w:ascii="宋体" w:hAnsi="宋体"/>
          <w:color w:val="auto"/>
          <w:szCs w:val="21"/>
          <w:highlight w:val="none"/>
        </w:rPr>
        <w:t>6.1.2</w:t>
      </w:r>
      <w:r>
        <w:rPr>
          <w:rFonts w:hint="eastAsia" w:ascii="宋体" w:hAnsi="宋体" w:cs="宋体"/>
          <w:color w:val="auto"/>
          <w:szCs w:val="21"/>
          <w:highlight w:val="none"/>
          <w:shd w:val="clear" w:color="auto" w:fill="FFFFFF"/>
        </w:rPr>
        <w:t>电子投标具体操作流程参考《政府采购项目电子交易管理操作指南-投标人》（详见桂林市政府采购网—采购资讯—重要通知）；如遇平台技术问题详询95763。</w:t>
      </w:r>
    </w:p>
    <w:p w14:paraId="0A818BF3">
      <w:pPr>
        <w:pStyle w:val="238"/>
        <w:spacing w:line="360" w:lineRule="auto"/>
        <w:ind w:firstLine="420"/>
        <w:rPr>
          <w:rFonts w:hint="eastAsia" w:ascii="宋体" w:hAnsi="宋体" w:cs="宋体"/>
          <w:color w:val="auto"/>
          <w:highlight w:val="none"/>
        </w:rPr>
      </w:pPr>
      <w:r>
        <w:rPr>
          <w:rFonts w:hint="eastAsia" w:ascii="宋体" w:hAnsi="宋体"/>
          <w:color w:val="auto"/>
          <w:szCs w:val="21"/>
          <w:highlight w:val="none"/>
        </w:rPr>
        <w:t>6.2投标费用：不论投标结果如何，均应自行承担所有与投标有关的全部费用。</w:t>
      </w:r>
    </w:p>
    <w:p w14:paraId="26E2AEF6">
      <w:pPr>
        <w:tabs>
          <w:tab w:val="left" w:pos="1635"/>
        </w:tabs>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7.联合体投标要求</w:t>
      </w:r>
    </w:p>
    <w:p w14:paraId="615EEA5B">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本项目</w:t>
      </w:r>
      <w:r>
        <w:rPr>
          <w:rFonts w:hint="eastAsia" w:ascii="宋体" w:hAnsi="宋体"/>
          <w:color w:val="auto"/>
          <w:szCs w:val="21"/>
          <w:highlight w:val="none"/>
          <w:lang w:val="en-US" w:eastAsia="zh-CN"/>
        </w:rPr>
        <w:t>标项一不接受联合体投标，标项二接受联合体投标</w:t>
      </w:r>
      <w:r>
        <w:rPr>
          <w:rFonts w:hint="eastAsia" w:ascii="宋体" w:hAnsi="宋体"/>
          <w:color w:val="auto"/>
          <w:szCs w:val="21"/>
          <w:highlight w:val="none"/>
        </w:rPr>
        <w:t>。</w:t>
      </w:r>
    </w:p>
    <w:p w14:paraId="1D4FF21C">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如接受联合体投标，联合体投标要求如下：</w:t>
      </w:r>
    </w:p>
    <w:p w14:paraId="3253901B">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1.两个以上投标人可以组成一个投标联合体，以一个投标人的身份共同参加投标。联合体投标的，须提供《联合体投标协议书》（格式后附）。</w:t>
      </w:r>
    </w:p>
    <w:p w14:paraId="4ED2356C">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10E857CB">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联合体各方之间必须签订联合投标协议，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33AD4C29">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4.以联合体形式参加政府采购活动的，联合体各方不得再单独参加或者与其他投标人另外组成联合体参加同一合同项下的政府采购活动。</w:t>
      </w:r>
    </w:p>
    <w:p w14:paraId="05EA8D14">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5.联合体中有同类资质的投标人按照联合体分工承担相同工作的，应当按照资质等级较低的投标人确定资质等级。</w:t>
      </w:r>
    </w:p>
    <w:p w14:paraId="7848C8FD">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6.联合体投标业绩、履约能力按照联合体各方其中较高的一方认定并计算（招标文件另有规定的除外）。</w:t>
      </w:r>
    </w:p>
    <w:p w14:paraId="23323B96">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7.投标人为联合体的，可以由联合体中的一方或者多方共同交纳投标保证金，其交纳的保证金对联合体各方均具有约束力。</w:t>
      </w:r>
    </w:p>
    <w:p w14:paraId="25900142">
      <w:pPr>
        <w:snapToGrid w:val="0"/>
        <w:spacing w:line="360" w:lineRule="auto"/>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8.联合体各方均应按照招标文件的规定提交资格证明文件。资格证明文件须联合体各成员单位盖章；其余投标文件材料可仅由联合体牵头单位盖章。</w:t>
      </w:r>
    </w:p>
    <w:p w14:paraId="1151A0D8">
      <w:pPr>
        <w:tabs>
          <w:tab w:val="left" w:pos="1635"/>
        </w:tabs>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8.转包与分包</w:t>
      </w:r>
    </w:p>
    <w:p w14:paraId="039434A5">
      <w:pPr>
        <w:tabs>
          <w:tab w:val="left" w:pos="1635"/>
        </w:tabs>
        <w:spacing w:line="360" w:lineRule="auto"/>
        <w:ind w:firstLine="435"/>
        <w:rPr>
          <w:rFonts w:hint="eastAsia" w:ascii="宋体" w:hAnsi="宋体"/>
          <w:color w:val="auto"/>
          <w:szCs w:val="21"/>
          <w:highlight w:val="none"/>
        </w:rPr>
      </w:pPr>
      <w:r>
        <w:rPr>
          <w:rFonts w:hint="eastAsia" w:ascii="宋体" w:hAnsi="宋体"/>
          <w:color w:val="auto"/>
          <w:szCs w:val="21"/>
          <w:highlight w:val="none"/>
        </w:rPr>
        <w:t>8.1本项目不允许转包。</w:t>
      </w:r>
    </w:p>
    <w:p w14:paraId="67B45DEE">
      <w:pPr>
        <w:tabs>
          <w:tab w:val="left" w:pos="1635"/>
        </w:tabs>
        <w:spacing w:line="360" w:lineRule="auto"/>
        <w:ind w:firstLine="435"/>
        <w:rPr>
          <w:rFonts w:hint="eastAsia" w:ascii="宋体" w:hAnsi="宋体"/>
          <w:color w:val="auto"/>
          <w:szCs w:val="21"/>
          <w:highlight w:val="none"/>
        </w:rPr>
      </w:pPr>
      <w:r>
        <w:rPr>
          <w:rFonts w:hint="eastAsia" w:ascii="宋体" w:hAnsi="宋体"/>
          <w:color w:val="auto"/>
          <w:szCs w:val="21"/>
          <w:highlight w:val="none"/>
        </w:rPr>
        <w:t>8.2本项目不可以分包。</w:t>
      </w:r>
    </w:p>
    <w:p w14:paraId="0D8451F3">
      <w:pPr>
        <w:tabs>
          <w:tab w:val="left" w:pos="1635"/>
        </w:tabs>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9.特别说明</w:t>
      </w:r>
    </w:p>
    <w:p w14:paraId="28488CA1">
      <w:pPr>
        <w:tabs>
          <w:tab w:val="left" w:pos="1635"/>
        </w:tabs>
        <w:spacing w:line="360" w:lineRule="auto"/>
        <w:ind w:firstLine="435"/>
        <w:rPr>
          <w:rFonts w:hint="eastAsia" w:ascii="宋体" w:hAnsi="宋体" w:cs="Arial"/>
          <w:color w:val="auto"/>
          <w:szCs w:val="21"/>
          <w:highlight w:val="none"/>
        </w:rPr>
      </w:pPr>
      <w:r>
        <w:rPr>
          <w:rFonts w:hint="eastAsia" w:ascii="宋体" w:hAnsi="宋体"/>
          <w:b/>
          <w:color w:val="auto"/>
          <w:szCs w:val="21"/>
          <w:highlight w:val="none"/>
        </w:rPr>
        <w:t>9.1使用综合评分法的采购项目，</w:t>
      </w:r>
      <w:r>
        <w:rPr>
          <w:rFonts w:ascii="宋体" w:hAnsi="宋体" w:cs="Arial"/>
          <w:b/>
          <w:color w:val="auto"/>
          <w:szCs w:val="21"/>
          <w:highlight w:val="none"/>
        </w:rPr>
        <w:t>提供相同品牌产品且通过资格审查、符合性审查的不同投标人参加同一合同项下投标的，按一家投标人计算，评审后得分最高的同品牌投标人获得中标人推荐资格；评审得分相同的，</w:t>
      </w:r>
      <w:r>
        <w:rPr>
          <w:rFonts w:hint="eastAsia" w:ascii="宋体" w:hAnsi="宋体" w:cs="Arial"/>
          <w:b/>
          <w:color w:val="auto"/>
          <w:szCs w:val="21"/>
          <w:highlight w:val="none"/>
        </w:rPr>
        <w:t>评标价最低的同品牌投标人获得</w:t>
      </w:r>
      <w:r>
        <w:rPr>
          <w:rFonts w:ascii="宋体" w:hAnsi="宋体" w:cs="Arial"/>
          <w:b/>
          <w:color w:val="auto"/>
          <w:szCs w:val="21"/>
          <w:highlight w:val="none"/>
        </w:rPr>
        <w:t>中标人推荐资格，</w:t>
      </w:r>
      <w:r>
        <w:rPr>
          <w:rFonts w:hint="eastAsia" w:ascii="宋体" w:hAnsi="宋体" w:cs="Arial"/>
          <w:b/>
          <w:color w:val="auto"/>
          <w:szCs w:val="21"/>
          <w:highlight w:val="none"/>
        </w:rPr>
        <w:t>评标价也相同的，由评标委员会以抽签</w:t>
      </w:r>
      <w:r>
        <w:rPr>
          <w:rFonts w:ascii="宋体" w:hAnsi="宋体" w:cs="Arial"/>
          <w:b/>
          <w:color w:val="auto"/>
          <w:szCs w:val="21"/>
          <w:highlight w:val="none"/>
        </w:rPr>
        <w:t>方式确定</w:t>
      </w:r>
      <w:r>
        <w:rPr>
          <w:rFonts w:hint="eastAsia" w:ascii="宋体" w:hAnsi="宋体" w:cs="Arial"/>
          <w:b/>
          <w:color w:val="auto"/>
          <w:szCs w:val="21"/>
          <w:highlight w:val="none"/>
        </w:rPr>
        <w:t>中标候选人</w:t>
      </w:r>
      <w:r>
        <w:rPr>
          <w:rFonts w:ascii="宋体" w:hAnsi="宋体" w:cs="Arial"/>
          <w:b/>
          <w:color w:val="auto"/>
          <w:szCs w:val="21"/>
          <w:highlight w:val="none"/>
        </w:rPr>
        <w:t>，其他同品牌投标人不作为中标候选人。</w:t>
      </w:r>
    </w:p>
    <w:p w14:paraId="0247BC8E">
      <w:pPr>
        <w:tabs>
          <w:tab w:val="left" w:pos="1635"/>
        </w:tabs>
        <w:spacing w:line="360" w:lineRule="auto"/>
        <w:ind w:firstLine="435"/>
        <w:rPr>
          <w:rFonts w:hint="eastAsia" w:ascii="宋体" w:hAnsi="宋体" w:cs="Arial"/>
          <w:b/>
          <w:color w:val="auto"/>
          <w:szCs w:val="21"/>
          <w:highlight w:val="none"/>
        </w:rPr>
      </w:pPr>
      <w:r>
        <w:rPr>
          <w:rFonts w:hint="eastAsia" w:ascii="宋体" w:hAnsi="宋体" w:cs="Arial"/>
          <w:b/>
          <w:color w:val="auto"/>
          <w:szCs w:val="21"/>
          <w:highlight w:val="none"/>
        </w:rPr>
        <w:t>非单一产品采购项目中，</w:t>
      </w:r>
      <w:r>
        <w:rPr>
          <w:rFonts w:ascii="宋体" w:hAnsi="宋体" w:cs="Arial"/>
          <w:b/>
          <w:color w:val="auto"/>
          <w:szCs w:val="21"/>
          <w:highlight w:val="none"/>
        </w:rPr>
        <w:t>多家投标人提供的核心产品品牌相同的，按前款规定处理。</w:t>
      </w:r>
      <w:r>
        <w:rPr>
          <w:rFonts w:hint="eastAsia" w:ascii="宋体" w:hAnsi="宋体" w:cs="Arial"/>
          <w:b/>
          <w:color w:val="auto"/>
          <w:szCs w:val="21"/>
          <w:highlight w:val="none"/>
        </w:rPr>
        <w:t>本项目各分标的核心产品详见第三章《货物采购需求》。</w:t>
      </w:r>
    </w:p>
    <w:p w14:paraId="151952AE">
      <w:pPr>
        <w:tabs>
          <w:tab w:val="left" w:pos="1635"/>
        </w:tabs>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9.2关联投标人不得参加同一合同项下政府采购活动，否则投标文件将被视为无效：</w:t>
      </w:r>
    </w:p>
    <w:p w14:paraId="07858E72">
      <w:pPr>
        <w:tabs>
          <w:tab w:val="left" w:pos="163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（1）单位负责人为同一人或者存在直接控股、管理关系的不同投标人，不得参加同一合同项下的政府采购活动。</w:t>
      </w:r>
    </w:p>
    <w:p w14:paraId="29B65C7E">
      <w:pPr>
        <w:tabs>
          <w:tab w:val="left" w:pos="1635"/>
        </w:tabs>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（2）为本采购项目提供整体设计、规范编制或者项目管理、监理、检测等服务的投标人，不得再参加本次采购活动。</w:t>
      </w:r>
    </w:p>
    <w:p w14:paraId="540726A3">
      <w:pPr>
        <w:tabs>
          <w:tab w:val="left" w:pos="1635"/>
        </w:tabs>
        <w:spacing w:line="360" w:lineRule="auto"/>
        <w:ind w:firstLine="435"/>
        <w:rPr>
          <w:rFonts w:hint="eastAsia" w:ascii="宋体" w:hAnsi="宋体"/>
          <w:color w:val="auto"/>
          <w:szCs w:val="21"/>
          <w:highlight w:val="none"/>
        </w:rPr>
      </w:pPr>
      <w:r>
        <w:rPr>
          <w:rFonts w:hint="eastAsia" w:ascii="宋体" w:hAnsi="宋体"/>
          <w:color w:val="auto"/>
          <w:szCs w:val="21"/>
          <w:highlight w:val="none"/>
        </w:rPr>
        <w:t>9.3投标人应仔细阅读招标文件的所有内容，按照招标文件的要求提交投标文件，并对所提供的全部资料的真实性承担法律责任。</w:t>
      </w:r>
    </w:p>
    <w:p w14:paraId="31622564">
      <w:pPr>
        <w:tabs>
          <w:tab w:val="left" w:pos="1635"/>
        </w:tabs>
        <w:spacing w:line="360" w:lineRule="auto"/>
        <w:ind w:firstLine="435"/>
        <w:rPr>
          <w:rFonts w:hint="eastAsia" w:ascii="宋体" w:hAnsi="宋体"/>
          <w:color w:val="auto"/>
          <w:szCs w:val="21"/>
          <w:highlight w:val="none"/>
        </w:rPr>
      </w:pPr>
      <w:r>
        <w:rPr>
          <w:rFonts w:hint="eastAsia" w:ascii="宋体" w:hAnsi="宋体"/>
          <w:color w:val="auto"/>
          <w:szCs w:val="21"/>
          <w:highlight w:val="none"/>
        </w:rPr>
        <w:t>9.4投标人在投标活动中提供任何虚假材料，其投标无效，并报监管部门查处；中标后发现的，中标人须依照《中华人民共和国消费者权益保护法》赔偿采购人，且民事赔偿并不免除违法投标人的行政与刑事责任。</w:t>
      </w:r>
    </w:p>
    <w:p w14:paraId="1D412F91">
      <w:pPr>
        <w:tabs>
          <w:tab w:val="left" w:pos="1635"/>
        </w:tabs>
        <w:spacing w:line="360" w:lineRule="auto"/>
        <w:ind w:firstLine="435"/>
        <w:rPr>
          <w:rFonts w:hint="eastAsia" w:ascii="宋体" w:hAnsi="宋体"/>
          <w:color w:val="auto"/>
          <w:szCs w:val="21"/>
          <w:highlight w:val="none"/>
        </w:rPr>
      </w:pPr>
      <w:r>
        <w:rPr>
          <w:rFonts w:hint="eastAsia" w:ascii="宋体" w:hAnsi="宋体"/>
          <w:color w:val="auto"/>
          <w:szCs w:val="21"/>
          <w:highlight w:val="none"/>
        </w:rPr>
        <w:t>9.5投标人或制造商投标所使用的资格、信誉、荣誉、业绩与企业认证必须为自身合法拥有。</w:t>
      </w:r>
    </w:p>
    <w:p w14:paraId="68CA9707">
      <w:pPr>
        <w:tabs>
          <w:tab w:val="left" w:pos="1635"/>
        </w:tabs>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10.询问、质疑和投诉</w:t>
      </w:r>
    </w:p>
    <w:p w14:paraId="3F10E114">
      <w:pPr>
        <w:tabs>
          <w:tab w:val="left" w:pos="1635"/>
        </w:tabs>
        <w:spacing w:line="360" w:lineRule="auto"/>
        <w:ind w:firstLine="435"/>
        <w:rPr>
          <w:rFonts w:hint="eastAsia" w:ascii="宋体" w:hAnsi="宋体"/>
          <w:color w:val="auto"/>
          <w:szCs w:val="21"/>
          <w:highlight w:val="none"/>
        </w:rPr>
      </w:pPr>
      <w:r>
        <w:rPr>
          <w:rFonts w:hint="eastAsia" w:ascii="宋体" w:hAnsi="宋体"/>
          <w:color w:val="auto"/>
          <w:szCs w:val="21"/>
          <w:highlight w:val="none"/>
        </w:rPr>
        <w:t>10.1投标人对政府采购活动事项有疑问的，可以向采购人、采购代理机构提出询问。</w:t>
      </w:r>
      <w:r>
        <w:rPr>
          <w:rFonts w:ascii="宋体" w:hAnsi="宋体"/>
          <w:color w:val="auto"/>
          <w:szCs w:val="21"/>
          <w:highlight w:val="none"/>
        </w:rPr>
        <w:tab/>
      </w:r>
    </w:p>
    <w:p w14:paraId="05978793">
      <w:pPr>
        <w:tabs>
          <w:tab w:val="left" w:pos="1635"/>
        </w:tabs>
        <w:spacing w:line="360" w:lineRule="auto"/>
        <w:ind w:firstLine="435"/>
        <w:rPr>
          <w:rFonts w:hint="eastAsia" w:ascii="宋体" w:hAnsi="宋体"/>
          <w:color w:val="auto"/>
          <w:szCs w:val="21"/>
          <w:highlight w:val="none"/>
        </w:rPr>
      </w:pPr>
      <w:r>
        <w:rPr>
          <w:rFonts w:hint="eastAsia" w:ascii="宋体" w:hAnsi="宋体"/>
          <w:color w:val="auto"/>
          <w:szCs w:val="21"/>
          <w:highlight w:val="none"/>
        </w:rPr>
        <w:t>10.2投标人认为招标文件使自己的合法权益受到损害的，应当在招标公告期限届满之日起7个工作日内以书面形式向采购代理机构提出质疑。投标人认为招标过程或中标结果使自己的合法权益受到损害的，应当在各采购程序环节结束之日或中标公告期限届满之日起七个工作日内，以书面形式向采购代理机构提出质疑。采购代理机构应认真做好质疑处理工作。</w:t>
      </w:r>
    </w:p>
    <w:p w14:paraId="2138B492">
      <w:pPr>
        <w:tabs>
          <w:tab w:val="left" w:pos="2190"/>
        </w:tabs>
        <w:spacing w:line="360" w:lineRule="auto"/>
        <w:ind w:firstLine="435"/>
        <w:rPr>
          <w:rFonts w:hint="eastAsia" w:ascii="宋体" w:hAnsi="宋体"/>
          <w:color w:val="auto"/>
          <w:szCs w:val="21"/>
          <w:highlight w:val="none"/>
        </w:rPr>
      </w:pPr>
      <w:r>
        <w:rPr>
          <w:rFonts w:hint="eastAsia" w:ascii="宋体" w:hAnsi="宋体"/>
          <w:color w:val="auto"/>
          <w:szCs w:val="21"/>
          <w:highlight w:val="none"/>
        </w:rPr>
        <w:t>10.3投标人对采购代理机构的答复不满意或者采购代理机构未在规定的时间内作出答复的，可以在答复期满后十五个工作日内向</w:t>
      </w:r>
      <w:r>
        <w:rPr>
          <w:rFonts w:hint="eastAsia" w:ascii="宋体" w:hAnsi="宋体" w:cs="宋体"/>
          <w:color w:val="auto"/>
          <w:kern w:val="0"/>
          <w:szCs w:val="21"/>
          <w:highlight w:val="none"/>
        </w:rPr>
        <w:t>本级财政部门</w:t>
      </w:r>
      <w:r>
        <w:rPr>
          <w:rFonts w:hint="eastAsia" w:ascii="宋体" w:hAnsi="宋体"/>
          <w:color w:val="auto"/>
          <w:szCs w:val="21"/>
          <w:highlight w:val="none"/>
        </w:rPr>
        <w:t>投诉。</w:t>
      </w:r>
    </w:p>
    <w:p w14:paraId="1774184A">
      <w:pPr>
        <w:tabs>
          <w:tab w:val="left" w:pos="2190"/>
        </w:tabs>
        <w:spacing w:line="360" w:lineRule="auto"/>
        <w:ind w:firstLine="435"/>
        <w:rPr>
          <w:rFonts w:hint="eastAsia" w:ascii="宋体" w:hAnsi="宋体"/>
          <w:b/>
          <w:color w:val="auto"/>
          <w:szCs w:val="21"/>
          <w:highlight w:val="none"/>
        </w:rPr>
      </w:pPr>
      <w:r>
        <w:rPr>
          <w:rFonts w:hint="eastAsia" w:ascii="宋体" w:hAnsi="宋体"/>
          <w:color w:val="auto"/>
          <w:szCs w:val="21"/>
          <w:highlight w:val="none"/>
        </w:rPr>
        <w:t>10.4质疑、投诉应当采用书面形式，质疑书、投诉书实行实名制，均应明确阐述招标文件、招标过程或中标结果中使自己合法权益受到损害的实质性内容，提供相关事实、依据和证据及其来源或线索，必要的证明材料，便于有关单位调查、答复和处理。</w:t>
      </w:r>
      <w:r>
        <w:rPr>
          <w:rFonts w:hint="eastAsia" w:ascii="宋体" w:hAnsi="宋体"/>
          <w:b/>
          <w:color w:val="auto"/>
          <w:szCs w:val="21"/>
          <w:highlight w:val="none"/>
        </w:rPr>
        <w:t>质疑函格式详见附件。</w:t>
      </w:r>
    </w:p>
    <w:p w14:paraId="0177822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10.5质疑联系部门及联系方式：广西万安工程咨询有限公司，联系人：李工，联系电话：0773-3635731。通讯地址：桂林市秀峰区机场路路口村 137 号。       </w:t>
      </w:r>
    </w:p>
    <w:p w14:paraId="60C90C26">
      <w:pPr>
        <w:pStyle w:val="233"/>
        <w:ind w:firstLine="480"/>
        <w:rPr>
          <w:rFonts w:ascii="Times New Roman"/>
          <w:color w:val="auto"/>
          <w:highlight w:val="none"/>
        </w:rPr>
      </w:pPr>
    </w:p>
    <w:p w14:paraId="1BE402EC">
      <w:pPr>
        <w:tabs>
          <w:tab w:val="left" w:pos="2190"/>
        </w:tabs>
        <w:spacing w:line="360" w:lineRule="auto"/>
        <w:ind w:firstLine="435"/>
        <w:jc w:val="center"/>
        <w:outlineLvl w:val="0"/>
        <w:rPr>
          <w:rFonts w:hint="eastAsia" w:ascii="宋体" w:hAnsi="宋体"/>
          <w:b/>
          <w:color w:val="auto"/>
          <w:sz w:val="28"/>
          <w:szCs w:val="28"/>
          <w:highlight w:val="none"/>
        </w:rPr>
      </w:pPr>
      <w:bookmarkStart w:id="3" w:name="_Toc90288699"/>
      <w:r>
        <w:rPr>
          <w:rFonts w:hint="eastAsia" w:ascii="宋体" w:hAnsi="宋体"/>
          <w:b/>
          <w:color w:val="auto"/>
          <w:sz w:val="28"/>
          <w:szCs w:val="28"/>
          <w:highlight w:val="none"/>
        </w:rPr>
        <w:t>二、招标文件</w:t>
      </w:r>
      <w:bookmarkEnd w:id="3"/>
    </w:p>
    <w:p w14:paraId="1550D301">
      <w:pPr>
        <w:tabs>
          <w:tab w:val="left" w:pos="2190"/>
        </w:tabs>
        <w:spacing w:line="360" w:lineRule="auto"/>
        <w:ind w:firstLine="437"/>
        <w:rPr>
          <w:rFonts w:hint="eastAsia" w:ascii="宋体" w:hAnsi="宋体"/>
          <w:b/>
          <w:color w:val="auto"/>
          <w:szCs w:val="21"/>
          <w:highlight w:val="none"/>
        </w:rPr>
      </w:pPr>
      <w:r>
        <w:rPr>
          <w:rFonts w:hint="eastAsia" w:ascii="宋体" w:hAnsi="宋体"/>
          <w:b/>
          <w:color w:val="auto"/>
          <w:szCs w:val="21"/>
          <w:highlight w:val="none"/>
        </w:rPr>
        <w:t>11.招标文件的构成</w:t>
      </w:r>
    </w:p>
    <w:p w14:paraId="58BB9AD7">
      <w:pPr>
        <w:tabs>
          <w:tab w:val="left" w:pos="2190"/>
        </w:tabs>
        <w:spacing w:line="360" w:lineRule="auto"/>
        <w:ind w:firstLine="437"/>
        <w:rPr>
          <w:rFonts w:hint="eastAsia" w:ascii="宋体" w:hAnsi="宋体"/>
          <w:color w:val="auto"/>
          <w:szCs w:val="21"/>
          <w:highlight w:val="none"/>
        </w:rPr>
      </w:pPr>
      <w:r>
        <w:rPr>
          <w:rFonts w:hint="eastAsia" w:ascii="宋体" w:hAnsi="宋体"/>
          <w:color w:val="auto"/>
          <w:szCs w:val="21"/>
          <w:highlight w:val="none"/>
        </w:rPr>
        <w:t>（1）招标公告；</w:t>
      </w:r>
    </w:p>
    <w:p w14:paraId="302FFCE7">
      <w:pPr>
        <w:tabs>
          <w:tab w:val="left" w:pos="2190"/>
        </w:tabs>
        <w:spacing w:line="360" w:lineRule="auto"/>
        <w:ind w:firstLine="437"/>
        <w:rPr>
          <w:rFonts w:hint="eastAsia" w:ascii="宋体" w:hAnsi="宋体"/>
          <w:color w:val="auto"/>
          <w:szCs w:val="21"/>
          <w:highlight w:val="none"/>
        </w:rPr>
      </w:pPr>
      <w:r>
        <w:rPr>
          <w:rFonts w:hint="eastAsia" w:ascii="宋体" w:hAnsi="宋体"/>
          <w:color w:val="auto"/>
          <w:szCs w:val="21"/>
          <w:highlight w:val="none"/>
        </w:rPr>
        <w:t>（2）投标人须知；</w:t>
      </w:r>
    </w:p>
    <w:p w14:paraId="3C05F8BE">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（3）货物采购需求</w:t>
      </w:r>
      <w:r>
        <w:rPr>
          <w:rFonts w:hint="eastAsia" w:ascii="宋体" w:hAnsi="宋体"/>
          <w:b/>
          <w:color w:val="auto"/>
          <w:sz w:val="24"/>
          <w:highlight w:val="none"/>
        </w:rPr>
        <w:t>；</w:t>
      </w:r>
    </w:p>
    <w:p w14:paraId="4C246E29">
      <w:pPr>
        <w:tabs>
          <w:tab w:val="left" w:pos="2190"/>
        </w:tabs>
        <w:spacing w:line="360" w:lineRule="auto"/>
        <w:ind w:firstLine="437"/>
        <w:rPr>
          <w:rFonts w:hint="eastAsia" w:ascii="宋体" w:hAnsi="宋体"/>
          <w:color w:val="auto"/>
          <w:szCs w:val="21"/>
          <w:highlight w:val="none"/>
        </w:rPr>
      </w:pPr>
      <w:r>
        <w:rPr>
          <w:rFonts w:hint="eastAsia" w:ascii="宋体" w:hAnsi="宋体"/>
          <w:color w:val="auto"/>
          <w:szCs w:val="21"/>
          <w:highlight w:val="none"/>
        </w:rPr>
        <w:t>（4）评标办法；</w:t>
      </w:r>
    </w:p>
    <w:p w14:paraId="2CA2EC45">
      <w:pPr>
        <w:tabs>
          <w:tab w:val="left" w:pos="2190"/>
        </w:tabs>
        <w:spacing w:line="360" w:lineRule="auto"/>
        <w:ind w:firstLine="437"/>
        <w:rPr>
          <w:rFonts w:hint="eastAsia" w:ascii="宋体" w:hAnsi="宋体"/>
          <w:color w:val="auto"/>
          <w:szCs w:val="21"/>
          <w:highlight w:val="none"/>
        </w:rPr>
      </w:pPr>
      <w:r>
        <w:rPr>
          <w:rFonts w:hint="eastAsia" w:ascii="宋体" w:hAnsi="宋体"/>
          <w:color w:val="auto"/>
          <w:szCs w:val="21"/>
          <w:highlight w:val="none"/>
        </w:rPr>
        <w:t>（5）采购合同（合同主要条款及格式）；</w:t>
      </w:r>
    </w:p>
    <w:p w14:paraId="014ED096">
      <w:pPr>
        <w:tabs>
          <w:tab w:val="left" w:pos="2190"/>
        </w:tabs>
        <w:spacing w:line="360" w:lineRule="auto"/>
        <w:ind w:firstLine="437"/>
        <w:rPr>
          <w:rFonts w:hint="eastAsia" w:ascii="宋体" w:hAnsi="宋体"/>
          <w:color w:val="auto"/>
          <w:szCs w:val="21"/>
          <w:highlight w:val="none"/>
        </w:rPr>
      </w:pPr>
      <w:r>
        <w:rPr>
          <w:rFonts w:hint="eastAsia" w:ascii="宋体" w:hAnsi="宋体"/>
          <w:color w:val="auto"/>
          <w:szCs w:val="21"/>
          <w:highlight w:val="none"/>
        </w:rPr>
        <w:t>（6）投标文件格式。</w:t>
      </w:r>
    </w:p>
    <w:p w14:paraId="47A4C2D7">
      <w:pPr>
        <w:tabs>
          <w:tab w:val="left" w:pos="2190"/>
        </w:tabs>
        <w:spacing w:line="360" w:lineRule="auto"/>
        <w:ind w:firstLine="437"/>
        <w:rPr>
          <w:rFonts w:hint="eastAsia" w:ascii="宋体" w:hAnsi="宋体"/>
          <w:b/>
          <w:color w:val="auto"/>
          <w:szCs w:val="21"/>
          <w:highlight w:val="none"/>
        </w:rPr>
      </w:pPr>
      <w:r>
        <w:rPr>
          <w:rFonts w:hint="eastAsia" w:ascii="宋体" w:hAnsi="宋体"/>
          <w:b/>
          <w:color w:val="auto"/>
          <w:szCs w:val="21"/>
          <w:highlight w:val="none"/>
        </w:rPr>
        <w:t>12.招标文件的澄清与修改</w:t>
      </w:r>
    </w:p>
    <w:p w14:paraId="16D37C5D">
      <w:pPr>
        <w:tabs>
          <w:tab w:val="left" w:pos="2190"/>
        </w:tabs>
        <w:spacing w:line="360" w:lineRule="auto"/>
        <w:ind w:firstLine="437"/>
        <w:rPr>
          <w:rFonts w:hint="eastAsia" w:ascii="宋体" w:hAnsi="宋体"/>
          <w:color w:val="auto"/>
          <w:szCs w:val="21"/>
          <w:highlight w:val="none"/>
        </w:rPr>
      </w:pPr>
      <w:r>
        <w:rPr>
          <w:rFonts w:hint="eastAsia" w:ascii="宋体" w:hAnsi="宋体"/>
          <w:color w:val="auto"/>
          <w:szCs w:val="21"/>
          <w:highlight w:val="none"/>
        </w:rPr>
        <w:t>12.1投标人应认真阅读招标文件，发现其中有误或有不合理要求的，投标人必须在招标公告期限届满之日起7个工作日内以书面形式要求采购代理机构澄清。</w:t>
      </w:r>
    </w:p>
    <w:p w14:paraId="4A56BAF3">
      <w:pPr>
        <w:tabs>
          <w:tab w:val="left" w:pos="2190"/>
        </w:tabs>
        <w:spacing w:line="360" w:lineRule="auto"/>
        <w:ind w:firstLine="437"/>
        <w:rPr>
          <w:rFonts w:hint="eastAsia" w:ascii="宋体" w:hAnsi="宋体"/>
          <w:color w:val="auto"/>
          <w:szCs w:val="21"/>
          <w:highlight w:val="none"/>
        </w:rPr>
      </w:pPr>
      <w:r>
        <w:rPr>
          <w:rFonts w:hint="eastAsia" w:ascii="宋体" w:hAnsi="宋体"/>
          <w:color w:val="auto"/>
          <w:szCs w:val="21"/>
          <w:highlight w:val="none"/>
        </w:rPr>
        <w:t>12.2</w:t>
      </w:r>
      <w:r>
        <w:rPr>
          <w:rFonts w:ascii="宋体" w:hAnsi="宋体"/>
          <w:color w:val="auto"/>
          <w:szCs w:val="21"/>
          <w:highlight w:val="none"/>
        </w:rPr>
        <w:t>采购代理机构可以对已发出的招标文件进行必要的澄清或者修改，但不得改变采购标的和资格条件。</w:t>
      </w:r>
      <w:r>
        <w:rPr>
          <w:rFonts w:hint="eastAsia" w:ascii="宋体" w:hAnsi="宋体"/>
          <w:color w:val="auto"/>
          <w:szCs w:val="21"/>
          <w:highlight w:val="none"/>
        </w:rPr>
        <w:t>澄清或者修改的内容可能影响投标文件编制的，应当在招标文件要求提交投标文件截止时间十五日前在本招标项目招标公告发布的同一媒体上发布更正公告，投标人应自行登录招标公告发布的相关网站【http://www.ccgp.gov.cn（中国政府采购网）、http://zfcg.gxzf.gov.cn/（广西壮族自治区政府采购网）、http://gl.zfcg.zcygov.cn/（桂林市政府采购网）】查询，不足十五日的，应当顺延首次投标文件递交截止时间。</w:t>
      </w:r>
    </w:p>
    <w:p w14:paraId="7C4EDAD5">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12.3采购代理机构在招标公告发布的相关网站发布更正公告的同时，视同投标人已知晓招标文件的澄清或者修改，投标人应将澄清或者修改的内容考虑在投标文件中。投标人在投标文件递交截止前未登录招标公告发布的相关网站查看澄清或者修改的，造成投标人的投标文件不符合招标文件要求或废标的，由投标人自行承担责任。</w:t>
      </w:r>
    </w:p>
    <w:p w14:paraId="782E266B">
      <w:pPr>
        <w:snapToGrid w:val="0"/>
        <w:spacing w:line="360" w:lineRule="auto"/>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12.4投标人应实时关注本项目公告相关网站了解澄清、修改等与项目有关的内容，如因投标人未及时登录本项目公告相关网站了解澄清、修改等与项目有关的内容，从而导致投标无效的，由投标人自行承担责任。</w:t>
      </w:r>
    </w:p>
    <w:p w14:paraId="1D84DF9E">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12.5必要的澄清、修改的内容为招标文件的组成部分。当澄清、修改通知就同一内容的表述不一致时，以最后发出的文件为准。</w:t>
      </w:r>
    </w:p>
    <w:p w14:paraId="0D8376E9">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12.6招标文件的澄清、修改都应该通过采购代理机构以法定形式发布，采购人非通过本机构，不得擅自澄清、修改招标文件。</w:t>
      </w:r>
    </w:p>
    <w:p w14:paraId="07757934">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12.7采购人或者采购代理机构可以视采购具体情况，延长投标截止时间和开标时间，并在本项目招标公告发布的同一媒体上发布变更公告。</w:t>
      </w:r>
    </w:p>
    <w:p w14:paraId="40B767FA">
      <w:pPr>
        <w:pStyle w:val="233"/>
        <w:ind w:firstLine="480"/>
        <w:rPr>
          <w:rFonts w:ascii="Times New Roman"/>
          <w:color w:val="auto"/>
          <w:highlight w:val="none"/>
        </w:rPr>
      </w:pPr>
    </w:p>
    <w:p w14:paraId="571CC27A">
      <w:pPr>
        <w:tabs>
          <w:tab w:val="left" w:pos="2190"/>
        </w:tabs>
        <w:spacing w:line="360" w:lineRule="auto"/>
        <w:ind w:firstLine="435"/>
        <w:jc w:val="center"/>
        <w:outlineLvl w:val="0"/>
        <w:rPr>
          <w:rFonts w:hint="eastAsia" w:ascii="宋体" w:hAnsi="宋体"/>
          <w:b/>
          <w:color w:val="auto"/>
          <w:sz w:val="28"/>
          <w:szCs w:val="28"/>
          <w:highlight w:val="none"/>
        </w:rPr>
      </w:pPr>
      <w:bookmarkStart w:id="4" w:name="_Toc90288700"/>
      <w:r>
        <w:rPr>
          <w:rFonts w:hint="eastAsia" w:ascii="宋体" w:hAnsi="宋体"/>
          <w:b/>
          <w:color w:val="auto"/>
          <w:sz w:val="28"/>
          <w:szCs w:val="28"/>
          <w:highlight w:val="none"/>
        </w:rPr>
        <w:t>三、投标文件的编制</w:t>
      </w:r>
      <w:bookmarkEnd w:id="4"/>
    </w:p>
    <w:p w14:paraId="055DA84D">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13.投标文件的组成及要求</w:t>
      </w:r>
    </w:p>
    <w:p w14:paraId="750E4D9D">
      <w:pPr>
        <w:tabs>
          <w:tab w:val="left" w:pos="2190"/>
        </w:tabs>
        <w:spacing w:line="360" w:lineRule="auto"/>
        <w:ind w:firstLine="435"/>
        <w:rPr>
          <w:rFonts w:hint="eastAsia" w:ascii="宋体" w:hAnsi="宋体"/>
          <w:color w:val="auto"/>
          <w:szCs w:val="21"/>
          <w:highlight w:val="none"/>
        </w:rPr>
      </w:pPr>
      <w:r>
        <w:rPr>
          <w:rFonts w:hint="eastAsia" w:ascii="宋体" w:hAnsi="宋体"/>
          <w:b/>
          <w:color w:val="auto"/>
          <w:szCs w:val="21"/>
          <w:highlight w:val="none"/>
        </w:rPr>
        <w:t>13.1投标文件的组成（格式见第六章投标文件格式）</w:t>
      </w:r>
    </w:p>
    <w:p w14:paraId="40C4705A">
      <w:pPr>
        <w:tabs>
          <w:tab w:val="left" w:pos="1305"/>
        </w:tabs>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13.1.1投标报价表（格式见附件）（必须提供）；</w:t>
      </w:r>
    </w:p>
    <w:p w14:paraId="4B171153">
      <w:pPr>
        <w:tabs>
          <w:tab w:val="left" w:pos="1305"/>
        </w:tabs>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13.1.2资格性响应证明材料：</w:t>
      </w:r>
    </w:p>
    <w:p w14:paraId="4F0074D1">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（1）投标人相应的法定代表人或负责人或自然人</w:t>
      </w:r>
      <w:r>
        <w:rPr>
          <w:rFonts w:hint="eastAsia" w:ascii="宋体" w:hAnsi="宋体"/>
          <w:color w:val="auto"/>
          <w:highlight w:val="none"/>
        </w:rPr>
        <w:t>身份证正反面</w:t>
      </w:r>
      <w:r>
        <w:rPr>
          <w:rFonts w:hint="eastAsia" w:ascii="宋体" w:hAnsi="宋体"/>
          <w:color w:val="auto"/>
          <w:szCs w:val="21"/>
          <w:highlight w:val="none"/>
        </w:rPr>
        <w:t xml:space="preserve">复印件 </w:t>
      </w:r>
      <w:r>
        <w:rPr>
          <w:rFonts w:hint="eastAsia" w:ascii="宋体" w:hAnsi="宋体"/>
          <w:b/>
          <w:color w:val="auto"/>
          <w:szCs w:val="21"/>
          <w:highlight w:val="none"/>
        </w:rPr>
        <w:t>（必须提供）</w:t>
      </w:r>
      <w:r>
        <w:rPr>
          <w:rFonts w:hint="eastAsia" w:ascii="宋体" w:hAnsi="宋体"/>
          <w:color w:val="auto"/>
          <w:szCs w:val="21"/>
          <w:highlight w:val="none"/>
        </w:rPr>
        <w:t>；</w:t>
      </w:r>
    </w:p>
    <w:p w14:paraId="5F8E63B2">
      <w:pPr>
        <w:tabs>
          <w:tab w:val="left" w:pos="1305"/>
        </w:tabs>
        <w:spacing w:line="360" w:lineRule="auto"/>
        <w:ind w:firstLine="420" w:firstLineChars="200"/>
        <w:rPr>
          <w:rFonts w:hint="eastAsia" w:ascii="宋体" w:hAnsi="宋体"/>
          <w:b/>
          <w:bCs/>
          <w:color w:val="auto"/>
          <w:szCs w:val="21"/>
          <w:highlight w:val="none"/>
        </w:rPr>
      </w:pPr>
      <w:r>
        <w:rPr>
          <w:rFonts w:hint="eastAsia" w:ascii="宋体" w:hAnsi="宋体"/>
          <w:color w:val="auto"/>
          <w:szCs w:val="21"/>
          <w:highlight w:val="none"/>
        </w:rPr>
        <w:t>（2）投标人的授权委托书原件</w:t>
      </w:r>
      <w:r>
        <w:rPr>
          <w:rFonts w:hint="eastAsia" w:ascii="宋体" w:hAnsi="宋体"/>
          <w:b/>
          <w:color w:val="auto"/>
          <w:szCs w:val="21"/>
          <w:highlight w:val="none"/>
        </w:rPr>
        <w:t>（格式见附件）</w:t>
      </w:r>
      <w:r>
        <w:rPr>
          <w:rFonts w:hint="eastAsia" w:ascii="宋体" w:hAnsi="宋体"/>
          <w:color w:val="auto"/>
          <w:szCs w:val="21"/>
          <w:highlight w:val="none"/>
        </w:rPr>
        <w:t>、委托代理人身份证正反面复印件以及由县级以上（含县级）社会养老保险经办机构出具的投标人为委托代理人交纳递交截止之日前半年内任意连续三个月社保证明复印件【自然人投标的应提供由县级以上（含县级）社会养老保险经办机构出具的自然人本人及委托代理人所交纳的社保证明复印件】</w:t>
      </w:r>
      <w:r>
        <w:rPr>
          <w:rFonts w:hint="eastAsia" w:ascii="宋体" w:hAnsi="宋体"/>
          <w:b/>
          <w:bCs/>
          <w:color w:val="auto"/>
          <w:szCs w:val="21"/>
          <w:highlight w:val="none"/>
        </w:rPr>
        <w:t>（委托代理时必须提供；若为新成立的企业，请根据实际情况提供）；</w:t>
      </w:r>
    </w:p>
    <w:p w14:paraId="74938179">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（3）投标人的法人或者其他组织营业执照等证明文件复印件</w:t>
      </w:r>
      <w:r>
        <w:rPr>
          <w:rFonts w:hint="eastAsia" w:ascii="宋体" w:hAnsi="宋体"/>
          <w:b/>
          <w:color w:val="auto"/>
          <w:szCs w:val="21"/>
          <w:highlight w:val="none"/>
        </w:rPr>
        <w:t>（必须提供，自然人除外）</w:t>
      </w:r>
      <w:r>
        <w:rPr>
          <w:rFonts w:hint="eastAsia" w:ascii="宋体" w:hAnsi="宋体"/>
          <w:color w:val="auto"/>
          <w:szCs w:val="21"/>
          <w:highlight w:val="none"/>
        </w:rPr>
        <w:t>；</w:t>
      </w:r>
    </w:p>
    <w:p w14:paraId="59DAE8AE">
      <w:pPr>
        <w:tabs>
          <w:tab w:val="left" w:pos="1305"/>
        </w:tabs>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注：投标人为企业（包括合伙企业），应提供工商部门注册的有效“企业法人营业执照”或“营业执照；投标人为事业单位，应提供有效的“事业单位法人证书”；投标人为非企业专业服务机构的，应提供执业许可证等证明文件；投标人为个体工商户，应提供有效的“个体工商户营业执照”。</w:t>
      </w:r>
    </w:p>
    <w:p w14:paraId="60D25B53">
      <w:pPr>
        <w:numPr>
          <w:ilvl w:val="0"/>
          <w:numId w:val="0"/>
        </w:num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w:t>
      </w:r>
      <w:r>
        <w:rPr>
          <w:rFonts w:hint="eastAsia" w:ascii="宋体" w:hAnsi="宋体"/>
          <w:color w:val="auto"/>
          <w:szCs w:val="21"/>
          <w:highlight w:val="none"/>
        </w:rPr>
        <w:t>标项二</w:t>
      </w:r>
      <w:r>
        <w:rPr>
          <w:rFonts w:hint="eastAsia" w:ascii="宋体" w:hAnsi="宋体"/>
          <w:color w:val="auto"/>
          <w:szCs w:val="21"/>
          <w:highlight w:val="none"/>
          <w:lang w:val="en-US" w:eastAsia="zh-CN"/>
        </w:rPr>
        <w:t>投标人</w:t>
      </w:r>
      <w:r>
        <w:rPr>
          <w:rFonts w:hint="eastAsia" w:ascii="宋体" w:hAnsi="宋体"/>
          <w:color w:val="auto"/>
          <w:szCs w:val="21"/>
          <w:highlight w:val="none"/>
        </w:rPr>
        <w:t>须具备有效的《出版物经营许可证》（零售或批发资质均可）</w:t>
      </w:r>
      <w:r>
        <w:rPr>
          <w:rFonts w:hint="eastAsia" w:ascii="宋体" w:hAnsi="宋体"/>
          <w:b/>
          <w:color w:val="auto"/>
          <w:szCs w:val="21"/>
          <w:highlight w:val="none"/>
        </w:rPr>
        <w:t>（必须提供）</w:t>
      </w:r>
      <w:r>
        <w:rPr>
          <w:rFonts w:hint="eastAsia" w:ascii="宋体" w:hAnsi="宋体"/>
          <w:color w:val="auto"/>
          <w:szCs w:val="21"/>
          <w:highlight w:val="none"/>
        </w:rPr>
        <w:t>；</w:t>
      </w:r>
    </w:p>
    <w:p w14:paraId="3E1D4071">
      <w:pPr>
        <w:numPr>
          <w:ilvl w:val="0"/>
          <w:numId w:val="0"/>
        </w:numPr>
        <w:tabs>
          <w:tab w:val="left" w:pos="1305"/>
        </w:tabs>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）投标人的投标人参加政府采购活动前3年内在经营活动中没有重大违法记录及有关信用信息的书面声明</w:t>
      </w:r>
      <w:r>
        <w:rPr>
          <w:rFonts w:hint="eastAsia" w:ascii="宋体" w:hAnsi="宋体"/>
          <w:b/>
          <w:color w:val="auto"/>
          <w:szCs w:val="21"/>
          <w:highlight w:val="none"/>
        </w:rPr>
        <w:t>（格式见附件，必须提供）</w:t>
      </w:r>
      <w:r>
        <w:rPr>
          <w:rFonts w:hint="eastAsia" w:ascii="宋体" w:hAnsi="宋体"/>
          <w:color w:val="auto"/>
          <w:szCs w:val="21"/>
          <w:highlight w:val="none"/>
          <w:lang w:eastAsia="zh-CN"/>
        </w:rPr>
        <w:t>；</w:t>
      </w:r>
    </w:p>
    <w:p w14:paraId="033DF1BE">
      <w:pPr>
        <w:tabs>
          <w:tab w:val="left" w:pos="1305"/>
        </w:tabs>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s="宋体"/>
          <w:color w:val="auto"/>
          <w:szCs w:val="21"/>
          <w:highlight w:val="none"/>
        </w:rPr>
        <w:t>投标人202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年财务状况报告复印件或银行出具的资信证明复印件 (财务状况报告的内容应包括：资产负债表、利润表、现金流量表，三表缺一不可，三表可以是投标人自行编制或是第三方审计的；若投标人为新成立的企业，请根据实际情况提供。)</w:t>
      </w:r>
      <w:r>
        <w:rPr>
          <w:rFonts w:hint="eastAsia" w:ascii="宋体" w:hAnsi="宋体" w:cs="宋体"/>
          <w:b/>
          <w:bCs/>
          <w:color w:val="auto"/>
          <w:szCs w:val="21"/>
          <w:highlight w:val="none"/>
        </w:rPr>
        <w:t>(必须提供)；</w:t>
      </w:r>
    </w:p>
    <w:p w14:paraId="7A6FAC75">
      <w:pPr>
        <w:tabs>
          <w:tab w:val="left" w:pos="1305"/>
        </w:tabs>
        <w:spacing w:line="360" w:lineRule="auto"/>
        <w:ind w:firstLine="420" w:firstLineChars="200"/>
        <w:rPr>
          <w:rFonts w:hint="eastAsia" w:ascii="宋体" w:hAnsi="宋体" w:cs="宋体"/>
          <w:b/>
          <w:bCs/>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w:t>
      </w:r>
      <w:r>
        <w:rPr>
          <w:rFonts w:hint="eastAsia" w:ascii="宋体" w:hAnsi="宋体" w:cs="宋体"/>
          <w:color w:val="auto"/>
          <w:szCs w:val="21"/>
          <w:highlight w:val="none"/>
        </w:rPr>
        <w:t>投标人截止开标时间前近半年内任意一个月或任一季度依法缴纳税收的证明材料【增值税发票(税收完税证明)或企业所得税完税证明或税务部门出具的免税证明】复印件</w:t>
      </w:r>
      <w:r>
        <w:rPr>
          <w:rFonts w:hint="eastAsia" w:ascii="宋体" w:hAnsi="宋体" w:cs="宋体"/>
          <w:b/>
          <w:bCs/>
          <w:color w:val="auto"/>
          <w:szCs w:val="21"/>
          <w:highlight w:val="none"/>
        </w:rPr>
        <w:t>（必须提供）；</w:t>
      </w:r>
    </w:p>
    <w:p w14:paraId="7DFE522E">
      <w:pPr>
        <w:tabs>
          <w:tab w:val="left" w:pos="1305"/>
        </w:tabs>
        <w:spacing w:line="360" w:lineRule="auto"/>
        <w:ind w:firstLine="420" w:firstLineChars="200"/>
        <w:rPr>
          <w:rFonts w:hint="eastAsia" w:eastAsia="宋体"/>
          <w:color w:val="auto"/>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8</w:t>
      </w:r>
      <w:r>
        <w:rPr>
          <w:rFonts w:hint="eastAsia" w:ascii="宋体" w:hAnsi="宋体"/>
          <w:color w:val="auto"/>
          <w:szCs w:val="21"/>
          <w:highlight w:val="none"/>
          <w:lang w:eastAsia="zh-CN"/>
        </w:rPr>
        <w:t>）</w:t>
      </w:r>
      <w:r>
        <w:rPr>
          <w:rFonts w:hint="eastAsia" w:ascii="宋体" w:hAnsi="宋体"/>
          <w:color w:val="auto"/>
          <w:szCs w:val="21"/>
          <w:highlight w:val="none"/>
        </w:rPr>
        <w:t>联合体协议书（格式后附）（</w:t>
      </w:r>
      <w:r>
        <w:rPr>
          <w:rFonts w:hint="eastAsia" w:ascii="宋体" w:hAnsi="宋体"/>
          <w:b/>
          <w:color w:val="auto"/>
          <w:szCs w:val="21"/>
          <w:highlight w:val="none"/>
        </w:rPr>
        <w:t>联合体投标时必须提供，否则按无效投标处理</w:t>
      </w:r>
      <w:r>
        <w:rPr>
          <w:rFonts w:hint="eastAsia" w:ascii="宋体" w:hAnsi="宋体"/>
          <w:color w:val="auto"/>
          <w:szCs w:val="21"/>
          <w:highlight w:val="none"/>
        </w:rPr>
        <w:t>）</w:t>
      </w:r>
      <w:r>
        <w:rPr>
          <w:rFonts w:hint="eastAsia" w:ascii="宋体" w:hAnsi="宋体"/>
          <w:color w:val="auto"/>
          <w:szCs w:val="21"/>
          <w:highlight w:val="none"/>
          <w:lang w:eastAsia="zh-CN"/>
        </w:rPr>
        <w:t>。</w:t>
      </w:r>
    </w:p>
    <w:p w14:paraId="29380BAE">
      <w:pPr>
        <w:tabs>
          <w:tab w:val="left" w:pos="1305"/>
        </w:tabs>
        <w:spacing w:line="360" w:lineRule="auto"/>
        <w:ind w:firstLine="422" w:firstLineChars="200"/>
        <w:rPr>
          <w:rFonts w:hint="eastAsia" w:ascii="宋体" w:hAnsi="宋体" w:eastAsia="宋体"/>
          <w:color w:val="auto"/>
          <w:szCs w:val="21"/>
          <w:highlight w:val="none"/>
          <w:lang w:val="en-US" w:eastAsia="zh-CN"/>
        </w:rPr>
      </w:pPr>
      <w:r>
        <w:rPr>
          <w:rFonts w:hint="eastAsia" w:ascii="宋体" w:hAnsi="宋体"/>
          <w:b/>
          <w:color w:val="auto"/>
          <w:szCs w:val="21"/>
          <w:highlight w:val="none"/>
        </w:rPr>
        <w:t>13.1.3商务、技术性响应及其他证明材料：</w:t>
      </w:r>
      <w:r>
        <w:rPr>
          <w:rFonts w:hint="eastAsia" w:ascii="宋体" w:hAnsi="宋体"/>
          <w:b/>
          <w:color w:val="auto"/>
          <w:szCs w:val="21"/>
          <w:highlight w:val="none"/>
          <w:lang w:val="en-US" w:eastAsia="zh-CN"/>
        </w:rPr>
        <w:tab/>
      </w:r>
    </w:p>
    <w:p w14:paraId="6624D079">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（1）技术规格响应偏离表</w:t>
      </w:r>
      <w:r>
        <w:rPr>
          <w:rFonts w:hint="eastAsia" w:ascii="宋体" w:hAnsi="宋体"/>
          <w:b/>
          <w:color w:val="auto"/>
          <w:szCs w:val="21"/>
          <w:highlight w:val="none"/>
        </w:rPr>
        <w:t>（</w:t>
      </w:r>
      <w:r>
        <w:rPr>
          <w:rFonts w:hint="eastAsia" w:ascii="宋体" w:hAnsi="宋体" w:cs="宋体"/>
          <w:b/>
          <w:bCs/>
          <w:color w:val="auto"/>
          <w:highlight w:val="none"/>
        </w:rPr>
        <w:t>格式见附件，</w:t>
      </w:r>
      <w:r>
        <w:rPr>
          <w:rFonts w:hint="eastAsia" w:ascii="宋体" w:hAnsi="宋体"/>
          <w:b/>
          <w:color w:val="auto"/>
          <w:szCs w:val="21"/>
          <w:highlight w:val="none"/>
        </w:rPr>
        <w:t>必须提供）；</w:t>
      </w:r>
    </w:p>
    <w:p w14:paraId="2D5EAFFD">
      <w:pPr>
        <w:tabs>
          <w:tab w:val="left" w:pos="1305"/>
        </w:tabs>
        <w:spacing w:line="360" w:lineRule="auto"/>
        <w:ind w:firstLine="420" w:firstLineChars="200"/>
        <w:rPr>
          <w:rFonts w:hint="eastAsia" w:ascii="宋体" w:hAnsi="宋体"/>
          <w:b/>
          <w:color w:val="auto"/>
          <w:szCs w:val="21"/>
          <w:highlight w:val="none"/>
        </w:rPr>
      </w:pPr>
      <w:r>
        <w:rPr>
          <w:rFonts w:hint="eastAsia" w:ascii="宋体" w:hAnsi="宋体"/>
          <w:color w:val="auto"/>
          <w:szCs w:val="21"/>
          <w:highlight w:val="none"/>
        </w:rPr>
        <w:t>（2）商务响应偏离表</w:t>
      </w:r>
      <w:r>
        <w:rPr>
          <w:rFonts w:hint="eastAsia" w:ascii="宋体" w:hAnsi="宋体"/>
          <w:b/>
          <w:color w:val="auto"/>
          <w:szCs w:val="21"/>
          <w:highlight w:val="none"/>
        </w:rPr>
        <w:t>（</w:t>
      </w:r>
      <w:r>
        <w:rPr>
          <w:rFonts w:hint="eastAsia" w:ascii="宋体" w:hAnsi="宋体" w:cs="宋体"/>
          <w:b/>
          <w:bCs/>
          <w:color w:val="auto"/>
          <w:highlight w:val="none"/>
        </w:rPr>
        <w:t>格式见附件，</w:t>
      </w:r>
      <w:r>
        <w:rPr>
          <w:rFonts w:hint="eastAsia" w:ascii="宋体" w:hAnsi="宋体"/>
          <w:b/>
          <w:color w:val="auto"/>
          <w:szCs w:val="21"/>
          <w:highlight w:val="none"/>
        </w:rPr>
        <w:t>必须提供）；</w:t>
      </w:r>
    </w:p>
    <w:p w14:paraId="24924452">
      <w:pPr>
        <w:snapToGrid w:val="0"/>
        <w:spacing w:line="360" w:lineRule="auto"/>
        <w:ind w:firstLine="420" w:firstLineChars="200"/>
        <w:rPr>
          <w:rFonts w:hint="eastAsia" w:ascii="宋体" w:hAnsi="宋体"/>
          <w:b/>
          <w:color w:val="auto"/>
          <w:szCs w:val="21"/>
          <w:highlight w:val="none"/>
        </w:rPr>
      </w:pPr>
      <w:r>
        <w:rPr>
          <w:rFonts w:hint="eastAsia" w:ascii="宋体" w:hAnsi="宋体"/>
          <w:color w:val="auto"/>
          <w:szCs w:val="21"/>
          <w:highlight w:val="none"/>
        </w:rPr>
        <w:t>（3）售后服务方案（根据评标方法自行编写，格式自拟）</w:t>
      </w:r>
      <w:r>
        <w:rPr>
          <w:rFonts w:hint="eastAsia" w:ascii="宋体" w:hAnsi="宋体"/>
          <w:b/>
          <w:color w:val="auto"/>
          <w:szCs w:val="21"/>
          <w:highlight w:val="none"/>
        </w:rPr>
        <w:t>（必须提供）；</w:t>
      </w:r>
    </w:p>
    <w:p w14:paraId="1A53B53D">
      <w:pPr>
        <w:snapToGrid w:val="0"/>
        <w:spacing w:line="360" w:lineRule="auto"/>
        <w:ind w:firstLine="420" w:firstLineChars="200"/>
        <w:rPr>
          <w:rFonts w:hint="eastAsia" w:ascii="宋体" w:hAnsi="宋体"/>
          <w:b/>
          <w:color w:val="auto"/>
          <w:szCs w:val="21"/>
          <w:highlight w:val="none"/>
        </w:rPr>
      </w:pPr>
      <w:r>
        <w:rPr>
          <w:rFonts w:hint="eastAsia" w:ascii="宋体" w:hAnsi="宋体"/>
          <w:color w:val="auto"/>
          <w:szCs w:val="21"/>
          <w:highlight w:val="none"/>
        </w:rPr>
        <w:t>（4）项目实施方案（根据评标方法自行编写，格式自拟）</w:t>
      </w:r>
      <w:r>
        <w:rPr>
          <w:rFonts w:hint="eastAsia" w:ascii="宋体" w:hAnsi="宋体"/>
          <w:b/>
          <w:color w:val="auto"/>
          <w:szCs w:val="21"/>
          <w:highlight w:val="none"/>
        </w:rPr>
        <w:t>（必须提供）；</w:t>
      </w:r>
    </w:p>
    <w:p w14:paraId="185CA886">
      <w:pPr>
        <w:spacing w:line="360" w:lineRule="auto"/>
        <w:ind w:firstLine="424" w:firstLineChars="202"/>
        <w:rPr>
          <w:rFonts w:hint="eastAsia" w:ascii="宋体" w:hAnsi="宋体"/>
          <w:b/>
          <w:color w:val="auto"/>
          <w:szCs w:val="21"/>
          <w:highlight w:val="none"/>
        </w:rPr>
      </w:pPr>
      <w:r>
        <w:rPr>
          <w:rFonts w:hint="eastAsia" w:ascii="宋体" w:hAnsi="宋体"/>
          <w:color w:val="auto"/>
          <w:szCs w:val="21"/>
          <w:highlight w:val="none"/>
        </w:rPr>
        <w:t>（5）“货物采购需求”需提供的有效证明文件</w:t>
      </w:r>
      <w:r>
        <w:rPr>
          <w:rFonts w:hint="eastAsia" w:ascii="宋体" w:hAnsi="宋体"/>
          <w:b/>
          <w:color w:val="auto"/>
          <w:szCs w:val="21"/>
          <w:highlight w:val="none"/>
        </w:rPr>
        <w:t>（按货物采购需求要求提供）；</w:t>
      </w:r>
    </w:p>
    <w:p w14:paraId="0C518FEB">
      <w:pPr>
        <w:pStyle w:val="233"/>
        <w:ind w:firstLine="840" w:firstLineChars="400"/>
        <w:rPr>
          <w:rFonts w:hint="eastAsia" w:hAnsi="宋体" w:eastAsia="宋体"/>
          <w:color w:val="auto"/>
          <w:sz w:val="21"/>
          <w:szCs w:val="21"/>
          <w:highlight w:val="none"/>
          <w:lang w:eastAsia="zh-CN"/>
        </w:rPr>
      </w:pPr>
      <w:r>
        <w:rPr>
          <w:rFonts w:hint="eastAsia" w:hAnsi="宋体"/>
          <w:color w:val="auto"/>
          <w:sz w:val="21"/>
          <w:szCs w:val="21"/>
          <w:highlight w:val="none"/>
        </w:rPr>
        <w:t>①强制节能产品</w:t>
      </w:r>
      <w:r>
        <w:rPr>
          <w:rFonts w:hint="eastAsia" w:hAnsi="宋体"/>
          <w:b/>
          <w:bCs/>
          <w:color w:val="auto"/>
          <w:sz w:val="21"/>
          <w:szCs w:val="21"/>
          <w:highlight w:val="none"/>
        </w:rPr>
        <w:t>（必须提供）</w:t>
      </w:r>
      <w:r>
        <w:rPr>
          <w:rFonts w:hint="eastAsia" w:hAnsi="宋体"/>
          <w:b/>
          <w:bCs/>
          <w:color w:val="auto"/>
          <w:sz w:val="21"/>
          <w:szCs w:val="21"/>
          <w:highlight w:val="none"/>
          <w:lang w:eastAsia="zh-CN"/>
        </w:rPr>
        <w:t>；</w:t>
      </w:r>
    </w:p>
    <w:p w14:paraId="649A8F28">
      <w:pPr>
        <w:pStyle w:val="233"/>
        <w:ind w:firstLine="840" w:firstLineChars="400"/>
        <w:rPr>
          <w:rFonts w:hint="eastAsia" w:hAnsi="宋体"/>
          <w:color w:val="auto"/>
          <w:sz w:val="21"/>
          <w:szCs w:val="21"/>
          <w:highlight w:val="none"/>
        </w:rPr>
      </w:pPr>
      <w:r>
        <w:rPr>
          <w:rFonts w:hint="eastAsia" w:hAnsi="宋体"/>
          <w:color w:val="auto"/>
          <w:sz w:val="21"/>
          <w:szCs w:val="21"/>
          <w:highlight w:val="none"/>
        </w:rPr>
        <w:t>②其它证明文件</w:t>
      </w:r>
      <w:r>
        <w:rPr>
          <w:rFonts w:hint="eastAsia" w:hAnsi="宋体"/>
          <w:b/>
          <w:bCs/>
          <w:color w:val="auto"/>
          <w:sz w:val="21"/>
          <w:szCs w:val="21"/>
          <w:highlight w:val="none"/>
        </w:rPr>
        <w:t>（如有，请提供）；</w:t>
      </w:r>
    </w:p>
    <w:p w14:paraId="35B9DB78">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（6）项目实施人员一览表</w:t>
      </w:r>
      <w:r>
        <w:rPr>
          <w:rFonts w:hint="eastAsia" w:ascii="宋体" w:hAnsi="宋体"/>
          <w:b/>
          <w:color w:val="auto"/>
          <w:szCs w:val="21"/>
          <w:highlight w:val="none"/>
        </w:rPr>
        <w:t>（如有，请提供）</w:t>
      </w:r>
      <w:r>
        <w:rPr>
          <w:rFonts w:hint="eastAsia" w:ascii="宋体" w:hAnsi="宋体"/>
          <w:color w:val="auto"/>
          <w:szCs w:val="21"/>
          <w:highlight w:val="none"/>
        </w:rPr>
        <w:t>；</w:t>
      </w:r>
    </w:p>
    <w:p w14:paraId="36256CAD">
      <w:pPr>
        <w:spacing w:line="360" w:lineRule="auto"/>
        <w:ind w:firstLine="424" w:firstLineChars="202"/>
        <w:rPr>
          <w:rFonts w:hint="eastAsia" w:ascii="宋体" w:hAnsi="宋体"/>
          <w:b/>
          <w:color w:val="auto"/>
          <w:szCs w:val="21"/>
          <w:highlight w:val="none"/>
        </w:rPr>
      </w:pPr>
      <w:r>
        <w:rPr>
          <w:rFonts w:hint="eastAsia" w:ascii="宋体" w:hAnsi="宋体"/>
          <w:color w:val="auto"/>
          <w:szCs w:val="21"/>
          <w:highlight w:val="none"/>
        </w:rPr>
        <w:t>（7）履约能力</w:t>
      </w:r>
      <w:r>
        <w:rPr>
          <w:rFonts w:hint="eastAsia" w:ascii="宋体" w:hAnsi="宋体"/>
          <w:b/>
          <w:color w:val="auto"/>
          <w:szCs w:val="21"/>
          <w:highlight w:val="none"/>
        </w:rPr>
        <w:t>（根据评标方法自行提供）（如有，请提供）；</w:t>
      </w:r>
    </w:p>
    <w:p w14:paraId="54C6F9C5">
      <w:pPr>
        <w:pStyle w:val="233"/>
        <w:ind w:firstLine="420"/>
        <w:rPr>
          <w:rFonts w:hint="eastAsia" w:hAnsi="宋体"/>
          <w:color w:val="auto"/>
          <w:sz w:val="21"/>
          <w:szCs w:val="21"/>
          <w:highlight w:val="none"/>
        </w:rPr>
      </w:pPr>
      <w:r>
        <w:rPr>
          <w:rFonts w:hint="eastAsia" w:hAnsi="宋体"/>
          <w:color w:val="auto"/>
          <w:sz w:val="21"/>
          <w:szCs w:val="21"/>
          <w:highlight w:val="none"/>
        </w:rPr>
        <w:t xml:space="preserve">    ①投标人相关认证证书等复印件</w:t>
      </w:r>
      <w:r>
        <w:rPr>
          <w:rFonts w:hint="eastAsia" w:hAnsi="宋体"/>
          <w:b/>
          <w:color w:val="auto"/>
          <w:sz w:val="21"/>
          <w:szCs w:val="21"/>
          <w:highlight w:val="none"/>
        </w:rPr>
        <w:t>（如有，请提供）</w:t>
      </w:r>
    </w:p>
    <w:p w14:paraId="7068DAFF">
      <w:pPr>
        <w:spacing w:line="360" w:lineRule="auto"/>
        <w:rPr>
          <w:rFonts w:hint="eastAsia" w:ascii="宋体" w:hAnsi="宋体"/>
          <w:b/>
          <w:color w:val="auto"/>
          <w:szCs w:val="21"/>
          <w:highlight w:val="none"/>
        </w:rPr>
      </w:pPr>
      <w:r>
        <w:rPr>
          <w:rFonts w:hint="eastAsia" w:ascii="宋体" w:hAnsi="宋体"/>
          <w:color w:val="auto"/>
          <w:szCs w:val="21"/>
          <w:highlight w:val="none"/>
        </w:rPr>
        <w:t xml:space="preserve">        ②</w:t>
      </w:r>
      <w:r>
        <w:rPr>
          <w:rFonts w:hint="eastAsia" w:ascii="宋体" w:hAnsi="宋体" w:cs="宋体"/>
          <w:color w:val="auto"/>
          <w:kern w:val="0"/>
          <w:szCs w:val="21"/>
          <w:highlight w:val="none"/>
        </w:rPr>
        <w:t>投标人202</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年以来具有同类产品的销售业绩的相关证明材料【以中标（成交）通知书和签订的销售合同复印件为准，须附有采购货物清单及金额，并能清晰反映所销售的货物名称、种类、时间等内容】</w:t>
      </w:r>
      <w:r>
        <w:rPr>
          <w:rFonts w:hint="eastAsia" w:ascii="宋体" w:hAnsi="宋体"/>
          <w:b/>
          <w:color w:val="auto"/>
          <w:szCs w:val="21"/>
          <w:highlight w:val="none"/>
        </w:rPr>
        <w:t>（如有，请提供）；</w:t>
      </w:r>
    </w:p>
    <w:p w14:paraId="01A66014">
      <w:pPr>
        <w:pStyle w:val="233"/>
        <w:ind w:firstLine="420"/>
        <w:rPr>
          <w:rFonts w:hint="eastAsia" w:hAnsi="宋体"/>
          <w:color w:val="auto"/>
          <w:sz w:val="21"/>
          <w:szCs w:val="21"/>
          <w:highlight w:val="none"/>
        </w:rPr>
      </w:pPr>
      <w:r>
        <w:rPr>
          <w:rFonts w:hint="eastAsia" w:hAnsi="宋体"/>
          <w:color w:val="auto"/>
          <w:sz w:val="21"/>
          <w:szCs w:val="21"/>
          <w:highlight w:val="none"/>
        </w:rPr>
        <w:t>（8）政策功能</w:t>
      </w:r>
      <w:r>
        <w:rPr>
          <w:rFonts w:hint="eastAsia" w:hAnsi="宋体"/>
          <w:bCs/>
          <w:color w:val="auto"/>
          <w:sz w:val="21"/>
          <w:szCs w:val="20"/>
          <w:highlight w:val="none"/>
        </w:rPr>
        <w:t>（节能、环保）相关证书复印件</w:t>
      </w:r>
      <w:r>
        <w:rPr>
          <w:rFonts w:hint="eastAsia" w:hAnsi="宋体"/>
          <w:b/>
          <w:color w:val="auto"/>
          <w:sz w:val="21"/>
          <w:szCs w:val="21"/>
          <w:highlight w:val="none"/>
        </w:rPr>
        <w:t>（根据评标方法自行提供）（如有，请提供）；</w:t>
      </w:r>
    </w:p>
    <w:p w14:paraId="66C0810E">
      <w:pPr>
        <w:pStyle w:val="233"/>
        <w:ind w:firstLine="850" w:firstLineChars="405"/>
        <w:rPr>
          <w:rFonts w:hint="eastAsia" w:hAnsi="宋体"/>
          <w:color w:val="auto"/>
          <w:sz w:val="21"/>
          <w:szCs w:val="21"/>
          <w:highlight w:val="none"/>
        </w:rPr>
      </w:pPr>
      <w:r>
        <w:rPr>
          <w:rFonts w:hint="eastAsia" w:hAnsi="宋体"/>
          <w:color w:val="auto"/>
          <w:sz w:val="21"/>
          <w:szCs w:val="21"/>
          <w:highlight w:val="none"/>
        </w:rPr>
        <w:t>①节能方面的证书复印件</w:t>
      </w:r>
      <w:r>
        <w:rPr>
          <w:rFonts w:hint="eastAsia" w:hAnsi="宋体"/>
          <w:b/>
          <w:color w:val="auto"/>
          <w:sz w:val="21"/>
          <w:szCs w:val="21"/>
          <w:highlight w:val="none"/>
        </w:rPr>
        <w:t>（如有，请提供）；</w:t>
      </w:r>
    </w:p>
    <w:p w14:paraId="0223F339">
      <w:pPr>
        <w:spacing w:line="360" w:lineRule="auto"/>
        <w:ind w:firstLine="850" w:firstLineChars="405"/>
        <w:rPr>
          <w:rFonts w:hint="eastAsia" w:ascii="宋体" w:hAnsi="宋体"/>
          <w:b/>
          <w:color w:val="auto"/>
          <w:szCs w:val="21"/>
          <w:highlight w:val="none"/>
        </w:rPr>
      </w:pPr>
      <w:r>
        <w:rPr>
          <w:rFonts w:hint="eastAsia" w:ascii="宋体" w:hAnsi="宋体"/>
          <w:color w:val="auto"/>
          <w:szCs w:val="21"/>
          <w:highlight w:val="none"/>
        </w:rPr>
        <w:t>②环保方面的证书复印件</w:t>
      </w:r>
      <w:r>
        <w:rPr>
          <w:rFonts w:hint="eastAsia" w:ascii="宋体" w:hAnsi="宋体"/>
          <w:b/>
          <w:color w:val="auto"/>
          <w:szCs w:val="21"/>
          <w:highlight w:val="none"/>
        </w:rPr>
        <w:t>（如有，请提供）；</w:t>
      </w:r>
    </w:p>
    <w:p w14:paraId="38367752">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（9）投标人为生产厂家的，投标人的生产制造设备清单及专业技术能力说明</w:t>
      </w:r>
      <w:r>
        <w:rPr>
          <w:rFonts w:hint="eastAsia" w:ascii="宋体" w:hAnsi="宋体"/>
          <w:b/>
          <w:color w:val="auto"/>
          <w:szCs w:val="21"/>
          <w:highlight w:val="none"/>
        </w:rPr>
        <w:t>（如有，请提供）</w:t>
      </w:r>
      <w:r>
        <w:rPr>
          <w:rFonts w:hint="eastAsia" w:ascii="宋体" w:hAnsi="宋体"/>
          <w:color w:val="auto"/>
          <w:szCs w:val="21"/>
          <w:highlight w:val="none"/>
        </w:rPr>
        <w:t>；</w:t>
      </w:r>
    </w:p>
    <w:p w14:paraId="1C8C65AD">
      <w:pPr>
        <w:tabs>
          <w:tab w:val="left" w:pos="1305"/>
        </w:tabs>
        <w:spacing w:line="360" w:lineRule="auto"/>
        <w:ind w:firstLine="420" w:firstLineChars="200"/>
        <w:rPr>
          <w:rFonts w:hint="eastAsia" w:ascii="宋体" w:hAnsi="宋体"/>
          <w:b/>
          <w:color w:val="auto"/>
          <w:szCs w:val="21"/>
          <w:highlight w:val="none"/>
        </w:rPr>
      </w:pPr>
      <w:r>
        <w:rPr>
          <w:rFonts w:hint="eastAsia" w:ascii="宋体" w:hAnsi="宋体" w:cs="宋体"/>
          <w:color w:val="auto"/>
          <w:kern w:val="0"/>
          <w:highlight w:val="none"/>
        </w:rPr>
        <w:t>（10）</w:t>
      </w:r>
      <w:r>
        <w:rPr>
          <w:rFonts w:hint="eastAsia" w:ascii="宋体" w:hAnsi="宋体" w:cs="宋体"/>
          <w:color w:val="auto"/>
          <w:szCs w:val="21"/>
          <w:highlight w:val="none"/>
        </w:rPr>
        <w:t>《中小企业声明函》或《残疾人福利性单位声明函》或属于监狱企业的证明文件</w:t>
      </w:r>
      <w:r>
        <w:rPr>
          <w:rFonts w:hint="eastAsia" w:ascii="宋体" w:hAnsi="宋体" w:cs="宋体"/>
          <w:b/>
          <w:bCs/>
          <w:color w:val="auto"/>
          <w:szCs w:val="21"/>
          <w:highlight w:val="none"/>
        </w:rPr>
        <w:t>（</w:t>
      </w:r>
      <w:r>
        <w:rPr>
          <w:rFonts w:hint="eastAsia" w:ascii="宋体" w:hAnsi="宋体"/>
          <w:b/>
          <w:color w:val="auto"/>
          <w:szCs w:val="21"/>
          <w:highlight w:val="none"/>
        </w:rPr>
        <w:t>如有，请提供</w:t>
      </w:r>
      <w:r>
        <w:rPr>
          <w:rFonts w:hint="eastAsia" w:ascii="宋体" w:hAnsi="宋体" w:cs="宋体"/>
          <w:b/>
          <w:bCs/>
          <w:color w:val="auto"/>
          <w:szCs w:val="21"/>
          <w:highlight w:val="none"/>
        </w:rPr>
        <w:t>）</w:t>
      </w:r>
      <w:r>
        <w:rPr>
          <w:rFonts w:hint="eastAsia" w:ascii="宋体" w:hAnsi="宋体" w:cs="宋体"/>
          <w:color w:val="auto"/>
          <w:szCs w:val="21"/>
          <w:highlight w:val="none"/>
        </w:rPr>
        <w:t>；</w:t>
      </w:r>
    </w:p>
    <w:p w14:paraId="51256301">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（11）投标人可结合本项目的评标办法视自身情况自行提交相关证明材料</w:t>
      </w:r>
      <w:r>
        <w:rPr>
          <w:rFonts w:hint="eastAsia" w:ascii="宋体" w:hAnsi="宋体"/>
          <w:b/>
          <w:color w:val="auto"/>
          <w:szCs w:val="21"/>
          <w:highlight w:val="none"/>
        </w:rPr>
        <w:t>（如有，请提供）</w:t>
      </w:r>
      <w:r>
        <w:rPr>
          <w:rFonts w:hint="eastAsia" w:ascii="宋体" w:hAnsi="宋体"/>
          <w:color w:val="auto"/>
          <w:szCs w:val="21"/>
          <w:highlight w:val="none"/>
        </w:rPr>
        <w:t>。</w:t>
      </w:r>
    </w:p>
    <w:p w14:paraId="2254104E">
      <w:pPr>
        <w:pStyle w:val="27"/>
        <w:spacing w:line="360" w:lineRule="auto"/>
        <w:ind w:firstLine="420"/>
        <w:rPr>
          <w:rFonts w:hint="eastAsia" w:hAnsi="宋体"/>
          <w:b/>
          <w:bCs/>
          <w:color w:val="auto"/>
          <w:szCs w:val="21"/>
          <w:highlight w:val="none"/>
        </w:rPr>
      </w:pPr>
      <w:r>
        <w:rPr>
          <w:rFonts w:hint="eastAsia" w:hAnsi="宋体"/>
          <w:b/>
          <w:bCs/>
          <w:color w:val="auto"/>
          <w:szCs w:val="21"/>
          <w:highlight w:val="none"/>
        </w:rPr>
        <w:t>投标人提供的以上相关证明材料必须真实有效，属于“必须提供”的文件应加盖投标人CA证书签章，否则投标无效；其中 “必须提供”的文件“投标文件（格式）”中有要求法定代表人(负责人、自然人)或相应的授权委托代理人在规定位置签字的，可使用法定代表人(负责人、自然人)或相应的授权委托代理人个人CA证书签章，没有办理政采云个人CA证书签章的可在投标文件中涉及到签字的位置手写签字后扫描或者拍照做成 PDF 的格式上传，无个人CA证书签章或手写签字的，投标文件按无效处理。</w:t>
      </w:r>
    </w:p>
    <w:p w14:paraId="0E024C3E">
      <w:pPr>
        <w:pStyle w:val="27"/>
        <w:spacing w:line="360" w:lineRule="auto"/>
        <w:ind w:firstLine="420"/>
        <w:rPr>
          <w:rFonts w:hint="eastAsia" w:hAnsi="宋体"/>
          <w:color w:val="auto"/>
          <w:highlight w:val="none"/>
        </w:rPr>
      </w:pPr>
      <w:r>
        <w:rPr>
          <w:rFonts w:hint="eastAsia" w:hAnsi="宋体"/>
          <w:color w:val="auto"/>
          <w:szCs w:val="21"/>
          <w:highlight w:val="none"/>
        </w:rPr>
        <w:t>13.2投标人应按招标文件第六章“投标文件（格式）”编制投标文件。</w:t>
      </w:r>
    </w:p>
    <w:p w14:paraId="09339A14">
      <w:pPr>
        <w:pStyle w:val="27"/>
        <w:spacing w:line="360" w:lineRule="auto"/>
        <w:ind w:firstLine="420"/>
        <w:rPr>
          <w:rFonts w:hint="eastAsia" w:hAnsi="宋体"/>
          <w:color w:val="auto"/>
          <w:highlight w:val="none"/>
        </w:rPr>
      </w:pPr>
      <w:r>
        <w:rPr>
          <w:rFonts w:hint="eastAsia" w:hAnsi="宋体"/>
          <w:color w:val="auto"/>
          <w:highlight w:val="none"/>
        </w:rPr>
        <w:t>13.3</w:t>
      </w:r>
      <w:r>
        <w:rPr>
          <w:rFonts w:hint="eastAsia" w:hAnsi="宋体" w:cs="宋体"/>
          <w:color w:val="auto"/>
          <w:kern w:val="0"/>
          <w:szCs w:val="21"/>
          <w:highlight w:val="none"/>
        </w:rPr>
        <w:t>投标人必须按照招标文件的要求编制投标文件。投标文件必须对招标文件提出的要求和条件作出明确响应。</w:t>
      </w:r>
    </w:p>
    <w:p w14:paraId="1BAAA38C">
      <w:pPr>
        <w:pStyle w:val="27"/>
        <w:spacing w:line="360" w:lineRule="auto"/>
        <w:ind w:firstLine="420"/>
        <w:rPr>
          <w:rFonts w:hint="eastAsia" w:hAnsi="宋体"/>
          <w:b/>
          <w:color w:val="auto"/>
          <w:szCs w:val="21"/>
          <w:highlight w:val="none"/>
        </w:rPr>
      </w:pPr>
      <w:r>
        <w:rPr>
          <w:rFonts w:hint="eastAsia" w:hAnsi="宋体"/>
          <w:b/>
          <w:color w:val="auto"/>
          <w:szCs w:val="21"/>
          <w:highlight w:val="none"/>
        </w:rPr>
        <w:t>14.投标文件的语言及计量</w:t>
      </w:r>
    </w:p>
    <w:p w14:paraId="7C50E0C3">
      <w:pPr>
        <w:pStyle w:val="27"/>
        <w:spacing w:line="360" w:lineRule="auto"/>
        <w:ind w:firstLine="420"/>
        <w:rPr>
          <w:rFonts w:hint="eastAsia" w:hAnsi="宋体"/>
          <w:color w:val="auto"/>
          <w:highlight w:val="none"/>
        </w:rPr>
      </w:pPr>
      <w:r>
        <w:rPr>
          <w:rFonts w:hint="eastAsia" w:hAnsi="宋体"/>
          <w:color w:val="auto"/>
          <w:highlight w:val="none"/>
        </w:rPr>
        <w:t>14.1投标文件以及投标人与招标采购单位就有关投标事宜的所有来往函电，均应以中文汉语书写。投标人提交的支持文件和印刷的文献可以使用别的语言，但其相应内容必须附有中文翻译文本，在解释投标文件时以中文翻译文本为主。</w:t>
      </w:r>
    </w:p>
    <w:p w14:paraId="45CB8DCE">
      <w:pPr>
        <w:pStyle w:val="27"/>
        <w:spacing w:line="360" w:lineRule="auto"/>
        <w:ind w:firstLine="420"/>
        <w:rPr>
          <w:rFonts w:hint="eastAsia" w:hAnsi="宋体"/>
          <w:color w:val="auto"/>
          <w:highlight w:val="none"/>
        </w:rPr>
      </w:pPr>
      <w:r>
        <w:rPr>
          <w:rFonts w:hint="eastAsia" w:hAnsi="宋体"/>
          <w:color w:val="auto"/>
          <w:highlight w:val="none"/>
        </w:rPr>
        <w:t>14.2投标计量单位，招标文件已有明确规定的，使用招标文件规定的计量单位；招标文件没有规定的，应采用中华人民共和国法定计量单位（货币单位：人民币元），否则视同未响应。</w:t>
      </w:r>
    </w:p>
    <w:p w14:paraId="2D0BE025">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15. 采购预算金额及投标报价</w:t>
      </w:r>
    </w:p>
    <w:p w14:paraId="3BA2A9C8">
      <w:pPr>
        <w:spacing w:line="360" w:lineRule="auto"/>
        <w:ind w:firstLine="435"/>
        <w:rPr>
          <w:rFonts w:hint="eastAsia" w:ascii="宋体" w:hAnsi="宋体"/>
          <w:color w:val="auto"/>
          <w:szCs w:val="21"/>
          <w:highlight w:val="none"/>
        </w:rPr>
      </w:pPr>
      <w:r>
        <w:rPr>
          <w:rFonts w:hint="eastAsia" w:ascii="宋体" w:hAnsi="宋体"/>
          <w:color w:val="auto"/>
          <w:highlight w:val="none"/>
        </w:rPr>
        <w:t>15.1项目采购预算金额（人民币）：</w:t>
      </w:r>
      <w:r>
        <w:rPr>
          <w:rFonts w:hint="eastAsia" w:ascii="宋体" w:hAnsi="宋体"/>
          <w:color w:val="auto"/>
          <w:szCs w:val="21"/>
          <w:highlight w:val="none"/>
        </w:rPr>
        <w:t>详见《投标人须知前附表》第4条。</w:t>
      </w:r>
    </w:p>
    <w:p w14:paraId="6A583C4A">
      <w:pPr>
        <w:pStyle w:val="27"/>
        <w:spacing w:line="360" w:lineRule="auto"/>
        <w:ind w:firstLine="420"/>
        <w:rPr>
          <w:rFonts w:hint="eastAsia" w:hAnsi="宋体"/>
          <w:color w:val="auto"/>
          <w:highlight w:val="none"/>
        </w:rPr>
      </w:pPr>
      <w:r>
        <w:rPr>
          <w:rFonts w:hint="eastAsia" w:hAnsi="宋体"/>
          <w:color w:val="auto"/>
          <w:highlight w:val="none"/>
        </w:rPr>
        <w:t>15.2投标报价</w:t>
      </w:r>
    </w:p>
    <w:p w14:paraId="560DCC88">
      <w:pPr>
        <w:pStyle w:val="27"/>
        <w:spacing w:line="360" w:lineRule="auto"/>
        <w:ind w:firstLine="420"/>
        <w:rPr>
          <w:rFonts w:hint="eastAsia" w:hAnsi="宋体"/>
          <w:color w:val="auto"/>
          <w:highlight w:val="none"/>
        </w:rPr>
      </w:pPr>
      <w:r>
        <w:rPr>
          <w:rFonts w:hint="eastAsia" w:hAnsi="宋体"/>
          <w:color w:val="auto"/>
          <w:highlight w:val="none"/>
        </w:rPr>
        <w:t>15.2.1投标报价必须按招标文件中第六章“投标文件（格式）”填写，投标报价超过采购预算金额的，投标文件按无效处理。</w:t>
      </w:r>
    </w:p>
    <w:p w14:paraId="6A6C5B97">
      <w:pPr>
        <w:pStyle w:val="27"/>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15.2.2投标人必须就《货物采购需求》中所有货物和服务内容作完整唯一报价，否则，其投标将被拒绝；投标文件只允许有一个报价，有选择的或有条件的报价将不予接受。</w:t>
      </w:r>
    </w:p>
    <w:p w14:paraId="5A02960E">
      <w:pPr>
        <w:pStyle w:val="27"/>
        <w:spacing w:line="360" w:lineRule="auto"/>
        <w:ind w:firstLine="42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15.2.3投标报价应包括本次采购范围内货物货款、货物标准附件、备品备件、专用工具、包装、运输、装卸、保险、税金、货到就位以及安装、安装所需辅材、调试、培训、保修和采购文件要求提供的所有伴随服务、工程等费用和税费</w:t>
      </w:r>
      <w:r>
        <w:rPr>
          <w:rFonts w:hint="eastAsia" w:ascii="宋体" w:hAnsi="宋体" w:eastAsia="宋体" w:cs="Times New Roman"/>
          <w:color w:val="auto"/>
          <w:szCs w:val="21"/>
          <w:highlight w:val="none"/>
          <w:lang w:eastAsia="zh-CN"/>
        </w:rPr>
        <w:t>。</w:t>
      </w:r>
    </w:p>
    <w:p w14:paraId="30438E00">
      <w:pPr>
        <w:pStyle w:val="27"/>
        <w:spacing w:line="360" w:lineRule="auto"/>
        <w:ind w:firstLine="420"/>
        <w:rPr>
          <w:rFonts w:hint="eastAsia" w:hAnsi="宋体"/>
          <w:b/>
          <w:color w:val="auto"/>
          <w:szCs w:val="21"/>
          <w:highlight w:val="none"/>
        </w:rPr>
      </w:pPr>
      <w:r>
        <w:rPr>
          <w:rFonts w:hint="eastAsia" w:hAnsi="宋体"/>
          <w:b/>
          <w:color w:val="auto"/>
          <w:szCs w:val="21"/>
          <w:highlight w:val="none"/>
        </w:rPr>
        <w:t>16.投标有效期</w:t>
      </w:r>
    </w:p>
    <w:p w14:paraId="2AAB5398">
      <w:pPr>
        <w:tabs>
          <w:tab w:val="left" w:pos="1305"/>
        </w:tabs>
        <w:spacing w:line="360" w:lineRule="auto"/>
        <w:ind w:firstLine="420" w:firstLineChars="200"/>
        <w:rPr>
          <w:rFonts w:hint="eastAsia" w:ascii="宋体" w:hAnsi="宋体" w:cs="Arial"/>
          <w:color w:val="auto"/>
          <w:sz w:val="22"/>
          <w:szCs w:val="22"/>
          <w:highlight w:val="none"/>
        </w:rPr>
      </w:pPr>
      <w:r>
        <w:rPr>
          <w:rFonts w:hint="eastAsia" w:ascii="宋体" w:hAnsi="宋体"/>
          <w:color w:val="auto"/>
          <w:szCs w:val="21"/>
          <w:highlight w:val="none"/>
        </w:rPr>
        <w:t>16.1投标有效期：</w:t>
      </w:r>
      <w:r>
        <w:rPr>
          <w:rFonts w:hint="eastAsia" w:ascii="宋体" w:hAnsi="宋体" w:cs="宋体"/>
          <w:color w:val="auto"/>
          <w:highlight w:val="none"/>
        </w:rPr>
        <w:t>投标截止时间之日起90天</w:t>
      </w:r>
      <w:r>
        <w:rPr>
          <w:rFonts w:hint="eastAsia" w:ascii="宋体" w:hAnsi="宋体" w:cs="宋体"/>
          <w:color w:val="auto"/>
          <w:sz w:val="22"/>
          <w:szCs w:val="22"/>
          <w:highlight w:val="none"/>
        </w:rPr>
        <w:t>。</w:t>
      </w:r>
    </w:p>
    <w:p w14:paraId="09B2AD89">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16.2出现特殊情况下，需要延长投标有效期的，采购代理机构以书面形式通知所有投标人延长投标有效期。投标人同意延长的，投标文件为有效文件，但不能修改投标文件。投标人拒绝延长的，其投标无效。</w:t>
      </w:r>
    </w:p>
    <w:p w14:paraId="26B826E7">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17.</w:t>
      </w:r>
      <w:r>
        <w:rPr>
          <w:rFonts w:hint="eastAsia" w:ascii="宋体" w:hAnsi="宋体"/>
          <w:color w:val="auto"/>
          <w:highlight w:val="none"/>
        </w:rPr>
        <w:t xml:space="preserve"> </w:t>
      </w:r>
      <w:r>
        <w:rPr>
          <w:rFonts w:hint="eastAsia" w:ascii="宋体" w:hAnsi="宋体"/>
          <w:b/>
          <w:color w:val="auto"/>
          <w:szCs w:val="21"/>
          <w:highlight w:val="none"/>
        </w:rPr>
        <w:t>电子投标文件的制作、加密、投标人公章及签字</w:t>
      </w:r>
    </w:p>
    <w:p w14:paraId="01B9465C">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17.1电子投标文件的制作、加密</w:t>
      </w:r>
    </w:p>
    <w:p w14:paraId="3BCCF41D">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17.1.1投标人制作电子投标文件前，必须登陆“广西政府采购云”平台进行招标文件的获取操作。</w:t>
      </w:r>
    </w:p>
    <w:p w14:paraId="40BDDB52">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17.1.2投标人下载或获取招标文件后，登录“广西政府采购云平台电子投标客户端”，按照本招标文件规定的投标文件格式、顺序以及“广西政府采购云”平台的要求，通过“广西政府采购云平台电子投标客户端”编制电子投标文件。</w:t>
      </w:r>
    </w:p>
    <w:p w14:paraId="4E93C104">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17.1.3投标人应按“广西政府采购云电子投标客户端”载明的“标书关联”功能进行电子投标文件相应内容的关联定位，以便评标委员会在评审时点击相应评审项可直接定位到该评审内容；如投标人的电子投标文件未能关联定位相应内容，或者关联定位的内容与该评审项不符，导致评标委员会无法查询并做出对投标人不利的评审，相关后果由投标人自行承担。</w:t>
      </w:r>
    </w:p>
    <w:p w14:paraId="15608355">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17.1.4电子投标文件不得涂改，若有修改错漏处，须由法定代表人（负责人、自然人）或授权委托代理人通过“广西政府采购云平台电子投标客户端”采用广西政府采购云平台个人CA证书签章，没有办理广西政府采购云平台个人CA证书签章的，在投标文件中响应位置手写签字后扫描或者拍照做成 PDF 的格式上传。因投标文件字迹潦草、表达不清、内容不完整、编排混乱导致投标文件被误读、漏读，或者在按招标文件规定的部位查找不到相关内容的，其不利后果由投标人自行承担。</w:t>
      </w:r>
    </w:p>
    <w:p w14:paraId="329B154B">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17.1.5投标人编制、生成电子投标文件后应当加密投标文件。投标人未按规定编制并加密的投标文件，“广西政府采购云”平台将予以拒收。</w:t>
      </w:r>
    </w:p>
    <w:p w14:paraId="028CA7AE">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17.2投标人公章及签字</w:t>
      </w:r>
    </w:p>
    <w:p w14:paraId="690971FC">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17.2.1本招标文件中描述投标人的“公章”是指投标人通过指定电子化政府采购平台办理数字证书（CA认证证书）获得的以法定主体行为名称制作的电子印章。</w:t>
      </w:r>
    </w:p>
    <w:p w14:paraId="2A66BE19">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17.2.2本招标文件中要求投标人对其电子投标文件的相关内容加盖公章的，均指采用CA证书签章。</w:t>
      </w:r>
    </w:p>
    <w:p w14:paraId="42977EA1">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17.2.3本招标文件中描述投标人的“签字”是指投标人通过指定电子化政府采购平台办理数字证书（CA认证证书）获得的以投标人法定代表人（自负责人、自然人）或者委托代理人姓名制作的个人电子印章或手写签字。没有办理个人CA证书的，可以为手写签字的形式。</w:t>
      </w:r>
    </w:p>
    <w:p w14:paraId="48E1AD25">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18.投标文件的补充、修改和撤回</w:t>
      </w:r>
    </w:p>
    <w:p w14:paraId="14BC494C">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18.1投标人应当在提交投标文件截止时间前，将生成的电子投标文件上传提交至“广西政府采购云”平台。投标文件提交截止时间前可以补充、修改或撤回电子投标文件，补充、修改电子投标文件的，应当先行撤回原文件，补充、修改后重新传输提交。在投标文件提交截止时间后的投标文件有效期内，投标人不得撤回其投标文件。提交投标文件截止时间前未成功将电子投标文件上传“广西政府采购云”平台的，视为未提交投标文件。</w:t>
      </w:r>
    </w:p>
    <w:p w14:paraId="1654AED2">
      <w:pPr>
        <w:tabs>
          <w:tab w:val="left" w:pos="1305"/>
        </w:tabs>
        <w:spacing w:line="360" w:lineRule="auto"/>
        <w:ind w:firstLine="420" w:firstLineChars="200"/>
        <w:rPr>
          <w:rFonts w:hint="eastAsia" w:ascii="宋体" w:hAnsi="宋体" w:cs="宋体"/>
          <w:color w:val="auto"/>
          <w:highlight w:val="none"/>
        </w:rPr>
      </w:pPr>
      <w:r>
        <w:rPr>
          <w:rFonts w:hint="eastAsia" w:ascii="宋体" w:hAnsi="宋体"/>
          <w:color w:val="auto"/>
          <w:szCs w:val="21"/>
          <w:highlight w:val="none"/>
        </w:rPr>
        <w:t>18.2在投标文件递交截止时间后的投标文件有效期内，投标人不得撤回其投标文件。</w:t>
      </w:r>
    </w:p>
    <w:p w14:paraId="49C36955">
      <w:pPr>
        <w:snapToGrid w:val="0"/>
        <w:spacing w:line="360" w:lineRule="auto"/>
        <w:ind w:firstLine="316" w:firstLineChars="150"/>
        <w:jc w:val="left"/>
        <w:rPr>
          <w:rFonts w:hint="eastAsia" w:ascii="宋体" w:hAnsi="宋体"/>
          <w:b/>
          <w:color w:val="auto"/>
          <w:szCs w:val="21"/>
          <w:highlight w:val="none"/>
        </w:rPr>
      </w:pPr>
      <w:r>
        <w:rPr>
          <w:rFonts w:hint="eastAsia" w:ascii="宋体" w:hAnsi="宋体"/>
          <w:b/>
          <w:color w:val="auto"/>
          <w:szCs w:val="21"/>
          <w:highlight w:val="none"/>
        </w:rPr>
        <w:t>19. 提交投标文件截止时间、地点及投标文件解密</w:t>
      </w:r>
    </w:p>
    <w:p w14:paraId="68ACC0D0">
      <w:pPr>
        <w:snapToGrid w:val="0"/>
        <w:spacing w:line="360" w:lineRule="auto"/>
        <w:ind w:firstLine="316" w:firstLineChars="150"/>
        <w:jc w:val="left"/>
        <w:rPr>
          <w:rFonts w:hint="eastAsia" w:ascii="宋体" w:hAnsi="宋体"/>
          <w:b/>
          <w:color w:val="auto"/>
          <w:szCs w:val="21"/>
          <w:highlight w:val="none"/>
        </w:rPr>
      </w:pPr>
      <w:r>
        <w:rPr>
          <w:rFonts w:hint="eastAsia" w:ascii="宋体" w:hAnsi="宋体"/>
          <w:b/>
          <w:color w:val="auto"/>
          <w:szCs w:val="21"/>
          <w:highlight w:val="none"/>
        </w:rPr>
        <w:t>19.1提交投标文件截止时间、地点</w:t>
      </w:r>
    </w:p>
    <w:p w14:paraId="466DCAB9">
      <w:pPr>
        <w:spacing w:line="360" w:lineRule="auto"/>
        <w:ind w:firstLine="315" w:firstLineChars="150"/>
        <w:rPr>
          <w:rFonts w:hint="eastAsia" w:ascii="宋体" w:hAnsi="宋体"/>
          <w:color w:val="auto"/>
          <w:szCs w:val="21"/>
          <w:highlight w:val="none"/>
        </w:rPr>
      </w:pPr>
      <w:r>
        <w:rPr>
          <w:rFonts w:hint="eastAsia" w:ascii="宋体" w:hAnsi="宋体"/>
          <w:color w:val="auto"/>
          <w:szCs w:val="21"/>
          <w:highlight w:val="none"/>
        </w:rPr>
        <w:t>19.1.1提交投标文件截止时间：详见《投标人须知前附表》第9条。</w:t>
      </w:r>
    </w:p>
    <w:p w14:paraId="7D06E8E7">
      <w:pPr>
        <w:spacing w:line="360" w:lineRule="auto"/>
        <w:ind w:firstLine="315" w:firstLineChars="150"/>
        <w:rPr>
          <w:rFonts w:hint="eastAsia" w:ascii="宋体" w:hAnsi="宋体"/>
          <w:color w:val="auto"/>
          <w:szCs w:val="21"/>
          <w:highlight w:val="none"/>
        </w:rPr>
      </w:pPr>
      <w:r>
        <w:rPr>
          <w:rFonts w:hint="eastAsia" w:ascii="宋体" w:hAnsi="宋体"/>
          <w:color w:val="auto"/>
          <w:szCs w:val="21"/>
          <w:highlight w:val="none"/>
        </w:rPr>
        <w:t>19.1.2地点：详见《投标人须知前附表》第9条。</w:t>
      </w:r>
    </w:p>
    <w:p w14:paraId="0D21F3FC">
      <w:pPr>
        <w:snapToGrid w:val="0"/>
        <w:spacing w:line="360" w:lineRule="auto"/>
        <w:ind w:firstLine="315" w:firstLineChars="150"/>
        <w:jc w:val="left"/>
        <w:rPr>
          <w:rFonts w:hint="eastAsia" w:ascii="宋体" w:hAnsi="宋体"/>
          <w:color w:val="auto"/>
          <w:szCs w:val="21"/>
          <w:highlight w:val="none"/>
        </w:rPr>
      </w:pPr>
      <w:r>
        <w:rPr>
          <w:rFonts w:hint="eastAsia" w:ascii="宋体" w:hAnsi="宋体"/>
          <w:color w:val="auto"/>
          <w:szCs w:val="21"/>
          <w:highlight w:val="none"/>
        </w:rPr>
        <w:t>19.1.3除招标文件另有规定外，投标人所递交的电子投标文件不予退还。</w:t>
      </w:r>
    </w:p>
    <w:p w14:paraId="6A99CD02">
      <w:pPr>
        <w:snapToGrid w:val="0"/>
        <w:spacing w:line="360" w:lineRule="auto"/>
        <w:ind w:firstLine="315" w:firstLineChars="150"/>
        <w:jc w:val="left"/>
        <w:rPr>
          <w:rFonts w:hint="eastAsia" w:ascii="宋体" w:hAnsi="宋体"/>
          <w:color w:val="auto"/>
          <w:szCs w:val="21"/>
          <w:highlight w:val="none"/>
        </w:rPr>
      </w:pPr>
      <w:r>
        <w:rPr>
          <w:rFonts w:hint="eastAsia" w:ascii="宋体" w:hAnsi="宋体"/>
          <w:color w:val="auto"/>
          <w:szCs w:val="21"/>
          <w:highlight w:val="none"/>
        </w:rPr>
        <w:t>19.1.4如有特殊情况，采购代理机构延长截止时间和开标时间，采购代理机构和投标人的权利和义务将受到新的截止时间和开标时间的约束。</w:t>
      </w:r>
    </w:p>
    <w:p w14:paraId="295AA3FD">
      <w:pPr>
        <w:snapToGrid w:val="0"/>
        <w:spacing w:line="360" w:lineRule="auto"/>
        <w:ind w:firstLine="316" w:firstLineChars="150"/>
        <w:jc w:val="left"/>
        <w:rPr>
          <w:rFonts w:hint="eastAsia" w:ascii="宋体" w:hAnsi="宋体"/>
          <w:b/>
          <w:color w:val="auto"/>
          <w:szCs w:val="21"/>
          <w:highlight w:val="none"/>
        </w:rPr>
      </w:pPr>
      <w:r>
        <w:rPr>
          <w:rFonts w:hint="eastAsia" w:ascii="宋体" w:hAnsi="宋体"/>
          <w:b/>
          <w:color w:val="auto"/>
          <w:szCs w:val="21"/>
          <w:highlight w:val="none"/>
        </w:rPr>
        <w:t>19.2投标文件解密</w:t>
      </w:r>
    </w:p>
    <w:p w14:paraId="1551E7B8">
      <w:pPr>
        <w:spacing w:line="360" w:lineRule="auto"/>
        <w:ind w:firstLine="424" w:firstLineChars="202"/>
        <w:rPr>
          <w:rFonts w:hint="eastAsia" w:ascii="宋体" w:hAnsi="宋体" w:cs="宋体"/>
          <w:bCs/>
          <w:color w:val="auto"/>
          <w:szCs w:val="21"/>
          <w:highlight w:val="none"/>
        </w:rPr>
      </w:pPr>
      <w:r>
        <w:rPr>
          <w:rFonts w:hint="eastAsia" w:ascii="宋体" w:hAnsi="宋体"/>
          <w:color w:val="auto"/>
          <w:szCs w:val="21"/>
          <w:highlight w:val="none"/>
        </w:rPr>
        <w:t>提交投</w:t>
      </w:r>
      <w:r>
        <w:rPr>
          <w:rFonts w:hint="eastAsia" w:ascii="宋体" w:hAnsi="宋体"/>
          <w:bCs/>
          <w:color w:val="auto"/>
          <w:highlight w:val="none"/>
        </w:rPr>
        <w:t>标文件截止时间，“广西政府采购云”平台自动提取所有投标人投标文件，各投标人须在提交投标文件截止</w:t>
      </w:r>
      <w:r>
        <w:rPr>
          <w:rFonts w:hint="eastAsia" w:ascii="宋体" w:hAnsi="宋体" w:cs="宋体"/>
          <w:bCs/>
          <w:color w:val="auto"/>
          <w:szCs w:val="21"/>
          <w:highlight w:val="none"/>
        </w:rPr>
        <w:t>后30分钟内（</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9月21日</w:t>
      </w:r>
      <w:r>
        <w:rPr>
          <w:rFonts w:hint="eastAsia" w:ascii="宋体" w:hAnsi="宋体" w:cs="宋体"/>
          <w:bCs/>
          <w:color w:val="auto"/>
          <w:szCs w:val="21"/>
          <w:highlight w:val="none"/>
        </w:rPr>
        <w:t>上午09时30至10时00分)，登录“广西政府采购云”平台，通过“项目采购-开标评标”功能解密电子投标文件。若投标人在规定时间内无法解密或解密失败的，</w:t>
      </w:r>
      <w:r>
        <w:rPr>
          <w:rFonts w:ascii="宋体" w:hAnsi="宋体" w:cs="宋体"/>
          <w:b/>
          <w:color w:val="auto"/>
          <w:szCs w:val="21"/>
          <w:highlight w:val="none"/>
          <w:u w:val="single"/>
        </w:rPr>
        <w:t>可以以电子备份投标文件作为依据</w:t>
      </w:r>
      <w:r>
        <w:rPr>
          <w:rFonts w:ascii="宋体" w:hAnsi="宋体" w:cs="宋体"/>
          <w:b/>
          <w:bCs/>
          <w:color w:val="auto"/>
          <w:szCs w:val="21"/>
          <w:highlight w:val="none"/>
          <w:u w:val="single"/>
        </w:rPr>
        <w:t>【在接到无法解密或解密失败的通知后，投标人可根据自身实际情况按通知时要求的时间到</w:t>
      </w:r>
      <w:r>
        <w:rPr>
          <w:rFonts w:hint="eastAsia" w:ascii="宋体" w:hAnsi="宋体"/>
          <w:b/>
          <w:color w:val="auto"/>
          <w:szCs w:val="21"/>
          <w:highlight w:val="none"/>
          <w:u w:val="single"/>
        </w:rPr>
        <w:t>桂林市公共资源交易中心</w:t>
      </w:r>
      <w:r>
        <w:rPr>
          <w:rFonts w:hint="eastAsia" w:ascii="宋体" w:hAnsi="宋体"/>
          <w:b/>
          <w:color w:val="auto"/>
          <w:szCs w:val="21"/>
          <w:highlight w:val="none"/>
          <w:u w:val="single"/>
          <w:lang w:val="en-US" w:eastAsia="zh-CN"/>
        </w:rPr>
        <w:t>1号政采</w:t>
      </w:r>
      <w:r>
        <w:rPr>
          <w:rFonts w:hint="eastAsia" w:ascii="宋体" w:hAnsi="宋体"/>
          <w:b/>
          <w:color w:val="auto"/>
          <w:szCs w:val="21"/>
          <w:highlight w:val="none"/>
          <w:u w:val="single"/>
        </w:rPr>
        <w:t>开标仓</w:t>
      </w:r>
      <w:r>
        <w:rPr>
          <w:rFonts w:ascii="宋体" w:hAnsi="宋体"/>
          <w:b/>
          <w:color w:val="auto"/>
          <w:szCs w:val="21"/>
          <w:highlight w:val="none"/>
          <w:u w:val="single"/>
        </w:rPr>
        <w:t>（</w:t>
      </w:r>
      <w:r>
        <w:rPr>
          <w:rFonts w:hint="eastAsia" w:ascii="宋体" w:hAnsi="宋体"/>
          <w:b/>
          <w:color w:val="auto"/>
          <w:szCs w:val="21"/>
          <w:highlight w:val="none"/>
          <w:u w:val="single"/>
        </w:rPr>
        <w:t>广西壮族自治区桂林市临桂区西城中路69号创业大厦西辅楼4楼</w:t>
      </w:r>
      <w:r>
        <w:rPr>
          <w:rFonts w:ascii="宋体" w:hAnsi="宋体"/>
          <w:b/>
          <w:color w:val="auto"/>
          <w:szCs w:val="21"/>
          <w:highlight w:val="none"/>
          <w:u w:val="single"/>
        </w:rPr>
        <w:t>）</w:t>
      </w:r>
      <w:r>
        <w:rPr>
          <w:rFonts w:ascii="宋体" w:hAnsi="宋体" w:cs="宋体"/>
          <w:b/>
          <w:bCs/>
          <w:color w:val="auto"/>
          <w:szCs w:val="21"/>
          <w:highlight w:val="none"/>
          <w:u w:val="single"/>
        </w:rPr>
        <w:t>现场提交或以电子邮件的形式（以通知时所告知的电子邮箱地址为准）提交电子备份投标文件】</w:t>
      </w:r>
      <w:r>
        <w:rPr>
          <w:rFonts w:ascii="宋体" w:hAnsi="宋体" w:cs="宋体"/>
          <w:b/>
          <w:color w:val="auto"/>
          <w:szCs w:val="21"/>
          <w:highlight w:val="none"/>
          <w:u w:val="single"/>
        </w:rPr>
        <w:t>，若投标人在规定时间内无法解密或解密失败且未提供电子备份投标文件的(包含提供的电子备份文件无效或无法解密的情况)</w:t>
      </w:r>
      <w:r>
        <w:rPr>
          <w:rFonts w:hint="eastAsia" w:ascii="宋体" w:hAnsi="宋体" w:cs="宋体"/>
          <w:b/>
          <w:bCs/>
          <w:color w:val="auto"/>
          <w:szCs w:val="21"/>
          <w:highlight w:val="none"/>
        </w:rPr>
        <w:t>视为自动放弃</w:t>
      </w:r>
      <w:r>
        <w:rPr>
          <w:rFonts w:hint="eastAsia" w:ascii="宋体" w:hAnsi="宋体" w:cs="宋体"/>
          <w:bCs/>
          <w:color w:val="auto"/>
          <w:szCs w:val="21"/>
          <w:highlight w:val="none"/>
        </w:rPr>
        <w:t>，投标文件按投标无效处理。</w:t>
      </w:r>
    </w:p>
    <w:p w14:paraId="02334A46">
      <w:pPr>
        <w:pStyle w:val="233"/>
        <w:ind w:firstLine="480"/>
        <w:rPr>
          <w:rFonts w:ascii="Times New Roman"/>
          <w:color w:val="auto"/>
          <w:highlight w:val="none"/>
        </w:rPr>
      </w:pPr>
    </w:p>
    <w:p w14:paraId="33358DDA">
      <w:pPr>
        <w:jc w:val="center"/>
        <w:rPr>
          <w:rFonts w:hint="eastAsia" w:ascii="宋体" w:hAnsi="宋体"/>
          <w:b/>
          <w:color w:val="auto"/>
          <w:sz w:val="28"/>
          <w:szCs w:val="28"/>
          <w:highlight w:val="none"/>
        </w:rPr>
      </w:pPr>
      <w:bookmarkStart w:id="5" w:name="_Toc90288701"/>
      <w:r>
        <w:rPr>
          <w:rFonts w:hint="eastAsia" w:ascii="宋体" w:hAnsi="宋体"/>
          <w:b/>
          <w:color w:val="auto"/>
          <w:sz w:val="28"/>
          <w:szCs w:val="28"/>
          <w:highlight w:val="none"/>
          <w:lang w:val="en-US" w:eastAsia="zh-CN"/>
        </w:rPr>
        <w:t>四</w:t>
      </w:r>
      <w:r>
        <w:rPr>
          <w:rFonts w:hint="eastAsia" w:ascii="宋体" w:hAnsi="宋体"/>
          <w:b/>
          <w:color w:val="auto"/>
          <w:sz w:val="28"/>
          <w:szCs w:val="28"/>
          <w:highlight w:val="none"/>
        </w:rPr>
        <w:t>、开标</w:t>
      </w:r>
      <w:bookmarkEnd w:id="5"/>
    </w:p>
    <w:p w14:paraId="288FACB8">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20.开标的时间和地点</w:t>
      </w:r>
    </w:p>
    <w:p w14:paraId="2AE1D2D8">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20.1开标时间及地点：</w:t>
      </w:r>
    </w:p>
    <w:p w14:paraId="346268F2">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20.1.1开标时间：详见《投标人须知前附表》第11条。</w:t>
      </w:r>
    </w:p>
    <w:p w14:paraId="3E60DE26">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20.1.2开标地点：详见《投标人须知前附表》第11条。</w:t>
      </w:r>
    </w:p>
    <w:p w14:paraId="25372BEA">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20.1.3投标人可以由法定代表人（负责人、自然人）或其委托代理人出席开标会议。</w:t>
      </w:r>
    </w:p>
    <w:p w14:paraId="509C728B">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20.2投标人不足3家的，不得开标，采购人或者采购代理机构应当重新组织采购。</w:t>
      </w:r>
    </w:p>
    <w:p w14:paraId="1CE323BA">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21. 开标准备及开标程序</w:t>
      </w:r>
    </w:p>
    <w:p w14:paraId="50DE5941">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21.1开标准备</w:t>
      </w:r>
    </w:p>
    <w:p w14:paraId="7D1305C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21.1.1开标的准备工作由采购代理机构负责落实；</w:t>
      </w:r>
    </w:p>
    <w:p w14:paraId="5DD1841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21.1.2采购代理机构将按照招标文件规定的时间通过“广西政府采购云平台”组织开标、开启投标文件，所有投标人均应当准时在线参加。投标人如不参加开标会的，视同认可开标结果，事后不得对采购相关人员、开标过程和开标结果提出异议，同时投标人因未在线参加开标而导致投标文件无法按时解密等一切后果由投标人自己承担。</w:t>
      </w:r>
    </w:p>
    <w:p w14:paraId="49C5A6FF">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21.2开标程序</w:t>
      </w:r>
    </w:p>
    <w:p w14:paraId="3EA45E6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21.2.1系统向各投标人发出电子加密投标文件【开始解密】通知，由投标人按招标文件规定的时间内对投标文件进行自行解密。</w:t>
      </w:r>
      <w:r>
        <w:rPr>
          <w:rFonts w:hint="eastAsia" w:ascii="宋体" w:hAnsi="宋体" w:cs="宋体"/>
          <w:bCs/>
          <w:color w:val="auto"/>
          <w:szCs w:val="21"/>
          <w:highlight w:val="none"/>
        </w:rPr>
        <w:t>若投标人在规定时间内无法解密或解密失败或超时解密的，系统默认自动放弃，投标文件按投标无效处理</w:t>
      </w:r>
      <w:r>
        <w:rPr>
          <w:rFonts w:hint="eastAsia" w:ascii="宋体" w:hAnsi="宋体"/>
          <w:color w:val="auto"/>
          <w:szCs w:val="21"/>
          <w:highlight w:val="none"/>
        </w:rPr>
        <w:t>。在线解密时间为30分钟。</w:t>
      </w:r>
    </w:p>
    <w:p w14:paraId="42C6601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21.2.2投标文件解密结束后，开标活动组织人员在线开启投标文件。</w:t>
      </w:r>
    </w:p>
    <w:p w14:paraId="4F6262C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21.2.3开启投标人报价文件，电子开标大厅记录显示并记录投标人投标报价表的投标报价、折扣等。</w:t>
      </w:r>
    </w:p>
    <w:p w14:paraId="0C7413C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21.2.4开标结束后，投标人线上确认投标报价。</w:t>
      </w:r>
    </w:p>
    <w:p w14:paraId="5C27AEE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21.2.5如发现开标结果与所提交的投标文件不一致的，由评标委员会根据投标文件内容进行修正。</w:t>
      </w:r>
    </w:p>
    <w:p w14:paraId="796EC10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21.2.6</w:t>
      </w:r>
      <w:r>
        <w:rPr>
          <w:rFonts w:ascii="宋体" w:hAnsi="宋体"/>
          <w:color w:val="auto"/>
          <w:szCs w:val="21"/>
          <w:highlight w:val="none"/>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28F0A202">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特别说明：</w:t>
      </w:r>
    </w:p>
    <w:p w14:paraId="3283E67E">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①如遇“广西政府采购云平台”电子化开标或评审程序调整的，按调整后程序执行。</w:t>
      </w:r>
    </w:p>
    <w:p w14:paraId="092E395B">
      <w:pPr>
        <w:snapToGrid w:val="0"/>
        <w:spacing w:line="360" w:lineRule="auto"/>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②开标后,某标项投标人不足3家的，本采购代理机构将按政府采购管理的有关规定处理。</w:t>
      </w:r>
    </w:p>
    <w:p w14:paraId="4D5B19C5">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21.2.7开标会议结束。</w:t>
      </w:r>
    </w:p>
    <w:p w14:paraId="6A4E57AA">
      <w:pPr>
        <w:jc w:val="left"/>
        <w:rPr>
          <w:rFonts w:hint="eastAsia" w:ascii="宋体" w:hAnsi="宋体"/>
          <w:b/>
          <w:color w:val="auto"/>
          <w:sz w:val="28"/>
          <w:szCs w:val="28"/>
          <w:highlight w:val="none"/>
        </w:rPr>
      </w:pPr>
      <w:bookmarkStart w:id="6" w:name="_Toc90288702"/>
    </w:p>
    <w:p w14:paraId="5A8603CD">
      <w:pPr>
        <w:tabs>
          <w:tab w:val="left" w:pos="1305"/>
        </w:tabs>
        <w:spacing w:line="360" w:lineRule="auto"/>
        <w:ind w:firstLine="562" w:firstLineChars="200"/>
        <w:jc w:val="center"/>
        <w:outlineLvl w:val="0"/>
        <w:rPr>
          <w:rFonts w:hint="eastAsia" w:ascii="宋体" w:hAnsi="宋体"/>
          <w:b/>
          <w:color w:val="auto"/>
          <w:sz w:val="28"/>
          <w:szCs w:val="28"/>
          <w:highlight w:val="none"/>
        </w:rPr>
      </w:pPr>
      <w:r>
        <w:rPr>
          <w:rFonts w:hint="eastAsia" w:ascii="宋体" w:hAnsi="宋体"/>
          <w:b/>
          <w:color w:val="auto"/>
          <w:sz w:val="28"/>
          <w:szCs w:val="28"/>
          <w:highlight w:val="none"/>
        </w:rPr>
        <w:t>五、资格性审查</w:t>
      </w:r>
      <w:bookmarkEnd w:id="6"/>
    </w:p>
    <w:p w14:paraId="624CB0A7">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22.资格性审查</w:t>
      </w:r>
    </w:p>
    <w:p w14:paraId="3321E710">
      <w:pPr>
        <w:pStyle w:val="27"/>
        <w:snapToGrid w:val="0"/>
        <w:spacing w:line="360" w:lineRule="auto"/>
        <w:ind w:firstLine="422" w:firstLineChars="200"/>
        <w:rPr>
          <w:rFonts w:hint="eastAsia" w:hAnsi="宋体"/>
          <w:b/>
          <w:color w:val="auto"/>
          <w:szCs w:val="21"/>
          <w:highlight w:val="none"/>
        </w:rPr>
      </w:pPr>
      <w:r>
        <w:rPr>
          <w:rFonts w:hint="eastAsia" w:hAnsi="宋体"/>
          <w:b/>
          <w:color w:val="auto"/>
          <w:szCs w:val="21"/>
          <w:highlight w:val="none"/>
        </w:rPr>
        <w:t>22.1</w:t>
      </w:r>
      <w:r>
        <w:rPr>
          <w:rFonts w:hAnsi="宋体"/>
          <w:b/>
          <w:color w:val="auto"/>
          <w:szCs w:val="21"/>
          <w:highlight w:val="none"/>
        </w:rPr>
        <w:t>公开招标采购项目开标结束后，采购人</w:t>
      </w:r>
      <w:r>
        <w:rPr>
          <w:rFonts w:hint="eastAsia" w:hAnsi="宋体"/>
          <w:b/>
          <w:color w:val="auto"/>
          <w:szCs w:val="21"/>
          <w:highlight w:val="none"/>
        </w:rPr>
        <w:t>或者采购代理机构</w:t>
      </w:r>
      <w:r>
        <w:rPr>
          <w:rFonts w:hAnsi="宋体"/>
          <w:b/>
          <w:color w:val="auto"/>
          <w:szCs w:val="21"/>
          <w:highlight w:val="none"/>
        </w:rPr>
        <w:t>应当依法对投标人的资格进行审查。合格投标人不足3家的，不得评标。</w:t>
      </w:r>
    </w:p>
    <w:p w14:paraId="36AA15F9">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22.2采购人或</w:t>
      </w:r>
      <w:r>
        <w:rPr>
          <w:rFonts w:ascii="宋体" w:hAnsi="宋体"/>
          <w:b/>
          <w:color w:val="auto"/>
          <w:szCs w:val="21"/>
          <w:highlight w:val="none"/>
        </w:rPr>
        <w:t>采购代理机构</w:t>
      </w:r>
      <w:r>
        <w:rPr>
          <w:rFonts w:hint="eastAsia" w:ascii="宋体" w:hAnsi="宋体"/>
          <w:b/>
          <w:color w:val="auto"/>
          <w:szCs w:val="21"/>
          <w:highlight w:val="none"/>
        </w:rPr>
        <w:t>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投标人参加同一合同项下的政府采购活动的，按投标无效处理。</w:t>
      </w:r>
    </w:p>
    <w:p w14:paraId="3619BE0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查询渠道：《国家企业信用信息公示系统》（网址：</w:t>
      </w:r>
      <w:r>
        <w:rPr>
          <w:color w:val="auto"/>
          <w:highlight w:val="none"/>
        </w:rPr>
        <w:fldChar w:fldCharType="begin"/>
      </w:r>
      <w:r>
        <w:rPr>
          <w:color w:val="auto"/>
          <w:highlight w:val="none"/>
        </w:rPr>
        <w:instrText xml:space="preserve"> HYPERLINK "http://www.gsxt.gov.cn/index.html" </w:instrText>
      </w:r>
      <w:r>
        <w:rPr>
          <w:color w:val="auto"/>
          <w:highlight w:val="none"/>
        </w:rPr>
        <w:fldChar w:fldCharType="separate"/>
      </w:r>
      <w:r>
        <w:rPr>
          <w:rFonts w:ascii="宋体" w:hAnsi="宋体"/>
          <w:color w:val="auto"/>
          <w:szCs w:val="21"/>
          <w:highlight w:val="none"/>
        </w:rPr>
        <w:t>http://www.gsxt.gov.cn/index.html</w:t>
      </w:r>
      <w:r>
        <w:rPr>
          <w:rFonts w:ascii="宋体" w:hAnsi="宋体"/>
          <w:color w:val="auto"/>
          <w:szCs w:val="21"/>
          <w:highlight w:val="none"/>
        </w:rPr>
        <w:fldChar w:fldCharType="end"/>
      </w:r>
      <w:r>
        <w:rPr>
          <w:rFonts w:hint="eastAsia" w:ascii="宋体" w:hAnsi="宋体"/>
          <w:color w:val="auto"/>
          <w:szCs w:val="21"/>
          <w:highlight w:val="none"/>
        </w:rPr>
        <w:t>）</w:t>
      </w:r>
    </w:p>
    <w:p w14:paraId="149C2B2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审查流程：</w:t>
      </w:r>
    </w:p>
    <w:p w14:paraId="463110E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（1）进入《国家企业信用信息公示系统》（网址：</w:t>
      </w:r>
      <w:r>
        <w:rPr>
          <w:rFonts w:ascii="宋体" w:hAnsi="宋体"/>
          <w:color w:val="auto"/>
          <w:szCs w:val="21"/>
          <w:highlight w:val="none"/>
        </w:rPr>
        <w:t>http://www.gsxt.gov.cn/index.html</w:t>
      </w:r>
      <w:r>
        <w:rPr>
          <w:rFonts w:hint="eastAsia" w:ascii="宋体" w:hAnsi="宋体"/>
          <w:color w:val="auto"/>
          <w:szCs w:val="21"/>
          <w:highlight w:val="none"/>
        </w:rPr>
        <w:t>），输入企业名称，进入企业信息主页面；</w:t>
      </w:r>
    </w:p>
    <w:p w14:paraId="6362203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（2）查看主页“股东及出资信息”栏，或年报中的“股东及出资信息”栏信息；</w:t>
      </w:r>
    </w:p>
    <w:p w14:paraId="4679F36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（3）将各投标人的股东及出资信息进行比对，得出审查结论；</w:t>
      </w:r>
    </w:p>
    <w:p w14:paraId="4F7CB7EC">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（4）将相关资料作为评审资料打印存档。</w:t>
      </w:r>
    </w:p>
    <w:p w14:paraId="7EA8C753">
      <w:pPr>
        <w:pStyle w:val="27"/>
        <w:snapToGrid w:val="0"/>
        <w:spacing w:line="360" w:lineRule="auto"/>
        <w:ind w:firstLine="413" w:firstLineChars="196"/>
        <w:rPr>
          <w:rFonts w:hint="eastAsia" w:hAnsi="宋体"/>
          <w:b/>
          <w:color w:val="auto"/>
          <w:szCs w:val="21"/>
          <w:highlight w:val="none"/>
        </w:rPr>
      </w:pPr>
      <w:r>
        <w:rPr>
          <w:rFonts w:hint="eastAsia" w:hAnsi="宋体"/>
          <w:b/>
          <w:color w:val="auto"/>
          <w:szCs w:val="21"/>
          <w:highlight w:val="none"/>
        </w:rPr>
        <w:t>22.3对未通过资格性审查的投标人，由采购人或者采购代理机构在评标现场以电话或通过“广西政府采购云”平台告知未通过资格性审查的投标人未通过资格性审查的原因并做相应记录。</w:t>
      </w:r>
    </w:p>
    <w:p w14:paraId="2BF3BF41">
      <w:pPr>
        <w:pStyle w:val="27"/>
        <w:snapToGrid w:val="0"/>
        <w:spacing w:line="360" w:lineRule="auto"/>
        <w:ind w:firstLine="413" w:firstLineChars="196"/>
        <w:rPr>
          <w:rFonts w:hint="eastAsia" w:hAnsi="宋体"/>
          <w:b/>
          <w:color w:val="auto"/>
          <w:szCs w:val="21"/>
          <w:highlight w:val="none"/>
        </w:rPr>
      </w:pPr>
    </w:p>
    <w:p w14:paraId="40FCDD15">
      <w:pPr>
        <w:widowControl/>
        <w:jc w:val="left"/>
        <w:rPr>
          <w:color w:val="auto"/>
          <w:highlight w:val="none"/>
        </w:rPr>
      </w:pPr>
    </w:p>
    <w:p w14:paraId="3FBA3882">
      <w:pPr>
        <w:tabs>
          <w:tab w:val="center" w:pos="4411"/>
          <w:tab w:val="left" w:pos="5475"/>
        </w:tabs>
        <w:spacing w:line="360" w:lineRule="auto"/>
        <w:jc w:val="center"/>
        <w:outlineLvl w:val="0"/>
        <w:rPr>
          <w:rFonts w:hint="eastAsia" w:ascii="宋体" w:hAnsi="宋体"/>
          <w:b/>
          <w:color w:val="auto"/>
          <w:sz w:val="28"/>
          <w:szCs w:val="28"/>
          <w:highlight w:val="none"/>
        </w:rPr>
      </w:pPr>
      <w:bookmarkStart w:id="7" w:name="_Toc90288703"/>
      <w:r>
        <w:rPr>
          <w:rFonts w:hint="eastAsia" w:ascii="宋体" w:hAnsi="宋体"/>
          <w:b/>
          <w:color w:val="auto"/>
          <w:sz w:val="28"/>
          <w:szCs w:val="28"/>
          <w:highlight w:val="none"/>
        </w:rPr>
        <w:t>六、评标</w:t>
      </w:r>
      <w:bookmarkEnd w:id="7"/>
    </w:p>
    <w:p w14:paraId="6616B0CF">
      <w:pPr>
        <w:tabs>
          <w:tab w:val="center" w:pos="4411"/>
          <w:tab w:val="left" w:pos="5475"/>
        </w:tabs>
        <w:spacing w:line="360" w:lineRule="auto"/>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23.评标委员会组成</w:t>
      </w:r>
    </w:p>
    <w:p w14:paraId="0F89F062">
      <w:pPr>
        <w:pStyle w:val="27"/>
        <w:snapToGrid w:val="0"/>
        <w:spacing w:line="360" w:lineRule="auto"/>
        <w:ind w:firstLine="420" w:firstLineChars="200"/>
        <w:rPr>
          <w:rFonts w:hint="eastAsia" w:hAnsi="宋体"/>
          <w:color w:val="auto"/>
          <w:szCs w:val="21"/>
          <w:highlight w:val="none"/>
        </w:rPr>
      </w:pPr>
      <w:r>
        <w:rPr>
          <w:rFonts w:hint="eastAsia" w:hAnsi="宋体"/>
          <w:color w:val="auto"/>
          <w:szCs w:val="21"/>
          <w:highlight w:val="none"/>
        </w:rPr>
        <w:t>23.1评标委员会构成：详见《投标人须知前附表》第12条。</w:t>
      </w:r>
    </w:p>
    <w:p w14:paraId="39D7AAC1">
      <w:pPr>
        <w:pStyle w:val="27"/>
        <w:snapToGrid w:val="0"/>
        <w:spacing w:line="360" w:lineRule="auto"/>
        <w:ind w:firstLine="420" w:firstLineChars="200"/>
        <w:rPr>
          <w:rFonts w:hint="eastAsia" w:hAnsi="宋体"/>
          <w:color w:val="auto"/>
          <w:szCs w:val="21"/>
          <w:highlight w:val="none"/>
        </w:rPr>
      </w:pPr>
      <w:r>
        <w:rPr>
          <w:rFonts w:hint="eastAsia" w:hAnsi="宋体"/>
          <w:color w:val="auto"/>
          <w:szCs w:val="21"/>
          <w:highlight w:val="none"/>
        </w:rPr>
        <w:t>23.2专家确定方式：详见《投标人须知前附表》第12条。</w:t>
      </w:r>
    </w:p>
    <w:p w14:paraId="21BE8F13">
      <w:pPr>
        <w:pStyle w:val="27"/>
        <w:snapToGrid w:val="0"/>
        <w:spacing w:line="360" w:lineRule="auto"/>
        <w:ind w:firstLine="422" w:firstLineChars="200"/>
        <w:rPr>
          <w:rFonts w:hint="eastAsia" w:hAnsi="宋体"/>
          <w:color w:val="auto"/>
          <w:szCs w:val="21"/>
          <w:highlight w:val="none"/>
        </w:rPr>
      </w:pPr>
      <w:r>
        <w:rPr>
          <w:rFonts w:hint="eastAsia" w:hAnsi="宋体"/>
          <w:b/>
          <w:color w:val="auto"/>
          <w:szCs w:val="21"/>
          <w:highlight w:val="none"/>
        </w:rPr>
        <w:t>24. 评标原则和评标办法</w:t>
      </w:r>
    </w:p>
    <w:p w14:paraId="26838107">
      <w:pPr>
        <w:pStyle w:val="27"/>
        <w:snapToGrid w:val="0"/>
        <w:spacing w:line="360" w:lineRule="auto"/>
        <w:ind w:firstLine="420" w:firstLineChars="200"/>
        <w:rPr>
          <w:rFonts w:hint="eastAsia" w:hAnsi="宋体"/>
          <w:color w:val="auto"/>
          <w:szCs w:val="21"/>
          <w:highlight w:val="none"/>
        </w:rPr>
      </w:pPr>
      <w:r>
        <w:rPr>
          <w:rFonts w:hint="eastAsia" w:hAnsi="宋体"/>
          <w:color w:val="auto"/>
          <w:szCs w:val="21"/>
          <w:highlight w:val="none"/>
        </w:rPr>
        <w:t>24.1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1DF9BB11">
      <w:pPr>
        <w:tabs>
          <w:tab w:val="left" w:pos="114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24.2评标办法：综合评分法，具体评标内容及标准详见第四章。</w:t>
      </w:r>
    </w:p>
    <w:p w14:paraId="108A46A2">
      <w:pPr>
        <w:tabs>
          <w:tab w:val="left" w:pos="1140"/>
        </w:tabs>
        <w:spacing w:line="360" w:lineRule="auto"/>
        <w:ind w:firstLine="420" w:firstLineChars="200"/>
        <w:rPr>
          <w:rFonts w:hint="eastAsia" w:ascii="宋体" w:hAnsi="宋体"/>
          <w:color w:val="auto"/>
          <w:highlight w:val="none"/>
        </w:rPr>
      </w:pPr>
      <w:r>
        <w:rPr>
          <w:rFonts w:hint="eastAsia" w:ascii="宋体" w:hAnsi="宋体"/>
          <w:color w:val="auto"/>
          <w:szCs w:val="21"/>
          <w:highlight w:val="none"/>
        </w:rPr>
        <w:t>24.3评标委员会应按招标文件进行评标，不得擅自更改评标办法。</w:t>
      </w:r>
      <w:r>
        <w:rPr>
          <w:rFonts w:hint="eastAsia" w:ascii="宋体" w:hAnsi="宋体"/>
          <w:color w:val="auto"/>
          <w:highlight w:val="none"/>
        </w:rPr>
        <w:t>　　　　　　　　　　　　　　　　　　　　　　　　　　　　　　　　　　　　　　　　　　　　　　　　　　　　　　　　　　</w:t>
      </w:r>
    </w:p>
    <w:p w14:paraId="23C464F5">
      <w:pPr>
        <w:tabs>
          <w:tab w:val="left" w:pos="1140"/>
        </w:tabs>
        <w:spacing w:line="360" w:lineRule="auto"/>
        <w:ind w:firstLine="422" w:firstLineChars="200"/>
        <w:rPr>
          <w:rFonts w:hint="eastAsia" w:ascii="宋体" w:hAnsi="宋体"/>
          <w:b/>
          <w:bCs/>
          <w:color w:val="auto"/>
          <w:szCs w:val="21"/>
          <w:highlight w:val="none"/>
        </w:rPr>
      </w:pPr>
      <w:r>
        <w:rPr>
          <w:rFonts w:hint="eastAsia" w:ascii="宋体" w:hAnsi="宋体"/>
          <w:b/>
          <w:color w:val="auto"/>
          <w:szCs w:val="21"/>
          <w:highlight w:val="none"/>
        </w:rPr>
        <w:t>25.</w:t>
      </w:r>
      <w:r>
        <w:rPr>
          <w:rFonts w:hint="eastAsia" w:ascii="宋体" w:hAnsi="宋体"/>
          <w:b/>
          <w:bCs/>
          <w:color w:val="auto"/>
          <w:szCs w:val="21"/>
          <w:highlight w:val="none"/>
        </w:rPr>
        <w:t xml:space="preserve"> 评标程序</w:t>
      </w:r>
    </w:p>
    <w:p w14:paraId="4061D602">
      <w:pPr>
        <w:tabs>
          <w:tab w:val="left" w:pos="114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25.1采购代理机构负责评标组织工作；评标委员会自行登录“广西政府采购云”平台进入评审项目，签到、阅读评标工作职责与纪律，确认回避原则，</w:t>
      </w:r>
      <w:r>
        <w:rPr>
          <w:rFonts w:ascii="宋体" w:hAnsi="宋体"/>
          <w:color w:val="auto"/>
          <w:szCs w:val="21"/>
          <w:highlight w:val="none"/>
        </w:rPr>
        <w:t>评标委员会推选评标组长，采购人代表不得担任组长</w:t>
      </w:r>
      <w:r>
        <w:rPr>
          <w:rFonts w:hint="eastAsia" w:ascii="宋体" w:hAnsi="宋体"/>
          <w:color w:val="auto"/>
          <w:szCs w:val="21"/>
          <w:highlight w:val="none"/>
        </w:rPr>
        <w:t>；</w:t>
      </w:r>
      <w:r>
        <w:rPr>
          <w:rFonts w:ascii="宋体" w:hAnsi="宋体"/>
          <w:color w:val="auto"/>
          <w:szCs w:val="21"/>
          <w:highlight w:val="none"/>
        </w:rPr>
        <w:t>公布投标人名单；</w:t>
      </w:r>
      <w:r>
        <w:rPr>
          <w:rFonts w:hint="eastAsia" w:ascii="宋体" w:hAnsi="宋体"/>
          <w:color w:val="auto"/>
          <w:szCs w:val="21"/>
          <w:highlight w:val="none"/>
        </w:rPr>
        <w:t>在评标期间由桂林市公共资源交易中心采取必要的通讯管理措施并保证评标活动不受外界干扰</w:t>
      </w:r>
      <w:r>
        <w:rPr>
          <w:rFonts w:ascii="宋体" w:hAnsi="宋体"/>
          <w:color w:val="auto"/>
          <w:szCs w:val="21"/>
          <w:highlight w:val="none"/>
        </w:rPr>
        <w:t>；</w:t>
      </w:r>
      <w:r>
        <w:rPr>
          <w:rFonts w:hint="eastAsia" w:ascii="宋体" w:hAnsi="宋体"/>
          <w:color w:val="auto"/>
          <w:szCs w:val="21"/>
          <w:highlight w:val="none"/>
        </w:rPr>
        <w:t>采购代理机构</w:t>
      </w:r>
      <w:r>
        <w:rPr>
          <w:rFonts w:ascii="宋体" w:hAnsi="宋体"/>
          <w:color w:val="auto"/>
          <w:szCs w:val="21"/>
          <w:highlight w:val="none"/>
        </w:rPr>
        <w:t>根据评标委员会的要求介绍政府采购相关政策法规、招标文件；维护评标秩序，监督评标委员会依照招标文件规定的评标程序、方法和标准进行独立评审，及时制止和纠正采购人代表、评</w:t>
      </w:r>
      <w:r>
        <w:rPr>
          <w:rFonts w:hint="eastAsia" w:ascii="宋体" w:hAnsi="宋体"/>
          <w:color w:val="auto"/>
          <w:szCs w:val="21"/>
          <w:highlight w:val="none"/>
        </w:rPr>
        <w:t>标</w:t>
      </w:r>
      <w:r>
        <w:rPr>
          <w:rFonts w:ascii="宋体" w:hAnsi="宋体"/>
          <w:color w:val="auto"/>
          <w:szCs w:val="21"/>
          <w:highlight w:val="none"/>
        </w:rPr>
        <w:t>专家的倾向性言论或者违法违规行为；核对评标结果，有</w:t>
      </w:r>
      <w:r>
        <w:rPr>
          <w:rFonts w:hint="eastAsia" w:ascii="宋体" w:hAnsi="宋体"/>
          <w:color w:val="auto"/>
          <w:szCs w:val="21"/>
          <w:highlight w:val="none"/>
        </w:rPr>
        <w:t>投标无效</w:t>
      </w:r>
      <w:r>
        <w:rPr>
          <w:rFonts w:ascii="宋体" w:hAnsi="宋体"/>
          <w:color w:val="auto"/>
          <w:szCs w:val="21"/>
          <w:highlight w:val="none"/>
        </w:rPr>
        <w:t>情形的，要求评标委员会复核或者书面说明理由，评标委员会拒绝的，应予记录并向本级财政部门报告；评</w:t>
      </w:r>
      <w:r>
        <w:rPr>
          <w:rFonts w:hint="eastAsia" w:ascii="宋体" w:hAnsi="宋体"/>
          <w:color w:val="auto"/>
          <w:szCs w:val="21"/>
          <w:highlight w:val="none"/>
        </w:rPr>
        <w:t>审</w:t>
      </w:r>
      <w:r>
        <w:rPr>
          <w:rFonts w:ascii="宋体" w:hAnsi="宋体"/>
          <w:color w:val="auto"/>
          <w:szCs w:val="21"/>
          <w:highlight w:val="none"/>
        </w:rPr>
        <w:t>工作完成后，按照规定向评</w:t>
      </w:r>
      <w:r>
        <w:rPr>
          <w:rFonts w:hint="eastAsia" w:ascii="宋体" w:hAnsi="宋体"/>
          <w:color w:val="auto"/>
          <w:szCs w:val="21"/>
          <w:highlight w:val="none"/>
        </w:rPr>
        <w:t>审</w:t>
      </w:r>
      <w:r>
        <w:rPr>
          <w:rFonts w:ascii="宋体" w:hAnsi="宋体"/>
          <w:color w:val="auto"/>
          <w:szCs w:val="21"/>
          <w:highlight w:val="none"/>
        </w:rPr>
        <w:t>专家支付劳务报酬和异地评审差旅费，不得向评</w:t>
      </w:r>
      <w:r>
        <w:rPr>
          <w:rFonts w:hint="eastAsia" w:ascii="宋体" w:hAnsi="宋体"/>
          <w:color w:val="auto"/>
          <w:szCs w:val="21"/>
          <w:highlight w:val="none"/>
        </w:rPr>
        <w:t>审</w:t>
      </w:r>
      <w:r>
        <w:rPr>
          <w:rFonts w:ascii="宋体" w:hAnsi="宋体"/>
          <w:color w:val="auto"/>
          <w:szCs w:val="21"/>
          <w:highlight w:val="none"/>
        </w:rPr>
        <w:t>专家以外的其他人员支付评审劳务报酬；</w:t>
      </w:r>
    </w:p>
    <w:p w14:paraId="045BDDC0">
      <w:pPr>
        <w:pStyle w:val="46"/>
        <w:shd w:val="clear" w:color="auto" w:fill="FFFFFF"/>
        <w:spacing w:before="0" w:beforeAutospacing="0" w:after="0" w:afterAutospacing="0" w:line="360" w:lineRule="auto"/>
        <w:ind w:firstLine="420" w:firstLineChars="200"/>
        <w:rPr>
          <w:rFonts w:hint="eastAsia"/>
          <w:color w:val="auto"/>
          <w:kern w:val="2"/>
          <w:sz w:val="21"/>
          <w:szCs w:val="21"/>
          <w:highlight w:val="none"/>
        </w:rPr>
      </w:pPr>
      <w:r>
        <w:rPr>
          <w:rFonts w:hint="eastAsia"/>
          <w:color w:val="auto"/>
          <w:kern w:val="2"/>
          <w:sz w:val="21"/>
          <w:szCs w:val="21"/>
          <w:highlight w:val="none"/>
        </w:rPr>
        <w:t>25.2评标委员会负责具体评标事务；</w:t>
      </w:r>
      <w:r>
        <w:rPr>
          <w:color w:val="auto"/>
          <w:kern w:val="2"/>
          <w:sz w:val="21"/>
          <w:szCs w:val="21"/>
          <w:highlight w:val="none"/>
        </w:rPr>
        <w:t>审查、评价投标文件是否符合招标文件的商务、技术等实质性要求；要求投标人对投标文件有关事项作出澄清或者说明；对投标文件进行比较和评价；确定中标候选人名单，以及根据采购人委托直接确定中标人；向采购人、采购代理机构或者有关部门报告评标中发现的违法行为。</w:t>
      </w:r>
    </w:p>
    <w:p w14:paraId="5356CC1E">
      <w:pPr>
        <w:pStyle w:val="46"/>
        <w:shd w:val="clear" w:color="auto" w:fill="FFFFFF"/>
        <w:spacing w:before="0" w:beforeAutospacing="0" w:after="0" w:afterAutospacing="0" w:line="360" w:lineRule="auto"/>
        <w:ind w:firstLine="420" w:firstLineChars="200"/>
        <w:rPr>
          <w:rFonts w:hint="eastAsia"/>
          <w:color w:val="auto"/>
          <w:kern w:val="2"/>
          <w:sz w:val="21"/>
          <w:szCs w:val="21"/>
          <w:highlight w:val="none"/>
        </w:rPr>
      </w:pPr>
      <w:r>
        <w:rPr>
          <w:rFonts w:hint="eastAsia"/>
          <w:color w:val="auto"/>
          <w:kern w:val="2"/>
          <w:sz w:val="21"/>
          <w:szCs w:val="21"/>
          <w:highlight w:val="none"/>
        </w:rPr>
        <w:t>25.3在评标过程中，评标委员会任何人不得对某个投标人发表任何倾向性意见，不得向其他专家评委明示或者暗示自己的评审意见。</w:t>
      </w:r>
    </w:p>
    <w:p w14:paraId="43E16BAC">
      <w:pPr>
        <w:tabs>
          <w:tab w:val="left" w:pos="114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25.4</w:t>
      </w:r>
      <w:r>
        <w:rPr>
          <w:rFonts w:ascii="宋体" w:hAnsi="宋体"/>
          <w:color w:val="auto"/>
          <w:szCs w:val="21"/>
          <w:highlight w:val="none"/>
        </w:rPr>
        <w:t>评标委员会应当对符合资格的投标人的投标文件进行符合性审查，以确定其是否满足招标文件的实质性要求。</w:t>
      </w:r>
    </w:p>
    <w:p w14:paraId="39EC77FB">
      <w:pPr>
        <w:pStyle w:val="27"/>
        <w:snapToGrid w:val="0"/>
        <w:spacing w:line="360" w:lineRule="auto"/>
        <w:ind w:firstLine="413" w:firstLineChars="196"/>
        <w:rPr>
          <w:rFonts w:hint="eastAsia" w:hAnsi="宋体"/>
          <w:b/>
          <w:color w:val="auto"/>
          <w:szCs w:val="21"/>
          <w:highlight w:val="none"/>
        </w:rPr>
      </w:pPr>
      <w:r>
        <w:rPr>
          <w:rFonts w:hint="eastAsia" w:hAnsi="宋体"/>
          <w:b/>
          <w:color w:val="auto"/>
          <w:szCs w:val="21"/>
          <w:highlight w:val="none"/>
        </w:rPr>
        <w:t>对未通过符合性审查的投标人，由评标委员会在评标现场以电话或通过“广西政府采购云”平台告知未通过符合性审查的投标人未通过符合性审查的原因并做相应记录。</w:t>
      </w:r>
    </w:p>
    <w:p w14:paraId="3FC3B180">
      <w:pPr>
        <w:tabs>
          <w:tab w:val="left" w:pos="1140"/>
        </w:tabs>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25.5澄清问题的形式</w:t>
      </w:r>
    </w:p>
    <w:p w14:paraId="517D42C2">
      <w:pPr>
        <w:tabs>
          <w:tab w:val="left" w:pos="1140"/>
        </w:tabs>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对于投标文件中含义不明确、同类问题表述不一致或者有明显文字和计算错误的内容，评标委员会应当</w:t>
      </w:r>
      <w:r>
        <w:rPr>
          <w:rFonts w:hint="eastAsia" w:ascii="宋体" w:hAnsi="宋体" w:cs="宋体"/>
          <w:color w:val="auto"/>
          <w:szCs w:val="21"/>
          <w:highlight w:val="none"/>
        </w:rPr>
        <w:t>在线发起澄清的形式</w:t>
      </w:r>
      <w:r>
        <w:rPr>
          <w:rFonts w:ascii="宋体" w:hAnsi="宋体" w:cs="宋体"/>
          <w:color w:val="auto"/>
          <w:szCs w:val="21"/>
          <w:highlight w:val="none"/>
        </w:rPr>
        <w:t>要求投标人作出必要的澄清、说明或者补正。</w:t>
      </w:r>
    </w:p>
    <w:p w14:paraId="4D76DC5A">
      <w:pPr>
        <w:tabs>
          <w:tab w:val="left" w:pos="1140"/>
        </w:tabs>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投标人的澄清、说明或者补正应当采用书面形式，并加盖投标人CA证书签章，或者由法定代表人或其授权委托代理人签字（或个人CA证书签章）。投标人的澄清、说明或者补正不得超出投标文件的范围或者改变投标文件的实质性内容。</w:t>
      </w:r>
    </w:p>
    <w:p w14:paraId="63F0344C">
      <w:pPr>
        <w:pStyle w:val="27"/>
        <w:spacing w:line="360" w:lineRule="auto"/>
        <w:ind w:firstLine="411" w:firstLineChars="196"/>
        <w:rPr>
          <w:rFonts w:hint="eastAsia" w:hAnsi="宋体"/>
          <w:color w:val="auto"/>
          <w:szCs w:val="21"/>
          <w:highlight w:val="none"/>
        </w:rPr>
      </w:pPr>
      <w:r>
        <w:rPr>
          <w:rFonts w:hint="eastAsia" w:hAnsi="宋体"/>
          <w:color w:val="auto"/>
          <w:szCs w:val="21"/>
          <w:highlight w:val="none"/>
        </w:rPr>
        <w:t>25.6</w:t>
      </w:r>
      <w:r>
        <w:rPr>
          <w:rFonts w:hAnsi="宋体"/>
          <w:color w:val="auto"/>
          <w:szCs w:val="21"/>
          <w:highlight w:val="none"/>
        </w:rPr>
        <w:t>评标委员会应当按照招标文件中规定的评标方法和标准，对符合性审查合格的投标文件进行商务和技术评估，综合比较与评价。</w:t>
      </w:r>
    </w:p>
    <w:p w14:paraId="11132C04">
      <w:pPr>
        <w:pStyle w:val="46"/>
        <w:shd w:val="clear" w:color="auto" w:fill="FFFFFF"/>
        <w:spacing w:before="0" w:beforeAutospacing="0" w:after="0" w:afterAutospacing="0" w:line="360" w:lineRule="auto"/>
        <w:ind w:firstLine="422" w:firstLineChars="200"/>
        <w:rPr>
          <w:rFonts w:hint="eastAsia"/>
          <w:b/>
          <w:color w:val="auto"/>
          <w:kern w:val="2"/>
          <w:sz w:val="21"/>
          <w:szCs w:val="21"/>
          <w:highlight w:val="none"/>
        </w:rPr>
      </w:pPr>
      <w:r>
        <w:rPr>
          <w:rFonts w:hint="eastAsia"/>
          <w:b/>
          <w:color w:val="auto"/>
          <w:kern w:val="2"/>
          <w:sz w:val="21"/>
          <w:szCs w:val="21"/>
          <w:highlight w:val="none"/>
        </w:rPr>
        <w:t>25.7</w:t>
      </w:r>
      <w:r>
        <w:rPr>
          <w:rFonts w:hint="eastAsia"/>
          <w:b/>
          <w:color w:val="auto"/>
          <w:sz w:val="21"/>
          <w:szCs w:val="21"/>
          <w:highlight w:val="none"/>
        </w:rPr>
        <w:t>投标文件错误修正</w:t>
      </w:r>
    </w:p>
    <w:p w14:paraId="278C5837">
      <w:pPr>
        <w:pStyle w:val="27"/>
        <w:snapToGrid w:val="0"/>
        <w:spacing w:line="360" w:lineRule="auto"/>
        <w:ind w:firstLine="420" w:firstLineChars="200"/>
        <w:rPr>
          <w:rFonts w:hint="eastAsia" w:hAnsi="宋体"/>
          <w:color w:val="auto"/>
          <w:szCs w:val="21"/>
          <w:highlight w:val="none"/>
        </w:rPr>
      </w:pPr>
      <w:r>
        <w:rPr>
          <w:rFonts w:hint="eastAsia" w:hAnsi="宋体"/>
          <w:color w:val="auto"/>
          <w:szCs w:val="21"/>
          <w:highlight w:val="none"/>
        </w:rPr>
        <w:t>（1）投标文件中开标一览表（报价表）内容与投标文件中相应内容不一致的，以开标一览表（报价表）为准；</w:t>
      </w:r>
    </w:p>
    <w:p w14:paraId="4E2109C0">
      <w:pPr>
        <w:pStyle w:val="27"/>
        <w:snapToGrid w:val="0"/>
        <w:spacing w:line="360" w:lineRule="auto"/>
        <w:ind w:firstLine="420" w:firstLineChars="200"/>
        <w:rPr>
          <w:rFonts w:hint="eastAsia" w:hAnsi="宋体"/>
          <w:color w:val="auto"/>
          <w:szCs w:val="21"/>
          <w:highlight w:val="none"/>
        </w:rPr>
      </w:pPr>
      <w:r>
        <w:rPr>
          <w:rFonts w:hint="eastAsia" w:hAnsi="宋体"/>
          <w:color w:val="auto"/>
          <w:szCs w:val="21"/>
          <w:highlight w:val="none"/>
        </w:rPr>
        <w:t>（2）大写金额和小写金额不一致的，以大写金额为准；</w:t>
      </w:r>
    </w:p>
    <w:p w14:paraId="647FE76F">
      <w:pPr>
        <w:pStyle w:val="27"/>
        <w:snapToGrid w:val="0"/>
        <w:spacing w:line="360" w:lineRule="auto"/>
        <w:ind w:firstLine="420" w:firstLineChars="200"/>
        <w:rPr>
          <w:rFonts w:hint="eastAsia" w:hAnsi="宋体"/>
          <w:color w:val="auto"/>
          <w:szCs w:val="21"/>
          <w:highlight w:val="none"/>
        </w:rPr>
      </w:pPr>
      <w:r>
        <w:rPr>
          <w:rFonts w:hint="eastAsia" w:hAnsi="宋体"/>
          <w:color w:val="auto"/>
          <w:szCs w:val="21"/>
          <w:highlight w:val="none"/>
        </w:rPr>
        <w:t>（3）单价金额小数点或者百分比有明显错位的，以开标一览表的总价为准，并修改单价；</w:t>
      </w:r>
    </w:p>
    <w:p w14:paraId="19DE819E">
      <w:pPr>
        <w:pStyle w:val="27"/>
        <w:snapToGrid w:val="0"/>
        <w:spacing w:line="360" w:lineRule="auto"/>
        <w:ind w:firstLine="420" w:firstLineChars="200"/>
        <w:rPr>
          <w:rFonts w:hint="eastAsia" w:hAnsi="宋体"/>
          <w:color w:val="auto"/>
          <w:szCs w:val="21"/>
          <w:highlight w:val="none"/>
        </w:rPr>
      </w:pPr>
      <w:r>
        <w:rPr>
          <w:rFonts w:hint="eastAsia" w:hAnsi="宋体"/>
          <w:color w:val="auto"/>
          <w:szCs w:val="21"/>
          <w:highlight w:val="none"/>
        </w:rPr>
        <w:t>（4）总价金额与按单价汇总金额不一致的，以单价金额计算结果为准。</w:t>
      </w:r>
    </w:p>
    <w:p w14:paraId="081F3A48">
      <w:pPr>
        <w:pStyle w:val="27"/>
        <w:snapToGrid w:val="0"/>
        <w:spacing w:line="360" w:lineRule="auto"/>
        <w:ind w:firstLine="422" w:firstLineChars="200"/>
        <w:rPr>
          <w:rFonts w:hint="eastAsia" w:hAnsi="宋体"/>
          <w:b/>
          <w:bCs/>
          <w:color w:val="auto"/>
          <w:szCs w:val="21"/>
          <w:highlight w:val="none"/>
        </w:rPr>
      </w:pPr>
      <w:r>
        <w:rPr>
          <w:rFonts w:hint="eastAsia" w:hAnsi="宋体"/>
          <w:b/>
          <w:color w:val="auto"/>
          <w:szCs w:val="21"/>
          <w:highlight w:val="none"/>
        </w:rPr>
        <w:t>同时出现两种以上不一致的，按照第（1）-（4）规定的顺序修正。</w:t>
      </w:r>
      <w:r>
        <w:rPr>
          <w:rFonts w:hint="eastAsia" w:hAnsi="宋体"/>
          <w:b/>
          <w:bCs/>
          <w:color w:val="auto"/>
          <w:szCs w:val="21"/>
          <w:highlight w:val="none"/>
        </w:rPr>
        <w:t>修正的报价经投标人确认后产生约束力，投标人不确认的，其投标无效。</w:t>
      </w:r>
    </w:p>
    <w:p w14:paraId="2B5C1E03">
      <w:pPr>
        <w:pStyle w:val="27"/>
        <w:spacing w:line="360" w:lineRule="auto"/>
        <w:ind w:firstLine="413" w:firstLineChars="196"/>
        <w:rPr>
          <w:rFonts w:hint="default" w:ascii="宋体" w:hAnsi="宋体" w:eastAsia="宋体"/>
          <w:b/>
          <w:bCs/>
          <w:color w:val="auto"/>
          <w:szCs w:val="21"/>
          <w:highlight w:val="none"/>
          <w:u w:val="none"/>
          <w:lang w:val="en-US" w:eastAsia="zh-CN"/>
        </w:rPr>
      </w:pPr>
      <w:r>
        <w:rPr>
          <w:rFonts w:hint="eastAsia" w:hAnsi="宋体"/>
          <w:b/>
          <w:color w:val="auto"/>
          <w:szCs w:val="21"/>
          <w:highlight w:val="none"/>
        </w:rPr>
        <w:t>25.8</w:t>
      </w:r>
      <w:r>
        <w:rPr>
          <w:rFonts w:hint="eastAsia" w:ascii="宋体" w:hAnsi="宋体"/>
          <w:b/>
          <w:bCs/>
          <w:color w:val="auto"/>
          <w:szCs w:val="21"/>
          <w:highlight w:val="none"/>
          <w:u w:val="none"/>
        </w:rPr>
        <w:t>评审时，</w:t>
      </w:r>
      <w:r>
        <w:rPr>
          <w:rFonts w:hint="eastAsia" w:ascii="宋体" w:hAnsi="宋体"/>
          <w:b/>
          <w:bCs/>
          <w:color w:val="auto"/>
          <w:szCs w:val="21"/>
          <w:highlight w:val="none"/>
          <w:u w:val="none"/>
          <w:lang w:val="en-US" w:eastAsia="zh-CN"/>
        </w:rPr>
        <w:t>供应商的报价出现下列情形之一的，评标委员会应当启动异常低价响应审查程序；</w:t>
      </w:r>
    </w:p>
    <w:p w14:paraId="427294CD">
      <w:pPr>
        <w:pStyle w:val="417"/>
        <w:pageBreakBefore w:val="0"/>
        <w:kinsoku/>
        <w:wordWrap/>
        <w:overflowPunct/>
        <w:topLinePunct w:val="0"/>
        <w:bidi w:val="0"/>
        <w:snapToGrid/>
        <w:spacing w:line="400" w:lineRule="exact"/>
        <w:ind w:firstLine="422" w:firstLineChars="200"/>
        <w:rPr>
          <w:rFonts w:hint="default" w:ascii="宋体" w:hAnsi="宋体" w:eastAsia="宋体" w:cs="Times New Roman"/>
          <w:b/>
          <w:bCs/>
          <w:color w:val="auto"/>
          <w:spacing w:val="0"/>
          <w:kern w:val="2"/>
          <w:sz w:val="21"/>
          <w:szCs w:val="21"/>
          <w:highlight w:val="none"/>
          <w:u w:val="none"/>
          <w:lang w:val="en-US" w:eastAsia="zh-CN" w:bidi="ar-SA"/>
        </w:rPr>
      </w:pPr>
      <w:r>
        <w:rPr>
          <w:rFonts w:hint="eastAsia" w:ascii="宋体" w:hAnsi="宋体" w:eastAsia="宋体" w:cs="Times New Roman"/>
          <w:b/>
          <w:bCs/>
          <w:color w:val="auto"/>
          <w:spacing w:val="0"/>
          <w:kern w:val="2"/>
          <w:sz w:val="21"/>
          <w:szCs w:val="21"/>
          <w:highlight w:val="none"/>
          <w:u w:val="none"/>
          <w:lang w:val="en-US" w:eastAsia="zh-CN" w:bidi="ar-SA"/>
        </w:rPr>
        <w:t>1.异常低价响应情形：</w:t>
      </w:r>
    </w:p>
    <w:p w14:paraId="66ABCFC9">
      <w:pPr>
        <w:keepNext w:val="0"/>
        <w:keepLines w:val="0"/>
        <w:pageBreakBefore w:val="0"/>
        <w:widowControl w:val="0"/>
        <w:tabs>
          <w:tab w:val="left" w:pos="1140"/>
        </w:tabs>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color w:val="auto"/>
          <w:szCs w:val="21"/>
          <w:highlight w:val="none"/>
          <w:u w:val="none"/>
          <w:lang w:val="en-US" w:eastAsia="zh-CN"/>
        </w:rPr>
      </w:pPr>
      <w:r>
        <w:rPr>
          <w:rFonts w:hint="eastAsia" w:ascii="宋体" w:hAnsi="宋体" w:eastAsia="宋体" w:cs="Times New Roman"/>
          <w:b/>
          <w:bCs/>
          <w:color w:val="auto"/>
          <w:szCs w:val="21"/>
          <w:highlight w:val="none"/>
          <w:u w:val="none"/>
          <w:lang w:val="en-US" w:eastAsia="zh-CN"/>
        </w:rPr>
        <w:t xml:space="preserve">（1）响应报价低于全部通过符合性审查供应商响应报价平均值65%的，即响应报价＜全部通过符合性审查供应商响应报价平均值×65%； </w:t>
      </w:r>
    </w:p>
    <w:p w14:paraId="0E9D8653">
      <w:pPr>
        <w:keepNext w:val="0"/>
        <w:keepLines w:val="0"/>
        <w:pageBreakBefore w:val="0"/>
        <w:widowControl w:val="0"/>
        <w:tabs>
          <w:tab w:val="left" w:pos="1140"/>
        </w:tabs>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color w:val="auto"/>
          <w:szCs w:val="21"/>
          <w:highlight w:val="none"/>
          <w:u w:val="none"/>
          <w:lang w:val="en-US" w:eastAsia="zh-CN"/>
        </w:rPr>
      </w:pPr>
      <w:r>
        <w:rPr>
          <w:rFonts w:hint="eastAsia" w:ascii="宋体" w:hAnsi="宋体" w:eastAsia="宋体" w:cs="Times New Roman"/>
          <w:b/>
          <w:bCs/>
          <w:color w:val="auto"/>
          <w:szCs w:val="21"/>
          <w:highlight w:val="none"/>
          <w:u w:val="none"/>
          <w:lang w:val="en-US" w:eastAsia="zh-CN"/>
        </w:rPr>
        <w:t xml:space="preserve">（2）响应报价低于通过符合性审查的次低报价供应商响应报价65%的，即响应报价＜通过符合性审查的次低报价供应商响应报价×65%； </w:t>
      </w:r>
    </w:p>
    <w:p w14:paraId="5C23B48F">
      <w:pPr>
        <w:keepNext w:val="0"/>
        <w:keepLines w:val="0"/>
        <w:pageBreakBefore w:val="0"/>
        <w:widowControl w:val="0"/>
        <w:tabs>
          <w:tab w:val="left" w:pos="1140"/>
        </w:tabs>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color w:val="auto"/>
          <w:szCs w:val="21"/>
          <w:highlight w:val="none"/>
          <w:u w:val="none"/>
          <w:lang w:val="en-US" w:eastAsia="zh-CN"/>
        </w:rPr>
      </w:pPr>
      <w:r>
        <w:rPr>
          <w:rFonts w:hint="eastAsia" w:ascii="宋体" w:hAnsi="宋体" w:eastAsia="宋体" w:cs="Times New Roman"/>
          <w:b/>
          <w:bCs/>
          <w:color w:val="auto"/>
          <w:szCs w:val="21"/>
          <w:highlight w:val="none"/>
          <w:u w:val="none"/>
          <w:lang w:val="en-US" w:eastAsia="zh-CN"/>
        </w:rPr>
        <w:t xml:space="preserve">（3）响应报价低于采购项目采购预算金额65%的，即响应报价＜采购项目采购预算金额×65%； </w:t>
      </w:r>
    </w:p>
    <w:p w14:paraId="7567FDE3">
      <w:pPr>
        <w:keepNext w:val="0"/>
        <w:keepLines w:val="0"/>
        <w:pageBreakBefore w:val="0"/>
        <w:widowControl w:val="0"/>
        <w:tabs>
          <w:tab w:val="left" w:pos="1140"/>
        </w:tabs>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color w:val="auto"/>
          <w:szCs w:val="21"/>
          <w:highlight w:val="none"/>
          <w:u w:val="none"/>
          <w:lang w:val="en-US" w:eastAsia="zh-CN"/>
        </w:rPr>
      </w:pPr>
      <w:r>
        <w:rPr>
          <w:rFonts w:hint="eastAsia" w:ascii="宋体" w:hAnsi="宋体" w:eastAsia="宋体" w:cs="Times New Roman"/>
          <w:b/>
          <w:bCs/>
          <w:color w:val="auto"/>
          <w:szCs w:val="21"/>
          <w:highlight w:val="none"/>
          <w:u w:val="none"/>
          <w:lang w:val="en-US" w:eastAsia="zh-CN"/>
        </w:rPr>
        <w:t>（4）</w:t>
      </w:r>
      <w:r>
        <w:rPr>
          <w:rFonts w:hint="eastAsia" w:ascii="宋体" w:hAnsi="宋体" w:cs="Times New Roman"/>
          <w:b/>
          <w:bCs/>
          <w:color w:val="auto"/>
          <w:szCs w:val="21"/>
          <w:highlight w:val="none"/>
          <w:u w:val="none"/>
          <w:lang w:val="en-US" w:eastAsia="zh-CN"/>
        </w:rPr>
        <w:t>评标委员会</w:t>
      </w:r>
      <w:r>
        <w:rPr>
          <w:rFonts w:hint="eastAsia" w:ascii="宋体" w:hAnsi="宋体" w:eastAsia="宋体" w:cs="Times New Roman"/>
          <w:b/>
          <w:bCs/>
          <w:color w:val="auto"/>
          <w:szCs w:val="21"/>
          <w:highlight w:val="none"/>
          <w:u w:val="none"/>
          <w:lang w:val="en-US" w:eastAsia="zh-CN"/>
        </w:rPr>
        <w:t xml:space="preserve">基于专业判断，认为供应商报价过低，有可能影响产品质量或者不能诚信履约的其他情形。 </w:t>
      </w:r>
    </w:p>
    <w:p w14:paraId="7CE1A696">
      <w:pPr>
        <w:keepNext w:val="0"/>
        <w:keepLines w:val="0"/>
        <w:pageBreakBefore w:val="0"/>
        <w:widowControl w:val="0"/>
        <w:tabs>
          <w:tab w:val="left" w:pos="1140"/>
        </w:tabs>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color w:val="auto"/>
          <w:szCs w:val="21"/>
          <w:highlight w:val="none"/>
          <w:u w:val="none"/>
          <w:lang w:val="en-US" w:eastAsia="zh-CN"/>
        </w:rPr>
      </w:pPr>
      <w:r>
        <w:rPr>
          <w:rFonts w:hint="eastAsia" w:ascii="宋体" w:hAnsi="宋体" w:eastAsia="宋体" w:cs="Times New Roman"/>
          <w:b/>
          <w:bCs/>
          <w:color w:val="auto"/>
          <w:szCs w:val="21"/>
          <w:highlight w:val="none"/>
          <w:u w:val="none"/>
          <w:lang w:val="en-US" w:eastAsia="zh-CN"/>
        </w:rPr>
        <w:t>2</w:t>
      </w:r>
      <w:r>
        <w:rPr>
          <w:rFonts w:hint="eastAsia" w:ascii="宋体" w:hAnsi="宋体" w:cs="Times New Roman"/>
          <w:b/>
          <w:bCs/>
          <w:color w:val="auto"/>
          <w:szCs w:val="21"/>
          <w:highlight w:val="none"/>
          <w:u w:val="none"/>
          <w:lang w:val="en-US" w:eastAsia="zh-CN"/>
        </w:rPr>
        <w:t xml:space="preserve"> .</w:t>
      </w:r>
      <w:r>
        <w:rPr>
          <w:rFonts w:hint="eastAsia" w:ascii="宋体" w:hAnsi="宋体" w:eastAsia="宋体" w:cs="Times New Roman"/>
          <w:b/>
          <w:bCs/>
          <w:color w:val="auto"/>
          <w:szCs w:val="21"/>
          <w:highlight w:val="none"/>
          <w:u w:val="none"/>
          <w:lang w:val="en-US" w:eastAsia="zh-CN"/>
        </w:rPr>
        <w:t>异常低价竞标审查流程：</w:t>
      </w:r>
    </w:p>
    <w:p w14:paraId="684F8BA3">
      <w:pPr>
        <w:keepNext w:val="0"/>
        <w:keepLines w:val="0"/>
        <w:pageBreakBefore w:val="0"/>
        <w:widowControl w:val="0"/>
        <w:tabs>
          <w:tab w:val="left" w:pos="1140"/>
        </w:tabs>
        <w:kinsoku/>
        <w:wordWrap/>
        <w:overflowPunct/>
        <w:topLinePunct w:val="0"/>
        <w:autoSpaceDE/>
        <w:autoSpaceDN/>
        <w:bidi w:val="0"/>
        <w:adjustRightInd/>
        <w:snapToGrid/>
        <w:spacing w:line="400" w:lineRule="exact"/>
        <w:ind w:firstLine="422" w:firstLineChars="200"/>
        <w:textAlignment w:val="auto"/>
        <w:rPr>
          <w:rFonts w:hint="default" w:ascii="宋体" w:hAnsi="宋体" w:eastAsia="宋体" w:cs="Times New Roman"/>
          <w:b/>
          <w:bCs/>
          <w:color w:val="auto"/>
          <w:szCs w:val="21"/>
          <w:highlight w:val="none"/>
          <w:u w:val="none"/>
          <w:lang w:val="en-US" w:eastAsia="zh-CN"/>
        </w:rPr>
      </w:pPr>
      <w:r>
        <w:rPr>
          <w:rFonts w:hint="eastAsia" w:ascii="宋体" w:hAnsi="宋体" w:cs="Times New Roman"/>
          <w:b/>
          <w:bCs/>
          <w:color w:val="auto"/>
          <w:szCs w:val="21"/>
          <w:highlight w:val="none"/>
          <w:u w:val="none"/>
          <w:lang w:val="en-US" w:eastAsia="zh-CN"/>
        </w:rPr>
        <w:t>评标委员会</w:t>
      </w:r>
      <w:r>
        <w:rPr>
          <w:rFonts w:hint="eastAsia" w:ascii="宋体" w:hAnsi="宋体" w:eastAsia="宋体" w:cs="Times New Roman"/>
          <w:b/>
          <w:bCs/>
          <w:color w:val="auto"/>
          <w:szCs w:val="21"/>
          <w:highlight w:val="none"/>
          <w:u w:val="none"/>
          <w:lang w:val="en-US" w:eastAsia="zh-CN"/>
        </w:rPr>
        <w:t>启动异常低价竞标审查程序后，应当要求相关供应商在评审现场合理的时间内提供书面说明及必要的证明材料，对磋商价格作出解释。书面说明、证明材料主要是项目具体成本测算等与报价合理性相关的说明、材料。</w:t>
      </w:r>
      <w:r>
        <w:rPr>
          <w:rFonts w:hint="eastAsia" w:ascii="宋体" w:hAnsi="宋体" w:cs="Times New Roman"/>
          <w:b/>
          <w:bCs/>
          <w:color w:val="auto"/>
          <w:szCs w:val="21"/>
          <w:highlight w:val="none"/>
          <w:u w:val="none"/>
          <w:lang w:val="en-US" w:eastAsia="zh-CN"/>
        </w:rPr>
        <w:t>评标委员会</w:t>
      </w:r>
      <w:r>
        <w:rPr>
          <w:rFonts w:hint="eastAsia" w:ascii="宋体" w:hAnsi="宋体" w:eastAsia="宋体" w:cs="Times New Roman"/>
          <w:b/>
          <w:bCs/>
          <w:color w:val="auto"/>
          <w:szCs w:val="21"/>
          <w:highlight w:val="none"/>
          <w:u w:val="none"/>
          <w:lang w:val="en-US" w:eastAsia="zh-CN"/>
        </w:rPr>
        <w:t>应当结合同类产品在主要电商平台的价格、该行业当地薪资水平等情况，依据专业经验对报价合理性进行判断。如果供应商不提供书面说明、证明材料，或者提供的书面说明、证明材料不能证明其报价合理性的，</w:t>
      </w:r>
      <w:r>
        <w:rPr>
          <w:rFonts w:hint="eastAsia" w:ascii="宋体" w:hAnsi="宋体" w:cs="Times New Roman"/>
          <w:b/>
          <w:bCs/>
          <w:color w:val="auto"/>
          <w:szCs w:val="21"/>
          <w:highlight w:val="none"/>
          <w:u w:val="none"/>
          <w:lang w:val="en-US" w:eastAsia="zh-CN"/>
        </w:rPr>
        <w:t>评标委员会</w:t>
      </w:r>
      <w:r>
        <w:rPr>
          <w:rFonts w:hint="eastAsia" w:ascii="宋体" w:hAnsi="宋体" w:eastAsia="宋体" w:cs="Times New Roman"/>
          <w:b/>
          <w:bCs/>
          <w:color w:val="auto"/>
          <w:szCs w:val="21"/>
          <w:highlight w:val="none"/>
          <w:u w:val="none"/>
          <w:lang w:val="en-US" w:eastAsia="zh-CN"/>
        </w:rPr>
        <w:t>应当将其作为响应文件无效处理。以上审查相关情况应当在评审报告中记录。</w:t>
      </w:r>
    </w:p>
    <w:p w14:paraId="23F6A700">
      <w:pPr>
        <w:pStyle w:val="27"/>
        <w:spacing w:line="360" w:lineRule="auto"/>
        <w:ind w:firstLine="411" w:firstLineChars="196"/>
        <w:rPr>
          <w:rFonts w:hint="eastAsia" w:hAnsi="宋体"/>
          <w:color w:val="auto"/>
          <w:szCs w:val="21"/>
          <w:highlight w:val="none"/>
        </w:rPr>
      </w:pPr>
      <w:r>
        <w:rPr>
          <w:rFonts w:hint="eastAsia" w:hAnsi="宋体"/>
          <w:color w:val="auto"/>
          <w:szCs w:val="21"/>
          <w:highlight w:val="none"/>
        </w:rPr>
        <w:t>25.9</w:t>
      </w:r>
      <w:r>
        <w:rPr>
          <w:rFonts w:hAnsi="宋体"/>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4871673E">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25.10</w:t>
      </w:r>
      <w:r>
        <w:rPr>
          <w:rFonts w:ascii="宋体" w:hAnsi="宋体"/>
          <w:color w:val="auto"/>
          <w:szCs w:val="21"/>
          <w:highlight w:val="none"/>
        </w:rPr>
        <w:t>评标结果汇总完成后，除下列情形外，任何人不得修改评标结果：</w:t>
      </w:r>
    </w:p>
    <w:p w14:paraId="419290DC">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（一）分值汇总计算错误的；</w:t>
      </w:r>
    </w:p>
    <w:p w14:paraId="2ECC31DF">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（二）分项评分超出评分标准范围的；</w:t>
      </w:r>
    </w:p>
    <w:p w14:paraId="6AA20BB4">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（三）评标委员会成员对客观评审因素评分不一致的；</w:t>
      </w:r>
    </w:p>
    <w:p w14:paraId="65A7F478">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（四）经评标委员会认定评分畸高、畸低的。</w:t>
      </w:r>
    </w:p>
    <w:p w14:paraId="775A9800">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986343B">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投标人对本条第一款情形提出质疑的，采购人或者采购代理机构可以组织原评标委员会进行重新评审，重新评审改变评标结果的，应当书面报告本级财政部门。</w:t>
      </w:r>
    </w:p>
    <w:p w14:paraId="5C8E9B91">
      <w:pPr>
        <w:pStyle w:val="27"/>
        <w:snapToGrid w:val="0"/>
        <w:spacing w:line="360" w:lineRule="auto"/>
        <w:ind w:firstLine="420" w:firstLineChars="200"/>
        <w:rPr>
          <w:rFonts w:hint="eastAsia" w:hAnsi="宋体"/>
          <w:color w:val="auto"/>
          <w:szCs w:val="21"/>
          <w:highlight w:val="none"/>
        </w:rPr>
      </w:pPr>
      <w:r>
        <w:rPr>
          <w:rFonts w:hint="eastAsia" w:hAnsi="宋体"/>
          <w:color w:val="auto"/>
          <w:szCs w:val="21"/>
          <w:highlight w:val="none"/>
        </w:rPr>
        <w:t>25.11在采购项目出现废标后，评标委员会应出具招标文件是否存在不合理条款等的认证意见并提出修改建议。</w:t>
      </w:r>
    </w:p>
    <w:p w14:paraId="65F2E53C">
      <w:pPr>
        <w:pStyle w:val="27"/>
        <w:spacing w:line="360" w:lineRule="auto"/>
        <w:ind w:firstLine="411" w:firstLineChars="196"/>
        <w:rPr>
          <w:rFonts w:hint="eastAsia" w:hAnsi="宋体"/>
          <w:color w:val="auto"/>
          <w:szCs w:val="21"/>
          <w:highlight w:val="none"/>
        </w:rPr>
      </w:pPr>
      <w:r>
        <w:rPr>
          <w:rFonts w:hint="eastAsia" w:hAnsi="宋体"/>
          <w:color w:val="auto"/>
          <w:szCs w:val="21"/>
          <w:highlight w:val="none"/>
        </w:rPr>
        <w:t>25.12采购代理机构发现评标委员会有明显的违规倾向或歧视现象，或不按评标办法进行，或其他不正常行为的，应当及时制止。如制止无效，应及时向阳朔县人民政府采购管理办公室报告。</w:t>
      </w:r>
    </w:p>
    <w:p w14:paraId="32512DA7">
      <w:pPr>
        <w:pStyle w:val="27"/>
        <w:tabs>
          <w:tab w:val="left" w:pos="4214"/>
        </w:tabs>
        <w:spacing w:line="360" w:lineRule="auto"/>
        <w:ind w:firstLine="422" w:firstLineChars="200"/>
        <w:rPr>
          <w:rFonts w:hint="eastAsia" w:hAnsi="宋体"/>
          <w:b/>
          <w:color w:val="auto"/>
          <w:highlight w:val="none"/>
        </w:rPr>
      </w:pPr>
      <w:r>
        <w:rPr>
          <w:rFonts w:hint="eastAsia" w:hAnsi="宋体"/>
          <w:b/>
          <w:color w:val="auto"/>
          <w:highlight w:val="none"/>
        </w:rPr>
        <w:t>26</w:t>
      </w:r>
      <w:r>
        <w:rPr>
          <w:rFonts w:hint="eastAsia" w:hAnsi="宋体"/>
          <w:color w:val="auto"/>
          <w:highlight w:val="none"/>
        </w:rPr>
        <w:t>.</w:t>
      </w:r>
      <w:r>
        <w:rPr>
          <w:rFonts w:hint="eastAsia" w:hAnsi="宋体"/>
          <w:b/>
          <w:color w:val="auto"/>
          <w:highlight w:val="none"/>
        </w:rPr>
        <w:t>推荐及确定中标候选投标人原则</w:t>
      </w:r>
    </w:p>
    <w:p w14:paraId="6F5126FF">
      <w:pPr>
        <w:pStyle w:val="27"/>
        <w:tabs>
          <w:tab w:val="left" w:pos="4214"/>
        </w:tabs>
        <w:spacing w:line="360" w:lineRule="auto"/>
        <w:ind w:firstLine="420" w:firstLineChars="200"/>
        <w:rPr>
          <w:rFonts w:hint="eastAsia" w:hAnsi="宋体"/>
          <w:color w:val="auto"/>
          <w:szCs w:val="21"/>
          <w:highlight w:val="none"/>
        </w:rPr>
      </w:pPr>
      <w:r>
        <w:rPr>
          <w:rFonts w:hint="eastAsia" w:hAnsi="宋体"/>
          <w:color w:val="auto"/>
          <w:szCs w:val="21"/>
          <w:highlight w:val="none"/>
        </w:rPr>
        <w:t>26.1评标委员会将根据得分由高到低排列次序（得分相同时，以投标报价由低到高顺序排列；得分相同且投标报价相同的，则依次按</w:t>
      </w:r>
      <w:r>
        <w:rPr>
          <w:rFonts w:hint="eastAsia" w:hAnsi="宋体" w:cs="宋体"/>
          <w:color w:val="auto"/>
          <w:szCs w:val="21"/>
          <w:highlight w:val="none"/>
          <w:lang w:val="en-US" w:eastAsia="zh-CN"/>
        </w:rPr>
        <w:t>技术分</w:t>
      </w:r>
      <w:r>
        <w:rPr>
          <w:rFonts w:hint="eastAsia" w:hAnsi="宋体" w:cs="宋体"/>
          <w:color w:val="auto"/>
          <w:szCs w:val="21"/>
          <w:highlight w:val="none"/>
          <w:lang w:eastAsia="zh-CN"/>
        </w:rPr>
        <w:t>、</w:t>
      </w:r>
      <w:r>
        <w:rPr>
          <w:rFonts w:hint="eastAsia" w:hAnsi="宋体" w:cs="宋体"/>
          <w:color w:val="auto"/>
          <w:szCs w:val="21"/>
          <w:highlight w:val="none"/>
          <w:lang w:val="en-US" w:eastAsia="zh-CN"/>
        </w:rPr>
        <w:t>商务</w:t>
      </w:r>
      <w:r>
        <w:rPr>
          <w:rFonts w:hint="eastAsia" w:hAnsi="宋体" w:cs="宋体"/>
          <w:color w:val="auto"/>
          <w:szCs w:val="21"/>
          <w:highlight w:val="none"/>
          <w:lang w:eastAsia="zh-CN"/>
        </w:rPr>
        <w:t>分</w:t>
      </w:r>
      <w:r>
        <w:rPr>
          <w:rFonts w:hint="eastAsia" w:hAnsi="宋体"/>
          <w:color w:val="auto"/>
          <w:szCs w:val="21"/>
          <w:highlight w:val="none"/>
        </w:rPr>
        <w:t>由高到低的顺序排列）并推荐前三名为中标候选人。</w:t>
      </w:r>
    </w:p>
    <w:p w14:paraId="175201D8">
      <w:pPr>
        <w:pStyle w:val="27"/>
        <w:tabs>
          <w:tab w:val="left" w:pos="4214"/>
        </w:tabs>
        <w:spacing w:line="360" w:lineRule="auto"/>
        <w:ind w:firstLine="420" w:firstLineChars="200"/>
        <w:rPr>
          <w:rFonts w:hint="eastAsia" w:hAnsi="宋体"/>
          <w:color w:val="auto"/>
          <w:szCs w:val="21"/>
          <w:highlight w:val="none"/>
        </w:rPr>
      </w:pPr>
      <w:r>
        <w:rPr>
          <w:rFonts w:hint="eastAsia" w:hAnsi="宋体"/>
          <w:color w:val="auto"/>
          <w:szCs w:val="21"/>
          <w:highlight w:val="none"/>
        </w:rPr>
        <w:t>26.2评标委员会可推荐前三名为中标候选人，采购人应当确定评标委员会推荐排名第一的中标候选人为中标人。</w:t>
      </w:r>
    </w:p>
    <w:p w14:paraId="401D8307">
      <w:pPr>
        <w:pStyle w:val="27"/>
        <w:spacing w:line="360" w:lineRule="auto"/>
        <w:ind w:firstLine="447" w:firstLineChars="213"/>
        <w:rPr>
          <w:rFonts w:hint="eastAsia" w:hAnsi="宋体"/>
          <w:color w:val="auto"/>
          <w:szCs w:val="21"/>
          <w:highlight w:val="none"/>
        </w:rPr>
      </w:pPr>
      <w:r>
        <w:rPr>
          <w:rFonts w:hint="eastAsia" w:hAnsi="宋体"/>
          <w:color w:val="auto"/>
          <w:szCs w:val="21"/>
          <w:highlight w:val="none"/>
        </w:rPr>
        <w:t>26.3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或重新招标，并依此类推。</w:t>
      </w:r>
    </w:p>
    <w:p w14:paraId="14AFB6B8">
      <w:pPr>
        <w:pStyle w:val="27"/>
        <w:tabs>
          <w:tab w:val="left" w:pos="4214"/>
        </w:tabs>
        <w:spacing w:line="360" w:lineRule="auto"/>
        <w:ind w:firstLine="422" w:firstLineChars="200"/>
        <w:rPr>
          <w:rFonts w:hint="eastAsia" w:hAnsi="宋体"/>
          <w:color w:val="auto"/>
          <w:szCs w:val="21"/>
          <w:highlight w:val="none"/>
        </w:rPr>
      </w:pPr>
      <w:r>
        <w:rPr>
          <w:rFonts w:hint="eastAsia" w:ascii="宋体" w:hAnsi="宋体" w:eastAsia="宋体"/>
          <w:b/>
          <w:bCs/>
          <w:color w:val="auto"/>
          <w:szCs w:val="21"/>
          <w:highlight w:val="none"/>
          <w:lang w:val="en-US" w:eastAsia="zh-CN"/>
        </w:rPr>
        <w:t xml:space="preserve">26.4 </w:t>
      </w:r>
      <w:r>
        <w:rPr>
          <w:rFonts w:hint="eastAsia" w:ascii="宋体" w:hAnsi="宋体" w:eastAsia="宋体"/>
          <w:b/>
          <w:bCs/>
          <w:color w:val="auto"/>
          <w:szCs w:val="21"/>
          <w:highlight w:val="none"/>
          <w:lang w:eastAsia="zh-CN"/>
        </w:rPr>
        <w:t>投标人可以根据自身情况参与本项目任意一个或多个标项的投标，但最多只能成为其中一个标项的中标人，</w:t>
      </w:r>
      <w:r>
        <w:rPr>
          <w:rFonts w:hint="eastAsia" w:hAnsi="宋体"/>
          <w:b/>
          <w:color w:val="auto"/>
          <w:sz w:val="21"/>
          <w:highlight w:val="none"/>
          <w:lang w:eastAsia="zh-CN"/>
        </w:rPr>
        <w:t>若某投标人同时在两个标项综合得分排名第一时，则按标项一→标项二的先后顺序推荐中标候选人（即标项一优先于标项二）。该投标人一旦被推荐为某一标项的第一中标候选人，</w:t>
      </w:r>
      <w:r>
        <w:rPr>
          <w:rFonts w:hAnsi="宋体"/>
          <w:b/>
          <w:color w:val="auto"/>
          <w:sz w:val="21"/>
          <w:highlight w:val="none"/>
          <w:lang w:eastAsia="zh-CN"/>
        </w:rPr>
        <w:t>则在</w:t>
      </w:r>
      <w:r>
        <w:rPr>
          <w:rFonts w:hint="eastAsia" w:hAnsi="宋体"/>
          <w:b/>
          <w:color w:val="auto"/>
          <w:sz w:val="21"/>
          <w:highlight w:val="none"/>
          <w:lang w:val="en-US" w:eastAsia="zh-CN"/>
        </w:rPr>
        <w:t>其他</w:t>
      </w:r>
      <w:r>
        <w:rPr>
          <w:rFonts w:hint="eastAsia" w:hAnsi="宋体"/>
          <w:b/>
          <w:color w:val="auto"/>
          <w:sz w:val="21"/>
          <w:highlight w:val="none"/>
          <w:lang w:eastAsia="zh-CN"/>
        </w:rPr>
        <w:t>标项不再被推荐为中标候选人。</w:t>
      </w:r>
    </w:p>
    <w:p w14:paraId="473868ED">
      <w:pPr>
        <w:pStyle w:val="27"/>
        <w:tabs>
          <w:tab w:val="left" w:pos="4214"/>
        </w:tabs>
        <w:spacing w:line="360" w:lineRule="auto"/>
        <w:ind w:firstLine="422" w:firstLineChars="200"/>
        <w:rPr>
          <w:rFonts w:hint="eastAsia" w:ascii="宋体" w:hAnsi="宋体"/>
          <w:b/>
          <w:color w:val="auto"/>
          <w:szCs w:val="21"/>
          <w:highlight w:val="none"/>
        </w:rPr>
      </w:pPr>
      <w:r>
        <w:rPr>
          <w:rFonts w:hint="eastAsia" w:ascii="宋体" w:hAnsi="宋体"/>
          <w:b/>
          <w:bCs/>
          <w:color w:val="auto"/>
          <w:szCs w:val="21"/>
          <w:highlight w:val="none"/>
        </w:rPr>
        <w:t>27</w:t>
      </w:r>
      <w:r>
        <w:rPr>
          <w:rFonts w:hint="eastAsia" w:ascii="宋体" w:hAnsi="宋体"/>
          <w:b/>
          <w:color w:val="auto"/>
          <w:highlight w:val="none"/>
        </w:rPr>
        <w:t>.</w:t>
      </w:r>
      <w:r>
        <w:rPr>
          <w:rFonts w:hint="eastAsia" w:ascii="宋体" w:hAnsi="宋体"/>
          <w:b/>
          <w:color w:val="auto"/>
          <w:szCs w:val="21"/>
          <w:highlight w:val="none"/>
        </w:rPr>
        <w:t>属于下列情况之一者，投标无效：</w:t>
      </w:r>
    </w:p>
    <w:p w14:paraId="5A1E2D94">
      <w:pPr>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（1）未按照招标文件规定要求签字、盖章的；</w:t>
      </w:r>
    </w:p>
    <w:p w14:paraId="52C76CAB">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报价超过招标文件中规定的预算金额的；</w:t>
      </w:r>
    </w:p>
    <w:p w14:paraId="47A0B729">
      <w:pPr>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（3）不具备招标文件中规定的资格要求的</w:t>
      </w:r>
      <w:r>
        <w:rPr>
          <w:rFonts w:hint="eastAsia" w:ascii="宋体" w:hAnsi="宋体"/>
          <w:color w:val="auto"/>
          <w:highlight w:val="none"/>
        </w:rPr>
        <w:t>；</w:t>
      </w:r>
    </w:p>
    <w:p w14:paraId="7B9F6DF7">
      <w:pPr>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投标文件含有采购人不能接受的附加条件的</w:t>
      </w:r>
      <w:r>
        <w:rPr>
          <w:rFonts w:hint="eastAsia" w:ascii="宋体" w:hAnsi="宋体"/>
          <w:color w:val="auto"/>
          <w:szCs w:val="21"/>
          <w:highlight w:val="none"/>
        </w:rPr>
        <w:t>；</w:t>
      </w:r>
    </w:p>
    <w:p w14:paraId="2E4AA746">
      <w:pPr>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（5）投标文件未按招标文件的内容和要求编制，或提供虚假或无效材料的；</w:t>
      </w:r>
    </w:p>
    <w:p w14:paraId="00FFFCBA">
      <w:pPr>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（6）投标文件有效期、服务时间、售后服务不能满足招标文件要求的；</w:t>
      </w:r>
    </w:p>
    <w:p w14:paraId="778F2C4E">
      <w:pPr>
        <w:snapToGrid w:val="0"/>
        <w:spacing w:line="360" w:lineRule="auto"/>
        <w:ind w:firstLine="411" w:firstLineChars="196"/>
        <w:rPr>
          <w:rFonts w:hint="eastAsia" w:ascii="宋体" w:hAnsi="宋体"/>
          <w:color w:val="auto"/>
          <w:highlight w:val="none"/>
        </w:rPr>
      </w:pPr>
      <w:r>
        <w:rPr>
          <w:rFonts w:hint="eastAsia" w:ascii="宋体" w:hAnsi="宋体"/>
          <w:color w:val="auto"/>
          <w:szCs w:val="21"/>
          <w:highlight w:val="none"/>
        </w:rPr>
        <w:t>（7）</w:t>
      </w:r>
      <w:r>
        <w:rPr>
          <w:rFonts w:hint="eastAsia" w:ascii="宋体" w:hAnsi="宋体"/>
          <w:color w:val="auto"/>
          <w:highlight w:val="none"/>
        </w:rPr>
        <w:t>投标</w:t>
      </w:r>
      <w:r>
        <w:rPr>
          <w:rFonts w:hint="eastAsia" w:ascii="宋体" w:hAnsi="宋体"/>
          <w:color w:val="auto"/>
          <w:szCs w:val="21"/>
          <w:highlight w:val="none"/>
        </w:rPr>
        <w:t>人未就“</w:t>
      </w:r>
      <w:r>
        <w:rPr>
          <w:rFonts w:hint="eastAsia" w:ascii="宋体" w:hAnsi="宋体"/>
          <w:color w:val="auto"/>
          <w:szCs w:val="21"/>
          <w:highlight w:val="none"/>
          <w:u w:val="single"/>
        </w:rPr>
        <w:t>货物采购需求</w:t>
      </w:r>
      <w:r>
        <w:rPr>
          <w:rFonts w:hint="eastAsia" w:ascii="宋体" w:hAnsi="宋体"/>
          <w:color w:val="auto"/>
          <w:szCs w:val="21"/>
          <w:highlight w:val="none"/>
        </w:rPr>
        <w:t>”中所投项目的所有</w:t>
      </w:r>
      <w:r>
        <w:rPr>
          <w:rFonts w:hint="eastAsia" w:ascii="宋体" w:hAnsi="宋体"/>
          <w:color w:val="auto"/>
          <w:szCs w:val="21"/>
          <w:highlight w:val="none"/>
          <w:u w:val="none"/>
        </w:rPr>
        <w:t>货物和</w:t>
      </w:r>
      <w:r>
        <w:rPr>
          <w:rFonts w:hint="eastAsia" w:ascii="宋体" w:hAnsi="宋体"/>
          <w:color w:val="auto"/>
          <w:szCs w:val="21"/>
          <w:highlight w:val="none"/>
        </w:rPr>
        <w:t>服务内容作完整唯一报价的</w:t>
      </w:r>
      <w:r>
        <w:rPr>
          <w:rFonts w:hint="eastAsia" w:ascii="宋体" w:hAnsi="宋体"/>
          <w:color w:val="auto"/>
          <w:highlight w:val="none"/>
        </w:rPr>
        <w:t>；</w:t>
      </w:r>
    </w:p>
    <w:p w14:paraId="4AA3AA24">
      <w:pPr>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（8）未完全响应招标文件实质性要求的；</w:t>
      </w:r>
    </w:p>
    <w:p w14:paraId="03C30B90">
      <w:pPr>
        <w:pStyle w:val="27"/>
        <w:spacing w:line="360" w:lineRule="auto"/>
        <w:ind w:firstLine="420" w:firstLineChars="200"/>
        <w:rPr>
          <w:rFonts w:hint="eastAsia" w:hAnsi="宋体"/>
          <w:color w:val="auto"/>
          <w:szCs w:val="24"/>
          <w:highlight w:val="none"/>
        </w:rPr>
      </w:pPr>
      <w:r>
        <w:rPr>
          <w:rFonts w:hint="eastAsia" w:hAnsi="宋体"/>
          <w:color w:val="auto"/>
          <w:szCs w:val="21"/>
          <w:highlight w:val="none"/>
        </w:rPr>
        <w:t>（9）单位负责人为同一人或者存在直接控股、管理关系的不同投标人参加同一合同项下分标或未划分分标的同一合同项下的政府采购活动；</w:t>
      </w:r>
    </w:p>
    <w:p w14:paraId="6C9F36AD">
      <w:pPr>
        <w:pStyle w:val="27"/>
        <w:spacing w:line="360" w:lineRule="auto"/>
        <w:ind w:firstLine="420" w:firstLineChars="200"/>
        <w:rPr>
          <w:rFonts w:hint="eastAsia" w:hAnsi="宋体"/>
          <w:color w:val="auto"/>
          <w:szCs w:val="21"/>
          <w:highlight w:val="none"/>
        </w:rPr>
      </w:pPr>
      <w:r>
        <w:rPr>
          <w:rFonts w:hint="eastAsia" w:hAnsi="宋体"/>
          <w:color w:val="auto"/>
          <w:szCs w:val="21"/>
          <w:highlight w:val="none"/>
        </w:rPr>
        <w:t>（10）</w:t>
      </w:r>
      <w:r>
        <w:rPr>
          <w:rFonts w:hAnsi="宋体"/>
          <w:color w:val="auto"/>
          <w:szCs w:val="21"/>
          <w:highlight w:val="none"/>
        </w:rPr>
        <w:t>法律、法规和招标文件规定的其他无效情形。</w:t>
      </w:r>
    </w:p>
    <w:p w14:paraId="330180DC">
      <w:pPr>
        <w:snapToGrid w:val="0"/>
        <w:spacing w:line="360" w:lineRule="auto"/>
        <w:ind w:firstLine="527" w:firstLineChars="250"/>
        <w:rPr>
          <w:rFonts w:hint="eastAsia" w:ascii="宋体" w:hAnsi="宋体"/>
          <w:b/>
          <w:color w:val="auto"/>
          <w:szCs w:val="21"/>
          <w:highlight w:val="none"/>
        </w:rPr>
      </w:pPr>
      <w:r>
        <w:rPr>
          <w:rFonts w:hint="eastAsia" w:ascii="宋体" w:hAnsi="宋体"/>
          <w:b/>
          <w:color w:val="auto"/>
          <w:szCs w:val="21"/>
          <w:highlight w:val="none"/>
        </w:rPr>
        <w:t>28.投标人有下列情形之一的，视为串通投标，投标文件将被视为无效：</w:t>
      </w:r>
    </w:p>
    <w:p w14:paraId="5BB9550E">
      <w:pPr>
        <w:snapToGrid w:val="0"/>
        <w:spacing w:line="360" w:lineRule="auto"/>
        <w:ind w:left="355" w:leftChars="169" w:firstLine="102" w:firstLineChars="49"/>
        <w:rPr>
          <w:rFonts w:hint="eastAsia" w:ascii="宋体" w:hAnsi="宋体"/>
          <w:color w:val="auto"/>
          <w:highlight w:val="none"/>
        </w:rPr>
      </w:pPr>
      <w:r>
        <w:rPr>
          <w:rFonts w:hint="eastAsia" w:ascii="宋体" w:hAnsi="宋体"/>
          <w:color w:val="auto"/>
          <w:highlight w:val="none"/>
        </w:rPr>
        <w:t>（1）不同投标人的投标文件由同一单位或者个人编制；或不同投标人报名的IP地址一致的；</w:t>
      </w:r>
    </w:p>
    <w:p w14:paraId="7000F1D2">
      <w:pPr>
        <w:snapToGrid w:val="0"/>
        <w:spacing w:line="360" w:lineRule="auto"/>
        <w:ind w:left="355" w:leftChars="169" w:firstLine="102" w:firstLineChars="49"/>
        <w:rPr>
          <w:rFonts w:hint="eastAsia" w:ascii="宋体" w:hAnsi="宋体"/>
          <w:color w:val="auto"/>
          <w:highlight w:val="none"/>
        </w:rPr>
      </w:pPr>
      <w:r>
        <w:rPr>
          <w:rFonts w:hint="eastAsia" w:ascii="宋体" w:hAnsi="宋体"/>
          <w:color w:val="auto"/>
          <w:highlight w:val="none"/>
        </w:rPr>
        <w:t>（2）不同投标人委托同一单位或者个人办理投标事宜；</w:t>
      </w:r>
    </w:p>
    <w:p w14:paraId="6F49E92A">
      <w:pPr>
        <w:snapToGrid w:val="0"/>
        <w:spacing w:line="360" w:lineRule="auto"/>
        <w:ind w:left="355" w:leftChars="169" w:firstLine="102" w:firstLineChars="49"/>
        <w:rPr>
          <w:rFonts w:hint="eastAsia" w:ascii="宋体" w:hAnsi="宋体"/>
          <w:color w:val="auto"/>
          <w:highlight w:val="none"/>
        </w:rPr>
      </w:pPr>
      <w:r>
        <w:rPr>
          <w:rFonts w:hint="eastAsia" w:ascii="宋体" w:hAnsi="宋体"/>
          <w:color w:val="auto"/>
          <w:highlight w:val="none"/>
        </w:rPr>
        <w:t>（3）不同的投标人的投标文件载明的项目管理员或者联系人员为同一个人；</w:t>
      </w:r>
    </w:p>
    <w:p w14:paraId="0182F569">
      <w:pPr>
        <w:snapToGrid w:val="0"/>
        <w:spacing w:line="360" w:lineRule="auto"/>
        <w:ind w:left="355" w:leftChars="169" w:firstLine="102" w:firstLineChars="49"/>
        <w:rPr>
          <w:rFonts w:hint="eastAsia" w:ascii="宋体" w:hAnsi="宋体"/>
          <w:color w:val="auto"/>
          <w:highlight w:val="none"/>
        </w:rPr>
      </w:pPr>
      <w:r>
        <w:rPr>
          <w:rFonts w:hint="eastAsia" w:ascii="宋体" w:hAnsi="宋体"/>
          <w:color w:val="auto"/>
          <w:highlight w:val="none"/>
        </w:rPr>
        <w:t xml:space="preserve">（4）不同投标人的投标文件异常一致或投标报价呈规律性差异； </w:t>
      </w:r>
    </w:p>
    <w:p w14:paraId="180D6815">
      <w:pPr>
        <w:snapToGrid w:val="0"/>
        <w:spacing w:line="360" w:lineRule="auto"/>
        <w:ind w:left="355" w:leftChars="169" w:firstLine="102" w:firstLineChars="49"/>
        <w:rPr>
          <w:rFonts w:hint="eastAsia" w:ascii="宋体" w:hAnsi="宋体"/>
          <w:color w:val="auto"/>
          <w:highlight w:val="none"/>
        </w:rPr>
      </w:pPr>
      <w:r>
        <w:rPr>
          <w:rFonts w:hint="eastAsia" w:ascii="宋体" w:hAnsi="宋体"/>
          <w:color w:val="auto"/>
          <w:highlight w:val="none"/>
        </w:rPr>
        <w:t>（5）不同投标人的投标文件相互混装。</w:t>
      </w:r>
    </w:p>
    <w:p w14:paraId="555EA42D">
      <w:pPr>
        <w:snapToGrid w:val="0"/>
        <w:spacing w:line="360" w:lineRule="auto"/>
        <w:ind w:firstLine="517" w:firstLineChars="245"/>
        <w:rPr>
          <w:rFonts w:hint="eastAsia" w:ascii="宋体" w:hAnsi="宋体"/>
          <w:b/>
          <w:color w:val="auto"/>
          <w:szCs w:val="21"/>
          <w:highlight w:val="none"/>
        </w:rPr>
      </w:pPr>
      <w:r>
        <w:rPr>
          <w:rFonts w:hint="eastAsia" w:ascii="宋体" w:hAnsi="宋体"/>
          <w:b/>
          <w:color w:val="auto"/>
          <w:highlight w:val="none"/>
        </w:rPr>
        <w:t>29.属于</w:t>
      </w:r>
      <w:r>
        <w:rPr>
          <w:rFonts w:hint="eastAsia" w:ascii="宋体" w:hAnsi="宋体"/>
          <w:b/>
          <w:color w:val="auto"/>
          <w:szCs w:val="21"/>
          <w:highlight w:val="none"/>
        </w:rPr>
        <w:t>下列情形之一的，应予废标：</w:t>
      </w:r>
    </w:p>
    <w:p w14:paraId="2ACD40AE">
      <w:pPr>
        <w:tabs>
          <w:tab w:val="left" w:pos="840"/>
        </w:tabs>
        <w:snapToGrid w:val="0"/>
        <w:spacing w:line="360" w:lineRule="auto"/>
        <w:ind w:left="330" w:leftChars="157" w:firstLine="102" w:firstLineChars="49"/>
        <w:rPr>
          <w:rFonts w:hint="eastAsia" w:ascii="宋体" w:hAnsi="宋体"/>
          <w:color w:val="auto"/>
          <w:szCs w:val="21"/>
          <w:highlight w:val="none"/>
        </w:rPr>
      </w:pPr>
      <w:r>
        <w:rPr>
          <w:rFonts w:hint="eastAsia" w:ascii="宋体" w:hAnsi="宋体"/>
          <w:color w:val="auto"/>
          <w:szCs w:val="21"/>
          <w:highlight w:val="none"/>
        </w:rPr>
        <w:t>（1）符合专业条件的投标人或者对招标文件作实质响应的投标人不足3家的；</w:t>
      </w:r>
    </w:p>
    <w:p w14:paraId="1F372BC7">
      <w:pPr>
        <w:tabs>
          <w:tab w:val="left" w:pos="840"/>
        </w:tabs>
        <w:snapToGrid w:val="0"/>
        <w:spacing w:line="360" w:lineRule="auto"/>
        <w:ind w:left="330" w:leftChars="157" w:firstLine="105" w:firstLineChars="50"/>
        <w:rPr>
          <w:rFonts w:hint="eastAsia" w:ascii="宋体" w:hAnsi="宋体"/>
          <w:color w:val="auto"/>
          <w:szCs w:val="21"/>
          <w:highlight w:val="none"/>
        </w:rPr>
      </w:pPr>
      <w:r>
        <w:rPr>
          <w:rFonts w:hint="eastAsia" w:ascii="宋体" w:hAnsi="宋体"/>
          <w:color w:val="auto"/>
          <w:szCs w:val="21"/>
          <w:highlight w:val="none"/>
        </w:rPr>
        <w:t>（2）出现影响采购公正的违法、违规行为的；</w:t>
      </w:r>
    </w:p>
    <w:p w14:paraId="22973F98">
      <w:pPr>
        <w:tabs>
          <w:tab w:val="left" w:pos="840"/>
        </w:tabs>
        <w:snapToGrid w:val="0"/>
        <w:spacing w:line="360" w:lineRule="auto"/>
        <w:ind w:left="330" w:leftChars="157" w:firstLine="105" w:firstLineChars="50"/>
        <w:rPr>
          <w:rFonts w:hint="eastAsia" w:ascii="宋体" w:hAnsi="宋体"/>
          <w:color w:val="auto"/>
          <w:highlight w:val="none"/>
        </w:rPr>
      </w:pPr>
      <w:r>
        <w:rPr>
          <w:rFonts w:hint="eastAsia" w:ascii="宋体" w:hAnsi="宋体"/>
          <w:color w:val="auto"/>
          <w:highlight w:val="none"/>
        </w:rPr>
        <w:t>（3）采购文件内容违反国家有关强制性规定的；</w:t>
      </w:r>
    </w:p>
    <w:p w14:paraId="1F6F7CF1">
      <w:pPr>
        <w:tabs>
          <w:tab w:val="left" w:pos="840"/>
        </w:tabs>
        <w:snapToGrid w:val="0"/>
        <w:spacing w:line="360" w:lineRule="auto"/>
        <w:ind w:left="330" w:leftChars="157" w:firstLine="105" w:firstLineChars="50"/>
        <w:rPr>
          <w:rFonts w:hint="eastAsia" w:ascii="宋体" w:hAnsi="宋体"/>
          <w:color w:val="auto"/>
          <w:highlight w:val="none"/>
        </w:rPr>
      </w:pPr>
      <w:r>
        <w:rPr>
          <w:rFonts w:hint="eastAsia" w:ascii="宋体" w:hAnsi="宋体"/>
          <w:color w:val="auto"/>
          <w:highlight w:val="none"/>
        </w:rPr>
        <w:t>（4）因重大变故，采购任务取消的。</w:t>
      </w:r>
    </w:p>
    <w:p w14:paraId="1318F169">
      <w:pPr>
        <w:pStyle w:val="27"/>
        <w:spacing w:line="360" w:lineRule="auto"/>
        <w:ind w:firstLine="413" w:firstLineChars="196"/>
        <w:rPr>
          <w:rFonts w:hint="eastAsia" w:hAnsi="宋体"/>
          <w:b/>
          <w:color w:val="auto"/>
          <w:highlight w:val="none"/>
        </w:rPr>
      </w:pPr>
      <w:r>
        <w:rPr>
          <w:rFonts w:hint="eastAsia" w:hAnsi="宋体"/>
          <w:b/>
          <w:color w:val="auto"/>
          <w:highlight w:val="none"/>
        </w:rPr>
        <w:t>30.开标、评标过程的监控</w:t>
      </w:r>
    </w:p>
    <w:p w14:paraId="3EF2040A">
      <w:pPr>
        <w:pStyle w:val="27"/>
        <w:spacing w:line="360" w:lineRule="auto"/>
        <w:ind w:firstLine="411" w:firstLineChars="196"/>
        <w:rPr>
          <w:rFonts w:hint="eastAsia" w:hAnsi="宋体"/>
          <w:color w:val="auto"/>
          <w:highlight w:val="none"/>
        </w:rPr>
      </w:pPr>
      <w:r>
        <w:rPr>
          <w:rFonts w:hint="eastAsia" w:hAnsi="宋体"/>
          <w:color w:val="auto"/>
          <w:highlight w:val="none"/>
        </w:rPr>
        <w:t>本项目开标、评标过程实行全程录音、录像监控，投标人在评标过程中所进行的试图影响评标结果的不公正活动，可能导致其投标被拒绝。</w:t>
      </w:r>
    </w:p>
    <w:p w14:paraId="6591C4A1">
      <w:pPr>
        <w:pStyle w:val="27"/>
        <w:spacing w:line="360" w:lineRule="auto"/>
        <w:ind w:firstLine="413" w:firstLineChars="196"/>
        <w:rPr>
          <w:rFonts w:hint="eastAsia" w:hAnsi="宋体"/>
          <w:b/>
          <w:color w:val="auto"/>
          <w:highlight w:val="none"/>
        </w:rPr>
      </w:pPr>
      <w:r>
        <w:rPr>
          <w:rFonts w:hint="eastAsia" w:hAnsi="宋体"/>
          <w:b/>
          <w:color w:val="auto"/>
          <w:highlight w:val="none"/>
        </w:rPr>
        <w:t>31.中标人信用信息查询</w:t>
      </w:r>
    </w:p>
    <w:p w14:paraId="24313BE4">
      <w:pPr>
        <w:pStyle w:val="27"/>
        <w:spacing w:line="360" w:lineRule="auto"/>
        <w:ind w:firstLine="411" w:firstLineChars="196"/>
        <w:rPr>
          <w:rFonts w:hint="eastAsia" w:hAnsi="宋体"/>
          <w:color w:val="auto"/>
          <w:highlight w:val="none"/>
        </w:rPr>
      </w:pPr>
      <w:r>
        <w:rPr>
          <w:rFonts w:hint="eastAsia" w:hAnsi="宋体"/>
          <w:color w:val="auto"/>
          <w:highlight w:val="none"/>
        </w:rPr>
        <w:t>根据《关于做好政府采购有关信用主体标识码登记及在政府采购活动中查询使用信用记录有关问题的通知》桂财采〔2016〕37号的通知，采购代理机构对中标人进行信用查询：</w:t>
      </w:r>
    </w:p>
    <w:p w14:paraId="0FD366C8">
      <w:pPr>
        <w:pStyle w:val="27"/>
        <w:spacing w:line="360" w:lineRule="auto"/>
        <w:ind w:firstLine="283" w:firstLineChars="135"/>
        <w:rPr>
          <w:rFonts w:hint="eastAsia" w:hAnsi="宋体"/>
          <w:color w:val="auto"/>
          <w:highlight w:val="none"/>
        </w:rPr>
      </w:pPr>
      <w:r>
        <w:rPr>
          <w:rFonts w:hint="eastAsia" w:hAnsi="宋体"/>
          <w:color w:val="auto"/>
          <w:highlight w:val="none"/>
        </w:rPr>
        <w:t>（1）查询渠道：“信用中国”网站（www.creditchina.gov.cn）、中国政府采购网（www.ccgp.gov.cn）等；</w:t>
      </w:r>
    </w:p>
    <w:p w14:paraId="3C1ACF0A">
      <w:pPr>
        <w:pStyle w:val="27"/>
        <w:spacing w:line="360" w:lineRule="auto"/>
        <w:ind w:firstLine="283" w:firstLineChars="135"/>
        <w:rPr>
          <w:rFonts w:hint="eastAsia" w:hAnsi="宋体"/>
          <w:color w:val="auto"/>
          <w:highlight w:val="none"/>
        </w:rPr>
      </w:pPr>
      <w:r>
        <w:rPr>
          <w:rFonts w:hint="eastAsia" w:hAnsi="宋体"/>
          <w:color w:val="auto"/>
          <w:highlight w:val="none"/>
        </w:rPr>
        <w:t>（2）查询截止时间：中标通知书发出前；</w:t>
      </w:r>
    </w:p>
    <w:p w14:paraId="6B8577F0">
      <w:pPr>
        <w:pStyle w:val="27"/>
        <w:spacing w:line="360" w:lineRule="auto"/>
        <w:ind w:firstLine="283" w:firstLineChars="135"/>
        <w:rPr>
          <w:rFonts w:hint="eastAsia" w:hAnsi="宋体"/>
          <w:color w:val="auto"/>
          <w:highlight w:val="none"/>
        </w:rPr>
      </w:pPr>
      <w:r>
        <w:rPr>
          <w:rFonts w:hint="eastAsia" w:hAnsi="宋体"/>
          <w:color w:val="auto"/>
          <w:highlight w:val="none"/>
        </w:rPr>
        <w:t>（3）信用信息查询记录和证据留存方式：在查询网站中直接打印查询记录，打印材料作为采购活动资料保存；</w:t>
      </w:r>
    </w:p>
    <w:p w14:paraId="7A573310">
      <w:pPr>
        <w:pStyle w:val="27"/>
        <w:spacing w:line="360" w:lineRule="auto"/>
        <w:ind w:firstLine="283" w:firstLineChars="135"/>
        <w:rPr>
          <w:rFonts w:hint="eastAsia" w:hAnsi="宋体"/>
          <w:color w:val="auto"/>
          <w:highlight w:val="none"/>
        </w:rPr>
      </w:pPr>
      <w:r>
        <w:rPr>
          <w:rFonts w:hint="eastAsia" w:hAnsi="宋体"/>
          <w:color w:val="auto"/>
          <w:highlight w:val="none"/>
        </w:rPr>
        <w:t>（4）信用信息使用规则：在“信用中国”网站（www.creditchina.gov.cn）、中国政府采购网（www.ccgp.gov.cn）等渠道列入失信被执行人、重大税收违法案件当事人名单、政府采购严重违法失信行为记录名单及其他不符合《中华人民共和国政府采购法》第二十二条规定条件的投标人，不得参与政府采购活动，取消其中标候选人资格。采购人依法按照评标报告中评标委员会推荐中标候选人排序表确定排名第二的中标候选人为中标投标人或者重新组织采购。</w:t>
      </w:r>
    </w:p>
    <w:p w14:paraId="7E4ED6D5">
      <w:pPr>
        <w:pStyle w:val="27"/>
        <w:spacing w:line="360" w:lineRule="auto"/>
        <w:ind w:firstLine="413" w:firstLineChars="196"/>
        <w:rPr>
          <w:rFonts w:hint="eastAsia" w:hAnsi="宋体"/>
          <w:b/>
          <w:color w:val="auto"/>
          <w:highlight w:val="none"/>
        </w:rPr>
      </w:pPr>
      <w:r>
        <w:rPr>
          <w:rFonts w:hint="eastAsia" w:hAnsi="宋体"/>
          <w:b/>
          <w:color w:val="auto"/>
          <w:highlight w:val="none"/>
        </w:rPr>
        <w:t>32. 中标公告及中标通知书</w:t>
      </w:r>
    </w:p>
    <w:p w14:paraId="3194AA7B">
      <w:pPr>
        <w:pStyle w:val="27"/>
        <w:tabs>
          <w:tab w:val="left" w:pos="455"/>
        </w:tabs>
        <w:spacing w:line="360" w:lineRule="auto"/>
        <w:ind w:firstLine="420" w:firstLineChars="200"/>
        <w:rPr>
          <w:rFonts w:hint="eastAsia" w:hAnsi="宋体"/>
          <w:color w:val="auto"/>
          <w:highlight w:val="none"/>
        </w:rPr>
      </w:pPr>
      <w:r>
        <w:rPr>
          <w:rFonts w:hint="eastAsia" w:hAnsi="宋体"/>
          <w:color w:val="auto"/>
          <w:szCs w:val="21"/>
          <w:highlight w:val="none"/>
        </w:rPr>
        <w:t>32.1采购代理机构于评标结束后两个工作日内将评标报告送交采购人，采购人应当自收到评标报告五个工作日内在评标报告推荐的中标候选投标人中按顺序确定中标投标人；采购代理机构在中标投标人确定之日起两个工作日内在指定媒体上公告中标结果，</w:t>
      </w:r>
      <w:r>
        <w:rPr>
          <w:rFonts w:hAnsi="宋体"/>
          <w:color w:val="auto"/>
          <w:szCs w:val="21"/>
          <w:highlight w:val="none"/>
        </w:rPr>
        <w:t>中标公告期限为1个工作日</w:t>
      </w:r>
      <w:r>
        <w:rPr>
          <w:rFonts w:hint="eastAsia" w:hAnsi="宋体"/>
          <w:color w:val="auto"/>
          <w:szCs w:val="21"/>
          <w:highlight w:val="none"/>
        </w:rPr>
        <w:t>。</w:t>
      </w:r>
    </w:p>
    <w:p w14:paraId="2F5D0953">
      <w:pPr>
        <w:pStyle w:val="27"/>
        <w:spacing w:line="360" w:lineRule="auto"/>
        <w:ind w:firstLine="420" w:firstLineChars="200"/>
        <w:rPr>
          <w:rFonts w:hint="eastAsia" w:hAnsi="宋体"/>
          <w:color w:val="auto"/>
          <w:szCs w:val="21"/>
          <w:highlight w:val="none"/>
        </w:rPr>
      </w:pPr>
      <w:r>
        <w:rPr>
          <w:rFonts w:hint="eastAsia" w:hAnsi="宋体"/>
          <w:color w:val="auto"/>
          <w:szCs w:val="21"/>
          <w:highlight w:val="none"/>
        </w:rPr>
        <w:t>32.2中标公告发布同时，采购代理机构在线向中标投标人发出中标通知书。</w:t>
      </w:r>
    </w:p>
    <w:p w14:paraId="1F3B8A6C">
      <w:pPr>
        <w:widowControl/>
        <w:spacing w:line="360" w:lineRule="auto"/>
        <w:jc w:val="left"/>
        <w:rPr>
          <w:color w:val="auto"/>
          <w:highlight w:val="none"/>
        </w:rPr>
      </w:pPr>
    </w:p>
    <w:p w14:paraId="4A3A1FD5">
      <w:pPr>
        <w:tabs>
          <w:tab w:val="left" w:pos="1140"/>
        </w:tabs>
        <w:spacing w:line="360" w:lineRule="auto"/>
        <w:ind w:left="420" w:leftChars="200"/>
        <w:jc w:val="center"/>
        <w:outlineLvl w:val="0"/>
        <w:rPr>
          <w:rFonts w:hint="eastAsia" w:ascii="宋体" w:hAnsi="宋体"/>
          <w:b/>
          <w:color w:val="auto"/>
          <w:sz w:val="28"/>
          <w:szCs w:val="28"/>
          <w:highlight w:val="none"/>
        </w:rPr>
      </w:pPr>
      <w:bookmarkStart w:id="8" w:name="_Toc90288704"/>
      <w:r>
        <w:rPr>
          <w:rFonts w:hint="eastAsia" w:ascii="宋体" w:hAnsi="宋体"/>
          <w:b/>
          <w:color w:val="auto"/>
          <w:sz w:val="28"/>
          <w:szCs w:val="28"/>
          <w:highlight w:val="none"/>
        </w:rPr>
        <w:t>七、履约保证金及签订合同</w:t>
      </w:r>
      <w:bookmarkEnd w:id="8"/>
    </w:p>
    <w:p w14:paraId="32E41CF9">
      <w:pPr>
        <w:tabs>
          <w:tab w:val="left" w:pos="1305"/>
        </w:tabs>
        <w:spacing w:line="360" w:lineRule="auto"/>
        <w:ind w:firstLine="420" w:firstLineChars="199"/>
        <w:rPr>
          <w:rFonts w:hint="eastAsia" w:ascii="宋体" w:hAnsi="宋体"/>
          <w:color w:val="auto"/>
          <w:szCs w:val="21"/>
          <w:highlight w:val="none"/>
        </w:rPr>
      </w:pPr>
      <w:r>
        <w:rPr>
          <w:rFonts w:hint="eastAsia" w:ascii="宋体" w:hAnsi="宋体"/>
          <w:b/>
          <w:color w:val="auto"/>
          <w:highlight w:val="none"/>
        </w:rPr>
        <w:t>33</w:t>
      </w:r>
      <w:r>
        <w:rPr>
          <w:rFonts w:hint="eastAsia" w:ascii="宋体" w:hAnsi="宋体"/>
          <w:b/>
          <w:color w:val="auto"/>
          <w:szCs w:val="21"/>
          <w:highlight w:val="none"/>
        </w:rPr>
        <w:t>.履约保证金</w:t>
      </w:r>
    </w:p>
    <w:p w14:paraId="1AF5A02B">
      <w:pPr>
        <w:tabs>
          <w:tab w:val="left" w:pos="1140"/>
        </w:tabs>
        <w:spacing w:line="360" w:lineRule="auto"/>
        <w:ind w:firstLine="420" w:firstLineChars="200"/>
        <w:rPr>
          <w:rFonts w:hint="eastAsia" w:ascii="宋体" w:hAnsi="宋体"/>
          <w:color w:val="auto"/>
          <w:highlight w:val="none"/>
        </w:rPr>
      </w:pPr>
      <w:r>
        <w:rPr>
          <w:rFonts w:hint="eastAsia" w:ascii="宋体" w:hAnsi="宋体"/>
          <w:color w:val="auto"/>
          <w:szCs w:val="21"/>
          <w:highlight w:val="none"/>
          <w:lang w:val="en-US" w:eastAsia="zh-CN"/>
        </w:rPr>
        <w:t>无</w:t>
      </w:r>
      <w:r>
        <w:rPr>
          <w:rFonts w:ascii="宋体" w:hAnsi="宋体"/>
          <w:color w:val="auto"/>
          <w:highlight w:val="none"/>
        </w:rPr>
        <w:t xml:space="preserve"> </w:t>
      </w:r>
    </w:p>
    <w:p w14:paraId="5C0E459F">
      <w:pPr>
        <w:tabs>
          <w:tab w:val="left" w:pos="1140"/>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34.签订合同</w:t>
      </w:r>
    </w:p>
    <w:p w14:paraId="2A91C0DA">
      <w:pPr>
        <w:pStyle w:val="27"/>
        <w:spacing w:line="360" w:lineRule="auto"/>
        <w:ind w:left="2" w:leftChars="1" w:firstLine="420" w:firstLineChars="200"/>
        <w:rPr>
          <w:rFonts w:hint="eastAsia" w:hAnsi="宋体" w:cs="宋体"/>
          <w:color w:val="auto"/>
          <w:szCs w:val="21"/>
          <w:highlight w:val="none"/>
        </w:rPr>
      </w:pPr>
      <w:r>
        <w:rPr>
          <w:rFonts w:hint="eastAsia" w:hAnsi="宋体"/>
          <w:color w:val="auto"/>
          <w:szCs w:val="21"/>
          <w:highlight w:val="none"/>
        </w:rPr>
        <w:t>34.1签订合同时间：</w:t>
      </w:r>
      <w:r>
        <w:rPr>
          <w:rFonts w:hint="eastAsia" w:hAnsi="宋体" w:cs="宋体"/>
          <w:color w:val="auto"/>
          <w:szCs w:val="21"/>
          <w:highlight w:val="none"/>
        </w:rPr>
        <w:t>中标通知书发出之日八个工作日内。中标投标人领取中标通知书后，应按规定与采购人签订合同。</w:t>
      </w:r>
    </w:p>
    <w:p w14:paraId="34A027BD">
      <w:pPr>
        <w:pStyle w:val="27"/>
        <w:spacing w:line="360" w:lineRule="auto"/>
        <w:ind w:left="2" w:leftChars="1" w:firstLine="420" w:firstLineChars="200"/>
        <w:rPr>
          <w:rFonts w:hint="eastAsia" w:hAnsi="宋体"/>
          <w:color w:val="auto"/>
          <w:szCs w:val="21"/>
          <w:highlight w:val="none"/>
        </w:rPr>
      </w:pPr>
      <w:r>
        <w:rPr>
          <w:rFonts w:hint="eastAsia" w:hAnsi="宋体"/>
          <w:color w:val="auto"/>
          <w:szCs w:val="21"/>
          <w:highlight w:val="none"/>
        </w:rPr>
        <w:t>34.2如中标投标人有下列情形之一的，对其处以采购金额千分之五以上千分之十以下的罚款，情节严重的，由财政部门将其列入不良行为记录名单，在一至三年内禁止参加政府采购活动，并予以通报。采购人或者采购代理机构可从评标委员会推荐的中标候选投标人中按顺序重新确定中标投标人或重新组织招标。</w:t>
      </w:r>
    </w:p>
    <w:p w14:paraId="7F214E81">
      <w:pPr>
        <w:pStyle w:val="27"/>
        <w:spacing w:line="360" w:lineRule="auto"/>
        <w:ind w:firstLine="315" w:firstLineChars="150"/>
        <w:rPr>
          <w:rFonts w:hint="eastAsia" w:hAnsi="宋体"/>
          <w:color w:val="auto"/>
          <w:szCs w:val="21"/>
          <w:highlight w:val="none"/>
        </w:rPr>
      </w:pPr>
      <w:r>
        <w:rPr>
          <w:rFonts w:hint="eastAsia" w:hAnsi="宋体"/>
          <w:color w:val="auto"/>
          <w:szCs w:val="21"/>
          <w:highlight w:val="none"/>
        </w:rPr>
        <w:t>（1）中标后不与采购人签订合同的（不可抗力除外）；</w:t>
      </w:r>
    </w:p>
    <w:p w14:paraId="3BCDAAB1">
      <w:pPr>
        <w:pStyle w:val="27"/>
        <w:spacing w:line="360" w:lineRule="auto"/>
        <w:ind w:left="2" w:leftChars="1" w:firstLine="315" w:firstLineChars="150"/>
        <w:rPr>
          <w:rFonts w:hint="eastAsia" w:hAnsi="宋体"/>
          <w:color w:val="auto"/>
          <w:szCs w:val="21"/>
          <w:highlight w:val="none"/>
        </w:rPr>
      </w:pPr>
      <w:r>
        <w:rPr>
          <w:rFonts w:hint="eastAsia" w:hAnsi="宋体"/>
          <w:color w:val="auto"/>
          <w:szCs w:val="21"/>
          <w:highlight w:val="none"/>
        </w:rPr>
        <w:t>（2）将中标项目转让给他人，或者在投标文件中未说明，且未经采购人同意，将中标项目分包给他人的；</w:t>
      </w:r>
    </w:p>
    <w:p w14:paraId="5C1A1DA5">
      <w:pPr>
        <w:pStyle w:val="27"/>
        <w:spacing w:line="360" w:lineRule="auto"/>
        <w:ind w:firstLine="315" w:firstLineChars="150"/>
        <w:rPr>
          <w:rFonts w:hint="eastAsia" w:hAnsi="宋体"/>
          <w:color w:val="auto"/>
          <w:szCs w:val="21"/>
          <w:highlight w:val="none"/>
        </w:rPr>
      </w:pPr>
      <w:r>
        <w:rPr>
          <w:rFonts w:hint="eastAsia" w:hAnsi="宋体"/>
          <w:color w:val="auto"/>
          <w:szCs w:val="21"/>
          <w:highlight w:val="none"/>
        </w:rPr>
        <w:t>（3）拒绝履行合同义务的。</w:t>
      </w:r>
    </w:p>
    <w:p w14:paraId="70F01882">
      <w:pPr>
        <w:autoSpaceDE w:val="0"/>
        <w:autoSpaceDN w:val="0"/>
        <w:snapToGrid w:val="0"/>
        <w:spacing w:line="360" w:lineRule="auto"/>
        <w:ind w:firstLine="420" w:firstLineChars="200"/>
        <w:textAlignment w:val="bottom"/>
        <w:rPr>
          <w:rFonts w:hint="eastAsia" w:ascii="宋体" w:hAnsi="宋体"/>
          <w:b/>
          <w:color w:val="auto"/>
          <w:szCs w:val="21"/>
          <w:highlight w:val="none"/>
        </w:rPr>
      </w:pPr>
      <w:r>
        <w:rPr>
          <w:rFonts w:hint="eastAsia" w:ascii="宋体" w:hAnsi="宋体"/>
          <w:color w:val="auto"/>
          <w:szCs w:val="21"/>
          <w:highlight w:val="none"/>
        </w:rPr>
        <w:t xml:space="preserve"> 34.3合同备案存档：政府采购合同双方自签订之日起1个工作日内将合同原件壹份交采购代理机构存档。采购代理机构将政府采购合同在省级以上人民政府财政部门指定媒体上公告并在政采云系统中进行备案。</w:t>
      </w:r>
    </w:p>
    <w:p w14:paraId="45E91DB3">
      <w:pPr>
        <w:pStyle w:val="27"/>
        <w:spacing w:line="360" w:lineRule="auto"/>
        <w:ind w:left="2" w:leftChars="1" w:firstLine="422" w:firstLineChars="200"/>
        <w:rPr>
          <w:rFonts w:hint="eastAsia" w:hAnsi="宋体"/>
          <w:b/>
          <w:color w:val="auto"/>
          <w:szCs w:val="21"/>
          <w:highlight w:val="none"/>
        </w:rPr>
      </w:pPr>
      <w:r>
        <w:rPr>
          <w:rFonts w:hint="eastAsia" w:hAnsi="宋体"/>
          <w:b/>
          <w:color w:val="auto"/>
          <w:szCs w:val="21"/>
          <w:highlight w:val="none"/>
        </w:rPr>
        <w:t>注：未在广西政府采购云注册的成交投标人可在发出成交通知后登录广西政府采购云进行注册，如在操作过程中遇到问题或者需要技术支持，请致电广西政府采购云客服热线：95763。</w:t>
      </w:r>
    </w:p>
    <w:p w14:paraId="1B253A37">
      <w:pPr>
        <w:pStyle w:val="27"/>
        <w:spacing w:line="360" w:lineRule="auto"/>
        <w:ind w:left="2" w:leftChars="1" w:firstLine="422" w:firstLineChars="200"/>
        <w:rPr>
          <w:rFonts w:hint="eastAsia" w:hAnsi="宋体"/>
          <w:b/>
          <w:color w:val="auto"/>
          <w:szCs w:val="21"/>
          <w:highlight w:val="none"/>
        </w:rPr>
      </w:pPr>
    </w:p>
    <w:p w14:paraId="7E370FD1">
      <w:pPr>
        <w:widowControl/>
        <w:spacing w:line="360" w:lineRule="auto"/>
        <w:jc w:val="left"/>
        <w:rPr>
          <w:color w:val="auto"/>
          <w:highlight w:val="none"/>
        </w:rPr>
      </w:pPr>
    </w:p>
    <w:p w14:paraId="7D40E4C5">
      <w:pPr>
        <w:pStyle w:val="27"/>
        <w:spacing w:line="360" w:lineRule="auto"/>
        <w:ind w:left="2" w:leftChars="1" w:firstLine="562" w:firstLineChars="200"/>
        <w:jc w:val="center"/>
        <w:outlineLvl w:val="0"/>
        <w:rPr>
          <w:rFonts w:hint="eastAsia" w:hAnsi="宋体"/>
          <w:b/>
          <w:color w:val="auto"/>
          <w:sz w:val="28"/>
          <w:szCs w:val="28"/>
          <w:highlight w:val="none"/>
        </w:rPr>
      </w:pPr>
      <w:bookmarkStart w:id="9" w:name="_Toc90288705"/>
      <w:r>
        <w:rPr>
          <w:rFonts w:hint="eastAsia" w:hAnsi="宋体"/>
          <w:b/>
          <w:color w:val="auto"/>
          <w:sz w:val="28"/>
          <w:szCs w:val="28"/>
          <w:highlight w:val="none"/>
        </w:rPr>
        <w:t>八、其他事项</w:t>
      </w:r>
      <w:bookmarkEnd w:id="9"/>
    </w:p>
    <w:p w14:paraId="3D954637">
      <w:pPr>
        <w:pStyle w:val="27"/>
        <w:spacing w:line="360" w:lineRule="auto"/>
        <w:ind w:firstLine="422" w:firstLineChars="200"/>
        <w:rPr>
          <w:rFonts w:hint="eastAsia" w:hAnsi="宋体"/>
          <w:b/>
          <w:color w:val="auto"/>
          <w:highlight w:val="none"/>
        </w:rPr>
      </w:pPr>
      <w:r>
        <w:rPr>
          <w:rFonts w:hint="eastAsia" w:hAnsi="宋体"/>
          <w:b/>
          <w:color w:val="auto"/>
          <w:highlight w:val="none"/>
        </w:rPr>
        <w:t>35</w:t>
      </w:r>
      <w:r>
        <w:rPr>
          <w:rFonts w:hint="eastAsia" w:hAnsi="宋体"/>
          <w:b/>
          <w:color w:val="auto"/>
          <w:szCs w:val="21"/>
          <w:highlight w:val="none"/>
        </w:rPr>
        <w:t>.</w:t>
      </w:r>
      <w:r>
        <w:rPr>
          <w:rFonts w:hint="eastAsia" w:hAnsi="宋体"/>
          <w:b/>
          <w:color w:val="auto"/>
          <w:highlight w:val="none"/>
        </w:rPr>
        <w:t>招标代理服务费</w:t>
      </w:r>
    </w:p>
    <w:p w14:paraId="22B36E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本项目的采购代理服务费：参照计价格[2002]1980号《招标代理服务收费管理暂行办法》货物类收费标准计取。在领取中标通知书前，由</w:t>
      </w:r>
      <w:r>
        <w:rPr>
          <w:rFonts w:hint="eastAsia" w:ascii="宋体" w:hAnsi="宋体" w:cs="宋体"/>
          <w:color w:val="auto"/>
          <w:szCs w:val="21"/>
          <w:highlight w:val="none"/>
          <w:lang w:val="en-US" w:eastAsia="zh-CN"/>
        </w:rPr>
        <w:t>各标项</w:t>
      </w:r>
      <w:r>
        <w:rPr>
          <w:rFonts w:hint="eastAsia" w:ascii="宋体" w:hAnsi="宋体" w:cs="宋体"/>
          <w:color w:val="auto"/>
          <w:szCs w:val="21"/>
          <w:highlight w:val="none"/>
        </w:rPr>
        <w:t>中标人向</w:t>
      </w:r>
      <w:r>
        <w:rPr>
          <w:rFonts w:hint="eastAsia" w:ascii="宋体" w:hAnsi="宋体" w:cs="宋体"/>
          <w:color w:val="auto"/>
          <w:szCs w:val="21"/>
          <w:highlight w:val="none"/>
          <w:lang w:eastAsia="zh-CN"/>
        </w:rPr>
        <w:t>广西万安工程咨询有限公司</w:t>
      </w:r>
      <w:r>
        <w:rPr>
          <w:rFonts w:hint="eastAsia" w:ascii="宋体" w:hAnsi="宋体" w:cs="宋体"/>
          <w:color w:val="auto"/>
          <w:szCs w:val="21"/>
          <w:highlight w:val="none"/>
        </w:rPr>
        <w:t xml:space="preserve">一次性付清代理服务费。   </w:t>
      </w:r>
    </w:p>
    <w:p w14:paraId="589543D4">
      <w:pPr>
        <w:spacing w:line="360" w:lineRule="auto"/>
        <w:jc w:val="center"/>
        <w:rPr>
          <w:rFonts w:hint="eastAsia" w:ascii="宋体" w:hAnsi="宋体"/>
          <w:color w:val="auto"/>
          <w:szCs w:val="21"/>
          <w:highlight w:val="none"/>
        </w:rPr>
      </w:pPr>
      <w:r>
        <w:rPr>
          <w:rFonts w:hint="eastAsia" w:ascii="宋体" w:hAnsi="宋体"/>
          <w:color w:val="auto"/>
          <w:szCs w:val="21"/>
          <w:highlight w:val="none"/>
        </w:rPr>
        <w:t>招标代理服务收费标准</w:t>
      </w:r>
    </w:p>
    <w:tbl>
      <w:tblPr>
        <w:tblStyle w:val="51"/>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1B31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tcPr>
          <w:p w14:paraId="7157F34E">
            <w:pPr>
              <w:pStyle w:val="27"/>
              <w:keepNext w:val="0"/>
              <w:keepLines w:val="0"/>
              <w:suppressLineNumbers w:val="0"/>
              <w:spacing w:before="0" w:beforeAutospacing="0" w:after="0" w:afterAutospacing="0" w:line="360" w:lineRule="auto"/>
              <w:ind w:left="25" w:right="0"/>
              <w:rPr>
                <w:rFonts w:hint="eastAsia" w:hAnsi="宋体"/>
                <w:color w:val="auto"/>
                <w:highlight w:val="none"/>
              </w:rPr>
            </w:pPr>
            <w:r>
              <w:rPr>
                <w:rFonts w:hint="default" w:hAnsi="宋体"/>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19050</wp:posOffset>
                      </wp:positionV>
                      <wp:extent cx="1781810" cy="295910"/>
                      <wp:effectExtent l="635" t="4445" r="635" b="19685"/>
                      <wp:wrapNone/>
                      <wp:docPr id="1" name="直线 3"/>
                      <wp:cNvGraphicFramePr/>
                      <a:graphic xmlns:a="http://schemas.openxmlformats.org/drawingml/2006/main">
                        <a:graphicData uri="http://schemas.microsoft.com/office/word/2010/wordprocessingShape">
                          <wps:wsp>
                            <wps:cNvCnPr/>
                            <wps:spPr>
                              <a:xfrm>
                                <a:off x="0" y="0"/>
                                <a:ext cx="1781810" cy="29591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3" o:spid="_x0000_s1026" o:spt="20" style="position:absolute;left:0pt;margin-left:0.8pt;margin-top:1.5pt;height:23.3pt;width:140.3pt;z-index:251659264;mso-width-relative:page;mso-height-relative:page;" filled="f" stroked="t" coordsize="21600,21600" o:gfxdata="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1eZ49NQAAAAGAQAADwAA&#10;AAAAAAABACAAAAAiAAAAZHJzL2Rvd25yZXYueG1sUEsBAhQAFAAAAAgAh07iQD7Pcs7hAQAA1AMA&#10;AA4AAAAAAAAAAQAgAAAAIwEAAGRycy9lMm9Eb2MueG1sUEsFBgAAAAAGAAYAWQEAAHYFAAAAAA==&#10;">
                      <v:fill on="f" focussize="0,0"/>
                      <v:stroke color="#000000" joinstyle="round"/>
                      <v:imagedata o:title=""/>
                      <o:lock v:ext="edit" aspectratio="f"/>
                    </v:line>
                  </w:pict>
                </mc:Fallback>
              </mc:AlternateContent>
            </w:r>
            <w:r>
              <w:rPr>
                <w:rFonts w:hint="eastAsia" w:hAnsi="宋体"/>
                <w:color w:val="auto"/>
                <w:highlight w:val="none"/>
              </w:rPr>
              <w:t>折扣           服务类型</w:t>
            </w:r>
          </w:p>
          <w:p w14:paraId="561DE8A0">
            <w:pPr>
              <w:pStyle w:val="27"/>
              <w:keepNext w:val="0"/>
              <w:keepLines w:val="0"/>
              <w:suppressLineNumbers w:val="0"/>
              <w:spacing w:before="0" w:beforeAutospacing="0" w:after="0" w:afterAutospacing="0" w:line="360" w:lineRule="auto"/>
              <w:ind w:left="25" w:right="0"/>
              <w:rPr>
                <w:rFonts w:hint="eastAsia" w:hAnsi="宋体"/>
                <w:color w:val="auto"/>
                <w:highlight w:val="none"/>
              </w:rPr>
            </w:pPr>
            <w:r>
              <w:rPr>
                <w:rFonts w:hint="default" w:hAnsi="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39370</wp:posOffset>
                      </wp:positionV>
                      <wp:extent cx="1828800" cy="396240"/>
                      <wp:effectExtent l="1270" t="4445" r="13970" b="10795"/>
                      <wp:wrapNone/>
                      <wp:docPr id="2" name="直线 4"/>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margin-left:-5.4pt;margin-top:3.1pt;height:31.2pt;width:144pt;z-index:251660288;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AOr0TWAAAA&#10;CAEAAA8AAAAAAAAAAQAgAAAAIgAAAGRycy9kb3ducmV2LnhtbFBLAQIUABQAAAAIAIdO4kDBEbAU&#10;5gEAANQDAAAOAAAAAAAAAAEAIAAAACUBAABkcnMvZTJvRG9jLnhtbFBLBQYAAAAABgAGAFkBAAB9&#10;BQAAAAA=&#10;">
                      <v:fill on="f" focussize="0,0"/>
                      <v:stroke color="#000000" joinstyle="round"/>
                      <v:imagedata o:title=""/>
                      <o:lock v:ext="edit" aspectratio="f"/>
                    </v:line>
                  </w:pict>
                </mc:Fallback>
              </mc:AlternateContent>
            </w:r>
          </w:p>
          <w:p w14:paraId="5472348A">
            <w:pPr>
              <w:pStyle w:val="27"/>
              <w:keepNext w:val="0"/>
              <w:keepLines w:val="0"/>
              <w:suppressLineNumbers w:val="0"/>
              <w:spacing w:before="0" w:beforeAutospacing="0" w:after="0" w:afterAutospacing="0" w:line="360" w:lineRule="auto"/>
              <w:ind w:left="25" w:right="0"/>
              <w:rPr>
                <w:rFonts w:hint="eastAsia" w:hAnsi="宋体"/>
                <w:color w:val="auto"/>
                <w:highlight w:val="none"/>
              </w:rPr>
            </w:pPr>
            <w:r>
              <w:rPr>
                <w:rFonts w:hint="eastAsia" w:hAnsi="宋体"/>
                <w:color w:val="auto"/>
                <w:highlight w:val="none"/>
              </w:rPr>
              <w:t>中标金额（万元）</w:t>
            </w:r>
          </w:p>
        </w:tc>
        <w:tc>
          <w:tcPr>
            <w:tcW w:w="1841" w:type="dxa"/>
            <w:vAlign w:val="center"/>
          </w:tcPr>
          <w:p w14:paraId="3C5679FC">
            <w:pPr>
              <w:pStyle w:val="27"/>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货物招标</w:t>
            </w:r>
          </w:p>
        </w:tc>
        <w:tc>
          <w:tcPr>
            <w:tcW w:w="1992" w:type="dxa"/>
            <w:vAlign w:val="center"/>
          </w:tcPr>
          <w:p w14:paraId="5C9288F2">
            <w:pPr>
              <w:pStyle w:val="27"/>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服务招标</w:t>
            </w:r>
          </w:p>
        </w:tc>
        <w:tc>
          <w:tcPr>
            <w:tcW w:w="2293" w:type="dxa"/>
            <w:vAlign w:val="center"/>
          </w:tcPr>
          <w:p w14:paraId="7C9C81EE">
            <w:pPr>
              <w:pStyle w:val="27"/>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工程招标</w:t>
            </w:r>
          </w:p>
        </w:tc>
      </w:tr>
      <w:tr w14:paraId="4E8C7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tcPr>
          <w:p w14:paraId="5370F60F">
            <w:pPr>
              <w:pStyle w:val="27"/>
              <w:keepNext w:val="0"/>
              <w:keepLines w:val="0"/>
              <w:suppressLineNumbers w:val="0"/>
              <w:spacing w:before="0" w:beforeAutospacing="0" w:after="0" w:afterAutospacing="0" w:line="360" w:lineRule="auto"/>
              <w:ind w:left="25" w:right="0"/>
              <w:rPr>
                <w:rFonts w:hint="eastAsia" w:hAnsi="宋体"/>
                <w:color w:val="auto"/>
                <w:highlight w:val="none"/>
              </w:rPr>
            </w:pPr>
            <w:r>
              <w:rPr>
                <w:rFonts w:hint="eastAsia" w:hAnsi="宋体"/>
                <w:color w:val="auto"/>
                <w:highlight w:val="none"/>
              </w:rPr>
              <w:t>100以下</w:t>
            </w:r>
          </w:p>
        </w:tc>
        <w:tc>
          <w:tcPr>
            <w:tcW w:w="1841" w:type="dxa"/>
          </w:tcPr>
          <w:p w14:paraId="2F9C85E7">
            <w:pPr>
              <w:pStyle w:val="27"/>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1.5%</w:t>
            </w:r>
          </w:p>
        </w:tc>
        <w:tc>
          <w:tcPr>
            <w:tcW w:w="1992" w:type="dxa"/>
          </w:tcPr>
          <w:p w14:paraId="22C9AA57">
            <w:pPr>
              <w:pStyle w:val="27"/>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1.5%</w:t>
            </w:r>
          </w:p>
        </w:tc>
        <w:tc>
          <w:tcPr>
            <w:tcW w:w="2293" w:type="dxa"/>
          </w:tcPr>
          <w:p w14:paraId="2D9880A8">
            <w:pPr>
              <w:pStyle w:val="27"/>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1.0%</w:t>
            </w:r>
          </w:p>
        </w:tc>
      </w:tr>
      <w:tr w14:paraId="4FDB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tcPr>
          <w:p w14:paraId="7DD48510">
            <w:pPr>
              <w:pStyle w:val="27"/>
              <w:keepNext w:val="0"/>
              <w:keepLines w:val="0"/>
              <w:suppressLineNumbers w:val="0"/>
              <w:spacing w:before="0" w:beforeAutospacing="0" w:after="0" w:afterAutospacing="0" w:line="360" w:lineRule="auto"/>
              <w:ind w:left="25" w:right="0"/>
              <w:rPr>
                <w:rFonts w:hint="eastAsia" w:hAnsi="宋体"/>
                <w:color w:val="auto"/>
                <w:highlight w:val="none"/>
              </w:rPr>
            </w:pPr>
            <w:r>
              <w:rPr>
                <w:rFonts w:hint="eastAsia" w:hAnsi="宋体"/>
                <w:color w:val="auto"/>
                <w:highlight w:val="none"/>
              </w:rPr>
              <w:t>100-500</w:t>
            </w:r>
          </w:p>
        </w:tc>
        <w:tc>
          <w:tcPr>
            <w:tcW w:w="1841" w:type="dxa"/>
          </w:tcPr>
          <w:p w14:paraId="5D01B344">
            <w:pPr>
              <w:pStyle w:val="27"/>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1.1%</w:t>
            </w:r>
          </w:p>
        </w:tc>
        <w:tc>
          <w:tcPr>
            <w:tcW w:w="1992" w:type="dxa"/>
          </w:tcPr>
          <w:p w14:paraId="25472CAB">
            <w:pPr>
              <w:pStyle w:val="27"/>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0.8%</w:t>
            </w:r>
          </w:p>
        </w:tc>
        <w:tc>
          <w:tcPr>
            <w:tcW w:w="2293" w:type="dxa"/>
          </w:tcPr>
          <w:p w14:paraId="3689645A">
            <w:pPr>
              <w:pStyle w:val="27"/>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0.7%</w:t>
            </w:r>
          </w:p>
        </w:tc>
      </w:tr>
      <w:tr w14:paraId="03D90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39BF94B8">
            <w:pPr>
              <w:pStyle w:val="27"/>
              <w:keepNext w:val="0"/>
              <w:keepLines w:val="0"/>
              <w:suppressLineNumbers w:val="0"/>
              <w:spacing w:before="0" w:beforeAutospacing="0" w:after="0" w:afterAutospacing="0" w:line="360" w:lineRule="auto"/>
              <w:ind w:left="25" w:right="0"/>
              <w:rPr>
                <w:rFonts w:hint="eastAsia" w:hAnsi="宋体"/>
                <w:color w:val="auto"/>
                <w:highlight w:val="none"/>
              </w:rPr>
            </w:pPr>
            <w:r>
              <w:rPr>
                <w:rFonts w:hint="eastAsia" w:hAnsi="宋体"/>
                <w:color w:val="auto"/>
                <w:highlight w:val="none"/>
              </w:rPr>
              <w:t>500-1000</w:t>
            </w:r>
          </w:p>
        </w:tc>
        <w:tc>
          <w:tcPr>
            <w:tcW w:w="1841" w:type="dxa"/>
          </w:tcPr>
          <w:p w14:paraId="05B919C2">
            <w:pPr>
              <w:pStyle w:val="27"/>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0.8%</w:t>
            </w:r>
          </w:p>
        </w:tc>
        <w:tc>
          <w:tcPr>
            <w:tcW w:w="1992" w:type="dxa"/>
          </w:tcPr>
          <w:p w14:paraId="291DE2D2">
            <w:pPr>
              <w:pStyle w:val="27"/>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0.45%</w:t>
            </w:r>
          </w:p>
        </w:tc>
        <w:tc>
          <w:tcPr>
            <w:tcW w:w="2293" w:type="dxa"/>
          </w:tcPr>
          <w:p w14:paraId="7A9366BB">
            <w:pPr>
              <w:pStyle w:val="27"/>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0.55%</w:t>
            </w:r>
          </w:p>
        </w:tc>
      </w:tr>
      <w:tr w14:paraId="54A4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383A07CF">
            <w:pPr>
              <w:pStyle w:val="27"/>
              <w:keepNext w:val="0"/>
              <w:keepLines w:val="0"/>
              <w:suppressLineNumbers w:val="0"/>
              <w:spacing w:before="0" w:beforeAutospacing="0" w:after="0" w:afterAutospacing="0" w:line="360" w:lineRule="auto"/>
              <w:ind w:left="25" w:right="0"/>
              <w:rPr>
                <w:rFonts w:hint="eastAsia" w:hAnsi="宋体"/>
                <w:color w:val="auto"/>
                <w:highlight w:val="none"/>
              </w:rPr>
            </w:pPr>
            <w:r>
              <w:rPr>
                <w:rFonts w:hint="eastAsia" w:hAnsi="宋体"/>
                <w:color w:val="auto"/>
                <w:highlight w:val="none"/>
              </w:rPr>
              <w:t>1000-5000</w:t>
            </w:r>
          </w:p>
        </w:tc>
        <w:tc>
          <w:tcPr>
            <w:tcW w:w="1841" w:type="dxa"/>
          </w:tcPr>
          <w:p w14:paraId="254A5164">
            <w:pPr>
              <w:pStyle w:val="27"/>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0.5%</w:t>
            </w:r>
          </w:p>
        </w:tc>
        <w:tc>
          <w:tcPr>
            <w:tcW w:w="1992" w:type="dxa"/>
          </w:tcPr>
          <w:p w14:paraId="2F211DDB">
            <w:pPr>
              <w:pStyle w:val="27"/>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0.25%</w:t>
            </w:r>
          </w:p>
        </w:tc>
        <w:tc>
          <w:tcPr>
            <w:tcW w:w="2293" w:type="dxa"/>
          </w:tcPr>
          <w:p w14:paraId="24831AB3">
            <w:pPr>
              <w:pStyle w:val="27"/>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0.35%</w:t>
            </w:r>
          </w:p>
        </w:tc>
      </w:tr>
      <w:tr w14:paraId="6F669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344A1E77">
            <w:pPr>
              <w:pStyle w:val="27"/>
              <w:keepNext w:val="0"/>
              <w:keepLines w:val="0"/>
              <w:suppressLineNumbers w:val="0"/>
              <w:spacing w:before="0" w:beforeAutospacing="0" w:after="0" w:afterAutospacing="0" w:line="360" w:lineRule="auto"/>
              <w:ind w:left="25" w:right="0"/>
              <w:rPr>
                <w:rFonts w:hint="eastAsia" w:hAnsi="宋体"/>
                <w:color w:val="auto"/>
                <w:highlight w:val="none"/>
              </w:rPr>
            </w:pPr>
            <w:r>
              <w:rPr>
                <w:rFonts w:hint="eastAsia" w:hAnsi="宋体"/>
                <w:color w:val="auto"/>
                <w:highlight w:val="none"/>
              </w:rPr>
              <w:t>5000-10000</w:t>
            </w:r>
          </w:p>
        </w:tc>
        <w:tc>
          <w:tcPr>
            <w:tcW w:w="1841" w:type="dxa"/>
          </w:tcPr>
          <w:p w14:paraId="1A7F7C0C">
            <w:pPr>
              <w:pStyle w:val="27"/>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0.25%</w:t>
            </w:r>
          </w:p>
        </w:tc>
        <w:tc>
          <w:tcPr>
            <w:tcW w:w="1992" w:type="dxa"/>
          </w:tcPr>
          <w:p w14:paraId="27C69068">
            <w:pPr>
              <w:pStyle w:val="27"/>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0.1%</w:t>
            </w:r>
          </w:p>
        </w:tc>
        <w:tc>
          <w:tcPr>
            <w:tcW w:w="2293" w:type="dxa"/>
          </w:tcPr>
          <w:p w14:paraId="079EBA87">
            <w:pPr>
              <w:pStyle w:val="27"/>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0.2%</w:t>
            </w:r>
          </w:p>
        </w:tc>
      </w:tr>
    </w:tbl>
    <w:p w14:paraId="4CDE4326">
      <w:pPr>
        <w:pStyle w:val="27"/>
        <w:spacing w:line="360" w:lineRule="auto"/>
        <w:ind w:left="25"/>
        <w:rPr>
          <w:rFonts w:hint="eastAsia" w:hAnsi="宋体"/>
          <w:color w:val="auto"/>
          <w:highlight w:val="none"/>
        </w:rPr>
      </w:pPr>
      <w:r>
        <w:rPr>
          <w:rFonts w:hint="eastAsia" w:hAnsi="宋体"/>
          <w:color w:val="auto"/>
          <w:highlight w:val="none"/>
        </w:rPr>
        <w:t>注：招标代理服务收费按差额定率累进法计算。</w:t>
      </w:r>
    </w:p>
    <w:p w14:paraId="540EDF0C">
      <w:pPr>
        <w:pStyle w:val="27"/>
        <w:snapToGrid w:val="0"/>
        <w:spacing w:line="360" w:lineRule="auto"/>
        <w:ind w:firstLine="422" w:firstLineChars="200"/>
        <w:rPr>
          <w:rFonts w:hint="eastAsia" w:hAnsi="宋体"/>
          <w:color w:val="auto"/>
          <w:szCs w:val="21"/>
          <w:highlight w:val="none"/>
        </w:rPr>
      </w:pPr>
      <w:r>
        <w:rPr>
          <w:rFonts w:hint="eastAsia" w:hAnsi="宋体"/>
          <w:b/>
          <w:color w:val="auto"/>
          <w:szCs w:val="21"/>
          <w:highlight w:val="none"/>
        </w:rPr>
        <w:t>3</w:t>
      </w:r>
      <w:r>
        <w:rPr>
          <w:rFonts w:hint="eastAsia" w:hAnsi="宋体"/>
          <w:b/>
          <w:color w:val="auto"/>
          <w:szCs w:val="21"/>
          <w:highlight w:val="none"/>
          <w:lang w:val="en-US" w:eastAsia="zh-CN"/>
        </w:rPr>
        <w:t>6</w:t>
      </w:r>
      <w:r>
        <w:rPr>
          <w:rFonts w:hint="eastAsia" w:hAnsi="宋体"/>
          <w:b/>
          <w:color w:val="auto"/>
          <w:szCs w:val="21"/>
          <w:highlight w:val="none"/>
        </w:rPr>
        <w:t>.</w:t>
      </w:r>
      <w:r>
        <w:rPr>
          <w:rFonts w:hint="eastAsia" w:hAnsi="宋体"/>
          <w:color w:val="auto"/>
          <w:szCs w:val="21"/>
          <w:highlight w:val="none"/>
        </w:rPr>
        <w:t>解释权：本招标文件是根据《中华人民共和国政府采购法》、《中华人民共和国政府采购法实施条例》、</w:t>
      </w:r>
      <w:r>
        <w:rPr>
          <w:rStyle w:val="54"/>
          <w:rFonts w:ascii="宋体" w:hAnsi="宋体" w:cs="Arial"/>
          <w:b w:val="0"/>
          <w:color w:val="auto"/>
          <w:szCs w:val="21"/>
          <w:highlight w:val="none"/>
        </w:rPr>
        <w:t>财政部令第87号</w:t>
      </w:r>
      <w:r>
        <w:rPr>
          <w:rFonts w:hAnsi="宋体" w:cs="Arial"/>
          <w:color w:val="auto"/>
          <w:szCs w:val="21"/>
          <w:highlight w:val="none"/>
        </w:rPr>
        <w:t>《政府采购货物和服务招标投标管理办法》</w:t>
      </w:r>
      <w:r>
        <w:rPr>
          <w:rFonts w:hint="eastAsia" w:hAnsi="宋体"/>
          <w:color w:val="auto"/>
          <w:szCs w:val="21"/>
          <w:highlight w:val="none"/>
        </w:rPr>
        <w:t>和政府采购管理有关规定编制，本招标文件的解释权属于采购代理机构。</w:t>
      </w:r>
    </w:p>
    <w:p w14:paraId="598FA826">
      <w:pPr>
        <w:pStyle w:val="27"/>
        <w:snapToGrid w:val="0"/>
        <w:spacing w:line="360" w:lineRule="auto"/>
        <w:ind w:firstLine="422" w:firstLineChars="200"/>
        <w:rPr>
          <w:rFonts w:hint="eastAsia" w:hAnsi="宋体"/>
          <w:color w:val="auto"/>
          <w:szCs w:val="21"/>
          <w:highlight w:val="none"/>
        </w:rPr>
      </w:pPr>
      <w:r>
        <w:rPr>
          <w:rFonts w:hint="eastAsia" w:hAnsi="宋体"/>
          <w:b/>
          <w:color w:val="auto"/>
          <w:szCs w:val="21"/>
          <w:highlight w:val="none"/>
        </w:rPr>
        <w:t>3</w:t>
      </w:r>
      <w:r>
        <w:rPr>
          <w:rFonts w:hint="eastAsia" w:hAnsi="宋体"/>
          <w:b/>
          <w:color w:val="auto"/>
          <w:szCs w:val="21"/>
          <w:highlight w:val="none"/>
          <w:lang w:val="en-US" w:eastAsia="zh-CN"/>
        </w:rPr>
        <w:t>7</w:t>
      </w:r>
      <w:r>
        <w:rPr>
          <w:rFonts w:hint="eastAsia" w:hAnsi="宋体"/>
          <w:b/>
          <w:color w:val="auto"/>
          <w:szCs w:val="21"/>
          <w:highlight w:val="none"/>
        </w:rPr>
        <w:t>.</w:t>
      </w:r>
      <w:r>
        <w:rPr>
          <w:rFonts w:hint="eastAsia" w:hAnsi="宋体"/>
          <w:color w:val="auto"/>
          <w:szCs w:val="21"/>
          <w:highlight w:val="none"/>
        </w:rPr>
        <w:t>监督管理机构：</w:t>
      </w:r>
      <w:r>
        <w:rPr>
          <w:rFonts w:hint="eastAsia" w:ascii="宋体" w:hAnsi="宋体"/>
          <w:color w:val="auto"/>
          <w:highlight w:val="none"/>
          <w:lang w:val="en-US" w:eastAsia="zh-CN"/>
        </w:rPr>
        <w:t>阳朔县财政局</w:t>
      </w:r>
      <w:r>
        <w:rPr>
          <w:rFonts w:hint="eastAsia" w:hAnsi="宋体"/>
          <w:color w:val="auto"/>
          <w:szCs w:val="21"/>
          <w:highlight w:val="none"/>
        </w:rPr>
        <w:t>       联系电话：</w:t>
      </w:r>
      <w:r>
        <w:rPr>
          <w:rFonts w:hint="eastAsia" w:ascii="宋体" w:hAnsi="宋体"/>
          <w:color w:val="auto"/>
          <w:highlight w:val="none"/>
          <w:lang w:eastAsia="zh-CN"/>
        </w:rPr>
        <w:t>0773-</w:t>
      </w:r>
      <w:r>
        <w:rPr>
          <w:rFonts w:hint="eastAsia" w:ascii="宋体" w:hAnsi="宋体"/>
          <w:color w:val="auto"/>
          <w:highlight w:val="none"/>
          <w:lang w:val="en-US" w:eastAsia="zh-CN"/>
        </w:rPr>
        <w:t>8811598</w:t>
      </w:r>
    </w:p>
    <w:p w14:paraId="77329D02">
      <w:pPr>
        <w:pStyle w:val="27"/>
        <w:snapToGrid w:val="0"/>
        <w:spacing w:line="360" w:lineRule="auto"/>
        <w:ind w:firstLine="422" w:firstLineChars="200"/>
        <w:rPr>
          <w:rFonts w:hint="eastAsia" w:hAnsi="宋体"/>
          <w:color w:val="auto"/>
          <w:szCs w:val="21"/>
          <w:highlight w:val="none"/>
        </w:rPr>
      </w:pPr>
      <w:r>
        <w:rPr>
          <w:rFonts w:hint="eastAsia" w:hAnsi="宋体"/>
          <w:b/>
          <w:color w:val="auto"/>
          <w:szCs w:val="21"/>
          <w:highlight w:val="none"/>
        </w:rPr>
        <w:t>3</w:t>
      </w:r>
      <w:r>
        <w:rPr>
          <w:rFonts w:hint="eastAsia" w:hAnsi="宋体"/>
          <w:b/>
          <w:color w:val="auto"/>
          <w:szCs w:val="21"/>
          <w:highlight w:val="none"/>
          <w:lang w:val="en-US" w:eastAsia="zh-CN"/>
        </w:rPr>
        <w:t>8</w:t>
      </w:r>
      <w:r>
        <w:rPr>
          <w:rFonts w:hint="eastAsia" w:hAnsi="宋体"/>
          <w:b/>
          <w:color w:val="auto"/>
          <w:szCs w:val="21"/>
          <w:highlight w:val="none"/>
        </w:rPr>
        <w:t>.</w:t>
      </w:r>
      <w:r>
        <w:rPr>
          <w:rFonts w:hint="eastAsia" w:hAnsi="宋体"/>
          <w:color w:val="auto"/>
          <w:szCs w:val="21"/>
          <w:highlight w:val="none"/>
        </w:rPr>
        <w:t>根据中国人民银行桂林市中心支行 桂林市财政局关于转发《中国人民银行南宁中心支行广西壮族自治区财政厅关于推广线上“政采贷”融资模式的通知》的通知【桂人银发（2021）246号】，支持银行金融机构与政府采购投标人开展线上“政采贷”业务，具体内容详见《广西线上“政采贷”政策告知函》。</w:t>
      </w:r>
    </w:p>
    <w:p w14:paraId="6BBE4272">
      <w:pPr>
        <w:widowControl/>
        <w:jc w:val="left"/>
        <w:rPr>
          <w:color w:val="auto"/>
          <w:highlight w:val="none"/>
        </w:rPr>
      </w:pPr>
    </w:p>
    <w:p w14:paraId="7D07FED4">
      <w:pPr>
        <w:pStyle w:val="233"/>
        <w:ind w:firstLine="480"/>
        <w:rPr>
          <w:rFonts w:ascii="Times New Roman"/>
          <w:color w:val="auto"/>
          <w:highlight w:val="none"/>
        </w:rPr>
      </w:pPr>
      <w:r>
        <w:rPr>
          <w:rFonts w:hint="eastAsia" w:ascii="Times New Roman"/>
          <w:color w:val="auto"/>
          <w:highlight w:val="none"/>
        </w:rPr>
        <w:drawing>
          <wp:inline distT="0" distB="0" distL="114300" distR="114300">
            <wp:extent cx="5336540" cy="4509770"/>
            <wp:effectExtent l="0" t="0" r="0" b="127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5"/>
                    <a:srcRect t="13455" r="-1129" b="25998"/>
                    <a:stretch>
                      <a:fillRect/>
                    </a:stretch>
                  </pic:blipFill>
                  <pic:spPr>
                    <a:xfrm>
                      <a:off x="0" y="0"/>
                      <a:ext cx="5336540" cy="4509770"/>
                    </a:xfrm>
                    <a:prstGeom prst="rect">
                      <a:avLst/>
                    </a:prstGeom>
                    <a:noFill/>
                    <a:ln>
                      <a:noFill/>
                    </a:ln>
                  </pic:spPr>
                </pic:pic>
              </a:graphicData>
            </a:graphic>
          </wp:inline>
        </w:drawing>
      </w:r>
    </w:p>
    <w:p w14:paraId="36C80F1D">
      <w:pPr>
        <w:spacing w:line="360" w:lineRule="exact"/>
        <w:jc w:val="center"/>
        <w:rPr>
          <w:rFonts w:hint="eastAsia" w:ascii="宋体" w:hAnsi="宋体"/>
          <w:b/>
          <w:color w:val="auto"/>
          <w:sz w:val="32"/>
          <w:szCs w:val="32"/>
          <w:highlight w:val="none"/>
        </w:rPr>
      </w:pPr>
    </w:p>
    <w:p w14:paraId="33F8AE5E">
      <w:pPr>
        <w:spacing w:line="360" w:lineRule="exact"/>
        <w:jc w:val="center"/>
        <w:rPr>
          <w:rFonts w:hint="eastAsia" w:ascii="宋体" w:hAnsi="宋体"/>
          <w:b/>
          <w:color w:val="auto"/>
          <w:sz w:val="32"/>
          <w:szCs w:val="32"/>
          <w:highlight w:val="none"/>
        </w:rPr>
      </w:pPr>
    </w:p>
    <w:p w14:paraId="66461607">
      <w:pPr>
        <w:pStyle w:val="233"/>
        <w:ind w:firstLine="480"/>
        <w:rPr>
          <w:rFonts w:ascii="Times New Roman"/>
          <w:color w:val="auto"/>
          <w:highlight w:val="none"/>
        </w:rPr>
      </w:pPr>
    </w:p>
    <w:p w14:paraId="1203CAA5">
      <w:pPr>
        <w:rPr>
          <w:rFonts w:hint="eastAsia" w:ascii="宋体" w:hAnsi="宋体"/>
          <w:b/>
          <w:color w:val="auto"/>
          <w:highlight w:val="none"/>
        </w:rPr>
      </w:pPr>
      <w:bookmarkStart w:id="10" w:name="_Toc90288707"/>
    </w:p>
    <w:p w14:paraId="3D61921B">
      <w:pPr>
        <w:rPr>
          <w:rFonts w:hint="eastAsia" w:ascii="宋体" w:hAnsi="宋体"/>
          <w:b/>
          <w:color w:val="auto"/>
          <w:highlight w:val="none"/>
        </w:rPr>
      </w:pPr>
      <w:r>
        <w:rPr>
          <w:rFonts w:hint="eastAsia" w:ascii="宋体" w:hAnsi="宋体"/>
          <w:b/>
          <w:color w:val="auto"/>
          <w:highlight w:val="none"/>
        </w:rPr>
        <w:br w:type="page"/>
      </w:r>
    </w:p>
    <w:p w14:paraId="355F94B6">
      <w:pPr>
        <w:pStyle w:val="2"/>
        <w:spacing w:before="0" w:beforeLines="0"/>
        <w:ind w:left="0" w:firstLine="643"/>
        <w:jc w:val="center"/>
        <w:rPr>
          <w:rFonts w:hint="eastAsia" w:ascii="宋体" w:hAnsi="宋体"/>
          <w:b/>
          <w:color w:val="auto"/>
          <w:highlight w:val="none"/>
        </w:rPr>
      </w:pPr>
      <w:r>
        <w:rPr>
          <w:rFonts w:hint="eastAsia" w:ascii="宋体" w:hAnsi="宋体"/>
          <w:b/>
          <w:color w:val="auto"/>
          <w:highlight w:val="none"/>
        </w:rPr>
        <w:t>第三章</w:t>
      </w:r>
      <w:r>
        <w:rPr>
          <w:rFonts w:hint="eastAsia" w:ascii="宋体" w:hAnsi="宋体"/>
          <w:b/>
          <w:color w:val="auto"/>
          <w:highlight w:val="none"/>
          <w:lang w:val="en-US"/>
        </w:rPr>
        <w:t xml:space="preserve"> </w:t>
      </w:r>
      <w:r>
        <w:rPr>
          <w:rFonts w:hint="eastAsia" w:ascii="宋体" w:hAnsi="宋体"/>
          <w:b/>
          <w:color w:val="auto"/>
          <w:highlight w:val="none"/>
        </w:rPr>
        <w:t>货物采购需求</w:t>
      </w:r>
    </w:p>
    <w:p w14:paraId="2ED8D3B3">
      <w:pPr>
        <w:ind w:firstLine="562"/>
        <w:rPr>
          <w:b/>
          <w:bCs/>
          <w:color w:val="auto"/>
          <w:sz w:val="28"/>
          <w:szCs w:val="28"/>
          <w:highlight w:val="none"/>
        </w:rPr>
      </w:pPr>
    </w:p>
    <w:p w14:paraId="4F3E3BBD">
      <w:pPr>
        <w:spacing w:line="360" w:lineRule="auto"/>
        <w:rPr>
          <w:rFonts w:hint="eastAsia" w:ascii="宋体" w:hAnsi="宋体"/>
          <w:bCs/>
          <w:color w:val="auto"/>
          <w:highlight w:val="none"/>
        </w:rPr>
      </w:pPr>
      <w:r>
        <w:rPr>
          <w:rFonts w:hint="eastAsia" w:ascii="宋体" w:hAnsi="宋体"/>
          <w:bCs/>
          <w:color w:val="auto"/>
          <w:highlight w:val="none"/>
        </w:rPr>
        <w:t>说明：</w:t>
      </w:r>
    </w:p>
    <w:p w14:paraId="517380F0">
      <w:pPr>
        <w:keepNext w:val="0"/>
        <w:keepLines w:val="0"/>
        <w:widowControl w:val="0"/>
        <w:suppressLineNumbers w:val="0"/>
        <w:adjustRightInd w:val="0"/>
        <w:spacing w:before="0" w:beforeAutospacing="0" w:after="0" w:afterAutospacing="0" w:line="390" w:lineRule="exact"/>
        <w:ind w:left="0" w:right="0" w:firstLine="422"/>
        <w:jc w:val="both"/>
        <w:rPr>
          <w:rFonts w:hint="eastAsia" w:ascii="宋体" w:hAnsi="宋体" w:eastAsia="宋体" w:cs="宋体"/>
          <w:b/>
          <w:bCs w:val="0"/>
          <w:color w:val="auto"/>
          <w:kern w:val="0"/>
          <w:sz w:val="21"/>
          <w:szCs w:val="21"/>
          <w:highlight w:val="none"/>
        </w:rPr>
      </w:pPr>
      <w:r>
        <w:rPr>
          <w:rFonts w:hint="eastAsia" w:ascii="宋体" w:hAnsi="宋体" w:eastAsia="宋体" w:cs="宋体"/>
          <w:b/>
          <w:bCs w:val="0"/>
          <w:color w:val="auto"/>
          <w:kern w:val="0"/>
          <w:sz w:val="21"/>
          <w:szCs w:val="21"/>
          <w:highlight w:val="none"/>
          <w:lang w:val="en-US" w:eastAsia="zh-CN" w:bidi="ar"/>
        </w:rPr>
        <w:t>一、本项目所要执行的政府采购政策：</w:t>
      </w:r>
    </w:p>
    <w:p w14:paraId="1EC12C02">
      <w:pPr>
        <w:keepNext w:val="0"/>
        <w:keepLines w:val="0"/>
        <w:widowControl w:val="0"/>
        <w:suppressLineNumbers w:val="0"/>
        <w:spacing w:before="0" w:beforeAutospacing="0" w:after="0" w:afterAutospacing="0" w:line="390" w:lineRule="exact"/>
        <w:ind w:left="0" w:right="0" w:firstLine="405" w:firstLineChars="193"/>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根据《政府采购促进中小企业发展管理办法》（财库[2020]46号）、《广西壮族自治区财政厅关于进一步发挥政府采购政策功能促进企业发展的通知》（桂财采〔2022〕30号），本项目提供的货物全部由符合政策要求的小型或者微型企业制造，即货物由小型或者微型企业生产且使用该小型或者微型企业商号或者注册商标的，供应商的最后报价给予20%的扣除。</w:t>
      </w:r>
      <w:r>
        <w:rPr>
          <w:rFonts w:hint="eastAsia" w:ascii="宋体" w:hAnsi="宋体" w:eastAsia="宋体" w:cs="宋体"/>
          <w:color w:val="auto"/>
          <w:kern w:val="2"/>
          <w:sz w:val="21"/>
          <w:szCs w:val="21"/>
          <w:highlight w:val="none"/>
          <w:lang w:val="en-US" w:eastAsia="zh-CN" w:bidi="ar"/>
        </w:rPr>
        <w:t>监狱企业、残疾人福利性单位属于小型、微型企业的，不重复享受政策。</w:t>
      </w:r>
    </w:p>
    <w:p w14:paraId="7CDF0164">
      <w:pPr>
        <w:keepNext w:val="0"/>
        <w:keepLines w:val="0"/>
        <w:widowControl w:val="0"/>
        <w:suppressLineNumbers w:val="0"/>
        <w:spacing w:before="0" w:beforeAutospacing="0" w:after="0" w:afterAutospacing="0" w:line="390" w:lineRule="exact"/>
        <w:ind w:left="0" w:right="0" w:firstLine="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2.根据财政部、司法部《关于政府采购支持监狱企业发展有关问题的通知》（财库[2014]68号），监狱企业视同小型、微型企业，享受预留份额、评审中价格扣除等政府采购政策。</w:t>
      </w:r>
      <w:r>
        <w:rPr>
          <w:rFonts w:hint="eastAsia" w:ascii="宋体" w:hAnsi="宋体" w:eastAsia="宋体" w:cs="宋体"/>
          <w:bCs/>
          <w:color w:val="auto"/>
          <w:kern w:val="2"/>
          <w:sz w:val="21"/>
          <w:szCs w:val="21"/>
          <w:highlight w:val="none"/>
          <w:lang w:val="en-US" w:eastAsia="zh-CN" w:bidi="ar"/>
        </w:rPr>
        <w:t>监狱企业属于小型、微型企业的，不重复享受政策。</w:t>
      </w:r>
    </w:p>
    <w:p w14:paraId="080B3F96">
      <w:pPr>
        <w:keepNext w:val="0"/>
        <w:keepLines w:val="0"/>
        <w:widowControl w:val="0"/>
        <w:suppressLineNumbers w:val="0"/>
        <w:spacing w:before="0" w:beforeAutospacing="0" w:after="0" w:afterAutospacing="0" w:line="390" w:lineRule="exact"/>
        <w:ind w:left="0" w:right="0" w:firstLine="420"/>
        <w:jc w:val="both"/>
        <w:rPr>
          <w:rFonts w:hint="eastAsia" w:ascii="宋体" w:hAnsi="宋体" w:eastAsia="宋体" w:cs="宋体"/>
          <w:bCs/>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3.按照</w:t>
      </w:r>
      <w:r>
        <w:rPr>
          <w:rFonts w:hint="eastAsia" w:ascii="宋体" w:hAnsi="宋体" w:eastAsia="宋体" w:cs="宋体"/>
          <w:bCs/>
          <w:color w:val="auto"/>
          <w:kern w:val="2"/>
          <w:sz w:val="21"/>
          <w:szCs w:val="21"/>
          <w:highlight w:val="none"/>
          <w:lang w:val="en-US" w:eastAsia="zh-CN" w:bidi="ar"/>
        </w:rPr>
        <w:t>《关于促进残疾人就业政府采购政策的通知》（财库〔2017〕141号）的规定，残疾人福利性单位视同小型、微型企业，享受预留份额、评审中价格扣除等促进中小企业发展的政府采购政策。残疾人福利性单位属于小型、微型企业的，不重复享受政策。</w:t>
      </w:r>
    </w:p>
    <w:p w14:paraId="3052A4AC">
      <w:pPr>
        <w:keepNext w:val="0"/>
        <w:keepLines w:val="0"/>
        <w:widowControl w:val="0"/>
        <w:suppressLineNumbers w:val="0"/>
        <w:spacing w:before="0" w:beforeAutospacing="0" w:after="0" w:afterAutospacing="0" w:line="390" w:lineRule="exact"/>
        <w:ind w:left="0" w:right="0" w:firstLine="420"/>
        <w:jc w:val="both"/>
        <w:rPr>
          <w:rFonts w:hint="default" w:ascii="宋体" w:hAnsi="宋体" w:eastAsia="宋体" w:cs="宋体"/>
          <w:b/>
          <w:bCs w:val="0"/>
          <w:color w:val="auto"/>
          <w:kern w:val="2"/>
          <w:sz w:val="21"/>
          <w:szCs w:val="21"/>
          <w:highlight w:val="none"/>
          <w:lang w:val="en-US"/>
        </w:rPr>
      </w:pPr>
      <w:r>
        <w:rPr>
          <w:rFonts w:hint="eastAsia" w:ascii="宋体" w:hAnsi="宋体" w:eastAsia="宋体" w:cs="宋体"/>
          <w:b/>
          <w:bCs w:val="0"/>
          <w:color w:val="auto"/>
          <w:kern w:val="2"/>
          <w:sz w:val="21"/>
          <w:szCs w:val="21"/>
          <w:highlight w:val="none"/>
          <w:lang w:val="en-US" w:eastAsia="zh-CN" w:bidi="ar"/>
        </w:rPr>
        <w:t>4.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容详见附件）内标注“★”的，投标人必须在投标文件中提供所竞标产品的节能产品认证证书复印件（加盖投标人电子签章），否则投标文件文件按无效处理。节能产品政府采购品目清单</w:t>
      </w:r>
      <w:r>
        <w:rPr>
          <w:rFonts w:hint="eastAsia" w:ascii="宋体" w:hAnsi="宋体" w:cs="宋体"/>
          <w:b/>
          <w:bCs w:val="0"/>
          <w:color w:val="auto"/>
          <w:kern w:val="2"/>
          <w:sz w:val="21"/>
          <w:szCs w:val="21"/>
          <w:highlight w:val="none"/>
          <w:lang w:val="en-US" w:eastAsia="zh-CN" w:bidi="ar"/>
        </w:rPr>
        <w:t>见附件。</w:t>
      </w:r>
    </w:p>
    <w:p w14:paraId="64EA5095">
      <w:pPr>
        <w:keepNext w:val="0"/>
        <w:keepLines w:val="0"/>
        <w:widowControl w:val="0"/>
        <w:suppressLineNumbers w:val="0"/>
        <w:spacing w:before="0" w:beforeAutospacing="0" w:after="0" w:afterAutospacing="0" w:line="390" w:lineRule="exact"/>
        <w:ind w:left="0" w:right="0" w:firstLine="420"/>
        <w:jc w:val="both"/>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5.优先采购环境标志产品、节能产品。</w:t>
      </w:r>
    </w:p>
    <w:p w14:paraId="26090402">
      <w:pPr>
        <w:keepNext w:val="0"/>
        <w:keepLines w:val="0"/>
        <w:widowControl w:val="0"/>
        <w:suppressLineNumbers w:val="0"/>
        <w:spacing w:before="0" w:beforeAutospacing="0" w:after="0" w:afterAutospacing="0" w:line="390" w:lineRule="exact"/>
        <w:ind w:left="0" w:right="0" w:firstLine="420"/>
        <w:jc w:val="both"/>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6.政府采购支持采用本国产品的政策。</w:t>
      </w:r>
    </w:p>
    <w:p w14:paraId="7AF9B5D6">
      <w:pPr>
        <w:keepNext w:val="0"/>
        <w:keepLines w:val="0"/>
        <w:widowControl w:val="0"/>
        <w:suppressLineNumbers w:val="0"/>
        <w:adjustRightInd w:val="0"/>
        <w:spacing w:before="0" w:beforeAutospacing="0" w:after="0" w:afterAutospacing="0" w:line="390" w:lineRule="exact"/>
        <w:ind w:left="0" w:right="0" w:firstLine="422"/>
        <w:jc w:val="both"/>
        <w:rPr>
          <w:rFonts w:hint="eastAsia" w:ascii="宋体" w:hAnsi="宋体" w:eastAsia="宋体" w:cs="宋体"/>
          <w:b/>
          <w:bCs w:val="0"/>
          <w:color w:val="auto"/>
          <w:kern w:val="0"/>
          <w:sz w:val="21"/>
          <w:szCs w:val="21"/>
          <w:highlight w:val="none"/>
        </w:rPr>
      </w:pPr>
      <w:r>
        <w:rPr>
          <w:rFonts w:hint="eastAsia" w:ascii="宋体" w:hAnsi="宋体" w:eastAsia="宋体" w:cs="宋体"/>
          <w:b/>
          <w:bCs w:val="0"/>
          <w:color w:val="auto"/>
          <w:kern w:val="0"/>
          <w:sz w:val="21"/>
          <w:szCs w:val="21"/>
          <w:highlight w:val="none"/>
          <w:lang w:val="en-US" w:eastAsia="zh-CN" w:bidi="ar"/>
        </w:rPr>
        <w:t>二、采购需求中出现的品牌、型号或生产供应商仅起参考作用，不属于指定品牌、型号或生产供应商的情形。供应商可参照或选用其他相当的品牌、型号或生产供应商替代。</w:t>
      </w:r>
    </w:p>
    <w:p w14:paraId="60BF68A4">
      <w:pPr>
        <w:keepNext w:val="0"/>
        <w:keepLines w:val="0"/>
        <w:widowControl w:val="0"/>
        <w:suppressLineNumbers w:val="0"/>
        <w:adjustRightInd w:val="0"/>
        <w:spacing w:before="0" w:beforeAutospacing="0" w:after="0" w:afterAutospacing="0" w:line="390" w:lineRule="exact"/>
        <w:ind w:left="0" w:right="0" w:firstLine="422"/>
        <w:jc w:val="both"/>
        <w:rPr>
          <w:rFonts w:hint="eastAsia" w:ascii="宋体" w:hAnsi="宋体" w:eastAsia="宋体" w:cs="宋体"/>
          <w:b/>
          <w:bCs w:val="0"/>
          <w:color w:val="auto"/>
          <w:kern w:val="0"/>
          <w:sz w:val="21"/>
          <w:szCs w:val="21"/>
          <w:highlight w:val="none"/>
        </w:rPr>
      </w:pPr>
      <w:r>
        <w:rPr>
          <w:rFonts w:hint="eastAsia" w:ascii="宋体" w:hAnsi="宋体" w:eastAsia="宋体" w:cs="宋体"/>
          <w:b/>
          <w:bCs w:val="0"/>
          <w:color w:val="auto"/>
          <w:kern w:val="0"/>
          <w:sz w:val="21"/>
          <w:szCs w:val="21"/>
          <w:highlight w:val="none"/>
          <w:lang w:val="en-US" w:eastAsia="zh-CN" w:bidi="ar"/>
        </w:rPr>
        <w:t>三、供应商必须自行为其侵犯他人的知识产权或者专利成果或其他合法权利的行为承担相应的法律责任。</w:t>
      </w:r>
    </w:p>
    <w:p w14:paraId="33C131A1">
      <w:pPr>
        <w:keepNext w:val="0"/>
        <w:keepLines w:val="0"/>
        <w:widowControl w:val="0"/>
        <w:suppressLineNumbers w:val="0"/>
        <w:snapToGrid w:val="0"/>
        <w:spacing w:before="0" w:beforeAutospacing="0" w:after="0" w:afterAutospacing="0" w:line="360" w:lineRule="auto"/>
        <w:ind w:left="0" w:right="0" w:firstLine="422" w:firstLineChars="20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四、本“采购需求一览表”中标注“</w:t>
      </w:r>
      <w:r>
        <w:rPr>
          <w:rFonts w:hint="eastAsia" w:ascii="宋体" w:hAnsi="宋体" w:eastAsia="宋体" w:cs="宋体"/>
          <w:b/>
          <w:bCs w:val="0"/>
          <w:color w:val="auto"/>
          <w:kern w:val="2"/>
          <w:sz w:val="21"/>
          <w:szCs w:val="21"/>
          <w:highlight w:val="none"/>
          <w:lang w:val="en-US" w:eastAsia="zh-CN" w:bidi="ar"/>
        </w:rPr>
        <w:t>★</w:t>
      </w:r>
      <w:r>
        <w:rPr>
          <w:rFonts w:hint="eastAsia" w:ascii="宋体" w:hAnsi="宋体" w:eastAsia="宋体" w:cs="宋体"/>
          <w:b/>
          <w:bCs/>
          <w:color w:val="auto"/>
          <w:kern w:val="2"/>
          <w:sz w:val="21"/>
          <w:szCs w:val="21"/>
          <w:highlight w:val="none"/>
          <w:lang w:val="en-US" w:eastAsia="zh-CN" w:bidi="ar"/>
        </w:rPr>
        <w:t>”号的条款为实质性条款，必须满足，否则投标无效；标注“▲”号的条款为主要参数指标，不作为废标条款。</w:t>
      </w:r>
    </w:p>
    <w:p w14:paraId="23C46D3C">
      <w:pPr>
        <w:spacing w:line="336" w:lineRule="auto"/>
        <w:rPr>
          <w:rFonts w:hint="eastAsia" w:ascii="宋体" w:hAnsi="宋体" w:eastAsia="宋体" w:cs="宋体"/>
          <w:b/>
          <w:bCs/>
          <w:color w:val="auto"/>
          <w:sz w:val="24"/>
          <w:szCs w:val="24"/>
          <w:highlight w:val="none"/>
        </w:rPr>
      </w:pPr>
    </w:p>
    <w:p w14:paraId="4E70AC39">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br w:type="page"/>
      </w:r>
    </w:p>
    <w:p w14:paraId="2459521C">
      <w:pPr>
        <w:spacing w:line="336" w:lineRule="auto"/>
        <w:outlineLvl w:val="2"/>
        <w:rPr>
          <w:rFonts w:hint="eastAsia" w:ascii="宋体" w:hAnsi="宋体" w:eastAsia="宋体" w:cs="宋体"/>
          <w:b/>
          <w:bCs/>
          <w:color w:val="auto"/>
          <w:sz w:val="24"/>
          <w:szCs w:val="24"/>
          <w:highlight w:val="none"/>
          <w:lang w:eastAsia="zh-CN"/>
        </w:rPr>
      </w:pPr>
      <w:r>
        <w:rPr>
          <w:rFonts w:hint="eastAsia" w:ascii="宋体" w:hAnsi="宋体" w:cs="宋体"/>
          <w:b/>
          <w:bCs/>
          <w:color w:val="auto"/>
          <w:sz w:val="24"/>
          <w:szCs w:val="24"/>
          <w:highlight w:val="none"/>
          <w:lang w:val="en-US" w:eastAsia="zh-CN"/>
        </w:rPr>
        <w:t>A分标</w:t>
      </w:r>
      <w:r>
        <w:rPr>
          <w:rFonts w:hint="eastAsia" w:ascii="宋体" w:hAnsi="宋体" w:eastAsia="宋体" w:cs="宋体"/>
          <w:b/>
          <w:bCs/>
          <w:color w:val="auto"/>
          <w:sz w:val="24"/>
          <w:szCs w:val="24"/>
          <w:highlight w:val="none"/>
        </w:rPr>
        <w:t>：</w:t>
      </w:r>
    </w:p>
    <w:tbl>
      <w:tblPr>
        <w:tblStyle w:val="51"/>
        <w:tblW w:w="10546" w:type="dxa"/>
        <w:tblInd w:w="-362" w:type="dxa"/>
        <w:tblLayout w:type="fixed"/>
        <w:tblCellMar>
          <w:top w:w="0" w:type="dxa"/>
          <w:left w:w="108" w:type="dxa"/>
          <w:bottom w:w="0" w:type="dxa"/>
          <w:right w:w="108" w:type="dxa"/>
        </w:tblCellMar>
      </w:tblPr>
      <w:tblGrid>
        <w:gridCol w:w="649"/>
        <w:gridCol w:w="1235"/>
        <w:gridCol w:w="6340"/>
        <w:gridCol w:w="687"/>
        <w:gridCol w:w="553"/>
        <w:gridCol w:w="1082"/>
      </w:tblGrid>
      <w:tr w14:paraId="43A21858">
        <w:tblPrEx>
          <w:tblCellMar>
            <w:top w:w="0" w:type="dxa"/>
            <w:left w:w="108" w:type="dxa"/>
            <w:bottom w:w="0" w:type="dxa"/>
            <w:right w:w="108" w:type="dxa"/>
          </w:tblCellMar>
        </w:tblPrEx>
        <w:trPr>
          <w:trHeight w:val="90" w:hRule="atLeast"/>
        </w:trPr>
        <w:tc>
          <w:tcPr>
            <w:tcW w:w="10546" w:type="dxa"/>
            <w:gridSpan w:val="6"/>
            <w:tcBorders>
              <w:top w:val="single" w:color="auto" w:sz="4" w:space="0"/>
              <w:left w:val="single" w:color="auto" w:sz="4" w:space="0"/>
              <w:bottom w:val="single" w:color="auto" w:sz="4" w:space="0"/>
              <w:right w:val="single" w:color="auto" w:sz="4" w:space="0"/>
            </w:tcBorders>
            <w:vAlign w:val="center"/>
          </w:tcPr>
          <w:p w14:paraId="177D79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0"/>
              <w:jc w:val="left"/>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一、采购需求</w:t>
            </w:r>
          </w:p>
        </w:tc>
      </w:tr>
      <w:tr w14:paraId="7D26EE8E">
        <w:tblPrEx>
          <w:tblCellMar>
            <w:top w:w="0" w:type="dxa"/>
            <w:left w:w="108" w:type="dxa"/>
            <w:bottom w:w="0" w:type="dxa"/>
            <w:right w:w="108" w:type="dxa"/>
          </w:tblCellMar>
        </w:tblPrEx>
        <w:trPr>
          <w:trHeight w:val="1050" w:hRule="atLeast"/>
        </w:trPr>
        <w:tc>
          <w:tcPr>
            <w:tcW w:w="649" w:type="dxa"/>
            <w:tcBorders>
              <w:top w:val="single" w:color="auto" w:sz="4" w:space="0"/>
              <w:left w:val="single" w:color="auto" w:sz="4" w:space="0"/>
              <w:bottom w:val="single" w:color="auto" w:sz="4" w:space="0"/>
              <w:right w:val="single" w:color="auto" w:sz="4" w:space="0"/>
            </w:tcBorders>
            <w:vAlign w:val="center"/>
          </w:tcPr>
          <w:p w14:paraId="3C8CBE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7E6FB9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eastAsia="zh-CN" w:bidi="ar"/>
              </w:rPr>
              <w:t>货物</w:t>
            </w:r>
            <w:r>
              <w:rPr>
                <w:rFonts w:hint="eastAsia" w:asciiTheme="minorEastAsia" w:hAnsiTheme="minorEastAsia" w:eastAsiaTheme="minorEastAsia" w:cstheme="minorEastAsia"/>
                <w:b/>
                <w:bCs/>
                <w:color w:val="auto"/>
                <w:kern w:val="0"/>
                <w:sz w:val="21"/>
                <w:szCs w:val="21"/>
                <w:highlight w:val="none"/>
                <w:lang w:bidi="ar"/>
              </w:rPr>
              <w:t>名称</w:t>
            </w:r>
          </w:p>
        </w:tc>
        <w:tc>
          <w:tcPr>
            <w:tcW w:w="6340" w:type="dxa"/>
            <w:tcBorders>
              <w:top w:val="single" w:color="auto" w:sz="4" w:space="0"/>
              <w:left w:val="single" w:color="auto" w:sz="4" w:space="0"/>
              <w:bottom w:val="single" w:color="auto" w:sz="4" w:space="0"/>
              <w:right w:val="single" w:color="auto" w:sz="4" w:space="0"/>
            </w:tcBorders>
            <w:vAlign w:val="center"/>
          </w:tcPr>
          <w:p w14:paraId="1F3884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技术参数及其性能（配置）要求</w:t>
            </w:r>
          </w:p>
        </w:tc>
        <w:tc>
          <w:tcPr>
            <w:tcW w:w="687" w:type="dxa"/>
            <w:tcBorders>
              <w:top w:val="single" w:color="auto" w:sz="4" w:space="0"/>
              <w:left w:val="single" w:color="auto" w:sz="4" w:space="0"/>
              <w:bottom w:val="single" w:color="auto" w:sz="4" w:space="0"/>
              <w:right w:val="single" w:color="auto" w:sz="4" w:space="0"/>
            </w:tcBorders>
            <w:vAlign w:val="center"/>
          </w:tcPr>
          <w:p w14:paraId="563D53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数量</w:t>
            </w:r>
          </w:p>
        </w:tc>
        <w:tc>
          <w:tcPr>
            <w:tcW w:w="553" w:type="dxa"/>
            <w:tcBorders>
              <w:top w:val="single" w:color="auto" w:sz="4" w:space="0"/>
              <w:left w:val="single" w:color="auto" w:sz="4" w:space="0"/>
              <w:bottom w:val="single" w:color="auto" w:sz="4" w:space="0"/>
              <w:right w:val="single" w:color="auto" w:sz="4" w:space="0"/>
            </w:tcBorders>
            <w:vAlign w:val="center"/>
          </w:tcPr>
          <w:p w14:paraId="09B4FE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单位</w:t>
            </w:r>
          </w:p>
        </w:tc>
        <w:tc>
          <w:tcPr>
            <w:tcW w:w="1082" w:type="dxa"/>
            <w:tcBorders>
              <w:top w:val="single" w:color="auto" w:sz="4" w:space="0"/>
              <w:left w:val="single" w:color="auto" w:sz="4" w:space="0"/>
              <w:bottom w:val="single" w:color="auto" w:sz="4" w:space="0"/>
              <w:right w:val="single" w:color="auto" w:sz="4" w:space="0"/>
            </w:tcBorders>
            <w:vAlign w:val="center"/>
          </w:tcPr>
          <w:p w14:paraId="7F97C9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参考单价（元）</w:t>
            </w:r>
          </w:p>
        </w:tc>
      </w:tr>
      <w:tr w14:paraId="7B6D6A25">
        <w:tblPrEx>
          <w:tblCellMar>
            <w:top w:w="0" w:type="dxa"/>
            <w:left w:w="108" w:type="dxa"/>
            <w:bottom w:w="0" w:type="dxa"/>
            <w:right w:w="108" w:type="dxa"/>
          </w:tblCellMar>
        </w:tblPrEx>
        <w:trPr>
          <w:trHeight w:val="524" w:hRule="atLeast"/>
        </w:trPr>
        <w:tc>
          <w:tcPr>
            <w:tcW w:w="10546" w:type="dxa"/>
            <w:gridSpan w:val="6"/>
            <w:tcBorders>
              <w:top w:val="single" w:color="auto" w:sz="4" w:space="0"/>
              <w:left w:val="single" w:color="auto" w:sz="4" w:space="0"/>
              <w:bottom w:val="single" w:color="auto" w:sz="4" w:space="0"/>
              <w:right w:val="single" w:color="auto" w:sz="4" w:space="0"/>
            </w:tcBorders>
            <w:vAlign w:val="center"/>
          </w:tcPr>
          <w:p w14:paraId="3CEDC1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生物实验室</w:t>
            </w:r>
          </w:p>
        </w:tc>
      </w:tr>
      <w:tr w14:paraId="14FBD54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1A9C0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p>
        </w:tc>
        <w:tc>
          <w:tcPr>
            <w:tcW w:w="1235" w:type="dxa"/>
            <w:tcBorders>
              <w:top w:val="single" w:color="auto" w:sz="4" w:space="0"/>
              <w:left w:val="single" w:color="auto" w:sz="4" w:space="0"/>
              <w:bottom w:val="single" w:color="auto" w:sz="4" w:space="0"/>
              <w:right w:val="single" w:color="auto" w:sz="4" w:space="0"/>
            </w:tcBorders>
            <w:vAlign w:val="center"/>
          </w:tcPr>
          <w:p w14:paraId="085A5E4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智慧黑板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E46D8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一、嵌入式系统</w:t>
            </w:r>
          </w:p>
          <w:p w14:paraId="0693AA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1、整机嵌入式系统版本≥Android </w:t>
            </w:r>
            <w:r>
              <w:rPr>
                <w:rFonts w:hint="eastAsia" w:ascii="宋体" w:hAnsi="宋体" w:eastAsia="宋体" w:cs="宋体"/>
                <w:color w:val="auto"/>
                <w:kern w:val="0"/>
                <w:sz w:val="21"/>
                <w:szCs w:val="21"/>
                <w:highlight w:val="none"/>
                <w:lang w:val="en-US" w:eastAsia="zh-CN" w:bidi="ar"/>
              </w:rPr>
              <w:t>13</w:t>
            </w:r>
            <w:r>
              <w:rPr>
                <w:rFonts w:hint="eastAsia" w:ascii="宋体" w:hAnsi="宋体" w:eastAsia="宋体" w:cs="宋体"/>
                <w:color w:val="auto"/>
                <w:kern w:val="0"/>
                <w:sz w:val="21"/>
                <w:szCs w:val="21"/>
                <w:highlight w:val="none"/>
                <w:lang w:bidi="ar"/>
              </w:rPr>
              <w:t>，主频≥1.6GHz</w:t>
            </w:r>
            <w:r>
              <w:rPr>
                <w:rFonts w:hint="eastAsia" w:ascii="宋体" w:hAnsi="宋体" w:cs="宋体"/>
                <w:color w:val="auto"/>
                <w:kern w:val="0"/>
                <w:sz w:val="21"/>
                <w:szCs w:val="21"/>
                <w:highlight w:val="none"/>
                <w:lang w:val="en-US" w:eastAsia="zh-CN" w:bidi="ar"/>
              </w:rPr>
              <w:t>；系统支持后续在线升级</w:t>
            </w:r>
            <w:r>
              <w:rPr>
                <w:rFonts w:hint="eastAsia" w:ascii="宋体" w:hAnsi="宋体" w:eastAsia="宋体" w:cs="宋体"/>
                <w:color w:val="auto"/>
                <w:kern w:val="0"/>
                <w:sz w:val="21"/>
                <w:szCs w:val="21"/>
                <w:highlight w:val="none"/>
                <w:lang w:bidi="ar"/>
              </w:rPr>
              <w:t>。</w:t>
            </w:r>
          </w:p>
          <w:p w14:paraId="5C802E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2、嵌入式Android操作系统下，白板支持对已经书写的笔迹和形状和颜色进行更换。</w:t>
            </w:r>
          </w:p>
          <w:p w14:paraId="0F604F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3、在嵌入式系统下使用白板软件时，整机可自行调节屏幕亮度。</w:t>
            </w:r>
          </w:p>
          <w:p w14:paraId="523C94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4、白板内置元素周期表工具，支持元素分类色彩区分、分类查看；支持多种展示模式切换。</w:t>
            </w:r>
          </w:p>
          <w:p w14:paraId="3F112B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5、整机内置交互式白板软件支持汉字语音测评功能，通过整机拾音麦进行用户声音采集分析，判断用户发音是否标准。</w:t>
            </w:r>
          </w:p>
          <w:p w14:paraId="220234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6、无PC状态下，嵌入式系统内置互动白板支持全局漫游，并能在工具栏中对全局内容进行预览和移动。</w:t>
            </w:r>
          </w:p>
          <w:p w14:paraId="2C63F1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7、无PC状态下，嵌入式Android 操作系统下可使用白板书写、WPS 软件和网页浏览</w:t>
            </w:r>
            <w:r>
              <w:rPr>
                <w:rFonts w:hint="eastAsia" w:ascii="宋体" w:hAnsi="宋体" w:eastAsia="宋体" w:cs="宋体"/>
                <w:color w:val="auto"/>
                <w:kern w:val="0"/>
                <w:sz w:val="21"/>
                <w:szCs w:val="21"/>
                <w:highlight w:val="none"/>
                <w:lang w:eastAsia="zh-CN" w:bidi="ar"/>
              </w:rPr>
              <w:t>。</w:t>
            </w:r>
          </w:p>
          <w:p w14:paraId="0D0ACB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8、在嵌入式Android操作系统下，能对TV多媒体USB所读取到的文件进行自动归类，可分类查找文档、板书、图片、音视频，检索后可直接在界面中打开。</w:t>
            </w:r>
          </w:p>
          <w:p w14:paraId="36DF49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二、电脑模块</w:t>
            </w:r>
          </w:p>
          <w:p w14:paraId="566BAA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1、CPU：搭载Intel  酷睿系列≥ i5 CPU；内存：8GB DDR4笔记本内存或以上配置；硬盘：256GB或以上</w:t>
            </w:r>
            <w:r>
              <w:rPr>
                <w:rFonts w:hint="eastAsia" w:ascii="宋体" w:hAnsi="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bidi="ar"/>
              </w:rPr>
              <w:t>SSD固态硬盘。</w:t>
            </w:r>
          </w:p>
          <w:p w14:paraId="47B8C0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2、采用按压式卡扣，无需工具即可快速拆卸电脑模块。</w:t>
            </w:r>
          </w:p>
          <w:p w14:paraId="2C0C21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3、PC模块可抽拉式插入整机，可实现无单独接线的拔插。</w:t>
            </w:r>
          </w:p>
          <w:p w14:paraId="7ECE11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4、具有独立非外拓展的视频输出接口：≥1 路 HDMI。</w:t>
            </w:r>
          </w:p>
          <w:p w14:paraId="307220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5、具有独立非外拓展的电脑 USB 接口：至少具备 4个USB3.0 接口。</w:t>
            </w:r>
          </w:p>
          <w:p w14:paraId="46BF81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6、具有标准 PC 防盗锁孔，确保电脑模块安全防盗。</w:t>
            </w:r>
          </w:p>
          <w:p w14:paraId="249BDB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7、模块与整机内部互联接口带宽≥10Gbps；或采用标准OPS‑C接口，可满足整机高清图像、触控、大数据量交互传输需求。</w:t>
            </w:r>
          </w:p>
          <w:p w14:paraId="39FBE1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8、模块与整机连接接口支持稳定高速信号传输，兼容行业主流 OPS/OPS‑C 接口规范。</w:t>
            </w:r>
          </w:p>
          <w:p w14:paraId="2B797D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三、硬件外观设计</w:t>
            </w:r>
          </w:p>
          <w:p w14:paraId="5CDAC8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▲1、单一物理电源按键可统一完成Android系统和Windows系统的开机、屏幕休眠、整机关机操作；</w:t>
            </w:r>
          </w:p>
          <w:p w14:paraId="352357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2、整机为适配教学场景的便捷使用，设备按键采用简洁化设计，前置接口与按键在设备同一侧。前置物理按键，可实现开关机、音量＋－、护眼、录屏、设置功能。</w:t>
            </w:r>
          </w:p>
          <w:p w14:paraId="58C1A7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3、支持硬件低蓝光护眼模式，可通过前置面板物理功能按键一键开启护眼模式，降低屏幕蓝光输出，实现柔和显示效果。</w:t>
            </w:r>
          </w:p>
          <w:p w14:paraId="67C632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4、设备支持通过前置面板物理按键一键启动录屏功能，可将屏幕中显示的课件、音频内容与人声同时录制。</w:t>
            </w:r>
          </w:p>
          <w:p w14:paraId="3A8856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5、整机前置 USB 接口配备可翻转防护挡板。</w:t>
            </w:r>
          </w:p>
          <w:p w14:paraId="117B32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6、整机屏幕采用≥86英寸液晶显示器。</w:t>
            </w:r>
          </w:p>
          <w:p w14:paraId="73662D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7、整机采用超高清LED液晶显示屏，显示比例16:9，分辨率3840×2160或以上。</w:t>
            </w:r>
          </w:p>
          <w:p w14:paraId="6E8D8C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前置按键支持自定义设置，可通过自定义设置实现前置面板功能按键一键启用任一全局小工具（批注、截屏、计时、降半屏、放大镜、倒数日、日历）、快捷开关（节能模式、纸质护眼模式、经典护眼模式、自动亮度模式）。</w:t>
            </w:r>
          </w:p>
          <w:p w14:paraId="4A1D63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9、整机左、右、下三边框皆具备磁吸功能，边框任意位置可吸附具备磁吸功能的书写笔。</w:t>
            </w:r>
          </w:p>
          <w:p w14:paraId="44899C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10、整机采用一体设计，外部无任何可见内部功能模块连接线。边角采用弧形设计，表面无尖锐边缘或凸起。</w:t>
            </w:r>
          </w:p>
          <w:p w14:paraId="3C7869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11、整机采用全金属外壳设计，边框为金属一体成型。</w:t>
            </w:r>
          </w:p>
          <w:p w14:paraId="533E4B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12、整机屏幕边缘采用金属圆角包边防护，整机背板采用金属材质，有效屏蔽内部电路器件辐射；防潮耐盐雾蚀锈，适应多种教学环境。</w:t>
            </w:r>
          </w:p>
          <w:p w14:paraId="056889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13、侧置输入接口具备2路HDMI、1路RS232、1路USB接口或以上。</w:t>
            </w:r>
          </w:p>
          <w:p w14:paraId="616273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14、侧置输出接口具备1路音频输出、1路触控USB输出或以上。</w:t>
            </w:r>
          </w:p>
          <w:p w14:paraId="7E2310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15、前置输入接口3路USB接口（包含1路Type-C、2路USB）或以上。</w:t>
            </w:r>
          </w:p>
          <w:p w14:paraId="6985D0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▲16、支持通过Type-C接口U盘进行文件传输，兼容Type-C接口手机充电。</w:t>
            </w:r>
          </w:p>
          <w:p w14:paraId="2CD8A6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四、音视频采集</w:t>
            </w:r>
          </w:p>
          <w:p w14:paraId="4707E4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▲1、整机设备内置扬声器，前朝向发声，12W高音扬声器，上朝向30W中低音扬声器，最大功率≥84W。</w:t>
            </w:r>
          </w:p>
          <w:p w14:paraId="4C28E3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▲2、整机配备专业音效调节功能，支持左右声道平衡调节；可分中低频、高频独立调校，音量调节区间覆盖±12dB，适配不同教室声场环境。</w:t>
            </w:r>
          </w:p>
          <w:p w14:paraId="5F5D8A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▲3、整机内置非独立外扩展的4阵列麦克风，可用于对教室环境音频进行采集，麦克风拾音距离≥10米。</w:t>
            </w:r>
          </w:p>
          <w:p w14:paraId="165DAD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▲4、整机内置扬声器采用槽型开口，可降低扬声器振动对显示面板的影响，保证清晰音质效果。</w:t>
            </w:r>
          </w:p>
          <w:p w14:paraId="541ED9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5、内置摄像头、麦克风无需外接线材连接，无任何可见外接线材及模块化拼接痕迹，未占用整机设备端口。</w:t>
            </w:r>
          </w:p>
          <w:p w14:paraId="0D4C1F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6、整机具备多组预设音效，至少包含标准、人声增强、影院音效、环境自适应音效；环境自适应音效可借助本机内置拾音设备采集教室环境声音信息，依据教室实际声学条件自动优化输出声音效果。</w:t>
            </w:r>
          </w:p>
          <w:p w14:paraId="603FAC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7、整机内置摄像头（非外扩），PC通道下支持通过视频展台软件调用摄像头进行二维码扫码识别。</w:t>
            </w:r>
          </w:p>
          <w:p w14:paraId="028064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8、具备摄像头工作指示灯，摄像头运行时，有指示灯提示。</w:t>
            </w:r>
          </w:p>
          <w:p w14:paraId="760B40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9、整机上边框内置非独立摄像头，采用一体化集成设计，⽀持输出4:3、16:9⽐例的图⽚和视频，支持拍摄≥1600 万像素数的照片和视频，支持输出 4k分辨率的视频。</w:t>
            </w:r>
          </w:p>
          <w:p w14:paraId="06B422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▲10、整机摄像头对角线视场角≥120度</w:t>
            </w:r>
            <w:r>
              <w:rPr>
                <w:rFonts w:hint="eastAsia" w:ascii="宋体" w:hAnsi="宋体" w:eastAsia="宋体" w:cs="宋体"/>
                <w:color w:val="auto"/>
                <w:kern w:val="0"/>
                <w:sz w:val="21"/>
                <w:szCs w:val="21"/>
                <w:highlight w:val="none"/>
                <w:lang w:eastAsia="zh-CN" w:bidi="ar"/>
              </w:rPr>
              <w:t>。</w:t>
            </w:r>
          </w:p>
          <w:p w14:paraId="5DC86D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五、显示与护眼功能</w:t>
            </w:r>
          </w:p>
          <w:p w14:paraId="62FA38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1、整机色域覆盖率（NTSC）≥72%</w:t>
            </w:r>
            <w:r>
              <w:rPr>
                <w:rFonts w:hint="eastAsia" w:ascii="宋体" w:hAnsi="宋体" w:eastAsia="宋体" w:cs="宋体"/>
                <w:color w:val="auto"/>
                <w:kern w:val="0"/>
                <w:sz w:val="21"/>
                <w:szCs w:val="21"/>
                <w:highlight w:val="none"/>
                <w:lang w:eastAsia="zh-CN" w:bidi="ar"/>
              </w:rPr>
              <w:t>。</w:t>
            </w:r>
          </w:p>
          <w:p w14:paraId="6E1F90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2、整机背光系统支持DC调光方式，多级亮度调节，支持白颜色背景下最暗亮度≤100nit，用于提升显示对比度。</w:t>
            </w:r>
          </w:p>
          <w:p w14:paraId="42C0EF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3、灰阶等级≥256级。</w:t>
            </w:r>
          </w:p>
          <w:p w14:paraId="79C905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4、整机屏幕蓝光占比（有害蓝光415～455nm能量综合）/（整体蓝光400～500能量综合）＜50%</w:t>
            </w:r>
            <w:r>
              <w:rPr>
                <w:rFonts w:hint="eastAsia" w:ascii="宋体" w:hAnsi="宋体" w:eastAsia="宋体" w:cs="宋体"/>
                <w:color w:val="auto"/>
                <w:kern w:val="0"/>
                <w:sz w:val="21"/>
                <w:szCs w:val="21"/>
                <w:highlight w:val="none"/>
                <w:lang w:eastAsia="zh-CN" w:bidi="ar"/>
              </w:rPr>
              <w:t>。</w:t>
            </w:r>
          </w:p>
          <w:p w14:paraId="2ECE38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5、支持标准、多媒体和节能三种图像模式调节。</w:t>
            </w:r>
          </w:p>
          <w:p w14:paraId="5B0033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6、支持自定义图像设置，可对对比度、屏幕色温、图像亮度、亮度范围、色彩空间调节设置。</w:t>
            </w:r>
          </w:p>
          <w:p w14:paraId="42193C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7、整机支持手势快捷唤起 AI 画质智能调节功能；安卓系统下可识别屏幕画面内容，针对画面中的人物、建筑、夜景等场景，自动对对比度、饱和度、锐利度、色调色相、高光、阴影参数进行自适应优化。</w:t>
            </w:r>
          </w:p>
          <w:p w14:paraId="5852B6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8、整机视网膜蓝光危害（蓝光加权辐射亮度LB）满足IEC TR 62778:2014蓝光危害RG0级别</w:t>
            </w:r>
            <w:r>
              <w:rPr>
                <w:rFonts w:hint="eastAsia" w:ascii="宋体" w:hAnsi="宋体" w:eastAsia="宋体" w:cs="宋体"/>
                <w:color w:val="auto"/>
                <w:kern w:val="0"/>
                <w:sz w:val="21"/>
                <w:szCs w:val="21"/>
                <w:highlight w:val="none"/>
                <w:lang w:eastAsia="zh-CN" w:bidi="ar"/>
              </w:rPr>
              <w:t>。</w:t>
            </w:r>
          </w:p>
          <w:p w14:paraId="697285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9、整机全通道支持纸质护眼模式，可实现画面纹理的实时调整；支持纸质纹理：牛皮纸、素描纸、宣纸、水彩纸、水纹纸；支持透明度调节；支持色温调节。</w:t>
            </w:r>
          </w:p>
          <w:p w14:paraId="0998B6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10、纸质护眼模式下，显示画面各像素点灰度不规则，减少背景干扰。</w:t>
            </w:r>
          </w:p>
          <w:p w14:paraId="6A39A3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六、无线交互功能</w:t>
            </w:r>
          </w:p>
          <w:p w14:paraId="06AECA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1、整机无需外接无线网卡，在Windows系统下可实现Wi-Fi无线上网连接、AP无线热点发射和BT蓝牙连接功能。</w:t>
            </w:r>
          </w:p>
          <w:p w14:paraId="4BEC282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2、Wi-Fi和AP热点工作距离≥12m。</w:t>
            </w:r>
          </w:p>
          <w:p w14:paraId="1783D6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3、整机支持蓝牙Bluetooth 5.4标准。</w:t>
            </w:r>
          </w:p>
          <w:p w14:paraId="56D7BE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4、整机PC端支持主动发现蓝牙外设从而连接（无需整机进入发现模式），支持连接外部蓝牙音箱播放音频。</w:t>
            </w:r>
          </w:p>
          <w:p w14:paraId="263730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▲5、整机支持发出频率为超声波信号，智能手机和笔记本电脑接收超声波信号后可以自动识别附近投屏设备，点击对应设备即可完成投屏操作。</w:t>
            </w:r>
          </w:p>
          <w:p w14:paraId="7B8CB3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在进行传屏；投屏时可以选择过滤特定应用窗口，如邮件应用窗口。</w:t>
            </w:r>
          </w:p>
          <w:p w14:paraId="2BE1C2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7、整机内置双WiFi6无线网卡（不接受外接），在Android和Windows系统下，可实现Wi-Fi无线上网连接、AP无线热点发射。</w:t>
            </w:r>
          </w:p>
          <w:p w14:paraId="368FD3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8、设备支持双路 Wi</w:t>
            </w:r>
            <w:r>
              <w:rPr>
                <w:rFonts w:hint="eastAsia" w:ascii="宋体" w:hAnsi="宋体" w:cs="宋体"/>
                <w:color w:val="auto"/>
                <w:kern w:val="0"/>
                <w:sz w:val="21"/>
                <w:szCs w:val="21"/>
                <w:highlight w:val="none"/>
                <w:lang w:eastAsia="zh-CN" w:bidi="ar"/>
              </w:rPr>
              <w:noBreakHyphen/>
            </w:r>
            <w:r>
              <w:rPr>
                <w:rFonts w:hint="eastAsia" w:ascii="宋体" w:hAnsi="宋体" w:cs="宋体"/>
                <w:color w:val="auto"/>
                <w:kern w:val="0"/>
                <w:sz w:val="21"/>
                <w:szCs w:val="21"/>
                <w:highlight w:val="none"/>
                <w:lang w:eastAsia="zh-CN" w:bidi="ar"/>
              </w:rPr>
              <w:t>Fi6 无线网络能力；Android 系统下支持无线设备同时连接数量≥30 个，Windows 系统下支持无线设备同时连接≥6 个。</w:t>
            </w:r>
          </w:p>
          <w:p w14:paraId="414FE3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9、设备实现双系统网络配置记忆功能：Windows 系统完成无线网络配置后，切换至嵌入式 Android 系统可直接无线上网，无需重复手动配置网络参数。</w:t>
            </w:r>
          </w:p>
          <w:p w14:paraId="02DEF0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10、Wi-Fi及AP热点支持频段2.4GHz/5GHz </w:t>
            </w:r>
          </w:p>
          <w:p w14:paraId="7D1434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11、Wi-Fi制式支持IEEE 802.11 a/b/g/n/ac/ax；支持版本Wi-Fi6。</w:t>
            </w:r>
          </w:p>
          <w:p w14:paraId="6DB906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七、触控功能</w:t>
            </w:r>
          </w:p>
          <w:p w14:paraId="239E3E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1、支持Windows 7、Windows 8、Windows 10、Windows11、Linux、Mac Os、UOS和麒麟系统外置电脑操作系统接入时，无需安装触摸驱动。</w:t>
            </w:r>
          </w:p>
          <w:p w14:paraId="614856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2、触摸分辨率32768×32768。</w:t>
            </w:r>
          </w:p>
          <w:p w14:paraId="4ADCB1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3、书写触控延迟≤25ms</w:t>
            </w:r>
            <w:r>
              <w:rPr>
                <w:rFonts w:hint="eastAsia" w:ascii="宋体" w:hAnsi="宋体" w:eastAsia="宋体" w:cs="宋体"/>
                <w:color w:val="auto"/>
                <w:kern w:val="0"/>
                <w:sz w:val="21"/>
                <w:szCs w:val="21"/>
                <w:highlight w:val="none"/>
                <w:lang w:eastAsia="zh-CN" w:bidi="ar"/>
              </w:rPr>
              <w:t>。</w:t>
            </w:r>
          </w:p>
          <w:p w14:paraId="2D0AEA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4、整机触控书写功能集成预测算法，在书写速度≥50cm/s，支持笔迹距离笔的距离小于20mm。</w:t>
            </w:r>
          </w:p>
          <w:p w14:paraId="4CEAFC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5、触摸响应≤4ms。</w:t>
            </w:r>
          </w:p>
          <w:p w14:paraId="0D9FF9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6、触摸最小识别物≤3mm。</w:t>
            </w:r>
          </w:p>
          <w:p w14:paraId="632936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▲7、整机屏幕触摸有效识别高度不超过3mm，即触摸物体距离玻璃外表面高度不超过3mm时，触摸屏识别为点击操作。</w:t>
            </w:r>
          </w:p>
          <w:p w14:paraId="35E576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8、整机支持提笔书写，在Windows系统下可实现无需点击任意功能入口，当检测到红外笔笔尖接触屏幕时，自动进入书写模式。</w:t>
            </w:r>
          </w:p>
          <w:p w14:paraId="7DFB9F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9、整机支持手笔分离，通过提笔即写唤醒批注功能后，可进行手笔分离功能，使用笔正常书写，使用手指可以操作应用，进行点击操作。</w:t>
            </w:r>
          </w:p>
          <w:p w14:paraId="70CECC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10、整机触摸支持动态压力感应，支持无任何电子功能的普通书写笔在整机上书写或点压时，整机能感应压力变化，书写或点压过程笔迹呈现不同粗细。</w:t>
            </w:r>
          </w:p>
          <w:p w14:paraId="4337D4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八、侧边栏教学功能</w:t>
            </w:r>
          </w:p>
          <w:p w14:paraId="3C1C3A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1、整机全通道侧边栏快捷菜单包含如下小工具：批注、降半屏、截屏、放大镜、倒计时、日历、聚光灯、秒表、冻屏、倒数日、答题、节拍器</w:t>
            </w:r>
            <w:r>
              <w:rPr>
                <w:rFonts w:hint="eastAsia" w:ascii="宋体" w:hAnsi="宋体" w:eastAsia="宋体" w:cs="宋体"/>
                <w:color w:val="auto"/>
                <w:kern w:val="0"/>
                <w:sz w:val="21"/>
                <w:szCs w:val="21"/>
                <w:highlight w:val="none"/>
                <w:lang w:eastAsia="zh-CN" w:bidi="ar"/>
              </w:rPr>
              <w:t>。</w:t>
            </w:r>
          </w:p>
          <w:p w14:paraId="7D3BD4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2、整机全通道侧边栏快捷菜单小工具支持自定义，支持设置对应小工具的显示/隐藏。</w:t>
            </w:r>
          </w:p>
          <w:p w14:paraId="3E02C9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3、整机全通道侧边栏支持使用批注小工具进行批注讲解，可切换书写笔颜色、截屏保存批注内容、清屏，可根据手与屏幕的接触面积自动调整板擦工具的大小。</w:t>
            </w:r>
          </w:p>
          <w:p w14:paraId="634AB6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4、整机全通道侧边栏支持将设备屏幕降低为半屏幕状态，点击上半屏幕可以返回全屏状态。</w:t>
            </w:r>
          </w:p>
          <w:p w14:paraId="402F97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5、整机全通道侧边栏支持自行选择所需截取屏幕范围，点击截屏即可成功截取屏幕，并自动保存。</w:t>
            </w:r>
          </w:p>
          <w:p w14:paraId="38B8A5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6、整机全通道侧边栏支持放大选中区域内容，并可支持对未选中区域关灯处理，实现聚光灯效果。</w:t>
            </w:r>
          </w:p>
          <w:p w14:paraId="27676C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▲7、整机支持在无任何外部设备的情况下，实时录制用户朗读内容，识别用户声纹并进行统一身份登录，登录后自动获取个人云端教学课件列表，打开教学白板软件时可跳过软件自带登录步骤。</w:t>
            </w:r>
          </w:p>
          <w:p w14:paraId="691F94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8、整机全通道侧边栏支持打开日历，查看日期。</w:t>
            </w:r>
          </w:p>
          <w:p w14:paraId="0DCF52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9、整机全通道侧边栏支持聚光灯，支持聚光灯高亮区域大小调节、区域移动。</w:t>
            </w:r>
          </w:p>
          <w:p w14:paraId="3B356C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10、整机全通道侧边栏支持冻屏，将屏幕画面进行缩放。</w:t>
            </w:r>
          </w:p>
          <w:p w14:paraId="3DE245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11、整机安卓和外接通道下侧边栏支持设置倒数日。</w:t>
            </w:r>
          </w:p>
          <w:p w14:paraId="2F05C5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12、整机安卓和外接通道 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p>
          <w:p w14:paraId="2D6C0C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13、整机侧边栏内置智能语音转文字工具，将整机内置麦克风拾取的语音进行文字转译，以悬浮字幕形式将转译文字显示在屏幕上。</w:t>
            </w:r>
          </w:p>
          <w:p w14:paraId="31A766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九、教学交互功能</w:t>
            </w:r>
          </w:p>
          <w:p w14:paraId="280328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1、整机内置学生日历功能，支持全屏查看日历、显示法定节日；用户可以添加日历事件，设定特定时间并关联本机安卓应用，事件到期后，可以通过事件提醒打开关联的应用，如欢迎词、白板应用。</w:t>
            </w:r>
          </w:p>
          <w:p w14:paraId="662F8A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▲2、整机内置AR授课工具，支持对视频展台所采集的画面中叠加动态的3D 模型。3D模型包括：动物、微生物、人体骨骼。</w:t>
            </w:r>
          </w:p>
          <w:p w14:paraId="2D3FB5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3、整机内置 AI 授课工具，支持对整机页面显示的题目或视频展台所采集的题目内容进行识别，支持手动框选题目范围，能够对题目进行详细的讲解，讲解内容包括解题步骤和注意事项。</w:t>
            </w:r>
          </w:p>
          <w:p w14:paraId="4DD464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4、整机内置AI授课工具，可根据题目所涉及的知识点和难度级别，可推荐相似题目，推荐题目数量可根据用户需求进行设置。</w:t>
            </w:r>
          </w:p>
          <w:p w14:paraId="0C1198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5、整机内置AI作文批改工具，支持对视频展台所采集的内容进行识别，识别到英文作文类型后，支持作文内容进行批改。可根据作文的整体表现给出一个综合评分，并提供详细的评分依据。</w:t>
            </w:r>
          </w:p>
          <w:p w14:paraId="49DB0E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6、整机内置AI作文批改工具，能够从作文的词汇词组、语法句子、内容连贯性多个维度进行分析和评价。对于存在的语法错误和错别字，能够指出并提供修改建议。</w:t>
            </w:r>
          </w:p>
          <w:p w14:paraId="1BE729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▲7、设备配套AI 教学助手，根据教学和学习需求快速生成虚拟教学角色，支持个性化设定角色信息包括角色性格、技能与头像信息，支持语音和文字两种方式进行对话交互。</w:t>
            </w:r>
          </w:p>
          <w:p w14:paraId="595D82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w:t>
            </w:r>
          </w:p>
          <w:p w14:paraId="310598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9、整机具备班级视力检测功能，学⽣站在距离屏幕前5m处，可通过⼿势识别方式来标识方向进行视力测试，测试完成后可直接⽣成视⼒检测结果，并建⽴学⽣视⼒档案，对学⽣视⼒情况进⾏管理。</w:t>
            </w:r>
          </w:p>
          <w:p w14:paraId="247568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p>
          <w:p w14:paraId="302F13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十、教学备授课软件设计</w:t>
            </w:r>
          </w:p>
          <w:p w14:paraId="481819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（一）白板教学PC端应用</w:t>
            </w:r>
          </w:p>
          <w:p w14:paraId="03E068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▲1、教学系统为全校教师提供可灵活扩展、便于学校管理的云存储空间；教师个人云存储空间支持扩容，单用户存储空间可扩展至 100G 及以上。</w:t>
            </w:r>
          </w:p>
          <w:p w14:paraId="501C90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p>
          <w:p w14:paraId="15D93A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3、互动教学课件支持定向精准分享：分享者可将互动课件、课件组精准推送至指定接收方账号云空间，接收方可在云空间接收并打开分享课件。</w:t>
            </w:r>
          </w:p>
          <w:p w14:paraId="13C1AC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p>
          <w:p w14:paraId="4E1A17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5、语文工具：具备汉字生字卡，直观展示汉字部首、笔画数量，笔画书写支持分步展示和连续展示，教师可一次性生成多个汉字生字卡，同步生成数量不少于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p>
          <w:p w14:paraId="6646D9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6、支持软件联网自动静默升级，无需用户手动更新。</w:t>
            </w:r>
          </w:p>
          <w:p w14:paraId="21D809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7、课件背景：提供不少于8种以上背景模板供老师选择，持自定义背景。</w:t>
            </w:r>
          </w:p>
          <w:p w14:paraId="4B98B1E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8种游戏模板，直接选择并输入相应内容即可轻松生成互动分类游戏，提升课堂趣味性。</w:t>
            </w:r>
          </w:p>
          <w:p w14:paraId="346377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9、智能选词填空：支持创建智能选词填空游戏，教师可随意编辑填空题题干以及相应的答案选项，将选项拖到对应题干空白处，系统将自动判别答案是否正确。系统需提供不少于 8 种游戏模板供老师选择，且模板样式支持自定义修改。</w:t>
            </w:r>
          </w:p>
          <w:p w14:paraId="4102E8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10、智能配对游戏：支持创建配对游戏，教师可随意将知识点进行配对。当开始配对游戏时，拖动知识点进行配对，系统将自动判断是否正确。系统至少提供7种游戏模版，且模版样式支持自定义修改。</w:t>
            </w:r>
          </w:p>
          <w:p w14:paraId="60E4A1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11、分组竞争游戏：支持创建分组竞争游戏，教师可设置正确项／干扰项，让两组学生开展竞争游戏。系统提供不少于 3 种难度、10种游戏模版选择，且模版样式支持自定义修改。</w:t>
            </w:r>
          </w:p>
          <w:p w14:paraId="6CDE4C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▲12、数学公式编辑器：支持复杂数学公式输入，提供不少于 20 个数学符号及模板，输出的公式内容支持不同颜色标记及二次编辑。</w:t>
            </w:r>
          </w:p>
          <w:p w14:paraId="23C850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13、数学画板功能：</w:t>
            </w:r>
          </w:p>
          <w:p w14:paraId="6990EF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a)能在白板中插入在线画板，授课时可以一键打开,方便老师配合课件内容进行讲解。</w:t>
            </w:r>
          </w:p>
          <w:p w14:paraId="4565D9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b)提供不少于 500 个数学画板资源，覆盖小学、初中、高中学段数学学科主要知识点，并按照知识点分类，便于老师查找。</w:t>
            </w:r>
          </w:p>
          <w:p w14:paraId="7CEA4A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14:paraId="06ACAF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老师创建个人画板，除了点、线、面等基础元素以外，画板还可提供线段中点、椭圆焦点、极坐标方程等数十种数学常用工具，保证老师日常备授课所需。创建完成后，老师可一键将画板插入白板，与课件无缝连接。</w:t>
            </w:r>
          </w:p>
          <w:p w14:paraId="296241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14:paraId="1ED312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15、表格：</w:t>
            </w:r>
          </w:p>
          <w:p w14:paraId="557FA4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a)具有表格插入功能，并提供5种以上表格样式供老师选择。</w:t>
            </w:r>
          </w:p>
          <w:p w14:paraId="233DE6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b)表格能自适应，可一键将表格的行、列调整到最合适的大小。</w:t>
            </w:r>
          </w:p>
          <w:p w14:paraId="234BCC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c)具有表格遮罩功能，可对表格中任意一格添加遮罩，在授课模式下通过点击可消除遮罩，方便老师设置互动活动。</w:t>
            </w:r>
          </w:p>
          <w:p w14:paraId="07EF12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d)在授课模式下，支持表格克隆功能，可克隆出多个相同表格，</w:t>
            </w:r>
          </w:p>
          <w:p w14:paraId="7B7CE8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方便老师请多位同学进行答题互动。</w:t>
            </w:r>
          </w:p>
          <w:p w14:paraId="2874DD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16、图表：</w:t>
            </w:r>
          </w:p>
          <w:p w14:paraId="5B7F23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a)具有图表插入功能，并提供柱状图、扇形图、折线图 3 种图表形式，且每种形式提供不少于5种样式供选择。</w:t>
            </w:r>
          </w:p>
          <w:p w14:paraId="772084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b)具有图表二维及三维展示形式任意切换，且三维图表支持旋转，方便多角度展示数据变化。</w:t>
            </w:r>
          </w:p>
          <w:p w14:paraId="05BDF7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c)具有图表添加超链接，可连接至课件其他页面、网页、软件自带小工具等地方。</w:t>
            </w:r>
          </w:p>
          <w:p w14:paraId="04ABD0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d)在授课模式下，支持图表克隆功能，可克隆出多个相同图表，</w:t>
            </w:r>
          </w:p>
          <w:p w14:paraId="114C06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方便老师进行对比观察。</w:t>
            </w:r>
          </w:p>
          <w:p w14:paraId="615118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17、古诗词资源：</w:t>
            </w:r>
          </w:p>
          <w:p w14:paraId="6CA11E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a)提供覆盖多学段的古诗词、古文资源，包含原文、翻译、背景介绍、作者介绍、朗诵音频等。</w:t>
            </w:r>
          </w:p>
          <w:p w14:paraId="731831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b)支持用户根据年级、朝代、诗人等进行分类查找，也可直接搜索诗词、古文名称或作者名查找。</w:t>
            </w:r>
          </w:p>
          <w:p w14:paraId="4D62D1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c)提供不少于9种古诗词专用背景模板，老师可贴合古诗词意境选择合适背景进行教学。</w:t>
            </w:r>
          </w:p>
          <w:p w14:paraId="0C7FF2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d)每篇古诗词、古文均提供原文及翻译、背景介绍、作者介绍等，同时支持一键跳转打开网页，展示对应的背景或作者介绍。</w:t>
            </w:r>
          </w:p>
          <w:p w14:paraId="5AA49D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e)支持老师备课时对原文进行注释、标重点等操作，方便老师讲解重点字词。</w:t>
            </w:r>
          </w:p>
          <w:p w14:paraId="3B126B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f)提供原文朗读功能，全部诗词、古文均配备专业朗读配音，且支持老师在备课时对朗读音频进行打点操作，上课时可播放提前选择好的片段。</w:t>
            </w:r>
          </w:p>
          <w:p w14:paraId="470E96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w:t>
            </w:r>
          </w:p>
          <w:p w14:paraId="385D3C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19、美术画板：具有美术画板工具，提供铅笔、毛笔、油画笔，可实现模拟调色盘功能，老师可自由选择不同颜色进行混合调色，搭配出任意色彩。</w:t>
            </w:r>
          </w:p>
          <w:p w14:paraId="33AAAD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20、美术工具：具备图形自由创作工具，教师可自由绘制复杂的任意多边图形及曲边图形；教师自主创作的图形可存储至个人云空间便于后续使用。</w:t>
            </w:r>
          </w:p>
          <w:p w14:paraId="29BD2E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（二）白板软件移动端应用</w:t>
            </w:r>
          </w:p>
          <w:p w14:paraId="1DF2E1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1、课件预览保留课件对象拖拽移动、克隆复制、置顶、删除等互动功能，并可通过移动端进行思维导图、课堂互动游戏的触控交互操作，并支持显示课件备注内容。</w:t>
            </w:r>
          </w:p>
          <w:p w14:paraId="6E3A0F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2、可在移动平台选择是否接收获取的分享课件，接收后课件储存至个人云空间，可在移动平台的互动课件列表预览。</w:t>
            </w:r>
          </w:p>
          <w:p w14:paraId="00F1DC4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3、移动平台可对云空间互动课件和课件组移动、删除和重命名，课件及课件组支持批量移动、删除。</w:t>
            </w:r>
          </w:p>
          <w:p w14:paraId="326259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4、移动平台可将课件通过微信、朋友圈、云空间帐号、二维码、公开链接、加密链接等方式进行分享，分享有效期支持自定义。</w:t>
            </w:r>
          </w:p>
          <w:p w14:paraId="57A716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5、移动平台可查看教师个人云空间里所有互动课件列表，并可打开互动课件进行预览，预览时支持上下翻页、页面缩略图预览、页面跳转。</w:t>
            </w:r>
          </w:p>
          <w:p w14:paraId="1A4527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6、移动平台可以上传手机相册中的照片和视频到资料夹，且能调用系统相机拍摄照片并直接上传。教师可以在备课端选择资源插入课件。</w:t>
            </w:r>
          </w:p>
          <w:p w14:paraId="215D9F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十一、智能桌面管理系统</w:t>
            </w:r>
          </w:p>
          <w:p w14:paraId="0CDE8D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1、支持批量部署，教室内任意一台设备，可为机房内其他没有系统的设备批量安装云桌面管理软件和操作系统。</w:t>
            </w:r>
          </w:p>
          <w:p w14:paraId="43548C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2、支持开机Logo自定义，减弱教育商业化。</w:t>
            </w:r>
          </w:p>
          <w:p w14:paraId="16FAA7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★3、支持一次向多个接收端设备发送文件。接收设备离线时文件能够保存在云端，接收端设备在线后，文件能够自动下载接收端设备。（提供相关证明材料</w:t>
            </w:r>
            <w:r>
              <w:rPr>
                <w:rFonts w:hint="eastAsia" w:ascii="宋体" w:hAnsi="宋体" w:cs="宋体"/>
                <w:b/>
                <w:bCs/>
                <w:color w:val="auto"/>
                <w:kern w:val="0"/>
                <w:sz w:val="21"/>
                <w:szCs w:val="21"/>
                <w:highlight w:val="none"/>
                <w:lang w:eastAsia="zh-CN" w:bidi="ar"/>
              </w:rPr>
              <w:t>（包括但不限于产品彩页、官网公示信息、功能截图、第三方检测报告等能够佐证产品性能的证明材料））</w:t>
            </w:r>
          </w:p>
          <w:p w14:paraId="4FAEB7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★4、用户可在资源目录中多选各类格式文件，批量发送至接收端软件中，接收端软件自动下载该文件。</w:t>
            </w:r>
            <w:r>
              <w:rPr>
                <w:rFonts w:hint="eastAsia" w:ascii="宋体" w:hAnsi="宋体" w:cs="宋体"/>
                <w:b/>
                <w:bCs/>
                <w:color w:val="auto"/>
                <w:kern w:val="0"/>
                <w:sz w:val="21"/>
                <w:szCs w:val="21"/>
                <w:highlight w:val="none"/>
                <w:lang w:eastAsia="zh-CN" w:bidi="ar"/>
              </w:rPr>
              <w:t>（提供相关证明材料（包括但不限于产品彩页、官网公示信息、功能截图、第三方检测报告等能够佐证产品性能的证明材料））</w:t>
            </w:r>
          </w:p>
          <w:p w14:paraId="3199C5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5、支持对主流操作系统的还原属性进行设置，可分别为系统盘与数据盘配置不同的还原策略，包括每次还原、每日还原、每周还原、每月还原及不还原。</w:t>
            </w:r>
          </w:p>
          <w:p w14:paraId="2FAE99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bidi="ar"/>
              </w:rPr>
              <w:t>、提供云终端检测功能，可对操作系统环境进行批量巡检，检测结果以列表形式展示，并对USB键鼠未连接、未知盘符等异常状态进行告警提示。</w:t>
            </w:r>
          </w:p>
          <w:p w14:paraId="091FD1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bidi="ar"/>
              </w:rPr>
              <w:t>、管理软件支持对操作系统提供网络修复功能，可自动检测网络服务状态并对异常问题进行修复。</w:t>
            </w:r>
          </w:p>
          <w:p w14:paraId="6597CC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bidi="ar"/>
              </w:rPr>
              <w:t>、管理软件支持在考试结束后，提供文件加密功能，可对指定文件进行密码保护，并完整记录加密操作日志。</w:t>
            </w:r>
          </w:p>
          <w:p w14:paraId="24288E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bidi="ar"/>
              </w:rPr>
              <w:t>、管理软件支持开启内置DHCP服务，可在无外网环境下为局域网内设备自动分配IP地址，保障机房临时教学活动正常进行。</w:t>
            </w:r>
          </w:p>
          <w:p w14:paraId="66E91F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10</w:t>
            </w:r>
            <w:r>
              <w:rPr>
                <w:rFonts w:hint="eastAsia" w:ascii="宋体" w:hAnsi="宋体" w:eastAsia="宋体" w:cs="宋体"/>
                <w:color w:val="auto"/>
                <w:kern w:val="0"/>
                <w:sz w:val="21"/>
                <w:szCs w:val="21"/>
                <w:highlight w:val="none"/>
                <w:lang w:bidi="ar"/>
              </w:rPr>
              <w:t>、支持无服务器部署模式，机房内任意一台学生机均可设置为管理端，统一管理维护所有终端设备。</w:t>
            </w:r>
          </w:p>
          <w:p w14:paraId="6B09CD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bidi="ar"/>
              </w:rPr>
              <w:t>、管理软件内置U盘管控功能，开启后可禁止所有终端使用U盘设备，保障数据安全与系统稳定。</w:t>
            </w:r>
          </w:p>
          <w:p w14:paraId="42FDB6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bidi="ar"/>
              </w:rPr>
              <w:t>、管理软件内置广告弹窗拦截功能，开启后可自动拦截终端桌面广告弹窗，净化教学办公环境。</w:t>
            </w:r>
          </w:p>
          <w:p w14:paraId="6EEF48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十二、产品售后保障服务</w:t>
            </w:r>
          </w:p>
          <w:p w14:paraId="7D367F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1、微信售后报修服务：快速输入相关问题及所在区域进行在线保修，贴心服务人员实时在线提供客服专线报修，更好更快的解决售后故障问题带来的使用不便。</w:t>
            </w:r>
          </w:p>
          <w:p w14:paraId="482127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2、微信问题查询服务：提供八大模块的问题查询及解决方案，现场完成简单故障的快速修复指导。</w:t>
            </w:r>
          </w:p>
          <w:p w14:paraId="723243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十三、其他要求</w:t>
            </w:r>
          </w:p>
          <w:p w14:paraId="1317E7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为确保货物质量及原厂品质，中标供应商在正式供货时需提供生产厂家针对此项目的售后服务保证原件、供货证明原件。</w:t>
            </w:r>
          </w:p>
          <w:p w14:paraId="34BE07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注：本产品须提供节能证书。</w:t>
            </w:r>
          </w:p>
        </w:tc>
        <w:tc>
          <w:tcPr>
            <w:tcW w:w="687" w:type="dxa"/>
            <w:tcBorders>
              <w:top w:val="single" w:color="auto" w:sz="4" w:space="0"/>
              <w:left w:val="single" w:color="auto" w:sz="4" w:space="0"/>
              <w:bottom w:val="single" w:color="auto" w:sz="4" w:space="0"/>
              <w:right w:val="single" w:color="auto" w:sz="4" w:space="0"/>
            </w:tcBorders>
            <w:vAlign w:val="center"/>
          </w:tcPr>
          <w:p w14:paraId="42BC3F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4AEE96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E065B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13780</w:t>
            </w:r>
            <w:r>
              <w:rPr>
                <w:rFonts w:hint="eastAsia" w:ascii="宋体" w:hAnsi="宋体" w:cs="宋体"/>
                <w:i w:val="0"/>
                <w:iCs w:val="0"/>
                <w:color w:val="auto"/>
                <w:kern w:val="0"/>
                <w:sz w:val="21"/>
                <w:szCs w:val="21"/>
                <w:highlight w:val="none"/>
                <w:u w:val="none"/>
                <w:lang w:val="en-US" w:eastAsia="zh-CN" w:bidi="ar"/>
              </w:rPr>
              <w:t>.00</w:t>
            </w:r>
          </w:p>
        </w:tc>
      </w:tr>
      <w:tr w14:paraId="0C76EE0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69EFC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w:t>
            </w:r>
          </w:p>
        </w:tc>
        <w:tc>
          <w:tcPr>
            <w:tcW w:w="1235" w:type="dxa"/>
            <w:tcBorders>
              <w:top w:val="single" w:color="auto" w:sz="4" w:space="0"/>
              <w:left w:val="single" w:color="auto" w:sz="4" w:space="0"/>
              <w:bottom w:val="single" w:color="auto" w:sz="4" w:space="0"/>
              <w:right w:val="single" w:color="auto" w:sz="4" w:space="0"/>
            </w:tcBorders>
            <w:vAlign w:val="center"/>
          </w:tcPr>
          <w:p w14:paraId="552715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视频展台</w:t>
            </w:r>
          </w:p>
        </w:tc>
        <w:tc>
          <w:tcPr>
            <w:tcW w:w="6340" w:type="dxa"/>
            <w:tcBorders>
              <w:top w:val="single" w:color="auto" w:sz="4" w:space="0"/>
              <w:left w:val="single" w:color="auto" w:sz="4" w:space="0"/>
              <w:bottom w:val="single" w:color="auto" w:sz="4" w:space="0"/>
              <w:right w:val="single" w:color="auto" w:sz="4" w:space="0"/>
            </w:tcBorders>
            <w:vAlign w:val="center"/>
          </w:tcPr>
          <w:p w14:paraId="7D91DE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整机展开尺寸约415×220×485mm，折叠尺寸约440×220×90mm</w:t>
            </w:r>
          </w:p>
          <w:p w14:paraId="5242F7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（一）硬件部分：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1、整机采用圆弧式设计，无锐角；同时托板采用磁吸吸附式机构，防止托板打落，方便打开及固定，避免机械式锁具故障率高的问题。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2、采用≥800万像素摄像头；采用USB五伏电源直接供电，无需额外配置电源适配器，环保无辐射；箱内USB连线采用隐藏式设计，箱内无可见连线且USB口下出，有效防止积尘，且方便布线和返修。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3、A4大小拍摄幅面，1080P动态视频预览达到30帧/秒；托板及挂墙部分采用金属加强，托板可承重3kg，整机壁挂式安装。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4、支持展台成像画面实时批注，预设多种笔画粗细及颜色供选择，且支持对展台成像画面连同批注内容进行同步缩放、移动。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5、展示托板正上方具备LED补光灯，保证展示区域的亮度及展示效果，补光灯开关采用触摸按键设计，同时可通过交互智能平板中的软件直接控制开关。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6、带自动对焦摄像头；外壳在摄像头部分带保护镜片密封，防止灰尘沾染摄像头，防护等级达到IP4X级别。</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7、具有故障自动检测功能：在调用展台却无法出现镜头采集画面信号时，可自动出现检测链接，并给出导致性原因（如硬件连接、摄像头占用、配套软件版本等问题）。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（二）软件部分：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1、支持对展台实时画面进行放大、缩小、旋转、自适应、冻结画面等操作。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2、支持展台画面实时批注，预设多种笔画粗细及颜色供选择，且支持对展台画面连同批注内容进行同步缩放、移动。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3、支持展台画面拍照截图并进行多图预览，可对任一图片进行全屏显示。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4、老师可在一体机或电脑上选择延时拍照功能，支持5秒或10秒延时模式，预留充足时间以便调整拍摄内容。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5、可选择图像、文本或动态三种情景模式，适应不同展示内容。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6、具备图像增强功能，可自动裁剪背景并增强文字显示，使文档画面更清晰。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7、支持故障自动检测，在软件无法出现展台拍摄画面时，自动出现检测链接，帮助用户检测“无画面”的原因，并给出引导性解决方案。可判断硬件连接、显卡驱动、摄像头占用、软件版本等问题。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8、支持二维码扫码功能：打开扫一扫功能后，将书本上的二维码放入扫描框内即可自动扫描，并进入系统浏览器获取二维码的链接内容，帮助老师快速获取电子教学资源。</w:t>
            </w:r>
          </w:p>
        </w:tc>
        <w:tc>
          <w:tcPr>
            <w:tcW w:w="687" w:type="dxa"/>
            <w:tcBorders>
              <w:top w:val="single" w:color="auto" w:sz="4" w:space="0"/>
              <w:left w:val="single" w:color="auto" w:sz="4" w:space="0"/>
              <w:bottom w:val="single" w:color="auto" w:sz="4" w:space="0"/>
              <w:right w:val="single" w:color="auto" w:sz="4" w:space="0"/>
            </w:tcBorders>
            <w:vAlign w:val="center"/>
          </w:tcPr>
          <w:p w14:paraId="1EE7E3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331740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vAlign w:val="center"/>
          </w:tcPr>
          <w:p w14:paraId="4E7377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1000.00</w:t>
            </w:r>
          </w:p>
        </w:tc>
      </w:tr>
      <w:tr w14:paraId="1DE158E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A75A9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w:t>
            </w:r>
          </w:p>
        </w:tc>
        <w:tc>
          <w:tcPr>
            <w:tcW w:w="1235" w:type="dxa"/>
            <w:tcBorders>
              <w:top w:val="single" w:color="auto" w:sz="4" w:space="0"/>
              <w:left w:val="single" w:color="auto" w:sz="4" w:space="0"/>
              <w:bottom w:val="single" w:color="auto" w:sz="4" w:space="0"/>
              <w:right w:val="single" w:color="auto" w:sz="4" w:space="0"/>
            </w:tcBorders>
            <w:vAlign w:val="center"/>
          </w:tcPr>
          <w:p w14:paraId="35FA63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教师演示台</w:t>
            </w:r>
          </w:p>
        </w:tc>
        <w:tc>
          <w:tcPr>
            <w:tcW w:w="6340" w:type="dxa"/>
            <w:tcBorders>
              <w:top w:val="single" w:color="auto" w:sz="4" w:space="0"/>
              <w:left w:val="single" w:color="auto" w:sz="4" w:space="0"/>
              <w:bottom w:val="single" w:color="auto" w:sz="4" w:space="0"/>
              <w:right w:val="single" w:color="auto" w:sz="4" w:space="0"/>
            </w:tcBorders>
            <w:vAlign w:val="center"/>
          </w:tcPr>
          <w:p w14:paraId="0D3229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规格：2400*700*850mm，台面颜色浅豆绿色；</w:t>
            </w:r>
          </w:p>
          <w:p w14:paraId="42EF7E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展示台参数</w:t>
            </w:r>
          </w:p>
          <w:p w14:paraId="61D975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1、尺寸：2400*700*850mm，全钢结构</w:t>
            </w:r>
            <w:r>
              <w:rPr>
                <w:rFonts w:hint="eastAsia" w:ascii="宋体" w:hAnsi="宋体" w:cs="宋体"/>
                <w:i w:val="0"/>
                <w:iCs w:val="0"/>
                <w:color w:val="auto"/>
                <w:kern w:val="0"/>
                <w:sz w:val="21"/>
                <w:szCs w:val="21"/>
                <w:highlight w:val="none"/>
                <w:u w:val="none"/>
                <w:lang w:val="en-US" w:eastAsia="zh-CN" w:bidi="ar"/>
              </w:rPr>
              <w:t>；</w:t>
            </w:r>
          </w:p>
          <w:p w14:paraId="1A9BEB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2、台面：采用12.7mm厚双面膜实芯理化板，且满足如下参数要求：</w:t>
            </w:r>
          </w:p>
          <w:p w14:paraId="76FB69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2-1化学性能检测：台面依据GB/T 17657-2022 《人造板及饰面人造板理化性能试验方法》标准，耐污染性能不少于130项试验污染物的检测</w:t>
            </w:r>
            <w:r>
              <w:rPr>
                <w:rFonts w:hint="eastAsia" w:ascii="宋体" w:hAnsi="宋体" w:cs="宋体"/>
                <w:i w:val="0"/>
                <w:iCs w:val="0"/>
                <w:color w:val="auto"/>
                <w:kern w:val="0"/>
                <w:sz w:val="21"/>
                <w:szCs w:val="21"/>
                <w:highlight w:val="none"/>
                <w:u w:val="none"/>
                <w:lang w:val="en-US" w:eastAsia="zh-CN" w:bidi="ar"/>
              </w:rPr>
              <w:t>。</w:t>
            </w:r>
          </w:p>
          <w:p w14:paraId="4F8E64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2-2且包含：65%硝酸、98%硫酸、37%盐酸、40%氢氧化钠、氯甲苯、乙二醇等试剂，覆盖玻璃盖板和未覆盖玻璃盖板检验结果均为5级：无明显变化。</w:t>
            </w:r>
          </w:p>
          <w:p w14:paraId="189639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2-3物理性能检测：台面依据GB/T 17657-2022 《人造板及饰面人造板理化性能试验方法》标准</w:t>
            </w:r>
            <w:r>
              <w:rPr>
                <w:rFonts w:hint="eastAsia" w:ascii="宋体" w:hAnsi="宋体" w:cs="宋体"/>
                <w:i w:val="0"/>
                <w:iCs w:val="0"/>
                <w:color w:val="auto"/>
                <w:kern w:val="0"/>
                <w:sz w:val="21"/>
                <w:szCs w:val="21"/>
                <w:highlight w:val="none"/>
                <w:u w:val="none"/>
                <w:lang w:val="en-US" w:eastAsia="zh-CN" w:bidi="ar"/>
              </w:rPr>
              <w:t>。</w:t>
            </w:r>
          </w:p>
          <w:p w14:paraId="2A839F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2-4满足： 含水率：≤0.9%；吸水厚度膨胀率≤0.1%；</w:t>
            </w:r>
          </w:p>
          <w:p w14:paraId="09983A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2-5尺寸稳定性：横向≤0.07%、纵向≤0.04%；板面握螺钉力≥3490N；表面耐冷热循环性能：表面无裂纹及鼓泡；浸渍剥离性能：贴面层与基材之间的胶层无剥离和分层现象</w:t>
            </w:r>
            <w:r>
              <w:rPr>
                <w:rFonts w:hint="eastAsia" w:ascii="宋体" w:hAnsi="宋体" w:cs="宋体"/>
                <w:i w:val="0"/>
                <w:iCs w:val="0"/>
                <w:color w:val="auto"/>
                <w:kern w:val="0"/>
                <w:sz w:val="21"/>
                <w:szCs w:val="21"/>
                <w:highlight w:val="none"/>
                <w:u w:val="none"/>
                <w:lang w:val="en-US" w:eastAsia="zh-CN" w:bidi="ar"/>
              </w:rPr>
              <w:t>。</w:t>
            </w:r>
          </w:p>
          <w:p w14:paraId="74A899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2-6表面耐划痕性能：4.5N作用下试件表面无大于90%的连续划痕，表面装饰花纹无破坏现象</w:t>
            </w:r>
            <w:r>
              <w:rPr>
                <w:rFonts w:hint="eastAsia" w:ascii="宋体" w:hAnsi="宋体" w:cs="宋体"/>
                <w:i w:val="0"/>
                <w:iCs w:val="0"/>
                <w:color w:val="auto"/>
                <w:kern w:val="0"/>
                <w:sz w:val="21"/>
                <w:szCs w:val="21"/>
                <w:highlight w:val="none"/>
                <w:u w:val="none"/>
                <w:lang w:val="en-US" w:eastAsia="zh-CN" w:bidi="ar"/>
              </w:rPr>
              <w:t>。</w:t>
            </w:r>
          </w:p>
          <w:p w14:paraId="350D82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2-7耐沸水性能：质量增加百分率≤0.01%、厚度增加百分率≤0.08%，表面质量等级：5级：无变化，边缘质量等级：5级：无明显变化</w:t>
            </w:r>
            <w:r>
              <w:rPr>
                <w:rFonts w:hint="eastAsia" w:ascii="宋体" w:hAnsi="宋体" w:cs="宋体"/>
                <w:i w:val="0"/>
                <w:iCs w:val="0"/>
                <w:color w:val="auto"/>
                <w:kern w:val="0"/>
                <w:sz w:val="21"/>
                <w:szCs w:val="21"/>
                <w:highlight w:val="none"/>
                <w:u w:val="none"/>
                <w:lang w:val="en-US" w:eastAsia="zh-CN" w:bidi="ar"/>
              </w:rPr>
              <w:t>。</w:t>
            </w:r>
          </w:p>
          <w:p w14:paraId="13C28C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2-8耐开裂性能：5级：无细微裂纹；表面耐磨性能：≥1100r,未出现磨损点等不低于27项检测。</w:t>
            </w:r>
          </w:p>
          <w:p w14:paraId="766C7A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★2-9台面参照GB 18584-2024《家具中有害物质限量》标准，可迁移有害元素:铬（Cr）≤10mg/kg、铅(Pb)≤10mg/kg、镉（Cd）≤12mg/kg、汞（Hg）≤12mg/kg。</w:t>
            </w:r>
            <w:r>
              <w:rPr>
                <w:rFonts w:hint="eastAsia" w:ascii="宋体" w:hAnsi="宋体" w:cs="宋体"/>
                <w:b/>
                <w:bCs/>
                <w:i w:val="0"/>
                <w:iCs w:val="0"/>
                <w:color w:val="auto"/>
                <w:kern w:val="0"/>
                <w:sz w:val="21"/>
                <w:szCs w:val="21"/>
                <w:highlight w:val="none"/>
                <w:u w:val="none"/>
                <w:lang w:val="en-US" w:eastAsia="zh-CN" w:bidi="ar"/>
              </w:rPr>
              <w:t>（投标人需提供国家认可的第三方出具带CMA或CNAS标志或带二维码防伪的检测报告复印件，并加盖投标人公章。）</w:t>
            </w:r>
          </w:p>
          <w:p w14:paraId="06DE98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2-10抗菌性能检测：台面依据JC/T2039-2010标准，满足不少于 13 种的菌种检测，且抗菌率≥95%。</w:t>
            </w:r>
          </w:p>
          <w:p w14:paraId="0BD2DB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2-11防霉性能检测：台面依据JC/T2039-2010标准，满足：黑曲霉、土曲霉、球毛壳霉、宛氏拟青霉、绳状青霉、出芽短梗霉等不少于10种的霉菌检测</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防霉等级为0级。</w:t>
            </w:r>
          </w:p>
          <w:p w14:paraId="2479F6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2-12燃烧性能检测：台面依据GB/T 2408-2021《塑料 燃烧性能的测定水平法和垂直法》标准，满足：水平燃烧符合HB级</w:t>
            </w:r>
            <w:r>
              <w:rPr>
                <w:rFonts w:hint="eastAsia" w:ascii="宋体" w:hAnsi="宋体" w:cs="宋体"/>
                <w:i w:val="0"/>
                <w:iCs w:val="0"/>
                <w:color w:val="auto"/>
                <w:kern w:val="0"/>
                <w:sz w:val="21"/>
                <w:szCs w:val="21"/>
                <w:highlight w:val="none"/>
                <w:u w:val="none"/>
                <w:lang w:val="en-US" w:eastAsia="zh-CN" w:bidi="ar"/>
              </w:rPr>
              <w:t>或</w:t>
            </w:r>
            <w:r>
              <w:rPr>
                <w:rFonts w:hint="eastAsia" w:ascii="宋体" w:hAnsi="宋体" w:eastAsia="宋体" w:cs="宋体"/>
                <w:i w:val="0"/>
                <w:iCs w:val="0"/>
                <w:color w:val="auto"/>
                <w:kern w:val="0"/>
                <w:sz w:val="21"/>
                <w:szCs w:val="21"/>
                <w:highlight w:val="none"/>
                <w:u w:val="none"/>
                <w:lang w:val="en-US" w:eastAsia="zh-CN" w:bidi="ar"/>
              </w:rPr>
              <w:t>垂直燃烧符合V-0级</w:t>
            </w:r>
            <w:r>
              <w:rPr>
                <w:rFonts w:hint="eastAsia" w:ascii="宋体" w:hAnsi="宋体" w:cs="宋体"/>
                <w:i w:val="0"/>
                <w:iCs w:val="0"/>
                <w:color w:val="auto"/>
                <w:kern w:val="0"/>
                <w:sz w:val="21"/>
                <w:szCs w:val="21"/>
                <w:highlight w:val="none"/>
                <w:u w:val="none"/>
                <w:lang w:val="en-US" w:eastAsia="zh-CN" w:bidi="ar"/>
              </w:rPr>
              <w:t>。</w:t>
            </w:r>
          </w:p>
          <w:p w14:paraId="4DE7D5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2-13台面参照GB8624-2012《建筑材料及制品燃烧性能分级》标准，满足：燃烧性能等级B1级；产烟特性等级S1级；燃烧滴落物/微粒等级d0级。</w:t>
            </w:r>
          </w:p>
          <w:p w14:paraId="1D5C89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2-14烟气毒性检测：台面依据GB 8624-2012《建筑材料及制品燃烧性能分级》标准，烟气毒性等级 t1 级：ZA3（达到准安全三级ZA3）。</w:t>
            </w:r>
          </w:p>
          <w:p w14:paraId="5202FE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2-15抗老化性检测：台面依据GB/T24508-2020标准：48小时无开裂、无鼓泡、无粉化。</w:t>
            </w:r>
          </w:p>
          <w:p w14:paraId="195FBC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柜身：按照多媒体讲台,设计了电脑主机、显示器等设备的摆放空间，同时设计了电源盒、网络接口、电脑专用插座.中间部分是讲课演示部分，并设抽屉式结构，抽屉装有教师演示安全电源及控制装置。台身主体背板、吊板及所有板材均采用高品质1.0mm +/- 0.07mm的镀锌钢板，拉力強度&gt;270N/mm2,表面均经静电及磷化处理，环氧树脂喷涂厚度≥75um。</w:t>
            </w:r>
          </w:p>
          <w:p w14:paraId="5BBA2B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门铰：采用优质175度阻尼铰链。自闭式，与柜体面水平角度&lt;15度时，柜门即可自行关闭，弹性好，外形美观，使用过程中无噪音，可开关十万次，达到国际五金行业标准，使用寿命长。</w:t>
            </w:r>
          </w:p>
          <w:p w14:paraId="7FFB8D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手抽：C字型不锈钢，表面有光滑防腐涂层。外形美观、经久耐用。组装接缝严密，连接牢固，无松动现象。</w:t>
            </w:r>
          </w:p>
          <w:p w14:paraId="30A9E72F">
            <w:pPr>
              <w:keepNext w:val="0"/>
              <w:keepLines w:val="0"/>
              <w:pageBreakBefore w:val="0"/>
              <w:widowControl/>
              <w:numPr>
                <w:ilvl w:val="0"/>
                <w:numId w:val="2"/>
              </w:numPr>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门板及抽面：采用双层钢板，必须两层组装是设计，内置防撞胶垫，装于抽屉及门板内侧，减缓碰撞，保护柜体，保证关门减少噪音；</w:t>
            </w:r>
          </w:p>
          <w:p w14:paraId="54C7D9DA">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五、固定脚：采用ABS工程塑料模具成型制作而成，具有耐磨、防潮、耐腐蚀等特点。</w:t>
            </w:r>
          </w:p>
        </w:tc>
        <w:tc>
          <w:tcPr>
            <w:tcW w:w="687" w:type="dxa"/>
            <w:tcBorders>
              <w:top w:val="single" w:color="auto" w:sz="4" w:space="0"/>
              <w:left w:val="single" w:color="auto" w:sz="4" w:space="0"/>
              <w:bottom w:val="single" w:color="auto" w:sz="4" w:space="0"/>
              <w:right w:val="single" w:color="auto" w:sz="4" w:space="0"/>
            </w:tcBorders>
            <w:vAlign w:val="center"/>
          </w:tcPr>
          <w:p w14:paraId="045F5C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186AC8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vAlign w:val="center"/>
          </w:tcPr>
          <w:p w14:paraId="0EDBBA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5200.00</w:t>
            </w:r>
          </w:p>
        </w:tc>
      </w:tr>
      <w:tr w14:paraId="0DDA3A1C">
        <w:tblPrEx>
          <w:tblCellMar>
            <w:top w:w="0" w:type="dxa"/>
            <w:left w:w="108" w:type="dxa"/>
            <w:bottom w:w="0" w:type="dxa"/>
            <w:right w:w="108" w:type="dxa"/>
          </w:tblCellMar>
        </w:tblPrEx>
        <w:trPr>
          <w:trHeight w:val="366" w:hRule="atLeast"/>
        </w:trPr>
        <w:tc>
          <w:tcPr>
            <w:tcW w:w="649" w:type="dxa"/>
            <w:tcBorders>
              <w:top w:val="single" w:color="auto" w:sz="4" w:space="0"/>
              <w:left w:val="single" w:color="auto" w:sz="4" w:space="0"/>
              <w:bottom w:val="single" w:color="auto" w:sz="4" w:space="0"/>
              <w:right w:val="single" w:color="auto" w:sz="4" w:space="0"/>
            </w:tcBorders>
            <w:vAlign w:val="center"/>
          </w:tcPr>
          <w:p w14:paraId="6E6F07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w:t>
            </w:r>
          </w:p>
        </w:tc>
        <w:tc>
          <w:tcPr>
            <w:tcW w:w="1235" w:type="dxa"/>
            <w:tcBorders>
              <w:top w:val="single" w:color="auto" w:sz="4" w:space="0"/>
              <w:left w:val="single" w:color="auto" w:sz="4" w:space="0"/>
              <w:bottom w:val="single" w:color="auto" w:sz="4" w:space="0"/>
              <w:right w:val="single" w:color="auto" w:sz="4" w:space="0"/>
            </w:tcBorders>
            <w:vAlign w:val="center"/>
          </w:tcPr>
          <w:p w14:paraId="259B07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教师总控电源</w:t>
            </w:r>
          </w:p>
        </w:tc>
        <w:tc>
          <w:tcPr>
            <w:tcW w:w="6340" w:type="dxa"/>
            <w:tcBorders>
              <w:top w:val="single" w:color="auto" w:sz="4" w:space="0"/>
              <w:left w:val="single" w:color="auto" w:sz="4" w:space="0"/>
              <w:bottom w:val="single" w:color="auto" w:sz="4" w:space="0"/>
              <w:right w:val="single" w:color="auto" w:sz="4" w:space="0"/>
            </w:tcBorders>
            <w:vAlign w:val="center"/>
          </w:tcPr>
          <w:p w14:paraId="444CC2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教师主控电源采用微电脑控制，轻触摸操作、PVC贴膜，数字化控制，主要功能为：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1、采用数码管显示教师和学生交直流电压、电流。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2、分4组向学生实验桌输出安全的220V交流电源，具备漏电及过载保护功能。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3、教师自用低压交流电压为0V-18V/5A.19V—30V/3A，分辨率为1V。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4、教师自用低压直流电压为0V-18V/5A.19V—30V/3A，分辨率为0.1V。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5、教师的直流电源过载方式：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关于直流电流设置，在直流模式下有分恒流和恒压两种模式。直流输出模式下，按“CV/CC”按键可以在恒压和恒流模式之间进行切换。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CV指示灯亮是恒压模式。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CC指示灯亮是恒流模式，在恒流模式下按“电流调节”按键恒流电流可以在1A.2A.3A之间循环切换，相应的数码管会有相应的输出指示。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A：恒压模式：CV指示灯亮是恒压模式，在恒压模式下电流过载保护说明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恒压模式，由教师设置电流保护值，（当电压小于18V时，过载保护电流可以设置1A,2A,3A,4A,5A输出保护，当电压大于等于18V时，过载保护电流可以设置1A,2A,3A输出保护）设定1A保护，超过1A就截止输出，数码管有输出提示过载；设定3A保护，超过3A就截止输出，数码管有输出提示过载。当电压重新设置过后，过载电流默认在中间值过载，比如小于18时是3A，大于等于18V时是2A，若要改变过载电流时需要按电流设定键调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B：恒流模式：CC指示灯亮是恒流模式，在恒流模式下输出可以短接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恒流模式，由教师设置输出电流值，（1A,2A,3A）设定1，零欧负载（短路输出测试），可接电流表查看输出电流值。</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6、大电流输出值为9秒40A，9秒自动断开，当输出电流大于45A时即使时间没到输出也会过载保护断开。</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7、有150V240V300V、100mA，高压直流电源，有过载保护，教师可用选择按键任意选择所需高压直流电源。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8、教师电源可控制和锁定学生的低压交流电压和直流电压。控制交流电压为0V-30V，分辨率为1V；控制直流电压为0V-30V，分辨率为0.1V。功能模块及按键都有语音提示。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9、在教师电源锁定学生电源的状态下，教师电源可控制学生电源的过载电流值，分别是（1A、1.8A、2.5A）三个档位。</w:t>
            </w:r>
          </w:p>
        </w:tc>
        <w:tc>
          <w:tcPr>
            <w:tcW w:w="687" w:type="dxa"/>
            <w:tcBorders>
              <w:top w:val="single" w:color="auto" w:sz="4" w:space="0"/>
              <w:left w:val="single" w:color="auto" w:sz="4" w:space="0"/>
              <w:bottom w:val="single" w:color="auto" w:sz="4" w:space="0"/>
              <w:right w:val="single" w:color="auto" w:sz="4" w:space="0"/>
            </w:tcBorders>
            <w:vAlign w:val="center"/>
          </w:tcPr>
          <w:p w14:paraId="369F5B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2D478B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2AE653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1430.00</w:t>
            </w:r>
          </w:p>
        </w:tc>
      </w:tr>
      <w:tr w14:paraId="5ED0301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7CB16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w:t>
            </w:r>
          </w:p>
        </w:tc>
        <w:tc>
          <w:tcPr>
            <w:tcW w:w="1235" w:type="dxa"/>
            <w:tcBorders>
              <w:top w:val="single" w:color="auto" w:sz="4" w:space="0"/>
              <w:left w:val="single" w:color="auto" w:sz="4" w:space="0"/>
              <w:bottom w:val="single" w:color="auto" w:sz="4" w:space="0"/>
              <w:right w:val="single" w:color="auto" w:sz="4" w:space="0"/>
            </w:tcBorders>
            <w:vAlign w:val="center"/>
          </w:tcPr>
          <w:p w14:paraId="70FEF3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教师转椅</w:t>
            </w:r>
          </w:p>
        </w:tc>
        <w:tc>
          <w:tcPr>
            <w:tcW w:w="6340" w:type="dxa"/>
            <w:tcBorders>
              <w:top w:val="single" w:color="auto" w:sz="4" w:space="0"/>
              <w:left w:val="single" w:color="auto" w:sz="4" w:space="0"/>
              <w:bottom w:val="single" w:color="auto" w:sz="4" w:space="0"/>
              <w:right w:val="single" w:color="auto" w:sz="4" w:space="0"/>
            </w:tcBorders>
            <w:vAlign w:val="center"/>
          </w:tcPr>
          <w:p w14:paraId="1FAFF6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五轮气动升降转椅，椅面及靠背为高回弹高密度海绵，黑色优质网面；</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2、铝合金五星脚，带扶手。</w:t>
            </w:r>
          </w:p>
        </w:tc>
        <w:tc>
          <w:tcPr>
            <w:tcW w:w="687" w:type="dxa"/>
            <w:tcBorders>
              <w:top w:val="single" w:color="auto" w:sz="4" w:space="0"/>
              <w:left w:val="single" w:color="auto" w:sz="4" w:space="0"/>
              <w:bottom w:val="single" w:color="auto" w:sz="4" w:space="0"/>
              <w:right w:val="single" w:color="auto" w:sz="4" w:space="0"/>
            </w:tcBorders>
            <w:vAlign w:val="center"/>
          </w:tcPr>
          <w:p w14:paraId="35706B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46D7A4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vAlign w:val="center"/>
          </w:tcPr>
          <w:p w14:paraId="70EDE1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312.00</w:t>
            </w:r>
          </w:p>
        </w:tc>
      </w:tr>
      <w:tr w14:paraId="7E7C0597">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B4A56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w:t>
            </w:r>
          </w:p>
        </w:tc>
        <w:tc>
          <w:tcPr>
            <w:tcW w:w="1235" w:type="dxa"/>
            <w:tcBorders>
              <w:top w:val="single" w:color="auto" w:sz="4" w:space="0"/>
              <w:left w:val="single" w:color="auto" w:sz="4" w:space="0"/>
              <w:bottom w:val="single" w:color="auto" w:sz="4" w:space="0"/>
              <w:right w:val="single" w:color="auto" w:sz="4" w:space="0"/>
            </w:tcBorders>
            <w:vAlign w:val="center"/>
          </w:tcPr>
          <w:p w14:paraId="0EDF82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洗眼器</w:t>
            </w:r>
          </w:p>
        </w:tc>
        <w:tc>
          <w:tcPr>
            <w:tcW w:w="6340" w:type="dxa"/>
            <w:tcBorders>
              <w:top w:val="single" w:color="auto" w:sz="4" w:space="0"/>
              <w:left w:val="single" w:color="auto" w:sz="4" w:space="0"/>
              <w:bottom w:val="single" w:color="auto" w:sz="4" w:space="0"/>
              <w:right w:val="single" w:color="auto" w:sz="4" w:space="0"/>
            </w:tcBorders>
            <w:vAlign w:val="center"/>
          </w:tcPr>
          <w:p w14:paraId="41F0C8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洗眼喷头要求：采用不助燃PC材质模铸一体成型制作；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2、具有过滤泡棉及防尘功能，上面防尘盖平常可防尘，使用时可随时被水冲开，并降低突然打开时短暂的高水压，避免冲伤眼睛。</w:t>
            </w:r>
          </w:p>
        </w:tc>
        <w:tc>
          <w:tcPr>
            <w:tcW w:w="687" w:type="dxa"/>
            <w:tcBorders>
              <w:top w:val="single" w:color="auto" w:sz="4" w:space="0"/>
              <w:left w:val="single" w:color="auto" w:sz="4" w:space="0"/>
              <w:bottom w:val="single" w:color="auto" w:sz="4" w:space="0"/>
              <w:right w:val="single" w:color="auto" w:sz="4" w:space="0"/>
            </w:tcBorders>
            <w:vAlign w:val="center"/>
          </w:tcPr>
          <w:p w14:paraId="5E8EC6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2E3D24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vAlign w:val="center"/>
          </w:tcPr>
          <w:p w14:paraId="79FDBE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338.00</w:t>
            </w:r>
          </w:p>
        </w:tc>
      </w:tr>
      <w:tr w14:paraId="203301D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70FF0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w:t>
            </w:r>
          </w:p>
        </w:tc>
        <w:tc>
          <w:tcPr>
            <w:tcW w:w="1235" w:type="dxa"/>
            <w:tcBorders>
              <w:top w:val="single" w:color="auto" w:sz="4" w:space="0"/>
              <w:left w:val="single" w:color="auto" w:sz="4" w:space="0"/>
              <w:bottom w:val="single" w:color="auto" w:sz="4" w:space="0"/>
              <w:right w:val="single" w:color="auto" w:sz="4" w:space="0"/>
            </w:tcBorders>
            <w:vAlign w:val="center"/>
          </w:tcPr>
          <w:p w14:paraId="329650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学生实验桌</w:t>
            </w:r>
          </w:p>
        </w:tc>
        <w:tc>
          <w:tcPr>
            <w:tcW w:w="6340" w:type="dxa"/>
            <w:tcBorders>
              <w:top w:val="single" w:color="auto" w:sz="4" w:space="0"/>
              <w:left w:val="single" w:color="auto" w:sz="4" w:space="0"/>
              <w:bottom w:val="single" w:color="auto" w:sz="4" w:space="0"/>
              <w:right w:val="single" w:color="auto" w:sz="4" w:space="0"/>
            </w:tcBorders>
            <w:vAlign w:val="center"/>
          </w:tcPr>
          <w:p w14:paraId="7DC2B0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规格：1200*600*780mm，台面颜色浅豆绿色。</w:t>
            </w:r>
          </w:p>
          <w:p w14:paraId="691BA6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2、台面：采用12.7mm厚双面膜实芯理化板，且满足如下参数要求</w:t>
            </w:r>
            <w:r>
              <w:rPr>
                <w:rFonts w:hint="eastAsia" w:ascii="宋体" w:hAnsi="宋体" w:cs="宋体"/>
                <w:i w:val="0"/>
                <w:iCs w:val="0"/>
                <w:color w:val="auto"/>
                <w:kern w:val="0"/>
                <w:sz w:val="21"/>
                <w:szCs w:val="21"/>
                <w:highlight w:val="none"/>
                <w:u w:val="none"/>
                <w:lang w:val="en-US" w:eastAsia="zh-CN" w:bidi="ar"/>
              </w:rPr>
              <w:t>：</w:t>
            </w:r>
          </w:p>
          <w:p w14:paraId="764DAD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2-1化学性能检测：台面依据GB/T 17657-2022 《人造板及饰面人造板理化性能试验方法》标准，耐污染性能不少于130项试验污染物的检测。</w:t>
            </w:r>
          </w:p>
          <w:p w14:paraId="3CA8C0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2-2且包含：65%硝酸、98%硫酸、37%盐酸、40%氢氧化钠、氯甲苯、乙二醇等试剂，覆盖玻璃盖板和未覆盖玻璃盖板检验结果均为5级：无明显变化。</w:t>
            </w:r>
          </w:p>
          <w:p w14:paraId="4E3454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2-3物理性能检测：台面依据GB/T 17657-2022 《人造板及饰面人造板理化性能试验方法》标准。</w:t>
            </w:r>
          </w:p>
          <w:p w14:paraId="30B4AB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2-4满足： 含水率：≤0.9%；吸水厚度膨胀率≤0.1%；</w:t>
            </w:r>
          </w:p>
          <w:p w14:paraId="149CB6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2-5尺寸稳定性：横向≤0.07%、纵向≤0.04%；板面握螺钉力≥3490N；表面耐冷热循环性能：表面无裂纹及鼓泡；浸渍剥离性能：贴面层与基材之间的胶层无剥离和分层现象。</w:t>
            </w:r>
          </w:p>
          <w:p w14:paraId="77462F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2-6表面耐划痕性能：4.5N作用下试件表面无大于90%的连续划痕，表面装饰花纹无破坏现象。</w:t>
            </w:r>
          </w:p>
          <w:p w14:paraId="339E73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2-7耐沸水性能：质量增加百分率≤0.01%、厚度增加百分率≤0.08%，表面质量等级：5级：无变化，边缘质量等级：5级：无明显变化。</w:t>
            </w:r>
          </w:p>
          <w:p w14:paraId="0BA82A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2-8耐开裂性能：5级：无细微裂纹；表面耐磨性能：≥1100r,未出现磨损点等不低于27项检测。</w:t>
            </w:r>
          </w:p>
          <w:p w14:paraId="336C74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★2-9台面参照GB 18584-2024《家具中有害物质限量》标准，可迁移有害元素:铬（Cr）≤10mg/kg、铅(Pb)≤10mg/kg、镉（Cd）≤12mg/kg、汞（Hg）≤12mg/kg。（投标人需提供国家认可的第三方出具带CMA或CNAS标志或带二维码防伪的检测报告复印件，并加盖投标人公章。）</w:t>
            </w:r>
          </w:p>
          <w:p w14:paraId="383730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2-10抗菌性能检测：台面依据JC/T2039-2010标准，满足等不少 13 种的菌种检测，且抗菌率≥95%。</w:t>
            </w:r>
          </w:p>
          <w:p w14:paraId="1EDABB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2-11防霉性能检测：台面依据JC/T2039-2010标准，满足：黑曲霉、土曲霉、球毛壳霉、宛氏拟青霉、绳状青霉、出芽短梗霉等不少于10种的霉菌检测，且防霉等级为0级。</w:t>
            </w:r>
          </w:p>
          <w:p w14:paraId="238D85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2-12燃烧性能检测：台面依据GB/T 2408-2021《塑料 燃烧性能的测定 水平法和垂直法》标准，满足：水平燃烧符合HB级</w:t>
            </w:r>
            <w:r>
              <w:rPr>
                <w:rFonts w:hint="eastAsia" w:ascii="宋体" w:hAnsi="宋体" w:cs="宋体"/>
                <w:i w:val="0"/>
                <w:iCs w:val="0"/>
                <w:color w:val="auto"/>
                <w:kern w:val="0"/>
                <w:sz w:val="21"/>
                <w:szCs w:val="21"/>
                <w:highlight w:val="none"/>
                <w:u w:val="none"/>
                <w:lang w:val="en-US" w:eastAsia="zh-CN" w:bidi="ar"/>
              </w:rPr>
              <w:t>或</w:t>
            </w:r>
            <w:r>
              <w:rPr>
                <w:rFonts w:hint="eastAsia" w:ascii="宋体" w:hAnsi="宋体" w:eastAsia="宋体" w:cs="宋体"/>
                <w:i w:val="0"/>
                <w:iCs w:val="0"/>
                <w:color w:val="auto"/>
                <w:kern w:val="0"/>
                <w:sz w:val="21"/>
                <w:szCs w:val="21"/>
                <w:highlight w:val="none"/>
                <w:u w:val="none"/>
                <w:lang w:val="en-US" w:eastAsia="zh-CN" w:bidi="ar"/>
              </w:rPr>
              <w:t>垂直燃烧符合V-0级；</w:t>
            </w:r>
          </w:p>
          <w:p w14:paraId="1DC08B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2-13台面参照GB8624-2012《建筑材料及制品燃烧性能分级》标准，满足：燃烧性能等级B1级；产烟特性等级S1级；燃烧滴落物/微粒等级d0级。</w:t>
            </w:r>
          </w:p>
          <w:p w14:paraId="771BB3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2-14烟气毒性检测：台面依据GB 8624-2012《建筑材料及制品燃烧性能分级》标准，烟气毒性等级 t1 级：ZA3（达到准安全三级ZA3）。</w:t>
            </w:r>
          </w:p>
          <w:p w14:paraId="2CBDC8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2-15抗老化性检测：台面依据GB/T24508-2020标准：48小时无开裂、无鼓泡、无粉化。</w:t>
            </w:r>
          </w:p>
          <w:p w14:paraId="66DFA2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3、采用优质五金配件连接</w:t>
            </w:r>
            <w:r>
              <w:rPr>
                <w:rFonts w:hint="eastAsia" w:ascii="宋体" w:hAnsi="宋体" w:cs="宋体"/>
                <w:i w:val="0"/>
                <w:iCs w:val="0"/>
                <w:color w:val="auto"/>
                <w:kern w:val="0"/>
                <w:sz w:val="21"/>
                <w:szCs w:val="21"/>
                <w:highlight w:val="none"/>
                <w:u w:val="none"/>
                <w:lang w:val="en-US" w:eastAsia="zh-CN" w:bidi="ar"/>
              </w:rPr>
              <w:t>。</w:t>
            </w:r>
          </w:p>
          <w:p w14:paraId="3D4BB7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4、台身结构：新型塑铝结构，整体1180x570x760mm；</w:t>
            </w:r>
          </w:p>
          <w:p w14:paraId="47D048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5、桌腿：采用工字型压铸铝一次成型，三段连接</w:t>
            </w:r>
            <w:r>
              <w:rPr>
                <w:rFonts w:hint="eastAsia" w:ascii="宋体" w:hAnsi="宋体" w:cs="宋体"/>
                <w:i w:val="0"/>
                <w:iCs w:val="0"/>
                <w:color w:val="auto"/>
                <w:kern w:val="0"/>
                <w:sz w:val="21"/>
                <w:szCs w:val="21"/>
                <w:highlight w:val="none"/>
                <w:u w:val="none"/>
                <w:lang w:val="en-US" w:eastAsia="zh-CN" w:bidi="ar"/>
              </w:rPr>
              <w:t>。</w:t>
            </w:r>
          </w:p>
          <w:p w14:paraId="12C97E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6、上腿规格：565x58x110mm，壁厚不小于2mm内部设有加强筋</w:t>
            </w:r>
            <w:r>
              <w:rPr>
                <w:rFonts w:hint="eastAsia" w:ascii="宋体" w:hAnsi="宋体" w:cs="宋体"/>
                <w:i w:val="0"/>
                <w:iCs w:val="0"/>
                <w:color w:val="auto"/>
                <w:kern w:val="0"/>
                <w:sz w:val="21"/>
                <w:szCs w:val="21"/>
                <w:highlight w:val="none"/>
                <w:u w:val="none"/>
                <w:lang w:val="en-US" w:eastAsia="zh-CN" w:bidi="ar"/>
              </w:rPr>
              <w:t>。</w:t>
            </w:r>
          </w:p>
          <w:p w14:paraId="36E130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7、下腿规格：545x72x125mm，壁厚不小于2mm，配有M8*60mm的升降调节脚垫</w:t>
            </w:r>
            <w:r>
              <w:rPr>
                <w:rFonts w:hint="eastAsia" w:ascii="宋体" w:hAnsi="宋体" w:cs="宋体"/>
                <w:i w:val="0"/>
                <w:iCs w:val="0"/>
                <w:color w:val="auto"/>
                <w:kern w:val="0"/>
                <w:sz w:val="21"/>
                <w:szCs w:val="21"/>
                <w:highlight w:val="none"/>
                <w:u w:val="none"/>
                <w:lang w:val="en-US" w:eastAsia="zh-CN" w:bidi="ar"/>
              </w:rPr>
              <w:t>。</w:t>
            </w:r>
          </w:p>
          <w:p w14:paraId="5BB17D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立柱：采用110×55mm，壁厚1.3mm，立柱两端内部有2个铸铝成型的螺丝连接位；内侧设有12x5mm的凹槽，使用锁拉扣连接桌体下横梁，调节方便，外侧设有装饰条。下横梁采用80x14.5mm目型铝型材制作壁厚1.2mm。前横梁采用30*30mm优质金属型材制作壁厚1mm。中横梁采用30*30mm优质金属型材制作壁厚1mm。后横梁：采用100x27mm，L型铝型材制作壁厚1mm。后横梁上侧设有挡水条。</w:t>
            </w:r>
          </w:p>
          <w:p w14:paraId="0339A5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9、学生位设书包斗；书包斗：采用环保型ABS工程塑料一次性注塑成型。两个书包斗中间设有电源盒，方便使用。</w:t>
            </w:r>
          </w:p>
        </w:tc>
        <w:tc>
          <w:tcPr>
            <w:tcW w:w="687" w:type="dxa"/>
            <w:tcBorders>
              <w:top w:val="single" w:color="auto" w:sz="4" w:space="0"/>
              <w:left w:val="single" w:color="auto" w:sz="4" w:space="0"/>
              <w:bottom w:val="single" w:color="auto" w:sz="4" w:space="0"/>
              <w:right w:val="single" w:color="auto" w:sz="4" w:space="0"/>
            </w:tcBorders>
            <w:vAlign w:val="center"/>
          </w:tcPr>
          <w:p w14:paraId="6C8817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w:t>
            </w:r>
          </w:p>
        </w:tc>
        <w:tc>
          <w:tcPr>
            <w:tcW w:w="553" w:type="dxa"/>
            <w:tcBorders>
              <w:top w:val="single" w:color="auto" w:sz="4" w:space="0"/>
              <w:left w:val="single" w:color="auto" w:sz="4" w:space="0"/>
              <w:bottom w:val="single" w:color="auto" w:sz="4" w:space="0"/>
              <w:right w:val="single" w:color="auto" w:sz="4" w:space="0"/>
            </w:tcBorders>
            <w:vAlign w:val="center"/>
          </w:tcPr>
          <w:p w14:paraId="0B4AF6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vAlign w:val="center"/>
          </w:tcPr>
          <w:p w14:paraId="773526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1196.00</w:t>
            </w:r>
          </w:p>
        </w:tc>
      </w:tr>
      <w:tr w14:paraId="2E6D16B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BC9E1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w:t>
            </w:r>
          </w:p>
        </w:tc>
        <w:tc>
          <w:tcPr>
            <w:tcW w:w="1235" w:type="dxa"/>
            <w:tcBorders>
              <w:top w:val="single" w:color="auto" w:sz="4" w:space="0"/>
              <w:left w:val="single" w:color="auto" w:sz="4" w:space="0"/>
              <w:bottom w:val="single" w:color="auto" w:sz="4" w:space="0"/>
              <w:right w:val="single" w:color="auto" w:sz="4" w:space="0"/>
            </w:tcBorders>
            <w:vAlign w:val="center"/>
          </w:tcPr>
          <w:p w14:paraId="12B22E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功能柱</w:t>
            </w:r>
          </w:p>
        </w:tc>
        <w:tc>
          <w:tcPr>
            <w:tcW w:w="6340" w:type="dxa"/>
            <w:tcBorders>
              <w:top w:val="single" w:color="auto" w:sz="4" w:space="0"/>
              <w:left w:val="single" w:color="auto" w:sz="4" w:space="0"/>
              <w:bottom w:val="single" w:color="auto" w:sz="4" w:space="0"/>
              <w:right w:val="single" w:color="auto" w:sz="4" w:space="0"/>
            </w:tcBorders>
            <w:vAlign w:val="center"/>
          </w:tcPr>
          <w:p w14:paraId="5E338E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1.功能柱：由底座、立柱、两端装饰条组成，浅豆绿色；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2、规格：长390mm宽220mm高720mm，采用环保型ABS工程塑料注塑成型；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3、底座尺寸：390*220*30mm，壁厚3mm，内部设有加强筋；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底座上设有6个螺丝口用于连接立柱和固定地面。立柱主体尺寸：340*195*690mm，上下口尺寸：300*145mm，立柱两端各设有两个螺丝固定口，装饰条用于掩盖螺丝口使其更加美观。主要功能是保护学生通风管道及电线电缆作用，配套于学生桌，美观大方。</w:t>
            </w:r>
          </w:p>
        </w:tc>
        <w:tc>
          <w:tcPr>
            <w:tcW w:w="687" w:type="dxa"/>
            <w:tcBorders>
              <w:top w:val="single" w:color="auto" w:sz="4" w:space="0"/>
              <w:left w:val="single" w:color="auto" w:sz="4" w:space="0"/>
              <w:bottom w:val="single" w:color="auto" w:sz="4" w:space="0"/>
              <w:right w:val="single" w:color="auto" w:sz="4" w:space="0"/>
            </w:tcBorders>
            <w:vAlign w:val="center"/>
          </w:tcPr>
          <w:p w14:paraId="7DA68A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w:t>
            </w:r>
          </w:p>
        </w:tc>
        <w:tc>
          <w:tcPr>
            <w:tcW w:w="553" w:type="dxa"/>
            <w:tcBorders>
              <w:top w:val="single" w:color="auto" w:sz="4" w:space="0"/>
              <w:left w:val="single" w:color="auto" w:sz="4" w:space="0"/>
              <w:bottom w:val="single" w:color="auto" w:sz="4" w:space="0"/>
              <w:right w:val="single" w:color="auto" w:sz="4" w:space="0"/>
            </w:tcBorders>
            <w:vAlign w:val="center"/>
          </w:tcPr>
          <w:p w14:paraId="43DA98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31CC07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125.00</w:t>
            </w:r>
          </w:p>
        </w:tc>
      </w:tr>
      <w:tr w14:paraId="44F914D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538CD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w:t>
            </w:r>
          </w:p>
        </w:tc>
        <w:tc>
          <w:tcPr>
            <w:tcW w:w="1235" w:type="dxa"/>
            <w:tcBorders>
              <w:top w:val="single" w:color="auto" w:sz="4" w:space="0"/>
              <w:left w:val="single" w:color="auto" w:sz="4" w:space="0"/>
              <w:bottom w:val="single" w:color="auto" w:sz="4" w:space="0"/>
              <w:right w:val="single" w:color="auto" w:sz="4" w:space="0"/>
            </w:tcBorders>
            <w:vAlign w:val="center"/>
          </w:tcPr>
          <w:p w14:paraId="00F6F6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水槽柜</w:t>
            </w:r>
          </w:p>
        </w:tc>
        <w:tc>
          <w:tcPr>
            <w:tcW w:w="6340" w:type="dxa"/>
            <w:tcBorders>
              <w:top w:val="single" w:color="auto" w:sz="4" w:space="0"/>
              <w:left w:val="single" w:color="auto" w:sz="4" w:space="0"/>
              <w:bottom w:val="single" w:color="auto" w:sz="4" w:space="0"/>
              <w:right w:val="single" w:color="auto" w:sz="4" w:space="0"/>
            </w:tcBorders>
            <w:vAlign w:val="center"/>
          </w:tcPr>
          <w:p w14:paraId="79B350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1.柜体规格：595×400×790mm；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2、榫卯连接结构并合理布局加强筋，安装时不用胶水黏结，使用产品自身力量相互连接，产品不变形，不扭曲，用M6螺丝固定；</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3、前门规格：510*365mm，主体壁厚不小于2mm背面设有厚2mm、高度不低于4.5mm的加强筋横6根竖6根；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4、前门带内凹式塑料扣手，门与整体水柜不用铰链连接，直接采用内嵌式组装。柜子整体采用环保型ABS工程塑料注塑成型；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5、水槽规格：595*380*300mm，水槽采用环保型PP材料一次性注塑成型，耐强酸碱&lt;80度有机溶剂并耐150度以下高温，壁厚3.5mm（含上水软管）；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6、侧板规格495*550*30mm，左右侧板一致，主体壁厚不小于2.5mm，背面设有厚2mm、高度不低于5.5mm的加强筋横4根竖4根；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水槽上设有滴水架，滴水架矩形结构上窄下宽，规格400*180*300mm，斜面上设有10个滴水管，滴水管呈35度角倾斜，直径不小于8.5mm，长不小于65mm；8、（1）滴水架两侧设有电源面板，面板采用阻燃ABS制作，选用优质PC贴膜，美观耐用。面板上设有新国标五孔插座，输出受教师主控的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（2）通过上下键步进调节直流输出，保证输出的连续性。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（3）低压及220V高压分开控制均分4组。学生桌的220V市电断开时，低压可正常使用；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（4）教师控制及锁定后，不能自主操作。</w:t>
            </w:r>
          </w:p>
        </w:tc>
        <w:tc>
          <w:tcPr>
            <w:tcW w:w="687" w:type="dxa"/>
            <w:tcBorders>
              <w:top w:val="single" w:color="auto" w:sz="4" w:space="0"/>
              <w:left w:val="single" w:color="auto" w:sz="4" w:space="0"/>
              <w:bottom w:val="single" w:color="auto" w:sz="4" w:space="0"/>
              <w:right w:val="single" w:color="auto" w:sz="4" w:space="0"/>
            </w:tcBorders>
            <w:vAlign w:val="center"/>
          </w:tcPr>
          <w:p w14:paraId="21548A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w:t>
            </w:r>
          </w:p>
        </w:tc>
        <w:tc>
          <w:tcPr>
            <w:tcW w:w="553" w:type="dxa"/>
            <w:tcBorders>
              <w:top w:val="single" w:color="auto" w:sz="4" w:space="0"/>
              <w:left w:val="single" w:color="auto" w:sz="4" w:space="0"/>
              <w:bottom w:val="single" w:color="auto" w:sz="4" w:space="0"/>
              <w:right w:val="single" w:color="auto" w:sz="4" w:space="0"/>
            </w:tcBorders>
            <w:vAlign w:val="center"/>
          </w:tcPr>
          <w:p w14:paraId="61D59A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6A44FC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624.00</w:t>
            </w:r>
          </w:p>
        </w:tc>
      </w:tr>
      <w:tr w14:paraId="37B8316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FC800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w:t>
            </w:r>
          </w:p>
        </w:tc>
        <w:tc>
          <w:tcPr>
            <w:tcW w:w="1235" w:type="dxa"/>
            <w:tcBorders>
              <w:top w:val="single" w:color="auto" w:sz="4" w:space="0"/>
              <w:left w:val="single" w:color="auto" w:sz="4" w:space="0"/>
              <w:bottom w:val="single" w:color="auto" w:sz="4" w:space="0"/>
              <w:right w:val="single" w:color="auto" w:sz="4" w:space="0"/>
            </w:tcBorders>
            <w:vAlign w:val="center"/>
          </w:tcPr>
          <w:p w14:paraId="455252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三联水嘴</w:t>
            </w:r>
          </w:p>
        </w:tc>
        <w:tc>
          <w:tcPr>
            <w:tcW w:w="6340" w:type="dxa"/>
            <w:tcBorders>
              <w:top w:val="single" w:color="auto" w:sz="4" w:space="0"/>
              <w:left w:val="single" w:color="auto" w:sz="4" w:space="0"/>
              <w:bottom w:val="single" w:color="auto" w:sz="4" w:space="0"/>
              <w:right w:val="single" w:color="auto" w:sz="4" w:space="0"/>
            </w:tcBorders>
            <w:vAlign w:val="center"/>
          </w:tcPr>
          <w:p w14:paraId="4B28D5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1.鹅颈式实验室专用优质化验水嘴：要求防酸碱、防锈、防虹吸、防阻塞，表面环氧树脂喷涂；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2、出水嘴为铜质瓷芯，高头，便于多用途使用，可拆卸清洗阻塞。出水嘴可拆卸，内有成型螺纹，可方便连接循环等特殊用水水管。</w:t>
            </w:r>
          </w:p>
          <w:p w14:paraId="0677CA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注：本产品须提供节能证书。</w:t>
            </w:r>
          </w:p>
        </w:tc>
        <w:tc>
          <w:tcPr>
            <w:tcW w:w="687" w:type="dxa"/>
            <w:tcBorders>
              <w:top w:val="single" w:color="auto" w:sz="4" w:space="0"/>
              <w:left w:val="single" w:color="auto" w:sz="4" w:space="0"/>
              <w:bottom w:val="single" w:color="auto" w:sz="4" w:space="0"/>
              <w:right w:val="single" w:color="auto" w:sz="4" w:space="0"/>
            </w:tcBorders>
            <w:vAlign w:val="center"/>
          </w:tcPr>
          <w:p w14:paraId="5E2D19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w:t>
            </w:r>
          </w:p>
        </w:tc>
        <w:tc>
          <w:tcPr>
            <w:tcW w:w="553" w:type="dxa"/>
            <w:tcBorders>
              <w:top w:val="single" w:color="auto" w:sz="4" w:space="0"/>
              <w:left w:val="single" w:color="auto" w:sz="4" w:space="0"/>
              <w:bottom w:val="single" w:color="auto" w:sz="4" w:space="0"/>
              <w:right w:val="single" w:color="auto" w:sz="4" w:space="0"/>
            </w:tcBorders>
            <w:vAlign w:val="center"/>
          </w:tcPr>
          <w:p w14:paraId="5E64FA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vAlign w:val="center"/>
          </w:tcPr>
          <w:p w14:paraId="18544B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169.00</w:t>
            </w:r>
          </w:p>
        </w:tc>
      </w:tr>
      <w:tr w14:paraId="1548D8E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D6076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w:t>
            </w:r>
          </w:p>
        </w:tc>
        <w:tc>
          <w:tcPr>
            <w:tcW w:w="1235" w:type="dxa"/>
            <w:tcBorders>
              <w:top w:val="single" w:color="auto" w:sz="4" w:space="0"/>
              <w:left w:val="single" w:color="auto" w:sz="4" w:space="0"/>
              <w:bottom w:val="single" w:color="auto" w:sz="4" w:space="0"/>
              <w:right w:val="single" w:color="auto" w:sz="4" w:space="0"/>
            </w:tcBorders>
            <w:vAlign w:val="center"/>
          </w:tcPr>
          <w:p w14:paraId="2961E2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实验凳</w:t>
            </w:r>
          </w:p>
        </w:tc>
        <w:tc>
          <w:tcPr>
            <w:tcW w:w="6340" w:type="dxa"/>
            <w:tcBorders>
              <w:top w:val="single" w:color="auto" w:sz="4" w:space="0"/>
              <w:left w:val="single" w:color="auto" w:sz="4" w:space="0"/>
              <w:bottom w:val="single" w:color="auto" w:sz="4" w:space="0"/>
              <w:right w:val="single" w:color="auto" w:sz="4" w:space="0"/>
            </w:tcBorders>
            <w:vAlign w:val="center"/>
          </w:tcPr>
          <w:p w14:paraId="50950A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一、凳面：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1、材质：采用浅豆绿色环保型ABS改性塑料一次性注塑成型；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2、尺寸：直径300mm；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3、表面防滑不发光。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二、脚钢架：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1、材质及形状：椭圆形无缝钢管；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2、尺寸：20×40×1.2mm；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3、全圆满焊接完成，结构牢固，经高温粉体烤漆处理，长时间使用也不会产生表面烤漆剥落现象；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4、脚垫材质：采用PP加耐磨纤维质塑料，实心倒钩式一体射出成型；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5、凳面可通过旋转螺杆来升降凳子高度，可调高度5cm。</w:t>
            </w:r>
          </w:p>
        </w:tc>
        <w:tc>
          <w:tcPr>
            <w:tcW w:w="687" w:type="dxa"/>
            <w:tcBorders>
              <w:top w:val="single" w:color="auto" w:sz="4" w:space="0"/>
              <w:left w:val="single" w:color="auto" w:sz="4" w:space="0"/>
              <w:bottom w:val="single" w:color="auto" w:sz="4" w:space="0"/>
              <w:right w:val="single" w:color="auto" w:sz="4" w:space="0"/>
            </w:tcBorders>
            <w:vAlign w:val="center"/>
          </w:tcPr>
          <w:p w14:paraId="52B7FD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50</w:t>
            </w:r>
          </w:p>
        </w:tc>
        <w:tc>
          <w:tcPr>
            <w:tcW w:w="553" w:type="dxa"/>
            <w:tcBorders>
              <w:top w:val="single" w:color="auto" w:sz="4" w:space="0"/>
              <w:left w:val="single" w:color="auto" w:sz="4" w:space="0"/>
              <w:bottom w:val="single" w:color="auto" w:sz="4" w:space="0"/>
              <w:right w:val="single" w:color="auto" w:sz="4" w:space="0"/>
            </w:tcBorders>
            <w:vAlign w:val="center"/>
          </w:tcPr>
          <w:p w14:paraId="010845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vAlign w:val="center"/>
          </w:tcPr>
          <w:p w14:paraId="24849A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109.20</w:t>
            </w:r>
          </w:p>
        </w:tc>
      </w:tr>
      <w:tr w14:paraId="55A04B9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3401F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w:t>
            </w:r>
          </w:p>
        </w:tc>
        <w:tc>
          <w:tcPr>
            <w:tcW w:w="1235" w:type="dxa"/>
            <w:tcBorders>
              <w:top w:val="single" w:color="auto" w:sz="4" w:space="0"/>
              <w:left w:val="single" w:color="auto" w:sz="4" w:space="0"/>
              <w:bottom w:val="single" w:color="auto" w:sz="4" w:space="0"/>
              <w:right w:val="single" w:color="auto" w:sz="4" w:space="0"/>
            </w:tcBorders>
            <w:vAlign w:val="center"/>
          </w:tcPr>
          <w:p w14:paraId="5285FF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安全光源架</w:t>
            </w:r>
          </w:p>
        </w:tc>
        <w:tc>
          <w:tcPr>
            <w:tcW w:w="6340" w:type="dxa"/>
            <w:tcBorders>
              <w:top w:val="single" w:color="auto" w:sz="4" w:space="0"/>
              <w:left w:val="single" w:color="auto" w:sz="4" w:space="0"/>
              <w:bottom w:val="single" w:color="auto" w:sz="4" w:space="0"/>
              <w:right w:val="single" w:color="auto" w:sz="4" w:space="0"/>
            </w:tcBorders>
            <w:vAlign w:val="center"/>
          </w:tcPr>
          <w:p w14:paraId="503114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1.采用塑料材质的灯座支架；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2、7w的LED光源，亮度高，光照角度可调。</w:t>
            </w:r>
          </w:p>
        </w:tc>
        <w:tc>
          <w:tcPr>
            <w:tcW w:w="687" w:type="dxa"/>
            <w:tcBorders>
              <w:top w:val="single" w:color="auto" w:sz="4" w:space="0"/>
              <w:left w:val="single" w:color="auto" w:sz="4" w:space="0"/>
              <w:bottom w:val="single" w:color="auto" w:sz="4" w:space="0"/>
              <w:right w:val="single" w:color="auto" w:sz="4" w:space="0"/>
            </w:tcBorders>
            <w:vAlign w:val="center"/>
          </w:tcPr>
          <w:p w14:paraId="38A79A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26</w:t>
            </w:r>
          </w:p>
        </w:tc>
        <w:tc>
          <w:tcPr>
            <w:tcW w:w="553" w:type="dxa"/>
            <w:tcBorders>
              <w:top w:val="single" w:color="auto" w:sz="4" w:space="0"/>
              <w:left w:val="single" w:color="auto" w:sz="4" w:space="0"/>
              <w:bottom w:val="single" w:color="auto" w:sz="4" w:space="0"/>
              <w:right w:val="single" w:color="auto" w:sz="4" w:space="0"/>
            </w:tcBorders>
            <w:vAlign w:val="center"/>
          </w:tcPr>
          <w:p w14:paraId="3FEF37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vAlign w:val="center"/>
          </w:tcPr>
          <w:p w14:paraId="0B9481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91.00</w:t>
            </w:r>
          </w:p>
        </w:tc>
      </w:tr>
      <w:tr w14:paraId="37B6E4E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A3A23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w:t>
            </w:r>
          </w:p>
        </w:tc>
        <w:tc>
          <w:tcPr>
            <w:tcW w:w="1235" w:type="dxa"/>
            <w:tcBorders>
              <w:top w:val="single" w:color="auto" w:sz="4" w:space="0"/>
              <w:left w:val="single" w:color="auto" w:sz="4" w:space="0"/>
              <w:bottom w:val="single" w:color="auto" w:sz="4" w:space="0"/>
              <w:right w:val="single" w:color="auto" w:sz="4" w:space="0"/>
            </w:tcBorders>
            <w:vAlign w:val="center"/>
          </w:tcPr>
          <w:p w14:paraId="1637C7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电气布线（地面以上部分）</w:t>
            </w:r>
          </w:p>
        </w:tc>
        <w:tc>
          <w:tcPr>
            <w:tcW w:w="6340" w:type="dxa"/>
            <w:tcBorders>
              <w:top w:val="single" w:color="auto" w:sz="4" w:space="0"/>
              <w:left w:val="single" w:color="auto" w:sz="4" w:space="0"/>
              <w:bottom w:val="single" w:color="auto" w:sz="4" w:space="0"/>
              <w:right w:val="single" w:color="auto" w:sz="4" w:space="0"/>
            </w:tcBorders>
            <w:vAlign w:val="center"/>
          </w:tcPr>
          <w:p w14:paraId="6995C8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1.DN25mm阻燃线管；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2、2.5mm²、4mm²国标线材，符合国家标准。</w:t>
            </w:r>
          </w:p>
        </w:tc>
        <w:tc>
          <w:tcPr>
            <w:tcW w:w="687" w:type="dxa"/>
            <w:tcBorders>
              <w:top w:val="single" w:color="auto" w:sz="4" w:space="0"/>
              <w:left w:val="single" w:color="auto" w:sz="4" w:space="0"/>
              <w:bottom w:val="single" w:color="auto" w:sz="4" w:space="0"/>
              <w:right w:val="single" w:color="auto" w:sz="4" w:space="0"/>
            </w:tcBorders>
            <w:vAlign w:val="center"/>
          </w:tcPr>
          <w:p w14:paraId="302E8D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56EA86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vAlign w:val="center"/>
          </w:tcPr>
          <w:p w14:paraId="2B7868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2080.00</w:t>
            </w:r>
          </w:p>
        </w:tc>
      </w:tr>
      <w:tr w14:paraId="28177CF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9C153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w:t>
            </w:r>
          </w:p>
        </w:tc>
        <w:tc>
          <w:tcPr>
            <w:tcW w:w="1235" w:type="dxa"/>
            <w:tcBorders>
              <w:top w:val="single" w:color="auto" w:sz="4" w:space="0"/>
              <w:left w:val="single" w:color="auto" w:sz="4" w:space="0"/>
              <w:bottom w:val="single" w:color="auto" w:sz="4" w:space="0"/>
              <w:right w:val="single" w:color="auto" w:sz="4" w:space="0"/>
            </w:tcBorders>
            <w:vAlign w:val="center"/>
          </w:tcPr>
          <w:p w14:paraId="387D86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给排水系统（地面以上部分）</w:t>
            </w:r>
          </w:p>
        </w:tc>
        <w:tc>
          <w:tcPr>
            <w:tcW w:w="6340" w:type="dxa"/>
            <w:tcBorders>
              <w:top w:val="single" w:color="auto" w:sz="4" w:space="0"/>
              <w:left w:val="single" w:color="auto" w:sz="4" w:space="0"/>
              <w:bottom w:val="single" w:color="auto" w:sz="4" w:space="0"/>
              <w:right w:val="single" w:color="auto" w:sz="4" w:space="0"/>
            </w:tcBorders>
            <w:vAlign w:val="center"/>
          </w:tcPr>
          <w:p w14:paraId="201FB2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1.给水管采用优质PPR管，直径20mm；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2、排水管采用优质PVC耐蚀管，直径50mm。水槽下水管采用直径50mm优质PVC管。</w:t>
            </w:r>
          </w:p>
        </w:tc>
        <w:tc>
          <w:tcPr>
            <w:tcW w:w="687" w:type="dxa"/>
            <w:tcBorders>
              <w:top w:val="single" w:color="auto" w:sz="4" w:space="0"/>
              <w:left w:val="single" w:color="auto" w:sz="4" w:space="0"/>
              <w:bottom w:val="single" w:color="auto" w:sz="4" w:space="0"/>
              <w:right w:val="single" w:color="auto" w:sz="4" w:space="0"/>
            </w:tcBorders>
            <w:vAlign w:val="center"/>
          </w:tcPr>
          <w:p w14:paraId="2F61C0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301AF1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vAlign w:val="center"/>
          </w:tcPr>
          <w:p w14:paraId="089836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2080.00</w:t>
            </w:r>
          </w:p>
        </w:tc>
      </w:tr>
      <w:tr w14:paraId="38A68FC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53F46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w:t>
            </w:r>
          </w:p>
        </w:tc>
        <w:tc>
          <w:tcPr>
            <w:tcW w:w="1235" w:type="dxa"/>
            <w:tcBorders>
              <w:top w:val="single" w:color="auto" w:sz="4" w:space="0"/>
              <w:left w:val="single" w:color="auto" w:sz="4" w:space="0"/>
              <w:bottom w:val="single" w:color="auto" w:sz="4" w:space="0"/>
              <w:right w:val="single" w:color="auto" w:sz="4" w:space="0"/>
            </w:tcBorders>
            <w:vAlign w:val="center"/>
          </w:tcPr>
          <w:p w14:paraId="306FA9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实验室教学氛围改造</w:t>
            </w:r>
          </w:p>
        </w:tc>
        <w:tc>
          <w:tcPr>
            <w:tcW w:w="6340" w:type="dxa"/>
            <w:tcBorders>
              <w:top w:val="single" w:color="auto" w:sz="4" w:space="0"/>
              <w:left w:val="single" w:color="auto" w:sz="4" w:space="0"/>
              <w:bottom w:val="single" w:color="auto" w:sz="4" w:space="0"/>
              <w:right w:val="single" w:color="auto" w:sz="4" w:space="0"/>
            </w:tcBorders>
            <w:vAlign w:val="center"/>
          </w:tcPr>
          <w:p w14:paraId="1495D1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面积：根据现场实际情况进行装修（90平方米左右）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室内装修内容：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1.墙面处理（腻子粉刮平、环保乳胶墙面处理，调制温馨色彩）；</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2.隔墙：区域划分；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3.地面：PVC地胶；符合国家环保、消防标准。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4.吊顶：部分区域吊顶；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5.电路改造：强电、空调专线、网络线路等相关改造；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6.墙面装饰。</w:t>
            </w:r>
          </w:p>
        </w:tc>
        <w:tc>
          <w:tcPr>
            <w:tcW w:w="687" w:type="dxa"/>
            <w:tcBorders>
              <w:top w:val="single" w:color="auto" w:sz="4" w:space="0"/>
              <w:left w:val="single" w:color="auto" w:sz="4" w:space="0"/>
              <w:bottom w:val="single" w:color="auto" w:sz="4" w:space="0"/>
              <w:right w:val="single" w:color="auto" w:sz="4" w:space="0"/>
            </w:tcBorders>
            <w:vAlign w:val="center"/>
          </w:tcPr>
          <w:p w14:paraId="0CEDF1A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3252FB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项</w:t>
            </w:r>
          </w:p>
        </w:tc>
        <w:tc>
          <w:tcPr>
            <w:tcW w:w="1082" w:type="dxa"/>
            <w:tcBorders>
              <w:top w:val="single" w:color="auto" w:sz="4" w:space="0"/>
              <w:left w:val="single" w:color="auto" w:sz="4" w:space="0"/>
              <w:bottom w:val="single" w:color="auto" w:sz="4" w:space="0"/>
              <w:right w:val="single" w:color="auto" w:sz="4" w:space="0"/>
            </w:tcBorders>
            <w:vAlign w:val="center"/>
          </w:tcPr>
          <w:p w14:paraId="398076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40000.00</w:t>
            </w:r>
          </w:p>
        </w:tc>
      </w:tr>
      <w:tr w14:paraId="51440C6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8722D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w:t>
            </w:r>
          </w:p>
        </w:tc>
        <w:tc>
          <w:tcPr>
            <w:tcW w:w="1235" w:type="dxa"/>
            <w:tcBorders>
              <w:top w:val="single" w:color="auto" w:sz="4" w:space="0"/>
              <w:left w:val="single" w:color="auto" w:sz="4" w:space="0"/>
              <w:bottom w:val="single" w:color="auto" w:sz="4" w:space="0"/>
              <w:right w:val="single" w:color="auto" w:sz="4" w:space="0"/>
            </w:tcBorders>
            <w:vAlign w:val="center"/>
          </w:tcPr>
          <w:p w14:paraId="264F62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准备台</w:t>
            </w:r>
          </w:p>
        </w:tc>
        <w:tc>
          <w:tcPr>
            <w:tcW w:w="6340" w:type="dxa"/>
            <w:tcBorders>
              <w:top w:val="single" w:color="auto" w:sz="4" w:space="0"/>
              <w:left w:val="single" w:color="auto" w:sz="4" w:space="0"/>
              <w:bottom w:val="single" w:color="auto" w:sz="4" w:space="0"/>
              <w:right w:val="single" w:color="auto" w:sz="4" w:space="0"/>
            </w:tcBorders>
            <w:vAlign w:val="center"/>
          </w:tcPr>
          <w:p w14:paraId="178EA4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1.规格：2400*1200*770mm，台面颜色浅豆绿色；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2、台面：12.7mm厚实芯理化板。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3、桌体采用流线型设计，支撑受力点合理布局，采用优质五金配件连接。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4、台身结构：整体1180x565mm四张框架对拼，新型塑铝结构，整体1180*565*755mm。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5、桌腿：采用工字型压铸铝一次成型，三段连接。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6、上腿规格：565x58x110mm，壁厚不小于2mm内部设有加强筋。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7、下腿规格：545x72x125mm，壁厚不小于2mm，配有M8x60mm的升降调节脚垫。</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立柱：采用110×55mm，壁厚1.3mm，立柱两端内部有2个铸铝成型的螺丝链接位；内侧设有12*5mm的凹槽，使用锁拉扣链接桌体下横梁，调节方便，外侧设有装饰条。下横梁采用80*14.5mm目型铝型材制作壁厚1.2mm。前横梁采用30*30mm优质金属型材制作壁厚1mm。中横梁采用30*30mm优质金属型材制作壁厚1mm。后横梁：采用30*30mm优质金属型材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9、学生位设书包斗；书包斗：采用环保型ABS工程塑料一次性注塑成型。两个书包斗中间设有电源盒，方便使用。</w:t>
            </w:r>
          </w:p>
        </w:tc>
        <w:tc>
          <w:tcPr>
            <w:tcW w:w="687" w:type="dxa"/>
            <w:tcBorders>
              <w:top w:val="single" w:color="auto" w:sz="4" w:space="0"/>
              <w:left w:val="single" w:color="auto" w:sz="4" w:space="0"/>
              <w:bottom w:val="single" w:color="auto" w:sz="4" w:space="0"/>
              <w:right w:val="single" w:color="auto" w:sz="4" w:space="0"/>
            </w:tcBorders>
            <w:vAlign w:val="center"/>
          </w:tcPr>
          <w:p w14:paraId="400C56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63BB63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vAlign w:val="center"/>
          </w:tcPr>
          <w:p w14:paraId="637F04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6708.00</w:t>
            </w:r>
          </w:p>
        </w:tc>
      </w:tr>
      <w:tr w14:paraId="53B8ADDD">
        <w:tblPrEx>
          <w:tblCellMar>
            <w:top w:w="0" w:type="dxa"/>
            <w:left w:w="108" w:type="dxa"/>
            <w:bottom w:w="0" w:type="dxa"/>
            <w:right w:w="108" w:type="dxa"/>
          </w:tblCellMar>
        </w:tblPrEx>
        <w:trPr>
          <w:trHeight w:val="7004" w:hRule="atLeast"/>
        </w:trPr>
        <w:tc>
          <w:tcPr>
            <w:tcW w:w="649" w:type="dxa"/>
            <w:tcBorders>
              <w:top w:val="single" w:color="auto" w:sz="4" w:space="0"/>
              <w:left w:val="single" w:color="auto" w:sz="4" w:space="0"/>
              <w:bottom w:val="single" w:color="auto" w:sz="4" w:space="0"/>
              <w:right w:val="single" w:color="auto" w:sz="4" w:space="0"/>
            </w:tcBorders>
            <w:vAlign w:val="center"/>
          </w:tcPr>
          <w:p w14:paraId="419D0D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17</w:t>
            </w:r>
          </w:p>
        </w:tc>
        <w:tc>
          <w:tcPr>
            <w:tcW w:w="1235" w:type="dxa"/>
            <w:tcBorders>
              <w:top w:val="single" w:color="auto" w:sz="4" w:space="0"/>
              <w:left w:val="single" w:color="auto" w:sz="4" w:space="0"/>
              <w:bottom w:val="single" w:color="auto" w:sz="4" w:space="0"/>
              <w:right w:val="single" w:color="auto" w:sz="4" w:space="0"/>
            </w:tcBorders>
            <w:vAlign w:val="center"/>
          </w:tcPr>
          <w:p w14:paraId="4340C0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仪器柜</w:t>
            </w:r>
          </w:p>
        </w:tc>
        <w:tc>
          <w:tcPr>
            <w:tcW w:w="6340" w:type="dxa"/>
            <w:tcBorders>
              <w:top w:val="single" w:color="auto" w:sz="4" w:space="0"/>
              <w:left w:val="single" w:color="auto" w:sz="4" w:space="0"/>
              <w:bottom w:val="single" w:color="auto" w:sz="4" w:space="0"/>
              <w:right w:val="single" w:color="auto" w:sz="4" w:space="0"/>
            </w:tcBorders>
            <w:vAlign w:val="center"/>
          </w:tcPr>
          <w:p w14:paraId="1B2F93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1.规格：1000×500×2000mm，浅豆绿色；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2、柜体：侧板、顶底板采用改性PP材料模具一次成型，表面沙面和光面相结合处理，底板、顶板预留模具成型排风孔。内部镶嵌15mm*30*1.2mm钢制横梁，承重力强；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3、下柜柜门：内框采用改性PP材质模具一次成型，外嵌5mm厚钢化烤漆玻璃。上下拉手及三角对称五点固定，防止玻璃的松动或开合。伸缩式PP旋转门轴，四角圆弧倒角，内侧弧形圆边，配锁；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层板：上柜配置两块活动层板，下柜配置一块活动层板，层板全部采用改性pp材料与挤出型高强度PVC板蜂窝型结构组成，四周有阻水边，承重力强。6、拉手：采用改性PP材料模具一次成型，直角梯形四周倒圆与柜门平行，开启方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7、门铰链：采用改性PP材料模具一次成型，伸缩式PP旋转门轴；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8、螺丝：不锈钢材质。</w:t>
            </w:r>
          </w:p>
        </w:tc>
        <w:tc>
          <w:tcPr>
            <w:tcW w:w="687" w:type="dxa"/>
            <w:tcBorders>
              <w:top w:val="single" w:color="auto" w:sz="4" w:space="0"/>
              <w:left w:val="single" w:color="auto" w:sz="4" w:space="0"/>
              <w:bottom w:val="single" w:color="auto" w:sz="4" w:space="0"/>
              <w:right w:val="single" w:color="auto" w:sz="4" w:space="0"/>
            </w:tcBorders>
            <w:vAlign w:val="center"/>
          </w:tcPr>
          <w:p w14:paraId="1E5C12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c>
          <w:tcPr>
            <w:tcW w:w="553" w:type="dxa"/>
            <w:tcBorders>
              <w:top w:val="single" w:color="auto" w:sz="4" w:space="0"/>
              <w:left w:val="single" w:color="auto" w:sz="4" w:space="0"/>
              <w:bottom w:val="single" w:color="auto" w:sz="4" w:space="0"/>
              <w:right w:val="single" w:color="auto" w:sz="4" w:space="0"/>
            </w:tcBorders>
            <w:vAlign w:val="center"/>
          </w:tcPr>
          <w:p w14:paraId="086B3F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389EA4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1820.00</w:t>
            </w:r>
          </w:p>
        </w:tc>
      </w:tr>
      <w:tr w14:paraId="6779FB39">
        <w:tblPrEx>
          <w:tblCellMar>
            <w:top w:w="0" w:type="dxa"/>
            <w:left w:w="108" w:type="dxa"/>
            <w:bottom w:w="0" w:type="dxa"/>
            <w:right w:w="108" w:type="dxa"/>
          </w:tblCellMar>
        </w:tblPrEx>
        <w:trPr>
          <w:trHeight w:val="498" w:hRule="atLeast"/>
        </w:trPr>
        <w:tc>
          <w:tcPr>
            <w:tcW w:w="10546" w:type="dxa"/>
            <w:gridSpan w:val="6"/>
            <w:tcBorders>
              <w:top w:val="single" w:color="auto" w:sz="4" w:space="0"/>
              <w:left w:val="single" w:color="auto" w:sz="4" w:space="0"/>
              <w:bottom w:val="single" w:color="auto" w:sz="4" w:space="0"/>
              <w:right w:val="single" w:color="auto" w:sz="4" w:space="0"/>
            </w:tcBorders>
            <w:vAlign w:val="center"/>
          </w:tcPr>
          <w:p w14:paraId="6BDE62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b/>
                <w:bCs/>
                <w:color w:val="auto"/>
                <w:kern w:val="0"/>
                <w:sz w:val="21"/>
                <w:szCs w:val="21"/>
                <w:highlight w:val="none"/>
                <w:lang w:val="en-US" w:eastAsia="zh-CN" w:bidi="ar"/>
              </w:rPr>
              <w:t>生物仪器</w:t>
            </w:r>
          </w:p>
        </w:tc>
      </w:tr>
      <w:tr w14:paraId="6C0661A7">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867DD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18</w:t>
            </w:r>
          </w:p>
        </w:tc>
        <w:tc>
          <w:tcPr>
            <w:tcW w:w="1235" w:type="dxa"/>
            <w:tcBorders>
              <w:top w:val="single" w:color="auto" w:sz="4" w:space="0"/>
              <w:left w:val="single" w:color="auto" w:sz="4" w:space="0"/>
              <w:bottom w:val="single" w:color="auto" w:sz="4" w:space="0"/>
              <w:right w:val="single" w:color="auto" w:sz="4" w:space="0"/>
            </w:tcBorders>
            <w:vAlign w:val="center"/>
          </w:tcPr>
          <w:p w14:paraId="6CDA20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数据采集处理系统</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BE969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运用数据采集处理系统进行实验探究，通过多种传感器、软件等，实现实验研究的多样化，提升实验结果形式的多样性，发展数据收集、结果分析的能力，具体配置如下：</w:t>
            </w:r>
          </w:p>
          <w:p w14:paraId="094F21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1、多功能光强传感器：量程0~10000lux，分辨率：1lux；</w:t>
            </w:r>
          </w:p>
          <w:p w14:paraId="2F8141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①设备具备≥3.5英寸的触摸显示屏；屏幕具有校准功能；</w:t>
            </w:r>
          </w:p>
          <w:p w14:paraId="54197B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②整机具备不少于 6 个实体功能按键；标配触摸书写笔；设置独立硬件电源开关；本机内置存储容量≥4GB；系统可查看存储总容量及已使用容量；具备 USB 数据传输接口，可外接存储设备实现文件读写。</w:t>
            </w:r>
          </w:p>
          <w:p w14:paraId="1C4166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③可以进行数据录制和储存，并回放录制的数据，并可将保存的数据导出，方便进行户外采集实验。</w:t>
            </w:r>
          </w:p>
          <w:p w14:paraId="48002A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④采集终端具备数据超限提醒功能，可自定义测量阈值，支持声光两种提醒方式；</w:t>
            </w:r>
          </w:p>
          <w:p w14:paraId="1FF0AB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⑤传感器上可显示电池电量；可以调节屏幕亮度；具有存储状态显示，可显示总容量和已使用容量。</w:t>
            </w:r>
          </w:p>
          <w:p w14:paraId="71C3DB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⑥不少于2路传感器拓展接口，可与其他传感器连接进行数据采集；传感器接口带防脱落自锁结构，可以防止实验过程中传感器脱落中断数据采集。</w:t>
            </w:r>
          </w:p>
          <w:p w14:paraId="61DB52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⑦具有不少于3个程控输出口，可以支持风扇、蜂鸣器、LED灯等。</w:t>
            </w:r>
          </w:p>
          <w:p w14:paraId="7A94FB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⑧</w:t>
            </w:r>
            <w:r>
              <w:rPr>
                <w:rFonts w:hint="eastAsia" w:asciiTheme="minorEastAsia" w:hAnsiTheme="minorEastAsia" w:eastAsiaTheme="minorEastAsia" w:cstheme="minorEastAsia"/>
                <w:color w:val="auto"/>
                <w:kern w:val="0"/>
                <w:sz w:val="21"/>
                <w:szCs w:val="21"/>
                <w:highlight w:val="none"/>
                <w:lang w:bidi="ar"/>
              </w:rPr>
              <w:t>具备 USB 数据传输接口，内置无线模块，可以通过无线和有线两种方式与电脑进行通信。</w:t>
            </w:r>
          </w:p>
          <w:p w14:paraId="7C9DEC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⑨具有多种显示模式，包含数字显示、仪表显示、列表显示和曲线显示，且曲线显示可以进行横向和纵向放大。</w:t>
            </w:r>
          </w:p>
          <w:p w14:paraId="067A58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⑩具有手动采集和自动采集两种功能，并可以调节采集频率，可以直接在传感器上调节小数部分的显示位数。</w:t>
            </w:r>
          </w:p>
          <w:p w14:paraId="235002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2、湿度传感器：量程：0～100%，分辨率：0.01%；传感器具有2个M5螺纹孔和通信指示灯；</w:t>
            </w:r>
          </w:p>
          <w:p w14:paraId="5CBFB3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3、氧气传感器：量程：0～100%，分辨率：0.1%；传感器具有2个M5螺纹孔和通信指示灯；</w:t>
            </w:r>
          </w:p>
          <w:p w14:paraId="17A1DD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4、温度传感器：量程：-50℃~+200℃，分辨率：0.01℃；传感器具有2个M5螺纹孔和通信指示灯；</w:t>
            </w:r>
          </w:p>
          <w:p w14:paraId="12F17A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5、相对压强传感器：量程：-20kPa~+20kPa，分辨率：0.01kPa，传感器具有2个M5螺纹孔和通信指示灯；</w:t>
            </w:r>
          </w:p>
          <w:p w14:paraId="7083FF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6、pH传感器：量程：0~14，分辨率：0.01；传感器具有2个M5螺纹孔和通信指示灯；</w:t>
            </w:r>
          </w:p>
          <w:p w14:paraId="1CB929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7、微电流传感器：量程：-10μA~+10μA，分辨率：0.01μA；传感器具有2个M5螺纹孔和通信指示灯；</w:t>
            </w:r>
          </w:p>
          <w:p w14:paraId="756DB0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8、软件包：包含数据分析软件、生物辅助实验采集软件、生物仿真实验系统：</w:t>
            </w:r>
          </w:p>
          <w:p w14:paraId="4D8CFE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1）数据分析软件配套实验分析系统软件，人机界面友好、简洁，要求为中文界面；自动识别新插入传感器并自动运行、支持多路传感器同时采集；实时显示实验数据或曲线，多种数据显示方式（包括数字、曲线、混合、列表）；内置重新实验公式，同时可以完全自定义公式，不套用模板，自主输入公式；具有多种采集模式（自动采集和手动采集，自动采集频率可选）；完善的数据统计和曲线分析功能：包含多种拟合方式、积分、放大、缩小等多种曲线分析功能；屏幕上的曲线图可上下、左右滚动或放大、缩小，自由选择所观察的部分，可以选定某段曲线进行分析；可将实验数据输出保存并导入。</w:t>
            </w:r>
          </w:p>
          <w:p w14:paraId="70360C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2）生物辅助实验采集软件：中文简体界面；是一款针对中学生物实验设计的专用软件，软件界面清晰整洁，自带实验模板，不少于30个，支持自动生成实验报告，每个实验模板具有该实验的实验原理、目的、器材、实验器材、实验操作步骤等。</w:t>
            </w:r>
          </w:p>
          <w:p w14:paraId="295E35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9、铝合金箱及各种配件：铝合金箱1个，传感器数据线4条，USB数据线2条，多向转接头1对，软件光盘1张，生化实验手册1本。</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05847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AF860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261B2A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kern w:val="2"/>
                <w:sz w:val="24"/>
                <w:szCs w:val="24"/>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8060.00</w:t>
            </w:r>
          </w:p>
        </w:tc>
      </w:tr>
      <w:tr w14:paraId="5BFDF7F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C47FD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19</w:t>
            </w:r>
          </w:p>
        </w:tc>
        <w:tc>
          <w:tcPr>
            <w:tcW w:w="1235" w:type="dxa"/>
            <w:tcBorders>
              <w:top w:val="single" w:color="auto" w:sz="4" w:space="0"/>
              <w:left w:val="single" w:color="auto" w:sz="4" w:space="0"/>
              <w:bottom w:val="single" w:color="auto" w:sz="4" w:space="0"/>
              <w:right w:val="single" w:color="auto" w:sz="4" w:space="0"/>
            </w:tcBorders>
            <w:vAlign w:val="center"/>
          </w:tcPr>
          <w:p w14:paraId="10CA63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打孔器</w:t>
            </w:r>
          </w:p>
        </w:tc>
        <w:tc>
          <w:tcPr>
            <w:tcW w:w="6340" w:type="dxa"/>
            <w:tcBorders>
              <w:top w:val="single" w:color="auto" w:sz="4" w:space="0"/>
              <w:left w:val="single" w:color="auto" w:sz="4" w:space="0"/>
              <w:bottom w:val="single" w:color="auto" w:sz="4" w:space="0"/>
              <w:right w:val="single" w:color="auto" w:sz="4" w:space="0"/>
            </w:tcBorders>
          </w:tcPr>
          <w:p w14:paraId="7F3498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1.产品为手持式打孔器，要求用优质钢材制造，刀刃硬度不低于HRC55；四件套；</w:t>
            </w:r>
          </w:p>
          <w:p w14:paraId="3E702D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2、空心结构，一端带柄，一端有刃，刃口平整、锋利；</w:t>
            </w:r>
          </w:p>
          <w:p w14:paraId="2871E6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3、空管与手柄焊接牢固，使用中不得脱柄。</w:t>
            </w:r>
          </w:p>
        </w:tc>
        <w:tc>
          <w:tcPr>
            <w:tcW w:w="687" w:type="dxa"/>
            <w:tcBorders>
              <w:top w:val="single" w:color="auto" w:sz="4" w:space="0"/>
              <w:left w:val="single" w:color="auto" w:sz="4" w:space="0"/>
              <w:bottom w:val="single" w:color="auto" w:sz="4" w:space="0"/>
              <w:right w:val="single" w:color="auto" w:sz="4" w:space="0"/>
            </w:tcBorders>
            <w:vAlign w:val="center"/>
          </w:tcPr>
          <w:p w14:paraId="140D0E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vAlign w:val="center"/>
          </w:tcPr>
          <w:p w14:paraId="7DA465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vAlign w:val="center"/>
          </w:tcPr>
          <w:p w14:paraId="520C27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10.14</w:t>
            </w:r>
          </w:p>
        </w:tc>
      </w:tr>
      <w:tr w14:paraId="75843637">
        <w:tblPrEx>
          <w:tblCellMar>
            <w:top w:w="0" w:type="dxa"/>
            <w:left w:w="108" w:type="dxa"/>
            <w:bottom w:w="0" w:type="dxa"/>
            <w:right w:w="108" w:type="dxa"/>
          </w:tblCellMar>
        </w:tblPrEx>
        <w:trPr>
          <w:trHeight w:val="504" w:hRule="atLeast"/>
        </w:trPr>
        <w:tc>
          <w:tcPr>
            <w:tcW w:w="649" w:type="dxa"/>
            <w:tcBorders>
              <w:top w:val="single" w:color="auto" w:sz="4" w:space="0"/>
              <w:left w:val="single" w:color="auto" w:sz="4" w:space="0"/>
              <w:bottom w:val="single" w:color="auto" w:sz="4" w:space="0"/>
              <w:right w:val="single" w:color="auto" w:sz="4" w:space="0"/>
            </w:tcBorders>
            <w:vAlign w:val="center"/>
          </w:tcPr>
          <w:p w14:paraId="014A1FE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20</w:t>
            </w:r>
          </w:p>
        </w:tc>
        <w:tc>
          <w:tcPr>
            <w:tcW w:w="1235" w:type="dxa"/>
            <w:tcBorders>
              <w:top w:val="single" w:color="auto" w:sz="4" w:space="0"/>
              <w:left w:val="single" w:color="auto" w:sz="4" w:space="0"/>
              <w:bottom w:val="single" w:color="auto" w:sz="4" w:space="0"/>
              <w:right w:val="single" w:color="auto" w:sz="4" w:space="0"/>
            </w:tcBorders>
            <w:vAlign w:val="center"/>
          </w:tcPr>
          <w:p w14:paraId="730A79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书写白板</w:t>
            </w:r>
          </w:p>
        </w:tc>
        <w:tc>
          <w:tcPr>
            <w:tcW w:w="6340" w:type="dxa"/>
            <w:tcBorders>
              <w:top w:val="single" w:color="auto" w:sz="4" w:space="0"/>
              <w:left w:val="single" w:color="auto" w:sz="4" w:space="0"/>
              <w:bottom w:val="single" w:color="auto" w:sz="4" w:space="0"/>
              <w:right w:val="single" w:color="auto" w:sz="4" w:space="0"/>
            </w:tcBorders>
            <w:vAlign w:val="center"/>
          </w:tcPr>
          <w:p w14:paraId="3340CF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both"/>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2000mm*1000mm，双面，带支架。</w:t>
            </w:r>
          </w:p>
        </w:tc>
        <w:tc>
          <w:tcPr>
            <w:tcW w:w="687" w:type="dxa"/>
            <w:tcBorders>
              <w:top w:val="single" w:color="auto" w:sz="4" w:space="0"/>
              <w:left w:val="single" w:color="auto" w:sz="4" w:space="0"/>
              <w:bottom w:val="single" w:color="auto" w:sz="4" w:space="0"/>
              <w:right w:val="single" w:color="auto" w:sz="4" w:space="0"/>
            </w:tcBorders>
            <w:vAlign w:val="center"/>
          </w:tcPr>
          <w:p w14:paraId="41B9D9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14B1C1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块</w:t>
            </w:r>
          </w:p>
        </w:tc>
        <w:tc>
          <w:tcPr>
            <w:tcW w:w="1082" w:type="dxa"/>
            <w:tcBorders>
              <w:top w:val="single" w:color="auto" w:sz="4" w:space="0"/>
              <w:left w:val="single" w:color="auto" w:sz="4" w:space="0"/>
              <w:bottom w:val="single" w:color="auto" w:sz="4" w:space="0"/>
              <w:right w:val="single" w:color="auto" w:sz="4" w:space="0"/>
            </w:tcBorders>
            <w:vAlign w:val="center"/>
          </w:tcPr>
          <w:p w14:paraId="0E1342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540.80</w:t>
            </w:r>
          </w:p>
        </w:tc>
      </w:tr>
      <w:tr w14:paraId="5C8C64F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F0E64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21</w:t>
            </w:r>
          </w:p>
        </w:tc>
        <w:tc>
          <w:tcPr>
            <w:tcW w:w="1235" w:type="dxa"/>
            <w:tcBorders>
              <w:top w:val="single" w:color="auto" w:sz="4" w:space="0"/>
              <w:left w:val="single" w:color="auto" w:sz="4" w:space="0"/>
              <w:bottom w:val="single" w:color="auto" w:sz="4" w:space="0"/>
              <w:right w:val="single" w:color="auto" w:sz="4" w:space="0"/>
            </w:tcBorders>
            <w:vAlign w:val="center"/>
          </w:tcPr>
          <w:p w14:paraId="3F4C24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仪器车</w:t>
            </w:r>
          </w:p>
        </w:tc>
        <w:tc>
          <w:tcPr>
            <w:tcW w:w="6340" w:type="dxa"/>
            <w:tcBorders>
              <w:top w:val="single" w:color="auto" w:sz="4" w:space="0"/>
              <w:left w:val="single" w:color="auto" w:sz="4" w:space="0"/>
              <w:bottom w:val="single" w:color="auto" w:sz="4" w:space="0"/>
              <w:right w:val="single" w:color="auto" w:sz="4" w:space="0"/>
            </w:tcBorders>
          </w:tcPr>
          <w:p w14:paraId="0AD4FC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1.规格尺寸不小于：590mm×400mm×800mm；</w:t>
            </w:r>
          </w:p>
          <w:p w14:paraId="542AEF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2、仪器车额定载重量为60kg，上、下层托盘承载重量均不小于60kg；</w:t>
            </w:r>
          </w:p>
          <w:p w14:paraId="73C5E6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3、采用双层结构，有上、下两层托盘，不锈钢材料；</w:t>
            </w:r>
          </w:p>
          <w:p w14:paraId="248D48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4、车架用不锈钢管制成；</w:t>
            </w:r>
          </w:p>
          <w:p w14:paraId="5C927B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5、万向轮部件可以绕固定管作360º旋转；在仪器车载重为额定值时，车轮应转动灵活，并且万向轮的方向也能自动调整，无卡阻现象。</w:t>
            </w:r>
          </w:p>
        </w:tc>
        <w:tc>
          <w:tcPr>
            <w:tcW w:w="687" w:type="dxa"/>
            <w:tcBorders>
              <w:top w:val="single" w:color="auto" w:sz="4" w:space="0"/>
              <w:left w:val="single" w:color="auto" w:sz="4" w:space="0"/>
              <w:bottom w:val="single" w:color="auto" w:sz="4" w:space="0"/>
              <w:right w:val="single" w:color="auto" w:sz="4" w:space="0"/>
            </w:tcBorders>
            <w:vAlign w:val="center"/>
          </w:tcPr>
          <w:p w14:paraId="7F1E1E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vAlign w:val="center"/>
          </w:tcPr>
          <w:p w14:paraId="3BD224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辆</w:t>
            </w:r>
          </w:p>
        </w:tc>
        <w:tc>
          <w:tcPr>
            <w:tcW w:w="1082" w:type="dxa"/>
            <w:tcBorders>
              <w:top w:val="single" w:color="auto" w:sz="4" w:space="0"/>
              <w:left w:val="single" w:color="auto" w:sz="4" w:space="0"/>
              <w:bottom w:val="single" w:color="auto" w:sz="4" w:space="0"/>
              <w:right w:val="single" w:color="auto" w:sz="4" w:space="0"/>
            </w:tcBorders>
            <w:vAlign w:val="center"/>
          </w:tcPr>
          <w:p w14:paraId="7FC0F4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439.40</w:t>
            </w:r>
          </w:p>
        </w:tc>
      </w:tr>
      <w:tr w14:paraId="2CCF5410">
        <w:tblPrEx>
          <w:tblCellMar>
            <w:top w:w="0" w:type="dxa"/>
            <w:left w:w="108" w:type="dxa"/>
            <w:bottom w:w="0" w:type="dxa"/>
            <w:right w:w="108" w:type="dxa"/>
          </w:tblCellMar>
        </w:tblPrEx>
        <w:trPr>
          <w:trHeight w:val="391" w:hRule="atLeast"/>
        </w:trPr>
        <w:tc>
          <w:tcPr>
            <w:tcW w:w="649" w:type="dxa"/>
            <w:tcBorders>
              <w:top w:val="single" w:color="auto" w:sz="4" w:space="0"/>
              <w:left w:val="single" w:color="auto" w:sz="4" w:space="0"/>
              <w:bottom w:val="single" w:color="auto" w:sz="4" w:space="0"/>
              <w:right w:val="single" w:color="auto" w:sz="4" w:space="0"/>
            </w:tcBorders>
            <w:vAlign w:val="center"/>
          </w:tcPr>
          <w:p w14:paraId="3C72BE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22</w:t>
            </w:r>
          </w:p>
        </w:tc>
        <w:tc>
          <w:tcPr>
            <w:tcW w:w="1235" w:type="dxa"/>
            <w:tcBorders>
              <w:top w:val="single" w:color="auto" w:sz="4" w:space="0"/>
              <w:left w:val="single" w:color="auto" w:sz="4" w:space="0"/>
              <w:bottom w:val="single" w:color="auto" w:sz="4" w:space="0"/>
              <w:right w:val="single" w:color="auto" w:sz="4" w:space="0"/>
            </w:tcBorders>
            <w:vAlign w:val="center"/>
          </w:tcPr>
          <w:p w14:paraId="50840E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生物显微镜</w:t>
            </w:r>
          </w:p>
        </w:tc>
        <w:tc>
          <w:tcPr>
            <w:tcW w:w="6340" w:type="dxa"/>
            <w:tcBorders>
              <w:top w:val="single" w:color="auto" w:sz="4" w:space="0"/>
              <w:left w:val="single" w:color="auto" w:sz="4" w:space="0"/>
              <w:bottom w:val="single" w:color="auto" w:sz="4" w:space="0"/>
              <w:right w:val="single" w:color="auto" w:sz="4" w:space="0"/>
            </w:tcBorders>
            <w:vAlign w:val="center"/>
          </w:tcPr>
          <w:p w14:paraId="31D399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1、产品由镜座、镜臂、镜筒、准焦螺旋、物镜转换器、载物台、反光镜、目镜、物镜等组成；</w:t>
            </w:r>
          </w:p>
          <w:p w14:paraId="1FAE39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2、物镜系统：消色差物镜4×、10×、40×；</w:t>
            </w:r>
          </w:p>
          <w:p w14:paraId="503212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3、目镜系统：广角目镜WF10×；</w:t>
            </w:r>
          </w:p>
          <w:p w14:paraId="5E27A0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4、放大倍数：放大40×～640×；</w:t>
            </w:r>
          </w:p>
          <w:p w14:paraId="34B5F0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5、照明系统：自然光源；</w:t>
            </w:r>
          </w:p>
          <w:p w14:paraId="703B24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6、工作台：简易平台；</w:t>
            </w:r>
          </w:p>
          <w:p w14:paraId="6E96C9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7、调焦系统：粗微动分轴。</w:t>
            </w:r>
          </w:p>
        </w:tc>
        <w:tc>
          <w:tcPr>
            <w:tcW w:w="687" w:type="dxa"/>
            <w:tcBorders>
              <w:top w:val="single" w:color="auto" w:sz="4" w:space="0"/>
              <w:left w:val="single" w:color="auto" w:sz="4" w:space="0"/>
              <w:bottom w:val="single" w:color="auto" w:sz="4" w:space="0"/>
              <w:right w:val="single" w:color="auto" w:sz="4" w:space="0"/>
            </w:tcBorders>
            <w:vAlign w:val="center"/>
          </w:tcPr>
          <w:p w14:paraId="011EC8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28</w:t>
            </w:r>
          </w:p>
        </w:tc>
        <w:tc>
          <w:tcPr>
            <w:tcW w:w="553" w:type="dxa"/>
            <w:tcBorders>
              <w:top w:val="single" w:color="auto" w:sz="4" w:space="0"/>
              <w:left w:val="single" w:color="auto" w:sz="4" w:space="0"/>
              <w:bottom w:val="single" w:color="auto" w:sz="4" w:space="0"/>
              <w:right w:val="single" w:color="auto" w:sz="4" w:space="0"/>
            </w:tcBorders>
            <w:vAlign w:val="center"/>
          </w:tcPr>
          <w:p w14:paraId="08A0F7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5CF253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642</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0AB07D07">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848C2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23</w:t>
            </w:r>
          </w:p>
        </w:tc>
        <w:tc>
          <w:tcPr>
            <w:tcW w:w="1235" w:type="dxa"/>
            <w:tcBorders>
              <w:top w:val="single" w:color="auto" w:sz="4" w:space="0"/>
              <w:left w:val="single" w:color="auto" w:sz="4" w:space="0"/>
              <w:bottom w:val="single" w:color="auto" w:sz="4" w:space="0"/>
              <w:right w:val="single" w:color="auto" w:sz="4" w:space="0"/>
            </w:tcBorders>
            <w:vAlign w:val="center"/>
          </w:tcPr>
          <w:p w14:paraId="2E6597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生物显微镜</w:t>
            </w:r>
          </w:p>
        </w:tc>
        <w:tc>
          <w:tcPr>
            <w:tcW w:w="6340" w:type="dxa"/>
            <w:tcBorders>
              <w:top w:val="single" w:color="auto" w:sz="4" w:space="0"/>
              <w:left w:val="single" w:color="auto" w:sz="4" w:space="0"/>
              <w:bottom w:val="single" w:color="auto" w:sz="4" w:space="0"/>
              <w:right w:val="single" w:color="auto" w:sz="4" w:space="0"/>
            </w:tcBorders>
          </w:tcPr>
          <w:p w14:paraId="1F4629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1.产品由镜座、镜臂、镜筒、准焦螺旋、物镜转换器、载物台、反光镜、目镜、物镜等组成；</w:t>
            </w:r>
          </w:p>
          <w:p w14:paraId="1FABE4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2、物镜系统：消色差物10×40×100×；</w:t>
            </w:r>
          </w:p>
          <w:p w14:paraId="31E5D9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3、目镜系统：广角目镜WF10×、5×</w:t>
            </w:r>
          </w:p>
          <w:p w14:paraId="0786F3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4、放大倍数：放大1000×；</w:t>
            </w:r>
          </w:p>
          <w:p w14:paraId="48A72F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5、照明系统：自然光源</w:t>
            </w:r>
          </w:p>
          <w:p w14:paraId="72A5B8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6、工作台：简易平台；</w:t>
            </w:r>
          </w:p>
          <w:p w14:paraId="4ED8C8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7、调焦系统：粗微动分轴。</w:t>
            </w:r>
          </w:p>
        </w:tc>
        <w:tc>
          <w:tcPr>
            <w:tcW w:w="687" w:type="dxa"/>
            <w:tcBorders>
              <w:top w:val="single" w:color="auto" w:sz="4" w:space="0"/>
              <w:left w:val="single" w:color="auto" w:sz="4" w:space="0"/>
              <w:bottom w:val="single" w:color="auto" w:sz="4" w:space="0"/>
              <w:right w:val="single" w:color="auto" w:sz="4" w:space="0"/>
            </w:tcBorders>
            <w:vAlign w:val="center"/>
          </w:tcPr>
          <w:p w14:paraId="721DFA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28</w:t>
            </w:r>
          </w:p>
        </w:tc>
        <w:tc>
          <w:tcPr>
            <w:tcW w:w="553" w:type="dxa"/>
            <w:tcBorders>
              <w:top w:val="single" w:color="auto" w:sz="4" w:space="0"/>
              <w:left w:val="single" w:color="auto" w:sz="4" w:space="0"/>
              <w:bottom w:val="single" w:color="auto" w:sz="4" w:space="0"/>
              <w:right w:val="single" w:color="auto" w:sz="4" w:space="0"/>
            </w:tcBorders>
            <w:vAlign w:val="center"/>
          </w:tcPr>
          <w:p w14:paraId="1796ED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590804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1150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39D4568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195DE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24</w:t>
            </w:r>
          </w:p>
        </w:tc>
        <w:tc>
          <w:tcPr>
            <w:tcW w:w="1235" w:type="dxa"/>
            <w:tcBorders>
              <w:top w:val="single" w:color="auto" w:sz="4" w:space="0"/>
              <w:left w:val="single" w:color="auto" w:sz="4" w:space="0"/>
              <w:bottom w:val="single" w:color="auto" w:sz="4" w:space="0"/>
              <w:right w:val="single" w:color="auto" w:sz="4" w:space="0"/>
            </w:tcBorders>
            <w:vAlign w:val="center"/>
          </w:tcPr>
          <w:p w14:paraId="56E9F6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生物显微镜</w:t>
            </w:r>
          </w:p>
        </w:tc>
        <w:tc>
          <w:tcPr>
            <w:tcW w:w="6340" w:type="dxa"/>
            <w:tcBorders>
              <w:top w:val="single" w:color="auto" w:sz="4" w:space="0"/>
              <w:left w:val="single" w:color="auto" w:sz="4" w:space="0"/>
              <w:bottom w:val="single" w:color="auto" w:sz="4" w:space="0"/>
              <w:right w:val="single" w:color="auto" w:sz="4" w:space="0"/>
            </w:tcBorders>
          </w:tcPr>
          <w:p w14:paraId="7D4048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1.产品由镜座、镜臂、镜筒、准焦螺旋、物镜转换器、载物台、反光镜、目镜、物镜等组成；</w:t>
            </w:r>
          </w:p>
          <w:p w14:paraId="02CDC0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2、物镜系统：消色差物镜4×10×40×100×；</w:t>
            </w:r>
          </w:p>
          <w:p w14:paraId="230B02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3、目镜系统：广角目镜WF10×或者WF16×；</w:t>
            </w:r>
          </w:p>
          <w:p w14:paraId="5DB0A3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4、放大倍数：放大1000×；</w:t>
            </w:r>
          </w:p>
          <w:p w14:paraId="7EEBD5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5、工作台：简易平台；</w:t>
            </w:r>
          </w:p>
          <w:p w14:paraId="0CA9A3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6、双筒显微镜。</w:t>
            </w:r>
          </w:p>
        </w:tc>
        <w:tc>
          <w:tcPr>
            <w:tcW w:w="687" w:type="dxa"/>
            <w:tcBorders>
              <w:top w:val="single" w:color="auto" w:sz="4" w:space="0"/>
              <w:left w:val="single" w:color="auto" w:sz="4" w:space="0"/>
              <w:bottom w:val="single" w:color="auto" w:sz="4" w:space="0"/>
              <w:right w:val="single" w:color="auto" w:sz="4" w:space="0"/>
            </w:tcBorders>
            <w:vAlign w:val="center"/>
          </w:tcPr>
          <w:p w14:paraId="4416C5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 </w:t>
            </w:r>
          </w:p>
        </w:tc>
        <w:tc>
          <w:tcPr>
            <w:tcW w:w="553" w:type="dxa"/>
            <w:tcBorders>
              <w:top w:val="single" w:color="auto" w:sz="4" w:space="0"/>
              <w:left w:val="single" w:color="auto" w:sz="4" w:space="0"/>
              <w:bottom w:val="single" w:color="auto" w:sz="4" w:space="0"/>
              <w:right w:val="single" w:color="auto" w:sz="4" w:space="0"/>
            </w:tcBorders>
            <w:vAlign w:val="center"/>
          </w:tcPr>
          <w:p w14:paraId="7BD17C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26063B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1521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5E67CEC3">
        <w:tblPrEx>
          <w:tblCellMar>
            <w:top w:w="0" w:type="dxa"/>
            <w:left w:w="108" w:type="dxa"/>
            <w:bottom w:w="0" w:type="dxa"/>
            <w:right w:w="108" w:type="dxa"/>
          </w:tblCellMar>
        </w:tblPrEx>
        <w:trPr>
          <w:trHeight w:val="441" w:hRule="atLeast"/>
        </w:trPr>
        <w:tc>
          <w:tcPr>
            <w:tcW w:w="649" w:type="dxa"/>
            <w:tcBorders>
              <w:top w:val="single" w:color="auto" w:sz="4" w:space="0"/>
              <w:left w:val="single" w:color="auto" w:sz="4" w:space="0"/>
              <w:bottom w:val="single" w:color="auto" w:sz="4" w:space="0"/>
              <w:right w:val="single" w:color="auto" w:sz="4" w:space="0"/>
            </w:tcBorders>
            <w:vAlign w:val="center"/>
          </w:tcPr>
          <w:p w14:paraId="500D12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25</w:t>
            </w:r>
          </w:p>
        </w:tc>
        <w:tc>
          <w:tcPr>
            <w:tcW w:w="1235" w:type="dxa"/>
            <w:tcBorders>
              <w:top w:val="single" w:color="auto" w:sz="4" w:space="0"/>
              <w:left w:val="single" w:color="auto" w:sz="4" w:space="0"/>
              <w:bottom w:val="single" w:color="auto" w:sz="4" w:space="0"/>
              <w:right w:val="single" w:color="auto" w:sz="4" w:space="0"/>
            </w:tcBorders>
            <w:vAlign w:val="center"/>
          </w:tcPr>
          <w:p w14:paraId="684F56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数码显微镜</w:t>
            </w:r>
          </w:p>
        </w:tc>
        <w:tc>
          <w:tcPr>
            <w:tcW w:w="6340" w:type="dxa"/>
            <w:tcBorders>
              <w:top w:val="single" w:color="auto" w:sz="4" w:space="0"/>
              <w:left w:val="single" w:color="auto" w:sz="4" w:space="0"/>
              <w:bottom w:val="single" w:color="auto" w:sz="4" w:space="0"/>
              <w:right w:val="single" w:color="auto" w:sz="4" w:space="0"/>
            </w:tcBorders>
          </w:tcPr>
          <w:p w14:paraId="2159D4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1.电子目镜、USB接口，相关图像处理软件，产品由镜座、镜臂、镜筒、准焦螺旋、物镜转换器、载物台、反光镜、目镜、物镜等组成；</w:t>
            </w:r>
          </w:p>
          <w:p w14:paraId="059208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2、物镜系统：消色差物10×40×100×；</w:t>
            </w:r>
          </w:p>
          <w:p w14:paraId="6C5FCE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3、目镜系统：广角目镜WF10×；</w:t>
            </w:r>
          </w:p>
          <w:p w14:paraId="6CBCEA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4、放大倍数：放大1000×；</w:t>
            </w:r>
          </w:p>
          <w:p w14:paraId="3CFEC7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5、照明系统：充电式冷光源；</w:t>
            </w:r>
          </w:p>
          <w:p w14:paraId="6A5108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6、工作台：双层载物台；</w:t>
            </w:r>
          </w:p>
          <w:p w14:paraId="6983B2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7、调焦系统：粗微动分轴。</w:t>
            </w:r>
          </w:p>
        </w:tc>
        <w:tc>
          <w:tcPr>
            <w:tcW w:w="687" w:type="dxa"/>
            <w:tcBorders>
              <w:top w:val="single" w:color="auto" w:sz="4" w:space="0"/>
              <w:left w:val="single" w:color="auto" w:sz="4" w:space="0"/>
              <w:bottom w:val="single" w:color="auto" w:sz="4" w:space="0"/>
              <w:right w:val="single" w:color="auto" w:sz="4" w:space="0"/>
            </w:tcBorders>
            <w:vAlign w:val="center"/>
          </w:tcPr>
          <w:p w14:paraId="1CB7B2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vAlign w:val="center"/>
          </w:tcPr>
          <w:p w14:paraId="1D38FA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531C1E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2197</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304B7DD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B9AB7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26</w:t>
            </w:r>
          </w:p>
        </w:tc>
        <w:tc>
          <w:tcPr>
            <w:tcW w:w="1235" w:type="dxa"/>
            <w:tcBorders>
              <w:top w:val="single" w:color="auto" w:sz="4" w:space="0"/>
              <w:left w:val="single" w:color="auto" w:sz="4" w:space="0"/>
              <w:bottom w:val="single" w:color="auto" w:sz="4" w:space="0"/>
              <w:right w:val="single" w:color="auto" w:sz="4" w:space="0"/>
            </w:tcBorders>
            <w:vAlign w:val="center"/>
          </w:tcPr>
          <w:p w14:paraId="0D1BC7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双目立体显微镜</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761C7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1.由镜座、托镜杆、镜筒、准焦螺旋、载物台、目镜、物镜等组成；放大倍率40X.</w:t>
            </w:r>
          </w:p>
        </w:tc>
        <w:tc>
          <w:tcPr>
            <w:tcW w:w="687" w:type="dxa"/>
            <w:tcBorders>
              <w:top w:val="single" w:color="auto" w:sz="4" w:space="0"/>
              <w:left w:val="single" w:color="auto" w:sz="4" w:space="0"/>
              <w:bottom w:val="single" w:color="auto" w:sz="4" w:space="0"/>
              <w:right w:val="single" w:color="auto" w:sz="4" w:space="0"/>
            </w:tcBorders>
            <w:vAlign w:val="center"/>
          </w:tcPr>
          <w:p w14:paraId="75EB2D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vAlign w:val="center"/>
          </w:tcPr>
          <w:p w14:paraId="7245B3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3C8BF9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608.40</w:t>
            </w:r>
          </w:p>
        </w:tc>
      </w:tr>
      <w:tr w14:paraId="24988EC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52105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27</w:t>
            </w:r>
          </w:p>
        </w:tc>
        <w:tc>
          <w:tcPr>
            <w:tcW w:w="1235" w:type="dxa"/>
            <w:tcBorders>
              <w:top w:val="single" w:color="auto" w:sz="4" w:space="0"/>
              <w:left w:val="single" w:color="auto" w:sz="4" w:space="0"/>
              <w:bottom w:val="single" w:color="auto" w:sz="4" w:space="0"/>
              <w:right w:val="single" w:color="auto" w:sz="4" w:space="0"/>
            </w:tcBorders>
            <w:vAlign w:val="center"/>
          </w:tcPr>
          <w:p w14:paraId="2107EF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放大镜</w:t>
            </w:r>
          </w:p>
        </w:tc>
        <w:tc>
          <w:tcPr>
            <w:tcW w:w="6340" w:type="dxa"/>
            <w:tcBorders>
              <w:top w:val="single" w:color="auto" w:sz="4" w:space="0"/>
              <w:left w:val="single" w:color="auto" w:sz="4" w:space="0"/>
              <w:bottom w:val="single" w:color="auto" w:sz="4" w:space="0"/>
              <w:right w:val="single" w:color="auto" w:sz="4" w:space="0"/>
            </w:tcBorders>
          </w:tcPr>
          <w:p w14:paraId="128472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1.由凸透镜、透镜框及手柄组成；</w:t>
            </w:r>
          </w:p>
          <w:p w14:paraId="6A8DC7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2、凸透镜放大倍率：5×；</w:t>
            </w:r>
          </w:p>
          <w:p w14:paraId="4429C2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3、透镜应无明显条纹；</w:t>
            </w:r>
          </w:p>
          <w:p w14:paraId="7FC6BB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4、透镜框应能牢靠地夹持透镜。</w:t>
            </w:r>
          </w:p>
        </w:tc>
        <w:tc>
          <w:tcPr>
            <w:tcW w:w="687" w:type="dxa"/>
            <w:tcBorders>
              <w:top w:val="single" w:color="auto" w:sz="4" w:space="0"/>
              <w:left w:val="single" w:color="auto" w:sz="4" w:space="0"/>
              <w:bottom w:val="single" w:color="auto" w:sz="4" w:space="0"/>
              <w:right w:val="single" w:color="auto" w:sz="4" w:space="0"/>
            </w:tcBorders>
            <w:vAlign w:val="center"/>
          </w:tcPr>
          <w:p w14:paraId="6120D2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vAlign w:val="center"/>
          </w:tcPr>
          <w:p w14:paraId="03516B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6BF519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11.83</w:t>
            </w:r>
          </w:p>
        </w:tc>
      </w:tr>
      <w:tr w14:paraId="3D56F29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12B9B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28</w:t>
            </w:r>
          </w:p>
        </w:tc>
        <w:tc>
          <w:tcPr>
            <w:tcW w:w="1235" w:type="dxa"/>
            <w:tcBorders>
              <w:top w:val="single" w:color="auto" w:sz="4" w:space="0"/>
              <w:left w:val="single" w:color="auto" w:sz="4" w:space="0"/>
              <w:bottom w:val="single" w:color="auto" w:sz="4" w:space="0"/>
              <w:right w:val="single" w:color="auto" w:sz="4" w:space="0"/>
            </w:tcBorders>
            <w:vAlign w:val="center"/>
          </w:tcPr>
          <w:p w14:paraId="2F3BF9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电动离心机</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62535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0r/min～4000r/min，10mL×8，无刷电机，带电锁。</w:t>
            </w:r>
          </w:p>
        </w:tc>
        <w:tc>
          <w:tcPr>
            <w:tcW w:w="687" w:type="dxa"/>
            <w:tcBorders>
              <w:top w:val="single" w:color="auto" w:sz="4" w:space="0"/>
              <w:left w:val="single" w:color="auto" w:sz="4" w:space="0"/>
              <w:bottom w:val="single" w:color="auto" w:sz="4" w:space="0"/>
              <w:right w:val="single" w:color="auto" w:sz="4" w:space="0"/>
            </w:tcBorders>
            <w:vAlign w:val="center"/>
          </w:tcPr>
          <w:p w14:paraId="6C289A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36C502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5AAC0F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473.20</w:t>
            </w:r>
          </w:p>
        </w:tc>
      </w:tr>
      <w:tr w14:paraId="03C4983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DB6A3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29</w:t>
            </w:r>
          </w:p>
        </w:tc>
        <w:tc>
          <w:tcPr>
            <w:tcW w:w="1235" w:type="dxa"/>
            <w:tcBorders>
              <w:top w:val="single" w:color="auto" w:sz="4" w:space="0"/>
              <w:left w:val="single" w:color="auto" w:sz="4" w:space="0"/>
              <w:bottom w:val="single" w:color="auto" w:sz="4" w:space="0"/>
              <w:right w:val="single" w:color="auto" w:sz="4" w:space="0"/>
            </w:tcBorders>
            <w:vAlign w:val="center"/>
          </w:tcPr>
          <w:p w14:paraId="5F4435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电动离心机</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69818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电动机；无刷电机，额定功率；120W，带电锁，工作电压；220V50Hz，转速；300-16000转/分。电动离心机具有造型美观、容量大、体积小、功能齐全、性能稳定。</w:t>
            </w:r>
          </w:p>
        </w:tc>
        <w:tc>
          <w:tcPr>
            <w:tcW w:w="687" w:type="dxa"/>
            <w:tcBorders>
              <w:top w:val="single" w:color="auto" w:sz="4" w:space="0"/>
              <w:left w:val="single" w:color="auto" w:sz="4" w:space="0"/>
              <w:bottom w:val="single" w:color="auto" w:sz="4" w:space="0"/>
              <w:right w:val="single" w:color="auto" w:sz="4" w:space="0"/>
            </w:tcBorders>
            <w:vAlign w:val="center"/>
          </w:tcPr>
          <w:p w14:paraId="1BE467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019EAF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54F582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1187</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40C48A9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A6FEE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30</w:t>
            </w:r>
          </w:p>
        </w:tc>
        <w:tc>
          <w:tcPr>
            <w:tcW w:w="1235" w:type="dxa"/>
            <w:tcBorders>
              <w:top w:val="single" w:color="auto" w:sz="4" w:space="0"/>
              <w:left w:val="single" w:color="auto" w:sz="4" w:space="0"/>
              <w:bottom w:val="single" w:color="auto" w:sz="4" w:space="0"/>
              <w:right w:val="single" w:color="auto" w:sz="4" w:space="0"/>
            </w:tcBorders>
            <w:vAlign w:val="center"/>
          </w:tcPr>
          <w:p w14:paraId="27D16C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磁力加热搅拌器</w:t>
            </w:r>
          </w:p>
        </w:tc>
        <w:tc>
          <w:tcPr>
            <w:tcW w:w="6340" w:type="dxa"/>
            <w:tcBorders>
              <w:top w:val="single" w:color="auto" w:sz="4" w:space="0"/>
              <w:left w:val="single" w:color="auto" w:sz="4" w:space="0"/>
              <w:bottom w:val="single" w:color="auto" w:sz="4" w:space="0"/>
              <w:right w:val="single" w:color="auto" w:sz="4" w:space="0"/>
            </w:tcBorders>
          </w:tcPr>
          <w:p w14:paraId="5D2E30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1.搅拌速度：无级调速0-2000转/分；</w:t>
            </w:r>
          </w:p>
          <w:p w14:paraId="468BBC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2、加热温度：室温至400℃；</w:t>
            </w:r>
          </w:p>
          <w:p w14:paraId="29CEAD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3、控温方式：自动；</w:t>
            </w:r>
          </w:p>
          <w:p w14:paraId="31C166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4、工作电压：220V/50Hz，加热功率：150W，电动功率25W。</w:t>
            </w:r>
          </w:p>
        </w:tc>
        <w:tc>
          <w:tcPr>
            <w:tcW w:w="687" w:type="dxa"/>
            <w:tcBorders>
              <w:top w:val="single" w:color="auto" w:sz="4" w:space="0"/>
              <w:left w:val="single" w:color="auto" w:sz="4" w:space="0"/>
              <w:bottom w:val="single" w:color="auto" w:sz="4" w:space="0"/>
              <w:right w:val="single" w:color="auto" w:sz="4" w:space="0"/>
            </w:tcBorders>
            <w:vAlign w:val="center"/>
          </w:tcPr>
          <w:p w14:paraId="350590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0C518C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14C4A7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219.70</w:t>
            </w:r>
          </w:p>
        </w:tc>
      </w:tr>
      <w:tr w14:paraId="7A5480F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7F953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31</w:t>
            </w:r>
          </w:p>
        </w:tc>
        <w:tc>
          <w:tcPr>
            <w:tcW w:w="1235" w:type="dxa"/>
            <w:tcBorders>
              <w:top w:val="single" w:color="auto" w:sz="4" w:space="0"/>
              <w:left w:val="single" w:color="auto" w:sz="4" w:space="0"/>
              <w:bottom w:val="single" w:color="auto" w:sz="4" w:space="0"/>
              <w:right w:val="single" w:color="auto" w:sz="4" w:space="0"/>
            </w:tcBorders>
            <w:vAlign w:val="center"/>
          </w:tcPr>
          <w:p w14:paraId="2F965F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高压灭菌锅（高压灭菌器、手提式压力蒸气灭菌器）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5D255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内置电加热式手提式，18L。</w:t>
            </w:r>
          </w:p>
        </w:tc>
        <w:tc>
          <w:tcPr>
            <w:tcW w:w="687" w:type="dxa"/>
            <w:tcBorders>
              <w:top w:val="single" w:color="auto" w:sz="4" w:space="0"/>
              <w:left w:val="single" w:color="auto" w:sz="4" w:space="0"/>
              <w:bottom w:val="single" w:color="auto" w:sz="4" w:space="0"/>
              <w:right w:val="single" w:color="auto" w:sz="4" w:space="0"/>
            </w:tcBorders>
            <w:vAlign w:val="center"/>
          </w:tcPr>
          <w:p w14:paraId="34A03E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3CE98A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16D3BC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1419.60</w:t>
            </w:r>
          </w:p>
        </w:tc>
      </w:tr>
      <w:tr w14:paraId="6C06F0C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8F31C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32</w:t>
            </w:r>
          </w:p>
        </w:tc>
        <w:tc>
          <w:tcPr>
            <w:tcW w:w="1235" w:type="dxa"/>
            <w:tcBorders>
              <w:top w:val="single" w:color="auto" w:sz="4" w:space="0"/>
              <w:left w:val="single" w:color="auto" w:sz="4" w:space="0"/>
              <w:bottom w:val="single" w:color="auto" w:sz="4" w:space="0"/>
              <w:right w:val="single" w:color="auto" w:sz="4" w:space="0"/>
            </w:tcBorders>
            <w:vAlign w:val="center"/>
          </w:tcPr>
          <w:p w14:paraId="7E06A8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高压灭菌锅（高压灭菌器）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3F8A9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30L、立式，不锈钢压力消毒锅，盖上装有工作压力为0.14MPa的安全阀和能承受蒸汽压力为0.165MPa的放汽阀，使用安全，性能可靠；大气压力；500-1060Hpa，灭菌温度；125度。盖上装有刻度压力表外圈红字表示温度内圈黑字表示压力，显示明确。</w:t>
            </w:r>
          </w:p>
        </w:tc>
        <w:tc>
          <w:tcPr>
            <w:tcW w:w="687" w:type="dxa"/>
            <w:tcBorders>
              <w:top w:val="single" w:color="auto" w:sz="4" w:space="0"/>
              <w:left w:val="single" w:color="auto" w:sz="4" w:space="0"/>
              <w:bottom w:val="single" w:color="auto" w:sz="4" w:space="0"/>
              <w:right w:val="single" w:color="auto" w:sz="4" w:space="0"/>
            </w:tcBorders>
            <w:vAlign w:val="center"/>
          </w:tcPr>
          <w:p w14:paraId="2DA4C5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0C90D9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7A785C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2873</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2C7187C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EF6AA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33</w:t>
            </w:r>
          </w:p>
        </w:tc>
        <w:tc>
          <w:tcPr>
            <w:tcW w:w="1235" w:type="dxa"/>
            <w:tcBorders>
              <w:top w:val="single" w:color="auto" w:sz="4" w:space="0"/>
              <w:left w:val="single" w:color="auto" w:sz="4" w:space="0"/>
              <w:bottom w:val="single" w:color="auto" w:sz="4" w:space="0"/>
              <w:right w:val="single" w:color="auto" w:sz="4" w:space="0"/>
            </w:tcBorders>
            <w:vAlign w:val="center"/>
          </w:tcPr>
          <w:p w14:paraId="7774D4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恒温水浴锅</w:t>
            </w:r>
          </w:p>
        </w:tc>
        <w:tc>
          <w:tcPr>
            <w:tcW w:w="6340" w:type="dxa"/>
            <w:tcBorders>
              <w:top w:val="single" w:color="auto" w:sz="4" w:space="0"/>
              <w:left w:val="single" w:color="auto" w:sz="4" w:space="0"/>
              <w:bottom w:val="single" w:color="auto" w:sz="4" w:space="0"/>
              <w:right w:val="single" w:color="auto" w:sz="4" w:space="0"/>
            </w:tcBorders>
          </w:tcPr>
          <w:p w14:paraId="7DFC2F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1.注塑外壳；</w:t>
            </w:r>
          </w:p>
          <w:p w14:paraId="0D7C21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2、容器孔数：单孔；</w:t>
            </w:r>
          </w:p>
          <w:p w14:paraId="488D7D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3、工作电压：AC220V•50Hz；</w:t>
            </w:r>
          </w:p>
          <w:p w14:paraId="444C9C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4、功率：4A、300W，室温-100℃；</w:t>
            </w:r>
          </w:p>
          <w:p w14:paraId="3884D4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5、温控精度≦±0.3℃。</w:t>
            </w:r>
          </w:p>
        </w:tc>
        <w:tc>
          <w:tcPr>
            <w:tcW w:w="687" w:type="dxa"/>
            <w:tcBorders>
              <w:top w:val="single" w:color="auto" w:sz="4" w:space="0"/>
              <w:left w:val="single" w:color="auto" w:sz="4" w:space="0"/>
              <w:bottom w:val="single" w:color="auto" w:sz="4" w:space="0"/>
              <w:right w:val="single" w:color="auto" w:sz="4" w:space="0"/>
            </w:tcBorders>
            <w:vAlign w:val="center"/>
          </w:tcPr>
          <w:p w14:paraId="50DB9A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vAlign w:val="center"/>
          </w:tcPr>
          <w:p w14:paraId="4F481B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25E27C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405.60</w:t>
            </w:r>
          </w:p>
        </w:tc>
      </w:tr>
      <w:tr w14:paraId="0B3248CB">
        <w:tblPrEx>
          <w:tblCellMar>
            <w:top w:w="0" w:type="dxa"/>
            <w:left w:w="108" w:type="dxa"/>
            <w:bottom w:w="0" w:type="dxa"/>
            <w:right w:w="108" w:type="dxa"/>
          </w:tblCellMar>
        </w:tblPrEx>
        <w:trPr>
          <w:trHeight w:val="575" w:hRule="atLeast"/>
        </w:trPr>
        <w:tc>
          <w:tcPr>
            <w:tcW w:w="649" w:type="dxa"/>
            <w:tcBorders>
              <w:top w:val="single" w:color="auto" w:sz="4" w:space="0"/>
              <w:left w:val="single" w:color="auto" w:sz="4" w:space="0"/>
              <w:bottom w:val="single" w:color="auto" w:sz="4" w:space="0"/>
              <w:right w:val="single" w:color="auto" w:sz="4" w:space="0"/>
            </w:tcBorders>
            <w:vAlign w:val="center"/>
          </w:tcPr>
          <w:p w14:paraId="4967B0E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34</w:t>
            </w:r>
          </w:p>
        </w:tc>
        <w:tc>
          <w:tcPr>
            <w:tcW w:w="1235" w:type="dxa"/>
            <w:tcBorders>
              <w:top w:val="single" w:color="auto" w:sz="4" w:space="0"/>
              <w:left w:val="single" w:color="auto" w:sz="4" w:space="0"/>
              <w:bottom w:val="single" w:color="auto" w:sz="4" w:space="0"/>
              <w:right w:val="single" w:color="auto" w:sz="4" w:space="0"/>
            </w:tcBorders>
            <w:vAlign w:val="center"/>
          </w:tcPr>
          <w:p w14:paraId="35FFB9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烘干箱</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928EC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≥80L，尺寸为465*465*740mm。</w:t>
            </w:r>
          </w:p>
          <w:p w14:paraId="26089C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产品由箱体、电热加热系统、鼓风循环系统、温控系统、内胆、密封门、置物网架、控制面板等组成。</w:t>
            </w:r>
          </w:p>
        </w:tc>
        <w:tc>
          <w:tcPr>
            <w:tcW w:w="687" w:type="dxa"/>
            <w:tcBorders>
              <w:top w:val="single" w:color="auto" w:sz="4" w:space="0"/>
              <w:left w:val="single" w:color="auto" w:sz="4" w:space="0"/>
              <w:bottom w:val="single" w:color="auto" w:sz="4" w:space="0"/>
              <w:right w:val="single" w:color="auto" w:sz="4" w:space="0"/>
            </w:tcBorders>
            <w:vAlign w:val="center"/>
          </w:tcPr>
          <w:p w14:paraId="3F634F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7DB61A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447136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1521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6C06809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B2DB3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35</w:t>
            </w:r>
          </w:p>
        </w:tc>
        <w:tc>
          <w:tcPr>
            <w:tcW w:w="1235" w:type="dxa"/>
            <w:tcBorders>
              <w:top w:val="single" w:color="auto" w:sz="4" w:space="0"/>
              <w:left w:val="single" w:color="auto" w:sz="4" w:space="0"/>
              <w:bottom w:val="single" w:color="auto" w:sz="4" w:space="0"/>
              <w:right w:val="single" w:color="auto" w:sz="4" w:space="0"/>
            </w:tcBorders>
            <w:vAlign w:val="center"/>
          </w:tcPr>
          <w:p w14:paraId="3AAD13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电冰箱</w:t>
            </w:r>
          </w:p>
        </w:tc>
        <w:tc>
          <w:tcPr>
            <w:tcW w:w="6340" w:type="dxa"/>
            <w:tcBorders>
              <w:top w:val="single" w:color="auto" w:sz="4" w:space="0"/>
              <w:left w:val="single" w:color="auto" w:sz="4" w:space="0"/>
              <w:bottom w:val="single" w:color="auto" w:sz="4" w:space="0"/>
              <w:right w:val="single" w:color="auto" w:sz="4" w:space="0"/>
            </w:tcBorders>
          </w:tcPr>
          <w:p w14:paraId="751607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1.适用于实验室设备，制取低温物品，保存生化制剂；</w:t>
            </w:r>
          </w:p>
          <w:p w14:paraId="14DD95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2、双门有效容积不小于218L。</w:t>
            </w:r>
          </w:p>
        </w:tc>
        <w:tc>
          <w:tcPr>
            <w:tcW w:w="687" w:type="dxa"/>
            <w:tcBorders>
              <w:top w:val="single" w:color="auto" w:sz="4" w:space="0"/>
              <w:left w:val="single" w:color="auto" w:sz="4" w:space="0"/>
              <w:bottom w:val="single" w:color="auto" w:sz="4" w:space="0"/>
              <w:right w:val="single" w:color="auto" w:sz="4" w:space="0"/>
            </w:tcBorders>
            <w:vAlign w:val="center"/>
          </w:tcPr>
          <w:p w14:paraId="7A6648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110CD6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63030B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3312.40</w:t>
            </w:r>
          </w:p>
        </w:tc>
      </w:tr>
      <w:tr w14:paraId="33DF1A0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6D958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36</w:t>
            </w:r>
          </w:p>
        </w:tc>
        <w:tc>
          <w:tcPr>
            <w:tcW w:w="1235" w:type="dxa"/>
            <w:tcBorders>
              <w:top w:val="single" w:color="auto" w:sz="4" w:space="0"/>
              <w:left w:val="single" w:color="auto" w:sz="4" w:space="0"/>
              <w:bottom w:val="single" w:color="auto" w:sz="4" w:space="0"/>
              <w:right w:val="single" w:color="auto" w:sz="4" w:space="0"/>
            </w:tcBorders>
            <w:vAlign w:val="center"/>
          </w:tcPr>
          <w:p w14:paraId="2E610E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恒温培养箱</w:t>
            </w:r>
          </w:p>
        </w:tc>
        <w:tc>
          <w:tcPr>
            <w:tcW w:w="6340" w:type="dxa"/>
            <w:tcBorders>
              <w:top w:val="single" w:color="auto" w:sz="4" w:space="0"/>
              <w:left w:val="single" w:color="auto" w:sz="4" w:space="0"/>
              <w:bottom w:val="single" w:color="auto" w:sz="4" w:space="0"/>
              <w:right w:val="single" w:color="auto" w:sz="4" w:space="0"/>
            </w:tcBorders>
          </w:tcPr>
          <w:p w14:paraId="4AEE84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1.自然对流式通风结构，电子控温仪控制温度；</w:t>
            </w:r>
          </w:p>
          <w:p w14:paraId="40444F4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2、控温范围+5℃-60℃，温度波动允差：不大于1℃；</w:t>
            </w:r>
          </w:p>
          <w:p w14:paraId="721BE4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3、温度均匀性允差：±1℃。</w:t>
            </w:r>
          </w:p>
        </w:tc>
        <w:tc>
          <w:tcPr>
            <w:tcW w:w="687" w:type="dxa"/>
            <w:tcBorders>
              <w:top w:val="single" w:color="auto" w:sz="4" w:space="0"/>
              <w:left w:val="single" w:color="auto" w:sz="4" w:space="0"/>
              <w:bottom w:val="single" w:color="auto" w:sz="4" w:space="0"/>
              <w:right w:val="single" w:color="auto" w:sz="4" w:space="0"/>
            </w:tcBorders>
            <w:vAlign w:val="center"/>
          </w:tcPr>
          <w:p w14:paraId="158DFE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1315A6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013D8E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1149.20</w:t>
            </w:r>
          </w:p>
        </w:tc>
      </w:tr>
      <w:tr w14:paraId="2119D8F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BF460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37</w:t>
            </w:r>
          </w:p>
        </w:tc>
        <w:tc>
          <w:tcPr>
            <w:tcW w:w="1235" w:type="dxa"/>
            <w:tcBorders>
              <w:top w:val="single" w:color="auto" w:sz="4" w:space="0"/>
              <w:left w:val="single" w:color="auto" w:sz="4" w:space="0"/>
              <w:bottom w:val="single" w:color="auto" w:sz="4" w:space="0"/>
              <w:right w:val="single" w:color="auto" w:sz="4" w:space="0"/>
            </w:tcBorders>
            <w:vAlign w:val="center"/>
          </w:tcPr>
          <w:p w14:paraId="5419EE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光照培养箱</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913EC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外形尺寸：171.5*51.5*46.5cm；容积250L；光照强度：0-12000LX，分级可调。</w:t>
            </w:r>
          </w:p>
        </w:tc>
        <w:tc>
          <w:tcPr>
            <w:tcW w:w="687" w:type="dxa"/>
            <w:tcBorders>
              <w:top w:val="single" w:color="auto" w:sz="4" w:space="0"/>
              <w:left w:val="single" w:color="auto" w:sz="4" w:space="0"/>
              <w:bottom w:val="single" w:color="auto" w:sz="4" w:space="0"/>
              <w:right w:val="single" w:color="auto" w:sz="4" w:space="0"/>
            </w:tcBorders>
            <w:vAlign w:val="center"/>
          </w:tcPr>
          <w:p w14:paraId="04B5D8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79A6B5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19A741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5577</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192313C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7D98F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38</w:t>
            </w:r>
          </w:p>
        </w:tc>
        <w:tc>
          <w:tcPr>
            <w:tcW w:w="1235" w:type="dxa"/>
            <w:tcBorders>
              <w:top w:val="single" w:color="auto" w:sz="4" w:space="0"/>
              <w:left w:val="single" w:color="auto" w:sz="4" w:space="0"/>
              <w:bottom w:val="single" w:color="auto" w:sz="4" w:space="0"/>
              <w:right w:val="single" w:color="auto" w:sz="4" w:space="0"/>
            </w:tcBorders>
            <w:vAlign w:val="center"/>
          </w:tcPr>
          <w:p w14:paraId="7ED7E1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超净工作台</w:t>
            </w:r>
          </w:p>
        </w:tc>
        <w:tc>
          <w:tcPr>
            <w:tcW w:w="6340" w:type="dxa"/>
            <w:tcBorders>
              <w:top w:val="single" w:color="auto" w:sz="4" w:space="0"/>
              <w:left w:val="single" w:color="auto" w:sz="4" w:space="0"/>
              <w:bottom w:val="single" w:color="auto" w:sz="4" w:space="0"/>
              <w:right w:val="single" w:color="auto" w:sz="4" w:space="0"/>
            </w:tcBorders>
          </w:tcPr>
          <w:p w14:paraId="217902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1.双人单面，垂直送风，100级，送风风速：O.3m/s～0.6m/s可调；</w:t>
            </w:r>
          </w:p>
          <w:p w14:paraId="312A1F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2、不锈钢台面，带紫外线灯安全防护装置。</w:t>
            </w:r>
          </w:p>
        </w:tc>
        <w:tc>
          <w:tcPr>
            <w:tcW w:w="687" w:type="dxa"/>
            <w:tcBorders>
              <w:top w:val="single" w:color="auto" w:sz="4" w:space="0"/>
              <w:left w:val="single" w:color="auto" w:sz="4" w:space="0"/>
              <w:bottom w:val="single" w:color="auto" w:sz="4" w:space="0"/>
              <w:right w:val="single" w:color="auto" w:sz="4" w:space="0"/>
            </w:tcBorders>
            <w:vAlign w:val="center"/>
          </w:tcPr>
          <w:p w14:paraId="7BF44A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 </w:t>
            </w:r>
          </w:p>
        </w:tc>
        <w:tc>
          <w:tcPr>
            <w:tcW w:w="553" w:type="dxa"/>
            <w:tcBorders>
              <w:top w:val="single" w:color="auto" w:sz="4" w:space="0"/>
              <w:left w:val="single" w:color="auto" w:sz="4" w:space="0"/>
              <w:bottom w:val="single" w:color="auto" w:sz="4" w:space="0"/>
              <w:right w:val="single" w:color="auto" w:sz="4" w:space="0"/>
            </w:tcBorders>
            <w:vAlign w:val="center"/>
          </w:tcPr>
          <w:p w14:paraId="521270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37AF08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3549</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00B7E0C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9626F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39</w:t>
            </w:r>
          </w:p>
        </w:tc>
        <w:tc>
          <w:tcPr>
            <w:tcW w:w="1235" w:type="dxa"/>
            <w:tcBorders>
              <w:top w:val="single" w:color="auto" w:sz="4" w:space="0"/>
              <w:left w:val="single" w:color="auto" w:sz="4" w:space="0"/>
              <w:bottom w:val="single" w:color="auto" w:sz="4" w:space="0"/>
              <w:right w:val="single" w:color="auto" w:sz="4" w:space="0"/>
            </w:tcBorders>
            <w:vAlign w:val="center"/>
          </w:tcPr>
          <w:p w14:paraId="57CE09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整理箱（收纳箱）</w:t>
            </w:r>
          </w:p>
        </w:tc>
        <w:tc>
          <w:tcPr>
            <w:tcW w:w="6340" w:type="dxa"/>
            <w:tcBorders>
              <w:top w:val="single" w:color="auto" w:sz="4" w:space="0"/>
              <w:left w:val="single" w:color="auto" w:sz="4" w:space="0"/>
              <w:bottom w:val="single" w:color="auto" w:sz="4" w:space="0"/>
              <w:right w:val="single" w:color="auto" w:sz="4" w:space="0"/>
            </w:tcBorders>
            <w:vAlign w:val="center"/>
          </w:tcPr>
          <w:p w14:paraId="1C9C64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矮型，储存及分发药品用，高度要适中</w:t>
            </w:r>
          </w:p>
        </w:tc>
        <w:tc>
          <w:tcPr>
            <w:tcW w:w="687" w:type="dxa"/>
            <w:tcBorders>
              <w:top w:val="single" w:color="auto" w:sz="4" w:space="0"/>
              <w:left w:val="single" w:color="auto" w:sz="4" w:space="0"/>
              <w:bottom w:val="single" w:color="auto" w:sz="4" w:space="0"/>
              <w:right w:val="single" w:color="auto" w:sz="4" w:space="0"/>
            </w:tcBorders>
            <w:vAlign w:val="center"/>
          </w:tcPr>
          <w:p w14:paraId="11B843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vAlign w:val="center"/>
          </w:tcPr>
          <w:p w14:paraId="3F38A3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23C7A2E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16.90</w:t>
            </w:r>
          </w:p>
        </w:tc>
      </w:tr>
      <w:tr w14:paraId="5DD8955F">
        <w:tblPrEx>
          <w:tblCellMar>
            <w:top w:w="0" w:type="dxa"/>
            <w:left w:w="108" w:type="dxa"/>
            <w:bottom w:w="0" w:type="dxa"/>
            <w:right w:w="108" w:type="dxa"/>
          </w:tblCellMar>
        </w:tblPrEx>
        <w:trPr>
          <w:trHeight w:val="515" w:hRule="atLeast"/>
        </w:trPr>
        <w:tc>
          <w:tcPr>
            <w:tcW w:w="649" w:type="dxa"/>
            <w:tcBorders>
              <w:top w:val="single" w:color="auto" w:sz="4" w:space="0"/>
              <w:left w:val="single" w:color="auto" w:sz="4" w:space="0"/>
              <w:bottom w:val="single" w:color="auto" w:sz="4" w:space="0"/>
              <w:right w:val="single" w:color="auto" w:sz="4" w:space="0"/>
            </w:tcBorders>
            <w:vAlign w:val="center"/>
          </w:tcPr>
          <w:p w14:paraId="5B4691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40</w:t>
            </w:r>
          </w:p>
        </w:tc>
        <w:tc>
          <w:tcPr>
            <w:tcW w:w="1235" w:type="dxa"/>
            <w:tcBorders>
              <w:top w:val="single" w:color="auto" w:sz="4" w:space="0"/>
              <w:left w:val="single" w:color="auto" w:sz="4" w:space="0"/>
              <w:bottom w:val="single" w:color="auto" w:sz="4" w:space="0"/>
              <w:right w:val="single" w:color="auto" w:sz="4" w:space="0"/>
            </w:tcBorders>
            <w:vAlign w:val="center"/>
          </w:tcPr>
          <w:p w14:paraId="2C6E89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塑料洗瓶</w:t>
            </w:r>
          </w:p>
        </w:tc>
        <w:tc>
          <w:tcPr>
            <w:tcW w:w="6340" w:type="dxa"/>
            <w:tcBorders>
              <w:top w:val="single" w:color="auto" w:sz="4" w:space="0"/>
              <w:left w:val="single" w:color="auto" w:sz="4" w:space="0"/>
              <w:bottom w:val="single" w:color="auto" w:sz="4" w:space="0"/>
              <w:right w:val="single" w:color="auto" w:sz="4" w:space="0"/>
            </w:tcBorders>
            <w:vAlign w:val="center"/>
          </w:tcPr>
          <w:p w14:paraId="0B70B8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250mL，密封性好，不漏气。</w:t>
            </w:r>
          </w:p>
        </w:tc>
        <w:tc>
          <w:tcPr>
            <w:tcW w:w="687" w:type="dxa"/>
            <w:tcBorders>
              <w:top w:val="single" w:color="auto" w:sz="4" w:space="0"/>
              <w:left w:val="single" w:color="auto" w:sz="4" w:space="0"/>
              <w:bottom w:val="single" w:color="auto" w:sz="4" w:space="0"/>
              <w:right w:val="single" w:color="auto" w:sz="4" w:space="0"/>
            </w:tcBorders>
            <w:vAlign w:val="center"/>
          </w:tcPr>
          <w:p w14:paraId="504DF3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vAlign w:val="center"/>
          </w:tcPr>
          <w:p w14:paraId="43FF02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501173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 </w:t>
            </w:r>
          </w:p>
        </w:tc>
      </w:tr>
      <w:tr w14:paraId="03C5389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83B62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41</w:t>
            </w:r>
          </w:p>
        </w:tc>
        <w:tc>
          <w:tcPr>
            <w:tcW w:w="1235" w:type="dxa"/>
            <w:tcBorders>
              <w:top w:val="single" w:color="auto" w:sz="4" w:space="0"/>
              <w:left w:val="single" w:color="auto" w:sz="4" w:space="0"/>
              <w:bottom w:val="single" w:color="auto" w:sz="4" w:space="0"/>
              <w:right w:val="single" w:color="auto" w:sz="4" w:space="0"/>
            </w:tcBorders>
            <w:vAlign w:val="center"/>
          </w:tcPr>
          <w:p w14:paraId="2B0031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方座支架（铁架台）</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6BF76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由底座、立杆、烧瓶夹，大小铁环，十字夹等组成。</w:t>
            </w:r>
          </w:p>
        </w:tc>
        <w:tc>
          <w:tcPr>
            <w:tcW w:w="687" w:type="dxa"/>
            <w:tcBorders>
              <w:top w:val="single" w:color="auto" w:sz="4" w:space="0"/>
              <w:left w:val="single" w:color="auto" w:sz="4" w:space="0"/>
              <w:bottom w:val="single" w:color="auto" w:sz="4" w:space="0"/>
              <w:right w:val="single" w:color="auto" w:sz="4" w:space="0"/>
            </w:tcBorders>
            <w:vAlign w:val="center"/>
          </w:tcPr>
          <w:p w14:paraId="3F4981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vAlign w:val="center"/>
          </w:tcPr>
          <w:p w14:paraId="4F53B4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vAlign w:val="center"/>
          </w:tcPr>
          <w:p w14:paraId="478655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67.60</w:t>
            </w:r>
          </w:p>
        </w:tc>
      </w:tr>
      <w:tr w14:paraId="710F047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FE732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42</w:t>
            </w:r>
          </w:p>
        </w:tc>
        <w:tc>
          <w:tcPr>
            <w:tcW w:w="1235" w:type="dxa"/>
            <w:tcBorders>
              <w:top w:val="single" w:color="auto" w:sz="4" w:space="0"/>
              <w:left w:val="single" w:color="auto" w:sz="4" w:space="0"/>
              <w:bottom w:val="single" w:color="auto" w:sz="4" w:space="0"/>
              <w:right w:val="single" w:color="auto" w:sz="4" w:space="0"/>
            </w:tcBorders>
            <w:vAlign w:val="center"/>
          </w:tcPr>
          <w:p w14:paraId="6DB265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三脚架</w:t>
            </w:r>
          </w:p>
        </w:tc>
        <w:tc>
          <w:tcPr>
            <w:tcW w:w="6340" w:type="dxa"/>
            <w:tcBorders>
              <w:top w:val="single" w:color="auto" w:sz="4" w:space="0"/>
              <w:left w:val="single" w:color="auto" w:sz="4" w:space="0"/>
              <w:bottom w:val="single" w:color="auto" w:sz="4" w:space="0"/>
              <w:right w:val="single" w:color="auto" w:sz="4" w:space="0"/>
            </w:tcBorders>
          </w:tcPr>
          <w:p w14:paraId="297008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1.由铁环和3只脚组成；</w:t>
            </w:r>
          </w:p>
          <w:p w14:paraId="0A461A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2、三只脚与铁环焊接紧固，脚距相等，立放台上时圆环应与台面平行，所支承的容器不得有滑动。</w:t>
            </w:r>
          </w:p>
        </w:tc>
        <w:tc>
          <w:tcPr>
            <w:tcW w:w="687" w:type="dxa"/>
            <w:tcBorders>
              <w:top w:val="single" w:color="auto" w:sz="4" w:space="0"/>
              <w:left w:val="single" w:color="auto" w:sz="4" w:space="0"/>
              <w:bottom w:val="single" w:color="auto" w:sz="4" w:space="0"/>
              <w:right w:val="single" w:color="auto" w:sz="4" w:space="0"/>
            </w:tcBorders>
            <w:vAlign w:val="center"/>
          </w:tcPr>
          <w:p w14:paraId="142E9F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vAlign w:val="center"/>
          </w:tcPr>
          <w:p w14:paraId="738525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5BA253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6.08 </w:t>
            </w:r>
          </w:p>
        </w:tc>
      </w:tr>
      <w:tr w14:paraId="2B80377F">
        <w:tblPrEx>
          <w:tblCellMar>
            <w:top w:w="0" w:type="dxa"/>
            <w:left w:w="108" w:type="dxa"/>
            <w:bottom w:w="0" w:type="dxa"/>
            <w:right w:w="108" w:type="dxa"/>
          </w:tblCellMar>
        </w:tblPrEx>
        <w:trPr>
          <w:trHeight w:val="641" w:hRule="atLeast"/>
        </w:trPr>
        <w:tc>
          <w:tcPr>
            <w:tcW w:w="649" w:type="dxa"/>
            <w:tcBorders>
              <w:top w:val="single" w:color="auto" w:sz="4" w:space="0"/>
              <w:left w:val="single" w:color="auto" w:sz="4" w:space="0"/>
              <w:bottom w:val="single" w:color="auto" w:sz="4" w:space="0"/>
              <w:right w:val="single" w:color="auto" w:sz="4" w:space="0"/>
            </w:tcBorders>
            <w:vAlign w:val="center"/>
          </w:tcPr>
          <w:p w14:paraId="05FDF2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43</w:t>
            </w:r>
          </w:p>
        </w:tc>
        <w:tc>
          <w:tcPr>
            <w:tcW w:w="1235" w:type="dxa"/>
            <w:tcBorders>
              <w:top w:val="single" w:color="auto" w:sz="4" w:space="0"/>
              <w:left w:val="single" w:color="auto" w:sz="4" w:space="0"/>
              <w:bottom w:val="single" w:color="auto" w:sz="4" w:space="0"/>
              <w:right w:val="single" w:color="auto" w:sz="4" w:space="0"/>
            </w:tcBorders>
            <w:vAlign w:val="center"/>
          </w:tcPr>
          <w:p w14:paraId="57DEAC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试管架</w:t>
            </w:r>
          </w:p>
        </w:tc>
        <w:tc>
          <w:tcPr>
            <w:tcW w:w="6340" w:type="dxa"/>
            <w:tcBorders>
              <w:top w:val="single" w:color="auto" w:sz="4" w:space="0"/>
              <w:left w:val="single" w:color="auto" w:sz="4" w:space="0"/>
              <w:bottom w:val="single" w:color="auto" w:sz="4" w:space="0"/>
              <w:right w:val="single" w:color="auto" w:sz="4" w:space="0"/>
            </w:tcBorders>
            <w:vAlign w:val="center"/>
          </w:tcPr>
          <w:p w14:paraId="6064BF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产品由顶板、底板、插杆组成，12孔。木制。</w:t>
            </w:r>
          </w:p>
        </w:tc>
        <w:tc>
          <w:tcPr>
            <w:tcW w:w="687" w:type="dxa"/>
            <w:tcBorders>
              <w:top w:val="single" w:color="auto" w:sz="4" w:space="0"/>
              <w:left w:val="single" w:color="auto" w:sz="4" w:space="0"/>
              <w:bottom w:val="single" w:color="auto" w:sz="4" w:space="0"/>
              <w:right w:val="single" w:color="auto" w:sz="4" w:space="0"/>
            </w:tcBorders>
            <w:vAlign w:val="center"/>
          </w:tcPr>
          <w:p w14:paraId="35187B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vAlign w:val="center"/>
          </w:tcPr>
          <w:p w14:paraId="7FC8B4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758D26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21.97</w:t>
            </w:r>
          </w:p>
        </w:tc>
      </w:tr>
      <w:tr w14:paraId="0A31497C">
        <w:tblPrEx>
          <w:tblCellMar>
            <w:top w:w="0" w:type="dxa"/>
            <w:left w:w="108" w:type="dxa"/>
            <w:bottom w:w="0" w:type="dxa"/>
            <w:right w:w="108" w:type="dxa"/>
          </w:tblCellMar>
        </w:tblPrEx>
        <w:trPr>
          <w:trHeight w:val="536" w:hRule="atLeast"/>
        </w:trPr>
        <w:tc>
          <w:tcPr>
            <w:tcW w:w="649" w:type="dxa"/>
            <w:tcBorders>
              <w:top w:val="single" w:color="auto" w:sz="4" w:space="0"/>
              <w:left w:val="single" w:color="auto" w:sz="4" w:space="0"/>
              <w:bottom w:val="single" w:color="auto" w:sz="4" w:space="0"/>
              <w:right w:val="single" w:color="auto" w:sz="4" w:space="0"/>
            </w:tcBorders>
            <w:vAlign w:val="center"/>
          </w:tcPr>
          <w:p w14:paraId="10A802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44</w:t>
            </w:r>
          </w:p>
        </w:tc>
        <w:tc>
          <w:tcPr>
            <w:tcW w:w="1235" w:type="dxa"/>
            <w:tcBorders>
              <w:top w:val="single" w:color="auto" w:sz="4" w:space="0"/>
              <w:left w:val="single" w:color="auto" w:sz="4" w:space="0"/>
              <w:bottom w:val="single" w:color="auto" w:sz="4" w:space="0"/>
              <w:right w:val="single" w:color="auto" w:sz="4" w:space="0"/>
            </w:tcBorders>
            <w:vAlign w:val="center"/>
          </w:tcPr>
          <w:p w14:paraId="4BFD65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试管架</w:t>
            </w:r>
          </w:p>
        </w:tc>
        <w:tc>
          <w:tcPr>
            <w:tcW w:w="6340" w:type="dxa"/>
            <w:tcBorders>
              <w:top w:val="single" w:color="auto" w:sz="4" w:space="0"/>
              <w:left w:val="single" w:color="auto" w:sz="4" w:space="0"/>
              <w:bottom w:val="single" w:color="auto" w:sz="4" w:space="0"/>
              <w:right w:val="single" w:color="auto" w:sz="4" w:space="0"/>
            </w:tcBorders>
            <w:vAlign w:val="center"/>
          </w:tcPr>
          <w:p w14:paraId="01C24A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40孔，铝合金制作，Φ15mm孔径，三层结构。</w:t>
            </w:r>
          </w:p>
        </w:tc>
        <w:tc>
          <w:tcPr>
            <w:tcW w:w="687" w:type="dxa"/>
            <w:tcBorders>
              <w:top w:val="single" w:color="auto" w:sz="4" w:space="0"/>
              <w:left w:val="single" w:color="auto" w:sz="4" w:space="0"/>
              <w:bottom w:val="single" w:color="auto" w:sz="4" w:space="0"/>
              <w:right w:val="single" w:color="auto" w:sz="4" w:space="0"/>
            </w:tcBorders>
            <w:vAlign w:val="center"/>
          </w:tcPr>
          <w:p w14:paraId="11DDDA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vAlign w:val="center"/>
          </w:tcPr>
          <w:p w14:paraId="5CD902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3C5278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40.56</w:t>
            </w:r>
          </w:p>
        </w:tc>
      </w:tr>
      <w:tr w14:paraId="4FE1E63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01705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45</w:t>
            </w:r>
          </w:p>
        </w:tc>
        <w:tc>
          <w:tcPr>
            <w:tcW w:w="1235" w:type="dxa"/>
            <w:tcBorders>
              <w:top w:val="single" w:color="auto" w:sz="4" w:space="0"/>
              <w:left w:val="single" w:color="auto" w:sz="4" w:space="0"/>
              <w:bottom w:val="single" w:color="auto" w:sz="4" w:space="0"/>
              <w:right w:val="single" w:color="auto" w:sz="4" w:space="0"/>
            </w:tcBorders>
            <w:vAlign w:val="center"/>
          </w:tcPr>
          <w:p w14:paraId="5E42DC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托盘天平</w:t>
            </w:r>
          </w:p>
        </w:tc>
        <w:tc>
          <w:tcPr>
            <w:tcW w:w="6340" w:type="dxa"/>
            <w:tcBorders>
              <w:top w:val="single" w:color="auto" w:sz="4" w:space="0"/>
              <w:left w:val="single" w:color="auto" w:sz="4" w:space="0"/>
              <w:bottom w:val="single" w:color="auto" w:sz="4" w:space="0"/>
              <w:right w:val="single" w:color="auto" w:sz="4" w:space="0"/>
            </w:tcBorders>
          </w:tcPr>
          <w:p w14:paraId="514AC6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1.最大称量200g，分度值0.2g；</w:t>
            </w:r>
          </w:p>
          <w:p w14:paraId="047934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2、称量允许误差为±0.5d（分度值）；</w:t>
            </w:r>
          </w:p>
          <w:p w14:paraId="739E35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3、砝码组合的总质量（包括标尺计量值）应不小于天平的最大称量；</w:t>
            </w:r>
          </w:p>
          <w:p w14:paraId="7A501E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4、冲压件及铸件表面应光洁平整，不应有毛刺、锋棱、裂纹和显见砂眼。</w:t>
            </w:r>
          </w:p>
        </w:tc>
        <w:tc>
          <w:tcPr>
            <w:tcW w:w="687" w:type="dxa"/>
            <w:tcBorders>
              <w:top w:val="single" w:color="auto" w:sz="4" w:space="0"/>
              <w:left w:val="single" w:color="auto" w:sz="4" w:space="0"/>
              <w:bottom w:val="single" w:color="auto" w:sz="4" w:space="0"/>
              <w:right w:val="single" w:color="auto" w:sz="4" w:space="0"/>
            </w:tcBorders>
            <w:vAlign w:val="center"/>
          </w:tcPr>
          <w:p w14:paraId="27226D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vAlign w:val="center"/>
          </w:tcPr>
          <w:p w14:paraId="0030D6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0AA579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94.64</w:t>
            </w:r>
          </w:p>
        </w:tc>
      </w:tr>
      <w:tr w14:paraId="70167CA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D0484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46</w:t>
            </w:r>
          </w:p>
        </w:tc>
        <w:tc>
          <w:tcPr>
            <w:tcW w:w="1235" w:type="dxa"/>
            <w:tcBorders>
              <w:top w:val="single" w:color="auto" w:sz="4" w:space="0"/>
              <w:left w:val="single" w:color="auto" w:sz="4" w:space="0"/>
              <w:bottom w:val="single" w:color="auto" w:sz="4" w:space="0"/>
              <w:right w:val="single" w:color="auto" w:sz="4" w:space="0"/>
            </w:tcBorders>
            <w:vAlign w:val="center"/>
          </w:tcPr>
          <w:p w14:paraId="2DBA5F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电子天平</w:t>
            </w:r>
          </w:p>
        </w:tc>
        <w:tc>
          <w:tcPr>
            <w:tcW w:w="6340" w:type="dxa"/>
            <w:tcBorders>
              <w:top w:val="single" w:color="auto" w:sz="4" w:space="0"/>
              <w:left w:val="single" w:color="auto" w:sz="4" w:space="0"/>
              <w:bottom w:val="single" w:color="auto" w:sz="4" w:space="0"/>
              <w:right w:val="single" w:color="auto" w:sz="4" w:space="0"/>
            </w:tcBorders>
          </w:tcPr>
          <w:p w14:paraId="76F2AD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1.量程200g，最小分度值：0.01g；</w:t>
            </w:r>
          </w:p>
          <w:p w14:paraId="3D6997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2、线性误差≤±0.002g；重复性误差≤0.01g；</w:t>
            </w:r>
          </w:p>
          <w:p w14:paraId="1E8368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3、校准方式：外校（配砝码）；</w:t>
            </w:r>
          </w:p>
          <w:p w14:paraId="27DC83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4、数据输出：RS232；电源电压：220VAC；</w:t>
            </w:r>
          </w:p>
          <w:p w14:paraId="05AADB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5、采用高精度电磁平衡传达室感器，LED显示，具有计数功能。</w:t>
            </w:r>
          </w:p>
        </w:tc>
        <w:tc>
          <w:tcPr>
            <w:tcW w:w="687" w:type="dxa"/>
            <w:tcBorders>
              <w:top w:val="single" w:color="auto" w:sz="4" w:space="0"/>
              <w:left w:val="single" w:color="auto" w:sz="4" w:space="0"/>
              <w:bottom w:val="single" w:color="auto" w:sz="4" w:space="0"/>
              <w:right w:val="single" w:color="auto" w:sz="4" w:space="0"/>
            </w:tcBorders>
            <w:vAlign w:val="center"/>
          </w:tcPr>
          <w:p w14:paraId="5567E6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vAlign w:val="center"/>
          </w:tcPr>
          <w:p w14:paraId="55437F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403DBF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297.44</w:t>
            </w:r>
          </w:p>
        </w:tc>
      </w:tr>
      <w:tr w14:paraId="73C736D0">
        <w:tblPrEx>
          <w:tblCellMar>
            <w:top w:w="0" w:type="dxa"/>
            <w:left w:w="108" w:type="dxa"/>
            <w:bottom w:w="0" w:type="dxa"/>
            <w:right w:w="108" w:type="dxa"/>
          </w:tblCellMar>
        </w:tblPrEx>
        <w:trPr>
          <w:trHeight w:val="590" w:hRule="atLeast"/>
        </w:trPr>
        <w:tc>
          <w:tcPr>
            <w:tcW w:w="649" w:type="dxa"/>
            <w:tcBorders>
              <w:top w:val="single" w:color="auto" w:sz="4" w:space="0"/>
              <w:left w:val="single" w:color="auto" w:sz="4" w:space="0"/>
              <w:bottom w:val="single" w:color="auto" w:sz="4" w:space="0"/>
              <w:right w:val="single" w:color="auto" w:sz="4" w:space="0"/>
            </w:tcBorders>
            <w:vAlign w:val="center"/>
          </w:tcPr>
          <w:p w14:paraId="19ED9B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47</w:t>
            </w:r>
          </w:p>
        </w:tc>
        <w:tc>
          <w:tcPr>
            <w:tcW w:w="1235" w:type="dxa"/>
            <w:tcBorders>
              <w:top w:val="single" w:color="auto" w:sz="4" w:space="0"/>
              <w:left w:val="single" w:color="auto" w:sz="4" w:space="0"/>
              <w:bottom w:val="single" w:color="auto" w:sz="4" w:space="0"/>
              <w:right w:val="single" w:color="auto" w:sz="4" w:space="0"/>
            </w:tcBorders>
            <w:vAlign w:val="center"/>
          </w:tcPr>
          <w:p w14:paraId="1BB5B7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电子天平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521EA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200g,0.0001g.</w:t>
            </w:r>
          </w:p>
        </w:tc>
        <w:tc>
          <w:tcPr>
            <w:tcW w:w="687" w:type="dxa"/>
            <w:tcBorders>
              <w:top w:val="single" w:color="auto" w:sz="4" w:space="0"/>
              <w:left w:val="single" w:color="auto" w:sz="4" w:space="0"/>
              <w:bottom w:val="single" w:color="auto" w:sz="4" w:space="0"/>
              <w:right w:val="single" w:color="auto" w:sz="4" w:space="0"/>
            </w:tcBorders>
            <w:vAlign w:val="center"/>
          </w:tcPr>
          <w:p w14:paraId="5E0582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79BEB3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5FE875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3887</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7AD40D3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02657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48</w:t>
            </w:r>
          </w:p>
        </w:tc>
        <w:tc>
          <w:tcPr>
            <w:tcW w:w="1235" w:type="dxa"/>
            <w:tcBorders>
              <w:top w:val="single" w:color="auto" w:sz="4" w:space="0"/>
              <w:left w:val="single" w:color="auto" w:sz="4" w:space="0"/>
              <w:bottom w:val="single" w:color="auto" w:sz="4" w:space="0"/>
              <w:right w:val="single" w:color="auto" w:sz="4" w:space="0"/>
            </w:tcBorders>
            <w:vAlign w:val="center"/>
          </w:tcPr>
          <w:p w14:paraId="52A425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温度计</w:t>
            </w:r>
          </w:p>
        </w:tc>
        <w:tc>
          <w:tcPr>
            <w:tcW w:w="6340" w:type="dxa"/>
            <w:tcBorders>
              <w:top w:val="single" w:color="auto" w:sz="4" w:space="0"/>
              <w:left w:val="single" w:color="auto" w:sz="4" w:space="0"/>
              <w:bottom w:val="single" w:color="auto" w:sz="4" w:space="0"/>
              <w:right w:val="single" w:color="auto" w:sz="4" w:space="0"/>
            </w:tcBorders>
            <w:vAlign w:val="center"/>
          </w:tcPr>
          <w:p w14:paraId="777F05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1.感温物质：红液；2、全长：290mm；3、测量范围：0－100℃；最小分度值：1℃；允许误差±1℃。</w:t>
            </w:r>
          </w:p>
        </w:tc>
        <w:tc>
          <w:tcPr>
            <w:tcW w:w="687" w:type="dxa"/>
            <w:tcBorders>
              <w:top w:val="single" w:color="auto" w:sz="4" w:space="0"/>
              <w:left w:val="single" w:color="auto" w:sz="4" w:space="0"/>
              <w:bottom w:val="single" w:color="auto" w:sz="4" w:space="0"/>
              <w:right w:val="single" w:color="auto" w:sz="4" w:space="0"/>
            </w:tcBorders>
            <w:vAlign w:val="center"/>
          </w:tcPr>
          <w:p w14:paraId="302EB4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vAlign w:val="center"/>
          </w:tcPr>
          <w:p w14:paraId="56C014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vAlign w:val="center"/>
          </w:tcPr>
          <w:p w14:paraId="048BDE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5DB973A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EA12B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49</w:t>
            </w:r>
          </w:p>
        </w:tc>
        <w:tc>
          <w:tcPr>
            <w:tcW w:w="1235" w:type="dxa"/>
            <w:tcBorders>
              <w:top w:val="single" w:color="auto" w:sz="4" w:space="0"/>
              <w:left w:val="single" w:color="auto" w:sz="4" w:space="0"/>
              <w:bottom w:val="single" w:color="auto" w:sz="4" w:space="0"/>
              <w:right w:val="single" w:color="auto" w:sz="4" w:space="0"/>
            </w:tcBorders>
            <w:vAlign w:val="center"/>
          </w:tcPr>
          <w:p w14:paraId="696F26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温度计</w:t>
            </w:r>
          </w:p>
        </w:tc>
        <w:tc>
          <w:tcPr>
            <w:tcW w:w="6340" w:type="dxa"/>
            <w:tcBorders>
              <w:top w:val="single" w:color="auto" w:sz="4" w:space="0"/>
              <w:left w:val="single" w:color="auto" w:sz="4" w:space="0"/>
              <w:bottom w:val="single" w:color="auto" w:sz="4" w:space="0"/>
              <w:right w:val="single" w:color="auto" w:sz="4" w:space="0"/>
            </w:tcBorders>
            <w:vAlign w:val="center"/>
          </w:tcPr>
          <w:p w14:paraId="05D8DD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1.感温物质：红液；2、全长：290mm；3、测量范围：0－100℃；最小分度值：1℃；允许误差±1℃。</w:t>
            </w:r>
          </w:p>
        </w:tc>
        <w:tc>
          <w:tcPr>
            <w:tcW w:w="687" w:type="dxa"/>
            <w:tcBorders>
              <w:top w:val="single" w:color="auto" w:sz="4" w:space="0"/>
              <w:left w:val="single" w:color="auto" w:sz="4" w:space="0"/>
              <w:bottom w:val="single" w:color="auto" w:sz="4" w:space="0"/>
              <w:right w:val="single" w:color="auto" w:sz="4" w:space="0"/>
            </w:tcBorders>
            <w:vAlign w:val="center"/>
          </w:tcPr>
          <w:p w14:paraId="3BDFE2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vAlign w:val="center"/>
          </w:tcPr>
          <w:p w14:paraId="2CC73E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vAlign w:val="center"/>
          </w:tcPr>
          <w:p w14:paraId="16EBD1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 </w:t>
            </w:r>
          </w:p>
        </w:tc>
      </w:tr>
      <w:tr w14:paraId="481322E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1FEC4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50</w:t>
            </w:r>
          </w:p>
        </w:tc>
        <w:tc>
          <w:tcPr>
            <w:tcW w:w="1235" w:type="dxa"/>
            <w:tcBorders>
              <w:top w:val="single" w:color="auto" w:sz="4" w:space="0"/>
              <w:left w:val="single" w:color="auto" w:sz="4" w:space="0"/>
              <w:bottom w:val="single" w:color="auto" w:sz="4" w:space="0"/>
              <w:right w:val="single" w:color="auto" w:sz="4" w:space="0"/>
            </w:tcBorders>
            <w:vAlign w:val="center"/>
          </w:tcPr>
          <w:p w14:paraId="09CD91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酸度计（pH计）</w:t>
            </w:r>
          </w:p>
        </w:tc>
        <w:tc>
          <w:tcPr>
            <w:tcW w:w="6340" w:type="dxa"/>
            <w:tcBorders>
              <w:top w:val="single" w:color="auto" w:sz="4" w:space="0"/>
              <w:left w:val="single" w:color="auto" w:sz="4" w:space="0"/>
              <w:bottom w:val="single" w:color="auto" w:sz="4" w:space="0"/>
              <w:right w:val="single" w:color="auto" w:sz="4" w:space="0"/>
            </w:tcBorders>
          </w:tcPr>
          <w:p w14:paraId="2F11C7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1.笔式，测量范围：0.0～14.0pH；</w:t>
            </w:r>
          </w:p>
          <w:p w14:paraId="514823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2、分辨率：0.1pH；</w:t>
            </w:r>
          </w:p>
          <w:p w14:paraId="177FAB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3、精度：±0.1pH（20℃）；</w:t>
            </w:r>
          </w:p>
          <w:p w14:paraId="64A177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4、工作环境：0～50℃RH〈95%；</w:t>
            </w:r>
          </w:p>
          <w:p w14:paraId="09E185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5、校正：一点校正。</w:t>
            </w:r>
          </w:p>
        </w:tc>
        <w:tc>
          <w:tcPr>
            <w:tcW w:w="687" w:type="dxa"/>
            <w:tcBorders>
              <w:top w:val="single" w:color="auto" w:sz="4" w:space="0"/>
              <w:left w:val="single" w:color="auto" w:sz="4" w:space="0"/>
              <w:bottom w:val="single" w:color="auto" w:sz="4" w:space="0"/>
              <w:right w:val="single" w:color="auto" w:sz="4" w:space="0"/>
            </w:tcBorders>
            <w:vAlign w:val="center"/>
          </w:tcPr>
          <w:p w14:paraId="5B2E73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vAlign w:val="center"/>
          </w:tcPr>
          <w:p w14:paraId="3F6025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2DBD21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33.80</w:t>
            </w:r>
          </w:p>
        </w:tc>
      </w:tr>
      <w:tr w14:paraId="7E03DF2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307D9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51</w:t>
            </w:r>
          </w:p>
        </w:tc>
        <w:tc>
          <w:tcPr>
            <w:tcW w:w="1235" w:type="dxa"/>
            <w:tcBorders>
              <w:top w:val="single" w:color="auto" w:sz="4" w:space="0"/>
              <w:left w:val="single" w:color="auto" w:sz="4" w:space="0"/>
              <w:bottom w:val="single" w:color="auto" w:sz="4" w:space="0"/>
              <w:right w:val="single" w:color="auto" w:sz="4" w:space="0"/>
            </w:tcBorders>
            <w:vAlign w:val="center"/>
          </w:tcPr>
          <w:p w14:paraId="7C9BEA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血球计数板（计数载玻片）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F0575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材质：优质厚玻璃制成。</w:t>
            </w:r>
          </w:p>
        </w:tc>
        <w:tc>
          <w:tcPr>
            <w:tcW w:w="687" w:type="dxa"/>
            <w:tcBorders>
              <w:top w:val="single" w:color="auto" w:sz="4" w:space="0"/>
              <w:left w:val="single" w:color="auto" w:sz="4" w:space="0"/>
              <w:bottom w:val="single" w:color="auto" w:sz="4" w:space="0"/>
              <w:right w:val="single" w:color="auto" w:sz="4" w:space="0"/>
            </w:tcBorders>
            <w:vAlign w:val="center"/>
          </w:tcPr>
          <w:p w14:paraId="41A974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vAlign w:val="center"/>
          </w:tcPr>
          <w:p w14:paraId="4FD56F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vAlign w:val="center"/>
          </w:tcPr>
          <w:p w14:paraId="073AB5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472AB1C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50EFE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52</w:t>
            </w:r>
          </w:p>
        </w:tc>
        <w:tc>
          <w:tcPr>
            <w:tcW w:w="1235" w:type="dxa"/>
            <w:tcBorders>
              <w:top w:val="single" w:color="auto" w:sz="4" w:space="0"/>
              <w:left w:val="single" w:color="auto" w:sz="4" w:space="0"/>
              <w:bottom w:val="single" w:color="auto" w:sz="4" w:space="0"/>
              <w:right w:val="single" w:color="auto" w:sz="4" w:space="0"/>
            </w:tcBorders>
            <w:vAlign w:val="center"/>
          </w:tcPr>
          <w:p w14:paraId="7CD93F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计数器</w:t>
            </w:r>
          </w:p>
        </w:tc>
        <w:tc>
          <w:tcPr>
            <w:tcW w:w="6340" w:type="dxa"/>
            <w:tcBorders>
              <w:top w:val="single" w:color="auto" w:sz="4" w:space="0"/>
              <w:left w:val="single" w:color="auto" w:sz="4" w:space="0"/>
              <w:bottom w:val="single" w:color="auto" w:sz="4" w:space="0"/>
              <w:right w:val="single" w:color="auto" w:sz="4" w:space="0"/>
            </w:tcBorders>
          </w:tcPr>
          <w:p w14:paraId="2156E0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1.手持式，钢制外壳；</w:t>
            </w:r>
          </w:p>
          <w:p w14:paraId="7FE889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2、测量范围：1-9999。</w:t>
            </w:r>
          </w:p>
        </w:tc>
        <w:tc>
          <w:tcPr>
            <w:tcW w:w="687" w:type="dxa"/>
            <w:tcBorders>
              <w:top w:val="single" w:color="auto" w:sz="4" w:space="0"/>
              <w:left w:val="single" w:color="auto" w:sz="4" w:space="0"/>
              <w:bottom w:val="single" w:color="auto" w:sz="4" w:space="0"/>
              <w:right w:val="single" w:color="auto" w:sz="4" w:space="0"/>
            </w:tcBorders>
            <w:vAlign w:val="center"/>
          </w:tcPr>
          <w:p w14:paraId="63DC14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57A941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681EAC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 </w:t>
            </w:r>
          </w:p>
        </w:tc>
      </w:tr>
      <w:tr w14:paraId="691A0AE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A0EF6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53</w:t>
            </w:r>
          </w:p>
        </w:tc>
        <w:tc>
          <w:tcPr>
            <w:tcW w:w="1235" w:type="dxa"/>
            <w:tcBorders>
              <w:top w:val="single" w:color="auto" w:sz="4" w:space="0"/>
              <w:left w:val="single" w:color="auto" w:sz="4" w:space="0"/>
              <w:bottom w:val="single" w:color="auto" w:sz="4" w:space="0"/>
              <w:right w:val="single" w:color="auto" w:sz="4" w:space="0"/>
            </w:tcBorders>
            <w:vAlign w:val="center"/>
          </w:tcPr>
          <w:p w14:paraId="36B1C7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接种环</w:t>
            </w:r>
          </w:p>
        </w:tc>
        <w:tc>
          <w:tcPr>
            <w:tcW w:w="6340" w:type="dxa"/>
            <w:tcBorders>
              <w:top w:val="single" w:color="auto" w:sz="4" w:space="0"/>
              <w:left w:val="single" w:color="auto" w:sz="4" w:space="0"/>
              <w:bottom w:val="single" w:color="auto" w:sz="4" w:space="0"/>
              <w:right w:val="single" w:color="auto" w:sz="4" w:space="0"/>
            </w:tcBorders>
          </w:tcPr>
          <w:p w14:paraId="75A924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1.产品由镍铬丝和金属棒杆、塑料柄等组成；</w:t>
            </w:r>
          </w:p>
          <w:p w14:paraId="679137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2、金属棒杆直径约Φ4mm，一端开口配有透孔紧固螺母，另一端有塑料手柄；</w:t>
            </w:r>
          </w:p>
          <w:p w14:paraId="0CA1A0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3、配有Φ0.5mm镍铬丝。</w:t>
            </w:r>
          </w:p>
        </w:tc>
        <w:tc>
          <w:tcPr>
            <w:tcW w:w="687" w:type="dxa"/>
            <w:tcBorders>
              <w:top w:val="single" w:color="auto" w:sz="4" w:space="0"/>
              <w:left w:val="single" w:color="auto" w:sz="4" w:space="0"/>
              <w:bottom w:val="single" w:color="auto" w:sz="4" w:space="0"/>
              <w:right w:val="single" w:color="auto" w:sz="4" w:space="0"/>
            </w:tcBorders>
            <w:vAlign w:val="center"/>
          </w:tcPr>
          <w:p w14:paraId="64909C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5FFB5E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vAlign w:val="center"/>
          </w:tcPr>
          <w:p w14:paraId="079E8A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8.45</w:t>
            </w:r>
          </w:p>
        </w:tc>
      </w:tr>
      <w:tr w14:paraId="027BF3C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079E2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54</w:t>
            </w:r>
          </w:p>
        </w:tc>
        <w:tc>
          <w:tcPr>
            <w:tcW w:w="1235" w:type="dxa"/>
            <w:tcBorders>
              <w:top w:val="single" w:color="auto" w:sz="4" w:space="0"/>
              <w:left w:val="single" w:color="auto" w:sz="4" w:space="0"/>
              <w:bottom w:val="single" w:color="auto" w:sz="4" w:space="0"/>
              <w:right w:val="single" w:color="auto" w:sz="4" w:space="0"/>
            </w:tcBorders>
            <w:vAlign w:val="center"/>
          </w:tcPr>
          <w:p w14:paraId="182999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研磨过滤器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9BA97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本产品是由顶盖、研磨杆、过滤网、研磨头、外套筒组成。</w:t>
            </w:r>
          </w:p>
        </w:tc>
        <w:tc>
          <w:tcPr>
            <w:tcW w:w="687" w:type="dxa"/>
            <w:tcBorders>
              <w:top w:val="single" w:color="auto" w:sz="4" w:space="0"/>
              <w:left w:val="single" w:color="auto" w:sz="4" w:space="0"/>
              <w:bottom w:val="single" w:color="auto" w:sz="4" w:space="0"/>
              <w:right w:val="single" w:color="auto" w:sz="4" w:space="0"/>
            </w:tcBorders>
            <w:vAlign w:val="center"/>
          </w:tcPr>
          <w:p w14:paraId="502427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vAlign w:val="center"/>
          </w:tcPr>
          <w:p w14:paraId="264C78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3DDB72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16.90</w:t>
            </w:r>
          </w:p>
        </w:tc>
      </w:tr>
      <w:tr w14:paraId="73D650F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13F80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55</w:t>
            </w:r>
          </w:p>
        </w:tc>
        <w:tc>
          <w:tcPr>
            <w:tcW w:w="1235" w:type="dxa"/>
            <w:tcBorders>
              <w:top w:val="single" w:color="auto" w:sz="4" w:space="0"/>
              <w:left w:val="single" w:color="auto" w:sz="4" w:space="0"/>
              <w:bottom w:val="single" w:color="auto" w:sz="4" w:space="0"/>
              <w:right w:val="single" w:color="auto" w:sz="4" w:space="0"/>
            </w:tcBorders>
            <w:vAlign w:val="center"/>
          </w:tcPr>
          <w:p w14:paraId="6BA393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光照培养架</w:t>
            </w:r>
          </w:p>
        </w:tc>
        <w:tc>
          <w:tcPr>
            <w:tcW w:w="6340" w:type="dxa"/>
            <w:tcBorders>
              <w:top w:val="single" w:color="auto" w:sz="4" w:space="0"/>
              <w:left w:val="single" w:color="auto" w:sz="4" w:space="0"/>
              <w:bottom w:val="single" w:color="auto" w:sz="4" w:space="0"/>
              <w:right w:val="single" w:color="auto" w:sz="4" w:space="0"/>
            </w:tcBorders>
          </w:tcPr>
          <w:p w14:paraId="7DFB96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1.实用多层，安装方便，插孔暗式布线，可独立开关，电源插头带漏电保护功能；</w:t>
            </w:r>
          </w:p>
          <w:p w14:paraId="3A2F272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2、光照强度3000lx—5000lx-7000lx三档可调。</w:t>
            </w:r>
          </w:p>
        </w:tc>
        <w:tc>
          <w:tcPr>
            <w:tcW w:w="687" w:type="dxa"/>
            <w:tcBorders>
              <w:top w:val="single" w:color="auto" w:sz="4" w:space="0"/>
              <w:left w:val="single" w:color="auto" w:sz="4" w:space="0"/>
              <w:bottom w:val="single" w:color="auto" w:sz="4" w:space="0"/>
              <w:right w:val="single" w:color="auto" w:sz="4" w:space="0"/>
            </w:tcBorders>
            <w:vAlign w:val="center"/>
          </w:tcPr>
          <w:p w14:paraId="2EB232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vAlign w:val="center"/>
          </w:tcPr>
          <w:p w14:paraId="338FB4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69581E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878.80</w:t>
            </w:r>
          </w:p>
        </w:tc>
      </w:tr>
      <w:tr w14:paraId="51679585">
        <w:tblPrEx>
          <w:tblCellMar>
            <w:top w:w="0" w:type="dxa"/>
            <w:left w:w="108" w:type="dxa"/>
            <w:bottom w:w="0" w:type="dxa"/>
            <w:right w:w="108" w:type="dxa"/>
          </w:tblCellMar>
        </w:tblPrEx>
        <w:trPr>
          <w:trHeight w:val="371" w:hRule="atLeast"/>
        </w:trPr>
        <w:tc>
          <w:tcPr>
            <w:tcW w:w="649" w:type="dxa"/>
            <w:tcBorders>
              <w:top w:val="single" w:color="auto" w:sz="4" w:space="0"/>
              <w:left w:val="single" w:color="auto" w:sz="4" w:space="0"/>
              <w:bottom w:val="single" w:color="auto" w:sz="4" w:space="0"/>
              <w:right w:val="single" w:color="auto" w:sz="4" w:space="0"/>
            </w:tcBorders>
            <w:vAlign w:val="center"/>
          </w:tcPr>
          <w:p w14:paraId="7E8610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56</w:t>
            </w:r>
          </w:p>
        </w:tc>
        <w:tc>
          <w:tcPr>
            <w:tcW w:w="1235" w:type="dxa"/>
            <w:tcBorders>
              <w:top w:val="single" w:color="auto" w:sz="4" w:space="0"/>
              <w:left w:val="single" w:color="auto" w:sz="4" w:space="0"/>
              <w:bottom w:val="single" w:color="auto" w:sz="4" w:space="0"/>
              <w:right w:val="single" w:color="auto" w:sz="4" w:space="0"/>
            </w:tcBorders>
            <w:vAlign w:val="center"/>
          </w:tcPr>
          <w:p w14:paraId="1E5ECF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电泳仪</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549E2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输出信息采用液晶显示，可同时显示电压、电流、功率、定时时间、工作状态、保护等功能。具有定时报警功能。具有储存记忆工作参数的功能以方便使用。具有4组并联的输出端子，可进行多槽使用。</w:t>
            </w:r>
          </w:p>
        </w:tc>
        <w:tc>
          <w:tcPr>
            <w:tcW w:w="687" w:type="dxa"/>
            <w:tcBorders>
              <w:top w:val="single" w:color="auto" w:sz="4" w:space="0"/>
              <w:left w:val="single" w:color="auto" w:sz="4" w:space="0"/>
              <w:bottom w:val="single" w:color="auto" w:sz="4" w:space="0"/>
              <w:right w:val="single" w:color="auto" w:sz="4" w:space="0"/>
            </w:tcBorders>
            <w:vAlign w:val="center"/>
          </w:tcPr>
          <w:p w14:paraId="46D6A9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vAlign w:val="center"/>
          </w:tcPr>
          <w:p w14:paraId="574D20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0B1FC0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1419.60</w:t>
            </w:r>
          </w:p>
        </w:tc>
      </w:tr>
      <w:tr w14:paraId="1EC0D034">
        <w:tblPrEx>
          <w:tblCellMar>
            <w:top w:w="0" w:type="dxa"/>
            <w:left w:w="108" w:type="dxa"/>
            <w:bottom w:w="0" w:type="dxa"/>
            <w:right w:w="108" w:type="dxa"/>
          </w:tblCellMar>
        </w:tblPrEx>
        <w:trPr>
          <w:trHeight w:val="329" w:hRule="atLeast"/>
        </w:trPr>
        <w:tc>
          <w:tcPr>
            <w:tcW w:w="649" w:type="dxa"/>
            <w:tcBorders>
              <w:top w:val="single" w:color="auto" w:sz="4" w:space="0"/>
              <w:left w:val="single" w:color="auto" w:sz="4" w:space="0"/>
              <w:bottom w:val="single" w:color="auto" w:sz="4" w:space="0"/>
              <w:right w:val="single" w:color="auto" w:sz="4" w:space="0"/>
            </w:tcBorders>
            <w:vAlign w:val="center"/>
          </w:tcPr>
          <w:p w14:paraId="6C689C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57</w:t>
            </w:r>
          </w:p>
        </w:tc>
        <w:tc>
          <w:tcPr>
            <w:tcW w:w="1235" w:type="dxa"/>
            <w:tcBorders>
              <w:top w:val="single" w:color="auto" w:sz="4" w:space="0"/>
              <w:left w:val="single" w:color="auto" w:sz="4" w:space="0"/>
              <w:bottom w:val="single" w:color="auto" w:sz="4" w:space="0"/>
              <w:right w:val="single" w:color="auto" w:sz="4" w:space="0"/>
            </w:tcBorders>
            <w:vAlign w:val="center"/>
          </w:tcPr>
          <w:p w14:paraId="1530C9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恒温振荡器</w:t>
            </w:r>
          </w:p>
        </w:tc>
        <w:tc>
          <w:tcPr>
            <w:tcW w:w="6340" w:type="dxa"/>
            <w:tcBorders>
              <w:top w:val="single" w:color="auto" w:sz="4" w:space="0"/>
              <w:left w:val="single" w:color="auto" w:sz="4" w:space="0"/>
              <w:bottom w:val="single" w:color="auto" w:sz="4" w:space="0"/>
              <w:right w:val="single" w:color="auto" w:sz="4" w:space="0"/>
            </w:tcBorders>
          </w:tcPr>
          <w:p w14:paraId="5D641C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1.转速范围：启动～300r/min转速可调；</w:t>
            </w:r>
          </w:p>
          <w:p w14:paraId="4562CC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2、温控范围：室温～50℃；</w:t>
            </w:r>
          </w:p>
          <w:p w14:paraId="0CBDB1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3、温控精度：±0.5℃；</w:t>
            </w:r>
          </w:p>
          <w:p w14:paraId="6C5F96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4、振荡方式：往复；</w:t>
            </w:r>
          </w:p>
          <w:p w14:paraId="7EE540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5、振荡幅度：20mm；</w:t>
            </w:r>
          </w:p>
          <w:p w14:paraId="3BE5CC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6、定时范围：0-120min（或常开）。</w:t>
            </w:r>
          </w:p>
        </w:tc>
        <w:tc>
          <w:tcPr>
            <w:tcW w:w="687" w:type="dxa"/>
            <w:tcBorders>
              <w:top w:val="single" w:color="auto" w:sz="4" w:space="0"/>
              <w:left w:val="single" w:color="auto" w:sz="4" w:space="0"/>
              <w:bottom w:val="single" w:color="auto" w:sz="4" w:space="0"/>
              <w:right w:val="single" w:color="auto" w:sz="4" w:space="0"/>
            </w:tcBorders>
            <w:vAlign w:val="center"/>
          </w:tcPr>
          <w:p w14:paraId="5B6EE9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0CF1DF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650021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1521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1C6ED98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96A94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58</w:t>
            </w:r>
          </w:p>
        </w:tc>
        <w:tc>
          <w:tcPr>
            <w:tcW w:w="1235" w:type="dxa"/>
            <w:tcBorders>
              <w:top w:val="single" w:color="auto" w:sz="4" w:space="0"/>
              <w:left w:val="single" w:color="auto" w:sz="4" w:space="0"/>
              <w:bottom w:val="single" w:color="auto" w:sz="4" w:space="0"/>
              <w:right w:val="single" w:color="auto" w:sz="4" w:space="0"/>
            </w:tcBorders>
            <w:vAlign w:val="center"/>
          </w:tcPr>
          <w:p w14:paraId="41AD1B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水平电泳槽</w:t>
            </w:r>
          </w:p>
        </w:tc>
        <w:tc>
          <w:tcPr>
            <w:tcW w:w="6340" w:type="dxa"/>
            <w:tcBorders>
              <w:top w:val="single" w:color="auto" w:sz="4" w:space="0"/>
              <w:left w:val="single" w:color="auto" w:sz="4" w:space="0"/>
              <w:bottom w:val="single" w:color="auto" w:sz="4" w:space="0"/>
              <w:right w:val="single" w:color="auto" w:sz="4" w:space="0"/>
            </w:tcBorders>
            <w:vAlign w:val="center"/>
          </w:tcPr>
          <w:p w14:paraId="32FF9E4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由电泳槽主体、电泳槽上盖、1.0mm10齿、1.0mm15齿试样格、1.5mm10齿试样格、1.5mm15齿试样格、平玻璃板、斜插板、电泳导线组成。</w:t>
            </w:r>
          </w:p>
        </w:tc>
        <w:tc>
          <w:tcPr>
            <w:tcW w:w="687" w:type="dxa"/>
            <w:tcBorders>
              <w:top w:val="single" w:color="auto" w:sz="4" w:space="0"/>
              <w:left w:val="single" w:color="auto" w:sz="4" w:space="0"/>
              <w:bottom w:val="single" w:color="auto" w:sz="4" w:space="0"/>
              <w:right w:val="single" w:color="auto" w:sz="4" w:space="0"/>
            </w:tcBorders>
            <w:vAlign w:val="center"/>
          </w:tcPr>
          <w:p w14:paraId="263489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 </w:t>
            </w:r>
          </w:p>
        </w:tc>
        <w:tc>
          <w:tcPr>
            <w:tcW w:w="553" w:type="dxa"/>
            <w:tcBorders>
              <w:top w:val="single" w:color="auto" w:sz="4" w:space="0"/>
              <w:left w:val="single" w:color="auto" w:sz="4" w:space="0"/>
              <w:bottom w:val="single" w:color="auto" w:sz="4" w:space="0"/>
              <w:right w:val="single" w:color="auto" w:sz="4" w:space="0"/>
            </w:tcBorders>
            <w:vAlign w:val="center"/>
          </w:tcPr>
          <w:p w14:paraId="2D86CF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1B2306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152.10</w:t>
            </w:r>
          </w:p>
        </w:tc>
      </w:tr>
      <w:tr w14:paraId="0388231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EB0D0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59</w:t>
            </w:r>
          </w:p>
        </w:tc>
        <w:tc>
          <w:tcPr>
            <w:tcW w:w="1235" w:type="dxa"/>
            <w:tcBorders>
              <w:top w:val="single" w:color="auto" w:sz="4" w:space="0"/>
              <w:left w:val="single" w:color="auto" w:sz="4" w:space="0"/>
              <w:bottom w:val="single" w:color="auto" w:sz="4" w:space="0"/>
              <w:right w:val="single" w:color="auto" w:sz="4" w:space="0"/>
            </w:tcBorders>
            <w:vAlign w:val="center"/>
          </w:tcPr>
          <w:p w14:paraId="55268D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垂直电泳槽</w:t>
            </w:r>
          </w:p>
        </w:tc>
        <w:tc>
          <w:tcPr>
            <w:tcW w:w="6340" w:type="dxa"/>
            <w:tcBorders>
              <w:top w:val="single" w:color="auto" w:sz="4" w:space="0"/>
              <w:left w:val="single" w:color="auto" w:sz="4" w:space="0"/>
              <w:bottom w:val="single" w:color="auto" w:sz="4" w:space="0"/>
              <w:right w:val="single" w:color="auto" w:sz="4" w:space="0"/>
            </w:tcBorders>
            <w:vAlign w:val="center"/>
          </w:tcPr>
          <w:p w14:paraId="191512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由电泳槽主体、电泳槽上盖、1.5mm6齿/8齿试样格、1.0mm/1.5mm11齿试样格、凝胶托盘、电泳导线组成。</w:t>
            </w:r>
          </w:p>
        </w:tc>
        <w:tc>
          <w:tcPr>
            <w:tcW w:w="687" w:type="dxa"/>
            <w:tcBorders>
              <w:top w:val="single" w:color="auto" w:sz="4" w:space="0"/>
              <w:left w:val="single" w:color="auto" w:sz="4" w:space="0"/>
              <w:bottom w:val="single" w:color="auto" w:sz="4" w:space="0"/>
              <w:right w:val="single" w:color="auto" w:sz="4" w:space="0"/>
            </w:tcBorders>
            <w:vAlign w:val="center"/>
          </w:tcPr>
          <w:p w14:paraId="4AD5E6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vAlign w:val="center"/>
          </w:tcPr>
          <w:p w14:paraId="291249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147C2F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236.60</w:t>
            </w:r>
          </w:p>
        </w:tc>
      </w:tr>
      <w:tr w14:paraId="469AE106">
        <w:tblPrEx>
          <w:tblCellMar>
            <w:top w:w="0" w:type="dxa"/>
            <w:left w:w="108" w:type="dxa"/>
            <w:bottom w:w="0" w:type="dxa"/>
            <w:right w:w="108" w:type="dxa"/>
          </w:tblCellMar>
        </w:tblPrEx>
        <w:trPr>
          <w:trHeight w:val="644" w:hRule="atLeast"/>
        </w:trPr>
        <w:tc>
          <w:tcPr>
            <w:tcW w:w="649" w:type="dxa"/>
            <w:tcBorders>
              <w:top w:val="single" w:color="auto" w:sz="4" w:space="0"/>
              <w:left w:val="single" w:color="auto" w:sz="4" w:space="0"/>
              <w:bottom w:val="single" w:color="auto" w:sz="4" w:space="0"/>
              <w:right w:val="single" w:color="auto" w:sz="4" w:space="0"/>
            </w:tcBorders>
            <w:vAlign w:val="center"/>
          </w:tcPr>
          <w:p w14:paraId="108950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60</w:t>
            </w:r>
          </w:p>
        </w:tc>
        <w:tc>
          <w:tcPr>
            <w:tcW w:w="1235" w:type="dxa"/>
            <w:tcBorders>
              <w:top w:val="single" w:color="auto" w:sz="4" w:space="0"/>
              <w:left w:val="single" w:color="auto" w:sz="4" w:space="0"/>
              <w:bottom w:val="single" w:color="auto" w:sz="4" w:space="0"/>
              <w:right w:val="single" w:color="auto" w:sz="4" w:space="0"/>
            </w:tcBorders>
            <w:vAlign w:val="center"/>
          </w:tcPr>
          <w:p w14:paraId="4E1DB3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微量进样器</w:t>
            </w:r>
          </w:p>
        </w:tc>
        <w:tc>
          <w:tcPr>
            <w:tcW w:w="6340" w:type="dxa"/>
            <w:tcBorders>
              <w:top w:val="single" w:color="auto" w:sz="4" w:space="0"/>
              <w:left w:val="single" w:color="auto" w:sz="4" w:space="0"/>
              <w:bottom w:val="single" w:color="auto" w:sz="4" w:space="0"/>
              <w:right w:val="single" w:color="auto" w:sz="4" w:space="0"/>
            </w:tcBorders>
            <w:vAlign w:val="center"/>
          </w:tcPr>
          <w:p w14:paraId="4C6583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50µL、玻璃材质</w:t>
            </w:r>
          </w:p>
        </w:tc>
        <w:tc>
          <w:tcPr>
            <w:tcW w:w="687" w:type="dxa"/>
            <w:tcBorders>
              <w:top w:val="single" w:color="auto" w:sz="4" w:space="0"/>
              <w:left w:val="single" w:color="auto" w:sz="4" w:space="0"/>
              <w:bottom w:val="single" w:color="auto" w:sz="4" w:space="0"/>
              <w:right w:val="single" w:color="auto" w:sz="4" w:space="0"/>
            </w:tcBorders>
            <w:vAlign w:val="center"/>
          </w:tcPr>
          <w:p w14:paraId="5AC6F0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 </w:t>
            </w:r>
          </w:p>
        </w:tc>
        <w:tc>
          <w:tcPr>
            <w:tcW w:w="553" w:type="dxa"/>
            <w:tcBorders>
              <w:top w:val="single" w:color="auto" w:sz="4" w:space="0"/>
              <w:left w:val="single" w:color="auto" w:sz="4" w:space="0"/>
              <w:bottom w:val="single" w:color="auto" w:sz="4" w:space="0"/>
              <w:right w:val="single" w:color="auto" w:sz="4" w:space="0"/>
            </w:tcBorders>
            <w:vAlign w:val="center"/>
          </w:tcPr>
          <w:p w14:paraId="1CD303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74C273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67.60</w:t>
            </w:r>
          </w:p>
        </w:tc>
      </w:tr>
      <w:tr w14:paraId="04485803">
        <w:tblPrEx>
          <w:tblCellMar>
            <w:top w:w="0" w:type="dxa"/>
            <w:left w:w="108" w:type="dxa"/>
            <w:bottom w:w="0" w:type="dxa"/>
            <w:right w:w="108" w:type="dxa"/>
          </w:tblCellMar>
        </w:tblPrEx>
        <w:trPr>
          <w:trHeight w:val="725" w:hRule="atLeast"/>
        </w:trPr>
        <w:tc>
          <w:tcPr>
            <w:tcW w:w="649" w:type="dxa"/>
            <w:tcBorders>
              <w:top w:val="single" w:color="auto" w:sz="4" w:space="0"/>
              <w:left w:val="single" w:color="auto" w:sz="4" w:space="0"/>
              <w:bottom w:val="single" w:color="auto" w:sz="4" w:space="0"/>
              <w:right w:val="single" w:color="auto" w:sz="4" w:space="0"/>
            </w:tcBorders>
            <w:vAlign w:val="center"/>
          </w:tcPr>
          <w:p w14:paraId="0414D7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61</w:t>
            </w:r>
          </w:p>
        </w:tc>
        <w:tc>
          <w:tcPr>
            <w:tcW w:w="1235" w:type="dxa"/>
            <w:tcBorders>
              <w:top w:val="single" w:color="auto" w:sz="4" w:space="0"/>
              <w:left w:val="single" w:color="auto" w:sz="4" w:space="0"/>
              <w:bottom w:val="single" w:color="auto" w:sz="4" w:space="0"/>
              <w:right w:val="single" w:color="auto" w:sz="4" w:space="0"/>
            </w:tcBorders>
            <w:vAlign w:val="center"/>
          </w:tcPr>
          <w:p w14:paraId="6A7CA9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凝胶色谱柱</w:t>
            </w:r>
          </w:p>
        </w:tc>
        <w:tc>
          <w:tcPr>
            <w:tcW w:w="6340" w:type="dxa"/>
            <w:tcBorders>
              <w:top w:val="single" w:color="auto" w:sz="4" w:space="0"/>
              <w:left w:val="single" w:color="auto" w:sz="4" w:space="0"/>
              <w:bottom w:val="single" w:color="auto" w:sz="4" w:space="0"/>
              <w:right w:val="single" w:color="auto" w:sz="4" w:space="0"/>
            </w:tcBorders>
            <w:vAlign w:val="center"/>
          </w:tcPr>
          <w:p w14:paraId="22A4C4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直径20mm*500mm的玻璃管、进液管组成。</w:t>
            </w:r>
          </w:p>
        </w:tc>
        <w:tc>
          <w:tcPr>
            <w:tcW w:w="687" w:type="dxa"/>
            <w:tcBorders>
              <w:top w:val="single" w:color="auto" w:sz="4" w:space="0"/>
              <w:left w:val="single" w:color="auto" w:sz="4" w:space="0"/>
              <w:bottom w:val="single" w:color="auto" w:sz="4" w:space="0"/>
              <w:right w:val="single" w:color="auto" w:sz="4" w:space="0"/>
            </w:tcBorders>
            <w:vAlign w:val="center"/>
          </w:tcPr>
          <w:p w14:paraId="138BAD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vAlign w:val="center"/>
          </w:tcPr>
          <w:p w14:paraId="09BA1A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60DABF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30.42</w:t>
            </w:r>
          </w:p>
        </w:tc>
      </w:tr>
      <w:tr w14:paraId="74685898">
        <w:tblPrEx>
          <w:tblCellMar>
            <w:top w:w="0" w:type="dxa"/>
            <w:left w:w="108" w:type="dxa"/>
            <w:bottom w:w="0" w:type="dxa"/>
            <w:right w:w="108" w:type="dxa"/>
          </w:tblCellMar>
        </w:tblPrEx>
        <w:trPr>
          <w:trHeight w:val="674" w:hRule="atLeast"/>
        </w:trPr>
        <w:tc>
          <w:tcPr>
            <w:tcW w:w="649" w:type="dxa"/>
            <w:tcBorders>
              <w:top w:val="single" w:color="auto" w:sz="4" w:space="0"/>
              <w:left w:val="single" w:color="auto" w:sz="4" w:space="0"/>
              <w:bottom w:val="single" w:color="auto" w:sz="4" w:space="0"/>
              <w:right w:val="single" w:color="auto" w:sz="4" w:space="0"/>
            </w:tcBorders>
            <w:vAlign w:val="center"/>
          </w:tcPr>
          <w:p w14:paraId="0B211C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62</w:t>
            </w:r>
          </w:p>
        </w:tc>
        <w:tc>
          <w:tcPr>
            <w:tcW w:w="1235" w:type="dxa"/>
            <w:tcBorders>
              <w:top w:val="single" w:color="auto" w:sz="4" w:space="0"/>
              <w:left w:val="single" w:color="auto" w:sz="4" w:space="0"/>
              <w:bottom w:val="single" w:color="auto" w:sz="4" w:space="0"/>
              <w:right w:val="single" w:color="auto" w:sz="4" w:space="0"/>
            </w:tcBorders>
            <w:vAlign w:val="center"/>
          </w:tcPr>
          <w:p w14:paraId="3B67CE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微量移液器</w:t>
            </w:r>
          </w:p>
        </w:tc>
        <w:tc>
          <w:tcPr>
            <w:tcW w:w="6340" w:type="dxa"/>
            <w:tcBorders>
              <w:top w:val="single" w:color="auto" w:sz="4" w:space="0"/>
              <w:left w:val="single" w:color="auto" w:sz="4" w:space="0"/>
              <w:bottom w:val="single" w:color="auto" w:sz="4" w:space="0"/>
              <w:right w:val="single" w:color="auto" w:sz="4" w:space="0"/>
            </w:tcBorders>
            <w:vAlign w:val="center"/>
          </w:tcPr>
          <w:p w14:paraId="327598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1µL~10µL</w:t>
            </w:r>
          </w:p>
        </w:tc>
        <w:tc>
          <w:tcPr>
            <w:tcW w:w="687" w:type="dxa"/>
            <w:tcBorders>
              <w:top w:val="single" w:color="auto" w:sz="4" w:space="0"/>
              <w:left w:val="single" w:color="auto" w:sz="4" w:space="0"/>
              <w:bottom w:val="single" w:color="auto" w:sz="4" w:space="0"/>
              <w:right w:val="single" w:color="auto" w:sz="4" w:space="0"/>
            </w:tcBorders>
            <w:vAlign w:val="center"/>
          </w:tcPr>
          <w:p w14:paraId="1DFCA7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492085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vAlign w:val="center"/>
          </w:tcPr>
          <w:p w14:paraId="3C17EB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67.60 </w:t>
            </w:r>
          </w:p>
        </w:tc>
      </w:tr>
      <w:tr w14:paraId="267E65A1">
        <w:tblPrEx>
          <w:tblCellMar>
            <w:top w:w="0" w:type="dxa"/>
            <w:left w:w="108" w:type="dxa"/>
            <w:bottom w:w="0" w:type="dxa"/>
            <w:right w:w="108" w:type="dxa"/>
          </w:tblCellMar>
        </w:tblPrEx>
        <w:trPr>
          <w:trHeight w:val="691" w:hRule="atLeast"/>
        </w:trPr>
        <w:tc>
          <w:tcPr>
            <w:tcW w:w="649" w:type="dxa"/>
            <w:tcBorders>
              <w:top w:val="single" w:color="auto" w:sz="4" w:space="0"/>
              <w:left w:val="single" w:color="auto" w:sz="4" w:space="0"/>
              <w:bottom w:val="single" w:color="auto" w:sz="4" w:space="0"/>
              <w:right w:val="single" w:color="auto" w:sz="4" w:space="0"/>
            </w:tcBorders>
            <w:vAlign w:val="center"/>
          </w:tcPr>
          <w:p w14:paraId="44572D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63</w:t>
            </w:r>
          </w:p>
        </w:tc>
        <w:tc>
          <w:tcPr>
            <w:tcW w:w="1235" w:type="dxa"/>
            <w:tcBorders>
              <w:top w:val="single" w:color="auto" w:sz="4" w:space="0"/>
              <w:left w:val="single" w:color="auto" w:sz="4" w:space="0"/>
              <w:bottom w:val="single" w:color="auto" w:sz="4" w:space="0"/>
              <w:right w:val="single" w:color="auto" w:sz="4" w:space="0"/>
            </w:tcBorders>
            <w:vAlign w:val="center"/>
          </w:tcPr>
          <w:p w14:paraId="4A152B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微量移液器</w:t>
            </w:r>
          </w:p>
        </w:tc>
        <w:tc>
          <w:tcPr>
            <w:tcW w:w="6340" w:type="dxa"/>
            <w:tcBorders>
              <w:top w:val="single" w:color="auto" w:sz="4" w:space="0"/>
              <w:left w:val="single" w:color="auto" w:sz="4" w:space="0"/>
              <w:bottom w:val="single" w:color="auto" w:sz="4" w:space="0"/>
              <w:right w:val="single" w:color="auto" w:sz="4" w:space="0"/>
            </w:tcBorders>
            <w:vAlign w:val="center"/>
          </w:tcPr>
          <w:p w14:paraId="2B581A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20µL~200µL</w:t>
            </w:r>
          </w:p>
        </w:tc>
        <w:tc>
          <w:tcPr>
            <w:tcW w:w="687" w:type="dxa"/>
            <w:tcBorders>
              <w:top w:val="single" w:color="auto" w:sz="4" w:space="0"/>
              <w:left w:val="single" w:color="auto" w:sz="4" w:space="0"/>
              <w:bottom w:val="single" w:color="auto" w:sz="4" w:space="0"/>
              <w:right w:val="single" w:color="auto" w:sz="4" w:space="0"/>
            </w:tcBorders>
            <w:vAlign w:val="center"/>
          </w:tcPr>
          <w:p w14:paraId="2FBA84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71B552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vAlign w:val="center"/>
          </w:tcPr>
          <w:p w14:paraId="223783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67.60 </w:t>
            </w:r>
          </w:p>
        </w:tc>
      </w:tr>
      <w:tr w14:paraId="1AB90866">
        <w:tblPrEx>
          <w:tblCellMar>
            <w:top w:w="0" w:type="dxa"/>
            <w:left w:w="108" w:type="dxa"/>
            <w:bottom w:w="0" w:type="dxa"/>
            <w:right w:w="108" w:type="dxa"/>
          </w:tblCellMar>
        </w:tblPrEx>
        <w:trPr>
          <w:trHeight w:val="676" w:hRule="atLeast"/>
        </w:trPr>
        <w:tc>
          <w:tcPr>
            <w:tcW w:w="649" w:type="dxa"/>
            <w:tcBorders>
              <w:top w:val="single" w:color="auto" w:sz="4" w:space="0"/>
              <w:left w:val="single" w:color="auto" w:sz="4" w:space="0"/>
              <w:bottom w:val="single" w:color="auto" w:sz="4" w:space="0"/>
              <w:right w:val="single" w:color="auto" w:sz="4" w:space="0"/>
            </w:tcBorders>
            <w:vAlign w:val="center"/>
          </w:tcPr>
          <w:p w14:paraId="0FE619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64</w:t>
            </w:r>
          </w:p>
        </w:tc>
        <w:tc>
          <w:tcPr>
            <w:tcW w:w="1235" w:type="dxa"/>
            <w:tcBorders>
              <w:top w:val="single" w:color="auto" w:sz="4" w:space="0"/>
              <w:left w:val="single" w:color="auto" w:sz="4" w:space="0"/>
              <w:bottom w:val="single" w:color="auto" w:sz="4" w:space="0"/>
              <w:right w:val="single" w:color="auto" w:sz="4" w:space="0"/>
            </w:tcBorders>
            <w:vAlign w:val="center"/>
          </w:tcPr>
          <w:p w14:paraId="4C091B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微量移液器</w:t>
            </w:r>
          </w:p>
        </w:tc>
        <w:tc>
          <w:tcPr>
            <w:tcW w:w="6340" w:type="dxa"/>
            <w:tcBorders>
              <w:top w:val="single" w:color="auto" w:sz="4" w:space="0"/>
              <w:left w:val="single" w:color="auto" w:sz="4" w:space="0"/>
              <w:bottom w:val="single" w:color="auto" w:sz="4" w:space="0"/>
              <w:right w:val="single" w:color="auto" w:sz="4" w:space="0"/>
            </w:tcBorders>
            <w:vAlign w:val="center"/>
          </w:tcPr>
          <w:p w14:paraId="5D999E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100µL~1000µL</w:t>
            </w:r>
          </w:p>
        </w:tc>
        <w:tc>
          <w:tcPr>
            <w:tcW w:w="687" w:type="dxa"/>
            <w:tcBorders>
              <w:top w:val="single" w:color="auto" w:sz="4" w:space="0"/>
              <w:left w:val="single" w:color="auto" w:sz="4" w:space="0"/>
              <w:bottom w:val="single" w:color="auto" w:sz="4" w:space="0"/>
              <w:right w:val="single" w:color="auto" w:sz="4" w:space="0"/>
            </w:tcBorders>
            <w:vAlign w:val="center"/>
          </w:tcPr>
          <w:p w14:paraId="73BA8D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0F51F3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vAlign w:val="center"/>
          </w:tcPr>
          <w:p w14:paraId="53C768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67.60 </w:t>
            </w:r>
          </w:p>
        </w:tc>
      </w:tr>
      <w:tr w14:paraId="4EC54F66">
        <w:tblPrEx>
          <w:tblCellMar>
            <w:top w:w="0" w:type="dxa"/>
            <w:left w:w="108" w:type="dxa"/>
            <w:bottom w:w="0" w:type="dxa"/>
            <w:right w:w="108" w:type="dxa"/>
          </w:tblCellMar>
        </w:tblPrEx>
        <w:trPr>
          <w:trHeight w:val="708" w:hRule="atLeast"/>
        </w:trPr>
        <w:tc>
          <w:tcPr>
            <w:tcW w:w="649" w:type="dxa"/>
            <w:tcBorders>
              <w:top w:val="single" w:color="auto" w:sz="4" w:space="0"/>
              <w:left w:val="single" w:color="auto" w:sz="4" w:space="0"/>
              <w:bottom w:val="single" w:color="auto" w:sz="4" w:space="0"/>
              <w:right w:val="single" w:color="auto" w:sz="4" w:space="0"/>
            </w:tcBorders>
            <w:vAlign w:val="center"/>
          </w:tcPr>
          <w:p w14:paraId="4FFCB8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65</w:t>
            </w:r>
          </w:p>
        </w:tc>
        <w:tc>
          <w:tcPr>
            <w:tcW w:w="1235" w:type="dxa"/>
            <w:tcBorders>
              <w:top w:val="single" w:color="auto" w:sz="4" w:space="0"/>
              <w:left w:val="single" w:color="auto" w:sz="4" w:space="0"/>
              <w:bottom w:val="single" w:color="auto" w:sz="4" w:space="0"/>
              <w:right w:val="single" w:color="auto" w:sz="4" w:space="0"/>
            </w:tcBorders>
            <w:vAlign w:val="center"/>
          </w:tcPr>
          <w:p w14:paraId="3645CB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微量移液器</w:t>
            </w:r>
          </w:p>
        </w:tc>
        <w:tc>
          <w:tcPr>
            <w:tcW w:w="6340" w:type="dxa"/>
            <w:tcBorders>
              <w:top w:val="single" w:color="auto" w:sz="4" w:space="0"/>
              <w:left w:val="single" w:color="auto" w:sz="4" w:space="0"/>
              <w:bottom w:val="single" w:color="auto" w:sz="4" w:space="0"/>
              <w:right w:val="single" w:color="auto" w:sz="4" w:space="0"/>
            </w:tcBorders>
            <w:vAlign w:val="center"/>
          </w:tcPr>
          <w:p w14:paraId="07FDDF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500µL~5000µL</w:t>
            </w:r>
          </w:p>
        </w:tc>
        <w:tc>
          <w:tcPr>
            <w:tcW w:w="687" w:type="dxa"/>
            <w:tcBorders>
              <w:top w:val="single" w:color="auto" w:sz="4" w:space="0"/>
              <w:left w:val="single" w:color="auto" w:sz="4" w:space="0"/>
              <w:bottom w:val="single" w:color="auto" w:sz="4" w:space="0"/>
              <w:right w:val="single" w:color="auto" w:sz="4" w:space="0"/>
            </w:tcBorders>
            <w:vAlign w:val="center"/>
          </w:tcPr>
          <w:p w14:paraId="57DF1D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224E02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vAlign w:val="center"/>
          </w:tcPr>
          <w:p w14:paraId="47E55C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67.60 </w:t>
            </w:r>
          </w:p>
        </w:tc>
      </w:tr>
      <w:tr w14:paraId="5E06DD87">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334B3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66</w:t>
            </w:r>
          </w:p>
        </w:tc>
        <w:tc>
          <w:tcPr>
            <w:tcW w:w="1235" w:type="dxa"/>
            <w:tcBorders>
              <w:top w:val="single" w:color="auto" w:sz="4" w:space="0"/>
              <w:left w:val="single" w:color="auto" w:sz="4" w:space="0"/>
              <w:bottom w:val="single" w:color="auto" w:sz="4" w:space="0"/>
              <w:right w:val="single" w:color="auto" w:sz="4" w:space="0"/>
            </w:tcBorders>
            <w:vAlign w:val="center"/>
          </w:tcPr>
          <w:p w14:paraId="597CA0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移液器架</w:t>
            </w:r>
          </w:p>
        </w:tc>
        <w:tc>
          <w:tcPr>
            <w:tcW w:w="6340" w:type="dxa"/>
            <w:tcBorders>
              <w:top w:val="single" w:color="auto" w:sz="4" w:space="0"/>
              <w:left w:val="single" w:color="auto" w:sz="4" w:space="0"/>
              <w:bottom w:val="single" w:color="auto" w:sz="4" w:space="0"/>
              <w:right w:val="single" w:color="auto" w:sz="4" w:space="0"/>
            </w:tcBorders>
            <w:vAlign w:val="center"/>
          </w:tcPr>
          <w:p w14:paraId="426AE4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可放置6支移液器，亚克力材质。</w:t>
            </w:r>
          </w:p>
        </w:tc>
        <w:tc>
          <w:tcPr>
            <w:tcW w:w="687" w:type="dxa"/>
            <w:tcBorders>
              <w:top w:val="single" w:color="auto" w:sz="4" w:space="0"/>
              <w:left w:val="single" w:color="auto" w:sz="4" w:space="0"/>
              <w:bottom w:val="single" w:color="auto" w:sz="4" w:space="0"/>
              <w:right w:val="single" w:color="auto" w:sz="4" w:space="0"/>
            </w:tcBorders>
            <w:vAlign w:val="center"/>
          </w:tcPr>
          <w:p w14:paraId="012F51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54A456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4D1617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60.84 </w:t>
            </w:r>
          </w:p>
        </w:tc>
      </w:tr>
      <w:tr w14:paraId="638EDD3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32A13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67</w:t>
            </w:r>
          </w:p>
        </w:tc>
        <w:tc>
          <w:tcPr>
            <w:tcW w:w="1235" w:type="dxa"/>
            <w:tcBorders>
              <w:top w:val="single" w:color="auto" w:sz="4" w:space="0"/>
              <w:left w:val="single" w:color="auto" w:sz="4" w:space="0"/>
              <w:bottom w:val="single" w:color="auto" w:sz="4" w:space="0"/>
              <w:right w:val="single" w:color="auto" w:sz="4" w:space="0"/>
            </w:tcBorders>
            <w:vAlign w:val="center"/>
          </w:tcPr>
          <w:p w14:paraId="7EF87D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DNA电泳图谱观察仪</w:t>
            </w:r>
          </w:p>
        </w:tc>
        <w:tc>
          <w:tcPr>
            <w:tcW w:w="6340" w:type="dxa"/>
            <w:tcBorders>
              <w:top w:val="single" w:color="auto" w:sz="4" w:space="0"/>
              <w:left w:val="single" w:color="auto" w:sz="4" w:space="0"/>
              <w:bottom w:val="single" w:color="auto" w:sz="4" w:space="0"/>
              <w:right w:val="single" w:color="auto" w:sz="4" w:space="0"/>
            </w:tcBorders>
            <w:vAlign w:val="center"/>
          </w:tcPr>
          <w:p w14:paraId="6E5EEC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输出电压：220V、工作电压：12V、工作电流：0.6A。高能量特定波长的大功率LED蓝光光源、观察窗；100*100mm。</w:t>
            </w:r>
          </w:p>
        </w:tc>
        <w:tc>
          <w:tcPr>
            <w:tcW w:w="687" w:type="dxa"/>
            <w:tcBorders>
              <w:top w:val="single" w:color="auto" w:sz="4" w:space="0"/>
              <w:left w:val="single" w:color="auto" w:sz="4" w:space="0"/>
              <w:bottom w:val="single" w:color="auto" w:sz="4" w:space="0"/>
              <w:right w:val="single" w:color="auto" w:sz="4" w:space="0"/>
            </w:tcBorders>
            <w:vAlign w:val="center"/>
          </w:tcPr>
          <w:p w14:paraId="649A64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vAlign w:val="center"/>
          </w:tcPr>
          <w:p w14:paraId="54A830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15E4F3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676.00 </w:t>
            </w:r>
          </w:p>
        </w:tc>
      </w:tr>
      <w:tr w14:paraId="0734563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043E4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68</w:t>
            </w:r>
          </w:p>
        </w:tc>
        <w:tc>
          <w:tcPr>
            <w:tcW w:w="1235" w:type="dxa"/>
            <w:tcBorders>
              <w:top w:val="single" w:color="auto" w:sz="4" w:space="0"/>
              <w:left w:val="single" w:color="auto" w:sz="4" w:space="0"/>
              <w:bottom w:val="single" w:color="auto" w:sz="4" w:space="0"/>
              <w:right w:val="single" w:color="auto" w:sz="4" w:space="0"/>
            </w:tcBorders>
            <w:vAlign w:val="center"/>
          </w:tcPr>
          <w:p w14:paraId="1C37E4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精油提取器</w:t>
            </w:r>
          </w:p>
        </w:tc>
        <w:tc>
          <w:tcPr>
            <w:tcW w:w="6340" w:type="dxa"/>
            <w:tcBorders>
              <w:top w:val="single" w:color="auto" w:sz="4" w:space="0"/>
              <w:left w:val="single" w:color="auto" w:sz="4" w:space="0"/>
              <w:bottom w:val="single" w:color="auto" w:sz="4" w:space="0"/>
              <w:right w:val="single" w:color="auto" w:sz="4" w:space="0"/>
            </w:tcBorders>
            <w:vAlign w:val="center"/>
          </w:tcPr>
          <w:p w14:paraId="578013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功率1000W，功率可调，具有缺水断电功能，外接交流电源、输入电源电压；AC220V、50Hz，物料篮；5L。</w:t>
            </w:r>
          </w:p>
        </w:tc>
        <w:tc>
          <w:tcPr>
            <w:tcW w:w="687" w:type="dxa"/>
            <w:tcBorders>
              <w:top w:val="single" w:color="auto" w:sz="4" w:space="0"/>
              <w:left w:val="single" w:color="auto" w:sz="4" w:space="0"/>
              <w:bottom w:val="single" w:color="auto" w:sz="4" w:space="0"/>
              <w:right w:val="single" w:color="auto" w:sz="4" w:space="0"/>
            </w:tcBorders>
            <w:vAlign w:val="center"/>
          </w:tcPr>
          <w:p w14:paraId="3FAD3D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035329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56117E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946.40 </w:t>
            </w:r>
          </w:p>
        </w:tc>
      </w:tr>
      <w:tr w14:paraId="2653C04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7D934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69</w:t>
            </w:r>
          </w:p>
        </w:tc>
        <w:tc>
          <w:tcPr>
            <w:tcW w:w="1235" w:type="dxa"/>
            <w:tcBorders>
              <w:top w:val="single" w:color="auto" w:sz="4" w:space="0"/>
              <w:left w:val="single" w:color="auto" w:sz="4" w:space="0"/>
              <w:bottom w:val="single" w:color="auto" w:sz="4" w:space="0"/>
              <w:right w:val="single" w:color="auto" w:sz="4" w:space="0"/>
            </w:tcBorders>
            <w:vAlign w:val="center"/>
          </w:tcPr>
          <w:p w14:paraId="608358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PCR仪</w:t>
            </w:r>
          </w:p>
        </w:tc>
        <w:tc>
          <w:tcPr>
            <w:tcW w:w="6340" w:type="dxa"/>
            <w:tcBorders>
              <w:top w:val="single" w:color="auto" w:sz="4" w:space="0"/>
              <w:left w:val="single" w:color="auto" w:sz="4" w:space="0"/>
              <w:bottom w:val="single" w:color="auto" w:sz="4" w:space="0"/>
              <w:right w:val="single" w:color="auto" w:sz="4" w:space="0"/>
            </w:tcBorders>
          </w:tcPr>
          <w:p w14:paraId="531E1F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由CPU控制系统、温控系统、输入输出系统以及软件系统等组成。</w:t>
            </w:r>
          </w:p>
          <w:p w14:paraId="7E9CA4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1、容量：32*0.2ml；</w:t>
            </w:r>
          </w:p>
          <w:p w14:paraId="55983A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2、电源输入220±20V，控温范围35℃-99.9℃，最大功率120W，重量2.0kg，使用试管0.2ml。</w:t>
            </w:r>
          </w:p>
        </w:tc>
        <w:tc>
          <w:tcPr>
            <w:tcW w:w="687" w:type="dxa"/>
            <w:tcBorders>
              <w:top w:val="single" w:color="auto" w:sz="4" w:space="0"/>
              <w:left w:val="single" w:color="auto" w:sz="4" w:space="0"/>
              <w:bottom w:val="single" w:color="auto" w:sz="4" w:space="0"/>
              <w:right w:val="single" w:color="auto" w:sz="4" w:space="0"/>
            </w:tcBorders>
            <w:vAlign w:val="center"/>
          </w:tcPr>
          <w:p w14:paraId="009872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792E41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55B368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3549.00 </w:t>
            </w:r>
          </w:p>
        </w:tc>
      </w:tr>
      <w:tr w14:paraId="0AF3B814">
        <w:tblPrEx>
          <w:tblCellMar>
            <w:top w:w="0" w:type="dxa"/>
            <w:left w:w="108" w:type="dxa"/>
            <w:bottom w:w="0" w:type="dxa"/>
            <w:right w:w="108" w:type="dxa"/>
          </w:tblCellMar>
        </w:tblPrEx>
        <w:trPr>
          <w:trHeight w:val="371" w:hRule="atLeast"/>
        </w:trPr>
        <w:tc>
          <w:tcPr>
            <w:tcW w:w="649" w:type="dxa"/>
            <w:tcBorders>
              <w:top w:val="single" w:color="auto" w:sz="4" w:space="0"/>
              <w:left w:val="single" w:color="auto" w:sz="4" w:space="0"/>
              <w:bottom w:val="single" w:color="auto" w:sz="4" w:space="0"/>
              <w:right w:val="single" w:color="auto" w:sz="4" w:space="0"/>
            </w:tcBorders>
            <w:vAlign w:val="center"/>
          </w:tcPr>
          <w:p w14:paraId="00ED30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70</w:t>
            </w:r>
          </w:p>
        </w:tc>
        <w:tc>
          <w:tcPr>
            <w:tcW w:w="1235" w:type="dxa"/>
            <w:tcBorders>
              <w:top w:val="single" w:color="auto" w:sz="4" w:space="0"/>
              <w:left w:val="single" w:color="auto" w:sz="4" w:space="0"/>
              <w:bottom w:val="single" w:color="auto" w:sz="4" w:space="0"/>
              <w:right w:val="single" w:color="auto" w:sz="4" w:space="0"/>
            </w:tcBorders>
            <w:vAlign w:val="center"/>
          </w:tcPr>
          <w:p w14:paraId="4884A9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组织捣碎匀浆机</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B0A08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电动机；立式单向串激电动机、额定功率：120W，工作电压为：220V，转率：0-12000转/分。物料在均浆杯中通过电机旋转驱动刀片同时进行劈裂、碾碎、掺和等过程。</w:t>
            </w:r>
          </w:p>
        </w:tc>
        <w:tc>
          <w:tcPr>
            <w:tcW w:w="687" w:type="dxa"/>
            <w:tcBorders>
              <w:top w:val="single" w:color="auto" w:sz="4" w:space="0"/>
              <w:left w:val="single" w:color="auto" w:sz="4" w:space="0"/>
              <w:bottom w:val="single" w:color="auto" w:sz="4" w:space="0"/>
              <w:right w:val="single" w:color="auto" w:sz="4" w:space="0"/>
            </w:tcBorders>
            <w:vAlign w:val="center"/>
          </w:tcPr>
          <w:p w14:paraId="354C38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5532E7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288BC6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895.70 </w:t>
            </w:r>
          </w:p>
        </w:tc>
      </w:tr>
      <w:tr w14:paraId="64C73495">
        <w:tblPrEx>
          <w:tblCellMar>
            <w:top w:w="0" w:type="dxa"/>
            <w:left w:w="108" w:type="dxa"/>
            <w:bottom w:w="0" w:type="dxa"/>
            <w:right w:w="108" w:type="dxa"/>
          </w:tblCellMar>
        </w:tblPrEx>
        <w:trPr>
          <w:trHeight w:val="371" w:hRule="atLeast"/>
        </w:trPr>
        <w:tc>
          <w:tcPr>
            <w:tcW w:w="649" w:type="dxa"/>
            <w:tcBorders>
              <w:top w:val="single" w:color="auto" w:sz="4" w:space="0"/>
              <w:left w:val="single" w:color="auto" w:sz="4" w:space="0"/>
              <w:bottom w:val="single" w:color="auto" w:sz="4" w:space="0"/>
              <w:right w:val="single" w:color="auto" w:sz="4" w:space="0"/>
            </w:tcBorders>
            <w:vAlign w:val="center"/>
          </w:tcPr>
          <w:p w14:paraId="7E5B92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71</w:t>
            </w:r>
          </w:p>
        </w:tc>
        <w:tc>
          <w:tcPr>
            <w:tcW w:w="1235" w:type="dxa"/>
            <w:tcBorders>
              <w:top w:val="single" w:color="auto" w:sz="4" w:space="0"/>
              <w:left w:val="single" w:color="auto" w:sz="4" w:space="0"/>
              <w:bottom w:val="single" w:color="auto" w:sz="4" w:space="0"/>
              <w:right w:val="single" w:color="auto" w:sz="4" w:space="0"/>
            </w:tcBorders>
            <w:vAlign w:val="center"/>
          </w:tcPr>
          <w:p w14:paraId="0B27DD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DNA快速杂交仪</w:t>
            </w:r>
          </w:p>
        </w:tc>
        <w:tc>
          <w:tcPr>
            <w:tcW w:w="6340" w:type="dxa"/>
            <w:tcBorders>
              <w:top w:val="single" w:color="auto" w:sz="4" w:space="0"/>
              <w:left w:val="single" w:color="auto" w:sz="4" w:space="0"/>
              <w:bottom w:val="single" w:color="auto" w:sz="4" w:space="0"/>
              <w:right w:val="single" w:color="auto" w:sz="4" w:space="0"/>
            </w:tcBorders>
          </w:tcPr>
          <w:p w14:paraId="285CC3A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1.电源电压：AC220V±10%，50Hz，350W，使用环境：0℃～+40℃，相对湿度：≤90%RH；</w:t>
            </w:r>
          </w:p>
          <w:p w14:paraId="7BF57D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2、温控范围：环境温度+5℃~60℃可调。瓶架转速；0-16转/分可调，杂交管规格；直径35*200mm。</w:t>
            </w:r>
          </w:p>
        </w:tc>
        <w:tc>
          <w:tcPr>
            <w:tcW w:w="687" w:type="dxa"/>
            <w:tcBorders>
              <w:top w:val="single" w:color="auto" w:sz="4" w:space="0"/>
              <w:left w:val="single" w:color="auto" w:sz="4" w:space="0"/>
              <w:bottom w:val="single" w:color="auto" w:sz="4" w:space="0"/>
              <w:right w:val="single" w:color="auto" w:sz="4" w:space="0"/>
            </w:tcBorders>
            <w:vAlign w:val="center"/>
          </w:tcPr>
          <w:p w14:paraId="17D310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722E61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638277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1521.00 </w:t>
            </w:r>
          </w:p>
        </w:tc>
      </w:tr>
      <w:tr w14:paraId="65BBFBE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0835C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72</w:t>
            </w:r>
          </w:p>
        </w:tc>
        <w:tc>
          <w:tcPr>
            <w:tcW w:w="1235" w:type="dxa"/>
            <w:tcBorders>
              <w:top w:val="single" w:color="auto" w:sz="4" w:space="0"/>
              <w:left w:val="single" w:color="auto" w:sz="4" w:space="0"/>
              <w:bottom w:val="single" w:color="auto" w:sz="4" w:space="0"/>
              <w:right w:val="single" w:color="auto" w:sz="4" w:space="0"/>
            </w:tcBorders>
            <w:vAlign w:val="center"/>
          </w:tcPr>
          <w:p w14:paraId="0E3BEE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果酒果醋发酵装置</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75B145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采用1L的玻璃瓶做容器，具有进气调节控制阀可进行气泡限速，出气口采用U形连通装置可进行水封和气泡观察计数。</w:t>
            </w:r>
          </w:p>
        </w:tc>
        <w:tc>
          <w:tcPr>
            <w:tcW w:w="687" w:type="dxa"/>
            <w:tcBorders>
              <w:top w:val="single" w:color="auto" w:sz="4" w:space="0"/>
              <w:left w:val="single" w:color="auto" w:sz="4" w:space="0"/>
              <w:bottom w:val="single" w:color="auto" w:sz="4" w:space="0"/>
              <w:right w:val="single" w:color="auto" w:sz="4" w:space="0"/>
            </w:tcBorders>
            <w:vAlign w:val="center"/>
          </w:tcPr>
          <w:p w14:paraId="6F17E1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3FDFCC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0BF006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600C800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99178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73</w:t>
            </w:r>
          </w:p>
        </w:tc>
        <w:tc>
          <w:tcPr>
            <w:tcW w:w="1235" w:type="dxa"/>
            <w:tcBorders>
              <w:top w:val="single" w:color="auto" w:sz="4" w:space="0"/>
              <w:left w:val="single" w:color="auto" w:sz="4" w:space="0"/>
              <w:bottom w:val="single" w:color="auto" w:sz="4" w:space="0"/>
              <w:right w:val="single" w:color="auto" w:sz="4" w:space="0"/>
            </w:tcBorders>
            <w:vAlign w:val="center"/>
          </w:tcPr>
          <w:p w14:paraId="1279BE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纯水机</w:t>
            </w:r>
          </w:p>
        </w:tc>
        <w:tc>
          <w:tcPr>
            <w:tcW w:w="6340" w:type="dxa"/>
            <w:tcBorders>
              <w:top w:val="single" w:color="auto" w:sz="4" w:space="0"/>
              <w:left w:val="single" w:color="auto" w:sz="4" w:space="0"/>
              <w:bottom w:val="single" w:color="auto" w:sz="4" w:space="0"/>
              <w:right w:val="single" w:color="auto" w:sz="4" w:space="0"/>
            </w:tcBorders>
          </w:tcPr>
          <w:p w14:paraId="7BB160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1、产品由预处理滤芯、RO反渗透膜、压力储水桶、纯水管路、水质监测模块、机箱、控制开关等组成；</w:t>
            </w:r>
          </w:p>
          <w:p w14:paraId="605B85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2、净水系统：采用多级过滤+反渗透净化工艺，有效滤除水中泥沙、余氯、重金属、细菌及各类杂质离子；</w:t>
            </w:r>
          </w:p>
          <w:p w14:paraId="01C431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3、工作参数：设备产水量10L/h，配套储水桶容量550L，适用水温范围5℃-45℃；</w:t>
            </w:r>
          </w:p>
          <w:p w14:paraId="25985D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4、出水水质：产出实验室三级纯水，25℃标准环境下电导率≤15μS/cm，水质洁净稳定；</w:t>
            </w:r>
          </w:p>
          <w:p w14:paraId="248AE1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5、水质监测：配备在线电导率监测功能，数显实时水质，可直观核查纯水纯度；</w:t>
            </w:r>
          </w:p>
          <w:p w14:paraId="5A7B20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bidi="ar"/>
              </w:rPr>
              <w:t>6、控制系统：全自动制水运行，水满停机、缺水启动，自带过载、漏水安全保护功能</w:t>
            </w:r>
            <w:r>
              <w:rPr>
                <w:rFonts w:hint="eastAsia" w:asciiTheme="minorEastAsia" w:hAnsiTheme="minorEastAsia" w:eastAsiaTheme="minorEastAsia" w:cstheme="minorEastAsia"/>
                <w:color w:val="auto"/>
                <w:kern w:val="0"/>
                <w:sz w:val="21"/>
                <w:szCs w:val="21"/>
                <w:highlight w:val="none"/>
                <w:lang w:eastAsia="zh-CN" w:bidi="ar"/>
              </w:rPr>
              <w:t>。</w:t>
            </w:r>
          </w:p>
        </w:tc>
        <w:tc>
          <w:tcPr>
            <w:tcW w:w="687" w:type="dxa"/>
            <w:tcBorders>
              <w:top w:val="single" w:color="auto" w:sz="4" w:space="0"/>
              <w:left w:val="single" w:color="auto" w:sz="4" w:space="0"/>
              <w:bottom w:val="single" w:color="auto" w:sz="4" w:space="0"/>
              <w:right w:val="single" w:color="auto" w:sz="4" w:space="0"/>
            </w:tcBorders>
            <w:vAlign w:val="center"/>
          </w:tcPr>
          <w:p w14:paraId="2D08CE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72F410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35F738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1014.00 </w:t>
            </w:r>
          </w:p>
        </w:tc>
      </w:tr>
      <w:tr w14:paraId="393F61E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6779B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74</w:t>
            </w:r>
          </w:p>
        </w:tc>
        <w:tc>
          <w:tcPr>
            <w:tcW w:w="1235" w:type="dxa"/>
            <w:tcBorders>
              <w:top w:val="single" w:color="auto" w:sz="4" w:space="0"/>
              <w:left w:val="single" w:color="auto" w:sz="4" w:space="0"/>
              <w:bottom w:val="single" w:color="auto" w:sz="4" w:space="0"/>
              <w:right w:val="single" w:color="auto" w:sz="4" w:space="0"/>
            </w:tcBorders>
            <w:vAlign w:val="center"/>
          </w:tcPr>
          <w:p w14:paraId="61F210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玻璃三角刮刀（涂布器）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2F185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玻璃，长为170mm</w:t>
            </w:r>
          </w:p>
        </w:tc>
        <w:tc>
          <w:tcPr>
            <w:tcW w:w="687" w:type="dxa"/>
            <w:tcBorders>
              <w:top w:val="single" w:color="auto" w:sz="4" w:space="0"/>
              <w:left w:val="single" w:color="auto" w:sz="4" w:space="0"/>
              <w:bottom w:val="single" w:color="auto" w:sz="4" w:space="0"/>
              <w:right w:val="single" w:color="auto" w:sz="4" w:space="0"/>
            </w:tcBorders>
            <w:vAlign w:val="center"/>
          </w:tcPr>
          <w:p w14:paraId="45D78B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vAlign w:val="center"/>
          </w:tcPr>
          <w:p w14:paraId="3BEA87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99F19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 </w:t>
            </w:r>
          </w:p>
        </w:tc>
      </w:tr>
      <w:tr w14:paraId="7AE17EB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3F7D1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75</w:t>
            </w:r>
          </w:p>
        </w:tc>
        <w:tc>
          <w:tcPr>
            <w:tcW w:w="1235" w:type="dxa"/>
            <w:tcBorders>
              <w:top w:val="single" w:color="auto" w:sz="4" w:space="0"/>
              <w:left w:val="single" w:color="auto" w:sz="4" w:space="0"/>
              <w:bottom w:val="single" w:color="auto" w:sz="4" w:space="0"/>
              <w:right w:val="single" w:color="auto" w:sz="4" w:space="0"/>
            </w:tcBorders>
            <w:vAlign w:val="center"/>
          </w:tcPr>
          <w:p w14:paraId="1C1973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始祖鸟化石及复原模型</w:t>
            </w:r>
          </w:p>
        </w:tc>
        <w:tc>
          <w:tcPr>
            <w:tcW w:w="6340" w:type="dxa"/>
            <w:tcBorders>
              <w:top w:val="single" w:color="auto" w:sz="4" w:space="0"/>
              <w:left w:val="single" w:color="auto" w:sz="4" w:space="0"/>
              <w:bottom w:val="single" w:color="auto" w:sz="4" w:space="0"/>
              <w:right w:val="single" w:color="auto" w:sz="4" w:space="0"/>
            </w:tcBorders>
          </w:tcPr>
          <w:p w14:paraId="72D1AF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1.产品由始祖鸟化石模型及复原模型组成，分别置于底座上，模型应采用硬塑料或复合材料制作；</w:t>
            </w:r>
          </w:p>
          <w:p w14:paraId="5BA5E5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2、始祖鸟化石模型，显示头骨、脊柱、肋骨、附肢骨和羽毛印迹，各部形态正确清晰，并显示化石裂缝；</w:t>
            </w:r>
          </w:p>
          <w:p w14:paraId="41AB31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3、骨化石与石块的颜色应有区别。</w:t>
            </w:r>
          </w:p>
        </w:tc>
        <w:tc>
          <w:tcPr>
            <w:tcW w:w="687" w:type="dxa"/>
            <w:tcBorders>
              <w:top w:val="single" w:color="auto" w:sz="4" w:space="0"/>
              <w:left w:val="single" w:color="auto" w:sz="4" w:space="0"/>
              <w:bottom w:val="single" w:color="auto" w:sz="4" w:space="0"/>
              <w:right w:val="single" w:color="auto" w:sz="4" w:space="0"/>
            </w:tcBorders>
            <w:vAlign w:val="center"/>
          </w:tcPr>
          <w:p w14:paraId="7413C5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2D3F5B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1082" w:type="dxa"/>
            <w:tcBorders>
              <w:top w:val="single" w:color="auto" w:sz="4" w:space="0"/>
              <w:left w:val="single" w:color="auto" w:sz="4" w:space="0"/>
              <w:bottom w:val="single" w:color="auto" w:sz="4" w:space="0"/>
              <w:right w:val="single" w:color="auto" w:sz="4" w:space="0"/>
            </w:tcBorders>
            <w:vAlign w:val="center"/>
          </w:tcPr>
          <w:p w14:paraId="500D1C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67.60</w:t>
            </w:r>
          </w:p>
        </w:tc>
      </w:tr>
      <w:tr w14:paraId="017FD3E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5D815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76</w:t>
            </w:r>
          </w:p>
        </w:tc>
        <w:tc>
          <w:tcPr>
            <w:tcW w:w="1235" w:type="dxa"/>
            <w:tcBorders>
              <w:top w:val="single" w:color="auto" w:sz="4" w:space="0"/>
              <w:left w:val="single" w:color="auto" w:sz="4" w:space="0"/>
              <w:bottom w:val="single" w:color="auto" w:sz="4" w:space="0"/>
              <w:right w:val="single" w:color="auto" w:sz="4" w:space="0"/>
            </w:tcBorders>
            <w:vAlign w:val="center"/>
          </w:tcPr>
          <w:p w14:paraId="2D6025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细胞亚显微结构模型</w:t>
            </w:r>
          </w:p>
        </w:tc>
        <w:tc>
          <w:tcPr>
            <w:tcW w:w="6340" w:type="dxa"/>
            <w:tcBorders>
              <w:top w:val="single" w:color="auto" w:sz="4" w:space="0"/>
              <w:left w:val="single" w:color="auto" w:sz="4" w:space="0"/>
              <w:bottom w:val="single" w:color="auto" w:sz="4" w:space="0"/>
              <w:right w:val="single" w:color="auto" w:sz="4" w:space="0"/>
            </w:tcBorders>
          </w:tcPr>
          <w:p w14:paraId="3E1E4C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1.产品为高等真核细胞立体亚显微结构模型，细胞直径约放大两万倍，环保塑料制品，固定内部元件的衬板，在剖面与外壳之间，应无色透明；</w:t>
            </w:r>
          </w:p>
          <w:p w14:paraId="751A81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2、元件的组装应牢固可靠，调换的元件应拆装方便，不得自由松动和脱落。</w:t>
            </w:r>
          </w:p>
        </w:tc>
        <w:tc>
          <w:tcPr>
            <w:tcW w:w="687" w:type="dxa"/>
            <w:tcBorders>
              <w:top w:val="single" w:color="auto" w:sz="4" w:space="0"/>
              <w:left w:val="single" w:color="auto" w:sz="4" w:space="0"/>
              <w:bottom w:val="single" w:color="auto" w:sz="4" w:space="0"/>
              <w:right w:val="single" w:color="auto" w:sz="4" w:space="0"/>
            </w:tcBorders>
            <w:vAlign w:val="center"/>
          </w:tcPr>
          <w:p w14:paraId="219188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45B4DF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1082" w:type="dxa"/>
            <w:tcBorders>
              <w:top w:val="single" w:color="auto" w:sz="4" w:space="0"/>
              <w:left w:val="single" w:color="auto" w:sz="4" w:space="0"/>
              <w:bottom w:val="single" w:color="auto" w:sz="4" w:space="0"/>
              <w:right w:val="single" w:color="auto" w:sz="4" w:space="0"/>
            </w:tcBorders>
            <w:vAlign w:val="center"/>
          </w:tcPr>
          <w:p w14:paraId="54F0DE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152.10</w:t>
            </w:r>
          </w:p>
        </w:tc>
      </w:tr>
      <w:tr w14:paraId="71D280C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88F02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77</w:t>
            </w:r>
          </w:p>
        </w:tc>
        <w:tc>
          <w:tcPr>
            <w:tcW w:w="1235" w:type="dxa"/>
            <w:tcBorders>
              <w:top w:val="single" w:color="auto" w:sz="4" w:space="0"/>
              <w:left w:val="single" w:color="auto" w:sz="4" w:space="0"/>
              <w:bottom w:val="single" w:color="auto" w:sz="4" w:space="0"/>
              <w:right w:val="single" w:color="auto" w:sz="4" w:space="0"/>
            </w:tcBorders>
            <w:vAlign w:val="center"/>
          </w:tcPr>
          <w:p w14:paraId="584210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细胞膜结构模型</w:t>
            </w:r>
          </w:p>
        </w:tc>
        <w:tc>
          <w:tcPr>
            <w:tcW w:w="6340" w:type="dxa"/>
            <w:tcBorders>
              <w:top w:val="single" w:color="auto" w:sz="4" w:space="0"/>
              <w:left w:val="single" w:color="auto" w:sz="4" w:space="0"/>
              <w:bottom w:val="single" w:color="auto" w:sz="4" w:space="0"/>
              <w:right w:val="single" w:color="auto" w:sz="4" w:space="0"/>
            </w:tcBorders>
          </w:tcPr>
          <w:p w14:paraId="172102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1.产品为放大约一千倍的细胞膜结构局部纵切模型。本产品为环保塑料制品，应采用硬塑料或复合材料，不应采用软塑料；</w:t>
            </w:r>
          </w:p>
          <w:p w14:paraId="674DB7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2、产品应能适应气温-25℃和40℃的环境条件下运输和贮存；产品应能在距地面1m高处自由下落，不得破裂和变形。</w:t>
            </w:r>
          </w:p>
        </w:tc>
        <w:tc>
          <w:tcPr>
            <w:tcW w:w="687" w:type="dxa"/>
            <w:tcBorders>
              <w:top w:val="single" w:color="auto" w:sz="4" w:space="0"/>
              <w:left w:val="single" w:color="auto" w:sz="4" w:space="0"/>
              <w:bottom w:val="single" w:color="auto" w:sz="4" w:space="0"/>
              <w:right w:val="single" w:color="auto" w:sz="4" w:space="0"/>
            </w:tcBorders>
            <w:vAlign w:val="center"/>
          </w:tcPr>
          <w:p w14:paraId="36553D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3C0B64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1082" w:type="dxa"/>
            <w:tcBorders>
              <w:top w:val="single" w:color="auto" w:sz="4" w:space="0"/>
              <w:left w:val="single" w:color="auto" w:sz="4" w:space="0"/>
              <w:bottom w:val="single" w:color="auto" w:sz="4" w:space="0"/>
              <w:right w:val="single" w:color="auto" w:sz="4" w:space="0"/>
            </w:tcBorders>
            <w:vAlign w:val="center"/>
          </w:tcPr>
          <w:p w14:paraId="54B3B0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118.30</w:t>
            </w:r>
          </w:p>
        </w:tc>
      </w:tr>
      <w:tr w14:paraId="0D96734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EA6AB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78</w:t>
            </w:r>
          </w:p>
        </w:tc>
        <w:tc>
          <w:tcPr>
            <w:tcW w:w="1235" w:type="dxa"/>
            <w:tcBorders>
              <w:top w:val="single" w:color="auto" w:sz="4" w:space="0"/>
              <w:left w:val="single" w:color="auto" w:sz="4" w:space="0"/>
              <w:bottom w:val="single" w:color="auto" w:sz="4" w:space="0"/>
              <w:right w:val="single" w:color="auto" w:sz="4" w:space="0"/>
            </w:tcBorders>
            <w:vAlign w:val="center"/>
          </w:tcPr>
          <w:p w14:paraId="7CA30F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细胞膜流动镶嵌模型组件</w:t>
            </w:r>
          </w:p>
        </w:tc>
        <w:tc>
          <w:tcPr>
            <w:tcW w:w="6340" w:type="dxa"/>
            <w:tcBorders>
              <w:top w:val="single" w:color="auto" w:sz="4" w:space="0"/>
              <w:left w:val="single" w:color="auto" w:sz="4" w:space="0"/>
              <w:bottom w:val="single" w:color="auto" w:sz="4" w:space="0"/>
              <w:right w:val="single" w:color="auto" w:sz="4" w:space="0"/>
            </w:tcBorders>
          </w:tcPr>
          <w:p w14:paraId="498817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1.环保塑料制品，每个细胞约为25mm；</w:t>
            </w:r>
          </w:p>
          <w:p w14:paraId="5E1B36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2、蛋白质分子，磷脂分子，多糖。</w:t>
            </w:r>
          </w:p>
        </w:tc>
        <w:tc>
          <w:tcPr>
            <w:tcW w:w="687" w:type="dxa"/>
            <w:tcBorders>
              <w:top w:val="single" w:color="auto" w:sz="4" w:space="0"/>
              <w:left w:val="single" w:color="auto" w:sz="4" w:space="0"/>
              <w:bottom w:val="single" w:color="auto" w:sz="4" w:space="0"/>
              <w:right w:val="single" w:color="auto" w:sz="4" w:space="0"/>
            </w:tcBorders>
            <w:vAlign w:val="center"/>
          </w:tcPr>
          <w:p w14:paraId="61661E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79B5BB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1082" w:type="dxa"/>
            <w:tcBorders>
              <w:top w:val="single" w:color="auto" w:sz="4" w:space="0"/>
              <w:left w:val="single" w:color="auto" w:sz="4" w:space="0"/>
              <w:bottom w:val="single" w:color="auto" w:sz="4" w:space="0"/>
              <w:right w:val="single" w:color="auto" w:sz="4" w:space="0"/>
            </w:tcBorders>
            <w:vAlign w:val="center"/>
          </w:tcPr>
          <w:p w14:paraId="641177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111.54</w:t>
            </w:r>
          </w:p>
        </w:tc>
      </w:tr>
      <w:tr w14:paraId="664422C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46A5A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79</w:t>
            </w:r>
          </w:p>
        </w:tc>
        <w:tc>
          <w:tcPr>
            <w:tcW w:w="1235" w:type="dxa"/>
            <w:tcBorders>
              <w:top w:val="single" w:color="auto" w:sz="4" w:space="0"/>
              <w:left w:val="single" w:color="auto" w:sz="4" w:space="0"/>
              <w:bottom w:val="single" w:color="auto" w:sz="4" w:space="0"/>
              <w:right w:val="single" w:color="auto" w:sz="4" w:space="0"/>
            </w:tcBorders>
            <w:vAlign w:val="center"/>
          </w:tcPr>
          <w:p w14:paraId="42664C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减数分裂中染色体变化模型组件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ED9A8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由底板、磁贴板、染色体组成。磁贴板固定在塑料底板上塑料底板尺寸；275*175mm。</w:t>
            </w:r>
          </w:p>
        </w:tc>
        <w:tc>
          <w:tcPr>
            <w:tcW w:w="687" w:type="dxa"/>
            <w:tcBorders>
              <w:top w:val="single" w:color="auto" w:sz="4" w:space="0"/>
              <w:left w:val="single" w:color="auto" w:sz="4" w:space="0"/>
              <w:bottom w:val="single" w:color="auto" w:sz="4" w:space="0"/>
              <w:right w:val="single" w:color="auto" w:sz="4" w:space="0"/>
            </w:tcBorders>
            <w:vAlign w:val="center"/>
          </w:tcPr>
          <w:p w14:paraId="2766B1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1D0282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1082" w:type="dxa"/>
            <w:tcBorders>
              <w:top w:val="single" w:color="auto" w:sz="4" w:space="0"/>
              <w:left w:val="single" w:color="auto" w:sz="4" w:space="0"/>
              <w:bottom w:val="single" w:color="auto" w:sz="4" w:space="0"/>
              <w:right w:val="single" w:color="auto" w:sz="4" w:space="0"/>
            </w:tcBorders>
            <w:vAlign w:val="center"/>
          </w:tcPr>
          <w:p w14:paraId="404CA8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50.70</w:t>
            </w:r>
          </w:p>
        </w:tc>
      </w:tr>
      <w:tr w14:paraId="237F2874">
        <w:tblPrEx>
          <w:tblCellMar>
            <w:top w:w="0" w:type="dxa"/>
            <w:left w:w="108" w:type="dxa"/>
            <w:bottom w:w="0" w:type="dxa"/>
            <w:right w:w="108" w:type="dxa"/>
          </w:tblCellMar>
        </w:tblPrEx>
        <w:trPr>
          <w:trHeight w:val="340" w:hRule="atLeast"/>
        </w:trPr>
        <w:tc>
          <w:tcPr>
            <w:tcW w:w="649" w:type="dxa"/>
            <w:tcBorders>
              <w:top w:val="single" w:color="auto" w:sz="4" w:space="0"/>
              <w:left w:val="single" w:color="auto" w:sz="4" w:space="0"/>
              <w:bottom w:val="single" w:color="auto" w:sz="4" w:space="0"/>
              <w:right w:val="single" w:color="auto" w:sz="4" w:space="0"/>
            </w:tcBorders>
            <w:vAlign w:val="center"/>
          </w:tcPr>
          <w:p w14:paraId="740DD4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09D01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DNA双螺旋结构模型组件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F1537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脱氧核糖、磷酸、鸟嘌呤、腺嘌呤、胸腺嘧啶、胞嘧啶、彼此分离，透明塑料盒包装。</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D61A3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6267F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C1AF1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27.04</w:t>
            </w:r>
          </w:p>
        </w:tc>
      </w:tr>
      <w:tr w14:paraId="4FF2C20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E81F8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EAFA9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验证基因分离规律玉米标本</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C5E06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标本选用父代穗、母代穗、子一代穗、子二代穗及子二代测交穗5穗玉米穗组成，各有不同的基因型。</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DBADF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FBBE2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AB2A9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30.42 </w:t>
            </w:r>
          </w:p>
        </w:tc>
      </w:tr>
      <w:tr w14:paraId="2B86A9E7">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FA43B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2137B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验证基因自由组合规律玉米标本</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1496C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标本选用父代穗、母代穗、子一代穗、子二代穗及子二代测交穗5穗玉米穗组成，各有不同的基因型。</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746FA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4BB29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盒</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B2F66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30.42 </w:t>
            </w:r>
          </w:p>
        </w:tc>
      </w:tr>
      <w:tr w14:paraId="09E7837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53C5C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5EAFA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验证基因连锁与互换规律玉米标本</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1D03F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标本选用父代穗、母代穗、子一代穗、子二代穗及子二代测交穗5穗玉米穗组成，各有不同的基因型。</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7B74B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B577F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盒</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5DDC2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30.42 </w:t>
            </w:r>
          </w:p>
        </w:tc>
      </w:tr>
      <w:tr w14:paraId="6AF4D44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A3837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D7BEB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蚕豆叶下表皮装片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87965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1.标本在80x和200x学生显微镜下观察叶下表皮形态和气孔结构；</w:t>
            </w:r>
          </w:p>
          <w:p w14:paraId="13DC0C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2、能看清不规则形的下表皮细胞，及其胞核和分散在下表皮细胞间的气孔；</w:t>
            </w:r>
          </w:p>
          <w:p w14:paraId="729E6E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3、能看清正常开放的气孔形态和新月形的保卫细胞、胞核和叶绿体；</w:t>
            </w:r>
          </w:p>
          <w:p w14:paraId="00BAA1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4、标本取材于新鲜的、气孔开放的蚕豆叶；</w:t>
            </w:r>
          </w:p>
          <w:p w14:paraId="5E751D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5、标本为平铺装片，四周剪切整齐；</w:t>
            </w:r>
          </w:p>
          <w:p w14:paraId="250B7E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6、材料整洁，不附带叶肉等其他组织，保卫细胞不收缩；</w:t>
            </w:r>
          </w:p>
          <w:p w14:paraId="495193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7、闭合气孔不得超过2／3；</w:t>
            </w:r>
          </w:p>
          <w:p w14:paraId="44DF8D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8、胞质着色均匀，胞核明显，细胞界限清晰。</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ED77F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AF475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DE673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 </w:t>
            </w:r>
          </w:p>
        </w:tc>
      </w:tr>
      <w:tr w14:paraId="6C9213A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33A60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35ED8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植物细胞有丝分裂</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EEFF4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1.标本在80×和200×学生显微镜下，观察洋葱根尖分生区有丝分裂形态；</w:t>
            </w:r>
          </w:p>
          <w:p w14:paraId="725566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2、能看清有丝分裂各时期染色体形态分布；</w:t>
            </w:r>
          </w:p>
          <w:p w14:paraId="575D0A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3、染色体着色均匀清晰。</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08856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43360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449D1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 </w:t>
            </w:r>
          </w:p>
        </w:tc>
      </w:tr>
      <w:tr w14:paraId="671D60D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B8732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E8A28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胞间连丝切片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C9EA7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1.标本在400×生物显微镜下观察植物细胞的胞间连丝形态；</w:t>
            </w:r>
          </w:p>
          <w:p w14:paraId="681DBC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2、能看清胚乳的多边形厚壁贮藏细胞，认出细胞壁、胞间层和细胞腔；</w:t>
            </w:r>
          </w:p>
          <w:p w14:paraId="15DA91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3、能看清许多细小的胞间连丝将两个相邻细胞的原生质体连在一起；</w:t>
            </w:r>
          </w:p>
          <w:p w14:paraId="1360A7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4、标本取材于秋、冬季节的柿或黑枣的种子；</w:t>
            </w:r>
          </w:p>
          <w:p w14:paraId="363309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5、切片厚度不超过20μm。材料面积不小于1.5mm²，细胞不倾斜；</w:t>
            </w:r>
          </w:p>
          <w:p w14:paraId="13F0C1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6、标本用能显示胞间连丝的方法染色。胞间连丝着色应明显，细胞界限清楚，胞质色淡；</w:t>
            </w:r>
          </w:p>
          <w:p w14:paraId="25C3B0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7、有50%以上细胞能显示胞间连丝；</w:t>
            </w:r>
          </w:p>
          <w:p w14:paraId="6A76E9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8、材料四周剪切整齐，无染液的沉淀物。</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FDAC6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8E9F5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F7745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 </w:t>
            </w:r>
          </w:p>
        </w:tc>
      </w:tr>
      <w:tr w14:paraId="7E99252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EEA93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8E1C6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黑藻叶装片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CD16F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显示细胞核及叶绿体。</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91578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B867E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4B987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 </w:t>
            </w:r>
          </w:p>
        </w:tc>
      </w:tr>
      <w:tr w14:paraId="4F36033E">
        <w:tblPrEx>
          <w:tblCellMar>
            <w:top w:w="0" w:type="dxa"/>
            <w:left w:w="108" w:type="dxa"/>
            <w:bottom w:w="0" w:type="dxa"/>
            <w:right w:w="108" w:type="dxa"/>
          </w:tblCellMar>
        </w:tblPrEx>
        <w:trPr>
          <w:trHeight w:val="386" w:hRule="atLeast"/>
        </w:trPr>
        <w:tc>
          <w:tcPr>
            <w:tcW w:w="649" w:type="dxa"/>
            <w:tcBorders>
              <w:top w:val="single" w:color="auto" w:sz="4" w:space="0"/>
              <w:left w:val="single" w:color="auto" w:sz="4" w:space="0"/>
              <w:bottom w:val="single" w:color="auto" w:sz="4" w:space="0"/>
              <w:right w:val="single" w:color="auto" w:sz="4" w:space="0"/>
            </w:tcBorders>
            <w:vAlign w:val="center"/>
          </w:tcPr>
          <w:p w14:paraId="2DAD63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1B814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酵母菌装片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9D5E2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1.标本在100×和400×生物显微镜下观察酵母菌的形态；</w:t>
            </w:r>
          </w:p>
          <w:p w14:paraId="56426A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2、酵母菌为单细胞卵圆形；</w:t>
            </w:r>
          </w:p>
          <w:p w14:paraId="016BD4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3、在不同的染色情况下，能看清细胞壁、细胞质、细胞核和液泡等；</w:t>
            </w:r>
          </w:p>
          <w:p w14:paraId="158A81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4、在菌体上可看清出芽生殖，分别具一、二或多个芽；</w:t>
            </w:r>
          </w:p>
          <w:p w14:paraId="1D05D4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5、标本取材于人工培养的体大的酵母菌；</w:t>
            </w:r>
          </w:p>
          <w:p w14:paraId="65094D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6、材料应纯净，无杂菌、污物，不密集成团。</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79167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25038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D5F4B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 </w:t>
            </w:r>
          </w:p>
        </w:tc>
      </w:tr>
      <w:tr w14:paraId="3FDA2F8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908AA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77BDF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水绵装片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B540B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1.标本在80×和200×学生显微镜下观察水绵营养时期的结构；</w:t>
            </w:r>
          </w:p>
          <w:p w14:paraId="0345AB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2、能看清丝状体内圆柱形的营养细胞，位于中央的胞核，呈星芒状的原生质、平立的细胞横壁，作螺旋盘绕的叶绿体呈带状，以及纵列于叶绿体上的蛋白核等；</w:t>
            </w:r>
          </w:p>
          <w:p w14:paraId="30ED7D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3、应取材于营养时期的水绵材料，细胞不收缩，藻丝不严重堆集或缠绕（不影响观察）；</w:t>
            </w:r>
          </w:p>
          <w:p w14:paraId="289011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4、标本为铁苏木精与固绿双重染色，标本应清洁无污物，不混有其他藻类。</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EE46E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A39E1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660E0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 </w:t>
            </w:r>
          </w:p>
        </w:tc>
      </w:tr>
      <w:tr w14:paraId="0E90809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A5F75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1F12E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大肠杆菌涂片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61DAA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1.在500×生物显微镜下观察大肠杆菌的基本形态；</w:t>
            </w:r>
          </w:p>
          <w:p w14:paraId="5D58B1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2、清晰地看出大肠杆菌的形态，不要求显示鞭毛；</w:t>
            </w:r>
          </w:p>
          <w:p w14:paraId="4C505C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3、标本一般应取材于人工培养的大肠杆菌；实验所用载玻片应经洗液清洗。</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3ED1E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72E4C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D87EC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 </w:t>
            </w:r>
          </w:p>
        </w:tc>
      </w:tr>
      <w:tr w14:paraId="7B58B9A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D2CDA5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7BEC3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动物细胞有丝分裂（马蛔虫受精卵切片）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3DE97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1.标本在100×和400×生物显微镜下观察动物细胞有丝分裂的各期形态；</w:t>
            </w:r>
          </w:p>
          <w:p w14:paraId="4ADD8E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2、能看清细胞分裂过程中的三个时期：前期、中期和后期或中期、后期和末期；</w:t>
            </w:r>
          </w:p>
          <w:p w14:paraId="5914B1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3、能看清分裂前的细胞核和分裂各期的中心体（中期和后期显著）、染色体以及卵壳、子宫壁等，纺锤体隐约可见；</w:t>
            </w:r>
          </w:p>
          <w:p w14:paraId="78B8EE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4、标本取材于马蛔虫子宫，作子宫的纵切片，材料长度不小于10mm，每张玻片横放材料一片；也可作子宫的横切片，每张玻片放不同部位的横切片2～4片，以保证观察到细胞分裂的各个时期；</w:t>
            </w:r>
          </w:p>
          <w:p w14:paraId="61EBF1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5、切片厚度为6～8um；</w:t>
            </w:r>
          </w:p>
          <w:p w14:paraId="49AEC6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6、卵和卵壳基本呈圆形，子宫内卵应饱满，卵不得脱出卵壳外，细胞核、染色体、中心体着色明显，子宫壁完整。</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1B6C2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2FC9B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075B0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01962B4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7B4E8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D61A5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草履虫分裂生殖装片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19C13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1.标本在50×和100×生物显微镜下，观察草履虫分裂时的形态；</w:t>
            </w:r>
          </w:p>
          <w:p w14:paraId="334EEE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2、能分别认出：</w:t>
            </w:r>
          </w:p>
          <w:p w14:paraId="55D8722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a、未分裂草履虫的形态；</w:t>
            </w:r>
          </w:p>
          <w:p w14:paraId="3EC998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b、大核变长，小核分裂为二；</w:t>
            </w:r>
          </w:p>
          <w:p w14:paraId="39AFD3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c、虫体中部出现缢痕，大核中间变细或断开，小核远离；</w:t>
            </w:r>
          </w:p>
          <w:p w14:paraId="6F0BC4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d、虫体沿中部横裂变细，尚未断开，大核缩短；</w:t>
            </w:r>
          </w:p>
          <w:p w14:paraId="64B86C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3、标本取材为人工培养的处于分裂时期的大草履虫（ParameciumCauda-tum）；</w:t>
            </w:r>
          </w:p>
          <w:p w14:paraId="414C3F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4、标本为整体装片，每张玻片上应按第2条的要求，依次排列成一行，并在50×镜下的同一视野内观察到各期的形态；</w:t>
            </w:r>
          </w:p>
          <w:p w14:paraId="11763D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5、标本用洋红或苏木精染色，分色适当；</w:t>
            </w:r>
          </w:p>
          <w:p w14:paraId="21C196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6、虫体形态正常，无收缩，膨胀、压碎、断裂等现象。</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0027E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4DBA5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EB68A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475B62F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9CFC7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872F9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蝗虫精巢减数分裂切片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E7E17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1.标本在100×和400×生物显微镜下观察蝗虫精巢减数分裂的各期形态；</w:t>
            </w:r>
          </w:p>
          <w:p w14:paraId="7852D6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2、能看清减数分裂过程中的以下时期：减数第一次分裂的前期、中期和后期和减数第二次分裂的前期、中期、后期和末期；</w:t>
            </w:r>
          </w:p>
          <w:p w14:paraId="487E02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3、材料应取自蝗虫精巢；切片厚度应为6～8μm。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2A96C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0FE7D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05C9F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5F0D24E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E9115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3D49F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蛙血涂片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905B6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1.标本在100×和400×生物显微镜下观察血液中血胞的形态；</w:t>
            </w:r>
          </w:p>
          <w:p w14:paraId="139F76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2、能看清有核的红细胞；</w:t>
            </w:r>
          </w:p>
          <w:p w14:paraId="15F1B1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3、标本取材于蛙的新鲜血液；</w:t>
            </w:r>
          </w:p>
          <w:p w14:paraId="2C1BFB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4、血膜应涂布均匀、无污物，血细胞不重叠、无变形和自溶现象；</w:t>
            </w:r>
          </w:p>
          <w:p w14:paraId="38C8BE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5、用苏木精、曙红双重染色；染色要均匀血浆不着色。</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B9DD8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8B7BF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CCDC0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3162D1C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37EE0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CC9AF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表皮细胞装片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CA9E9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1.适用于小学科学教学观察；</w:t>
            </w:r>
          </w:p>
          <w:p w14:paraId="1BCDE7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2、标本取材为两栖动物的表皮，四周剪切整齐，标本应平铺装片染色；</w:t>
            </w:r>
          </w:p>
          <w:p w14:paraId="716D8D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3、标本在80×和200×显微镜下可观察到形状不很规则的呈多角形的细胞膜和着色较深的细胞核。</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C86D2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EBC38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60E3E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3B1F950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7F12A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C4A25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骨骼肌纵横切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158DF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1.标本在80×和200×学生显微镜下观察骨骼肌纵横切破片标志；</w:t>
            </w:r>
          </w:p>
          <w:p w14:paraId="5B2DAB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2、在纵断面上能看清肌外膜和成束的股纤维，股纤维上有显暗相间的横纹，即明带和暗带。在肌膜下可见圆形或长形的胞核；</w:t>
            </w:r>
          </w:p>
          <w:p w14:paraId="2E7502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3、在横断面上能看清肌外膜、肌束膜、肌纤维及其胞核和小血管等；</w:t>
            </w:r>
          </w:p>
          <w:p w14:paraId="4F4B42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4、标本取材于哺乳动物的膈肌；</w:t>
            </w:r>
          </w:p>
          <w:p w14:paraId="1276E5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5、纵横切片的厚度均在8μm以下每张玻片放纵、横切各一片；</w:t>
            </w:r>
          </w:p>
          <w:p w14:paraId="0E8FCD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6、明暗带及胞核等应着色清晰，对比协调；</w:t>
            </w:r>
          </w:p>
          <w:p w14:paraId="658BCE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7、纵切材料的肌纤维应伸直，呈纵断面的肌纤维不得小于90%，肌膜无裂隙；横切材料肌纤维囊应不收缩、无裂隙；纵横切材料的肌膜，肌外膜均应完整无皱褶。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D51D6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8B952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91803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24CB0797">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D7F8A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B4E69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平滑肌分离装片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0CF1D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1.标本在80×和200×学生显微镜下观察平滑肌细胞的形态；</w:t>
            </w:r>
          </w:p>
          <w:p w14:paraId="228A2F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2、能看清大部分被分离成单个的长棱形平滑肌细胞，在细胞中部有被染成深色杆状或椭圆状的细胞核；</w:t>
            </w:r>
          </w:p>
          <w:p w14:paraId="3DDA87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3、标本取材于两栖动物或哺乳动物消化道的肌层，去掉粘膜及粘膜下层后作分离处理；</w:t>
            </w:r>
          </w:p>
          <w:p w14:paraId="48DA32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4、细胞应分离适中、形态正常；材料内不得有污物。</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12D91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48454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711F7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62520AD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41747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1591B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心肌切片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E1AEF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1.标本在80×和200×学生显微镜下观察心肌的结构；</w:t>
            </w:r>
          </w:p>
          <w:p w14:paraId="708555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2、在心肌的断面上能看清柱状并具有分枝的肌纤维（肌细胞），胞核呈圆形或椭圆形，位于肌纤维的中央；</w:t>
            </w:r>
          </w:p>
          <w:p w14:paraId="5521ED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3、在肌纤维彼此衔接的地方能看清心肌的特有结构—“闰盘”；</w:t>
            </w:r>
          </w:p>
          <w:p w14:paraId="74C66F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4、在肌纤维的横断面上能看清肌原纤维和圆形核的横断面结构；</w:t>
            </w:r>
          </w:p>
          <w:p w14:paraId="5025D6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5、在400×镜下能看清肌原纤维上有纤细的横纹；</w:t>
            </w:r>
          </w:p>
          <w:p w14:paraId="1C3437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6、标本取材于哺乳动物的心脏；</w:t>
            </w:r>
          </w:p>
          <w:p w14:paraId="2F86B0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7、切片厚度在8μm以内，材料面积不小于4x4mm；</w:t>
            </w:r>
          </w:p>
          <w:p w14:paraId="1430FB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8、用能显示闰盘和横纹的方法染色！要求闰盘、胞核着色明显，横纹清晰，胞质不着色或色淡；</w:t>
            </w:r>
          </w:p>
          <w:p w14:paraId="49C99A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9、呈纵断面的肌纤维应不少于材料面积的2／5；</w:t>
            </w:r>
          </w:p>
          <w:p w14:paraId="6CA2AD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10、应保持细胞结构正常。</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AD355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E1281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19EAC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2A18C09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F255E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80697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运动神经元装片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E2603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1.标本在80x和200x学生显微镜下观察运动神经原的形态；</w:t>
            </w:r>
          </w:p>
          <w:p w14:paraId="3CFB51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2、能看清运动神经原的细胞体和突起、细胞体内的胞核、少量的神经纤维和神经胶质细胞的胞核；</w:t>
            </w:r>
          </w:p>
          <w:p w14:paraId="03780C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3、不要求显示尼氏体；</w:t>
            </w:r>
          </w:p>
          <w:p w14:paraId="305B98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4、标本取材于脊髓灰质前角中的运动神经原，作涂片或分离装片；</w:t>
            </w:r>
          </w:p>
          <w:p w14:paraId="3E1021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5、用能显示细胞结构和不易褪色的方法染色；</w:t>
            </w:r>
          </w:p>
          <w:p w14:paraId="5F9D42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6、神经元应分布均轧形态正值无破碎现象。在80x镜下盖玻片中间部分的任一视野内应不少于五个运动神经原。</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71A3B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82009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3852F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4D5444C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1A0B8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12F38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胰腺切片（示胰岛）</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4C766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标本在80×和200×学生显微镜下观察胰腺（示胰岛）的结构；取材于大鼠；满足教学实验用。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A6364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E7642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F9A0A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5B09576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157A2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9EF09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正常人染色体装片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82DCF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1.标本在200×和400×生物显微镜下，观察46条人染色体；每组两片，男性、女性各1片；</w:t>
            </w:r>
          </w:p>
          <w:p w14:paraId="09CA51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2、应能认出每条染色体含有两条染色单体，借着一个着丝粒彼此连接；</w:t>
            </w:r>
          </w:p>
          <w:p w14:paraId="662A56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3、能认出着丝粒向两端伸展的染色体臂以及区别长臂与短臂，并在此基础上认出中央着丝粒、亚中着丝粒、近端着丝粒染色体；</w:t>
            </w:r>
          </w:p>
          <w:p w14:paraId="39ADF1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4、标本取材于人工培养的正常淋巴系统；</w:t>
            </w:r>
          </w:p>
          <w:p w14:paraId="47C863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5、吉姆萨（Giemsa）染液或醋酸洋红染色。</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10B12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3E2B9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F6166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4B00927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BF6AF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1E6DE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DNA和RAN在细胞中的分布</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E23EE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适用于课堂显微镜观察用。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F61EE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DCFF8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D7619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404CDCF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8D049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A47AF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线粒体切片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86087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1.适用于显微镜观察用；</w:t>
            </w:r>
          </w:p>
          <w:p w14:paraId="73CC85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2、标本在50×和100×显微镜下观察线粒体结构。</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80E7D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BAB78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24C24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7CB6669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0F6C8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7CB9C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165C1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1.标称容量：10mL；</w:t>
            </w:r>
          </w:p>
          <w:p w14:paraId="2B7062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p>
          <w:p w14:paraId="7FDC19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p>
          <w:p w14:paraId="53E279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p>
          <w:p w14:paraId="47FAD0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p>
          <w:p w14:paraId="57AD2D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16C01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11AE8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7517D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4.90 </w:t>
            </w:r>
          </w:p>
        </w:tc>
      </w:tr>
      <w:tr w14:paraId="34AEEDA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83C9B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BB05F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2261B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1.标称容量：25mL；</w:t>
            </w:r>
          </w:p>
          <w:p w14:paraId="6C11A5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p>
          <w:p w14:paraId="473A35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p>
          <w:p w14:paraId="32E961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p>
          <w:p w14:paraId="4AD779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p>
          <w:p w14:paraId="595961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3777A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C9B95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BD610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6.08 </w:t>
            </w:r>
          </w:p>
        </w:tc>
      </w:tr>
      <w:tr w14:paraId="79767A6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6FDF4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05C8F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5E456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1.标称容量：50mL，</w:t>
            </w:r>
          </w:p>
          <w:p w14:paraId="232D58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p>
          <w:p w14:paraId="063A59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p>
          <w:p w14:paraId="40652B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p>
          <w:p w14:paraId="49542F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p>
          <w:p w14:paraId="6ACD9F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76BD6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2579F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A7C8B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7.44 </w:t>
            </w:r>
          </w:p>
        </w:tc>
      </w:tr>
      <w:tr w14:paraId="6F7581B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38152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66DA4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EBD84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1.标称容量：100mL；</w:t>
            </w:r>
          </w:p>
          <w:p w14:paraId="12025E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p>
          <w:p w14:paraId="381952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p>
          <w:p w14:paraId="4883C1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p>
          <w:p w14:paraId="0C6335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p>
          <w:p w14:paraId="2769C9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C2C8D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34CF4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878E4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9.13 </w:t>
            </w:r>
          </w:p>
        </w:tc>
      </w:tr>
      <w:tr w14:paraId="1C27FDF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BF148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E606C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7574C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1.标称容量：500mL；</w:t>
            </w:r>
          </w:p>
          <w:p w14:paraId="4339CC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p>
          <w:p w14:paraId="72913D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p>
          <w:p w14:paraId="4297F05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p>
          <w:p w14:paraId="006DA7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p>
          <w:p w14:paraId="607D3A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0E237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BCFAA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0D90B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20.62 </w:t>
            </w:r>
          </w:p>
        </w:tc>
      </w:tr>
      <w:tr w14:paraId="2E6C1D1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36072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1926A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35645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1.标称容量：1000mL；</w:t>
            </w:r>
          </w:p>
          <w:p w14:paraId="0409BC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p>
          <w:p w14:paraId="5E8CD8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p>
          <w:p w14:paraId="62DD76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p>
          <w:p w14:paraId="378BB8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p>
          <w:p w14:paraId="001D73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FCA26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FBBC6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58C80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49.01 </w:t>
            </w:r>
          </w:p>
        </w:tc>
      </w:tr>
      <w:tr w14:paraId="4F06B94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F707D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C074F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1CDE8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p>
          <w:p w14:paraId="1AD9CD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2、规格：25mL。内应力消除：在偏光仪下呈紫色；</w:t>
            </w:r>
          </w:p>
          <w:p w14:paraId="713DD5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p>
          <w:p w14:paraId="0884F0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061AB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475A6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C98AD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11.15 </w:t>
            </w:r>
          </w:p>
        </w:tc>
      </w:tr>
      <w:tr w14:paraId="093AF94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14758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912AD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C1A6C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p>
          <w:p w14:paraId="2B5C12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2、规格：100mL。内应力消除：在偏光仪下呈紫色；</w:t>
            </w:r>
          </w:p>
          <w:p w14:paraId="03C6ED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p>
          <w:p w14:paraId="1B53DB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45FDC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AAE80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248EB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14.20 </w:t>
            </w:r>
          </w:p>
        </w:tc>
      </w:tr>
      <w:tr w14:paraId="7BBD170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450D2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FBEB7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9615C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p>
          <w:p w14:paraId="11F5DB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2、规格：250mL。内应力消除：在偏光仪下呈紫色；</w:t>
            </w:r>
          </w:p>
          <w:p w14:paraId="2D1876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p>
          <w:p w14:paraId="797177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6F82C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452D1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9DFB5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24.34 </w:t>
            </w:r>
          </w:p>
        </w:tc>
      </w:tr>
      <w:tr w14:paraId="76C0399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39B8C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89318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AD7E1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p>
          <w:p w14:paraId="7DFE96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2、规格：500mL。内应力消除：在偏光仪下呈紫色；</w:t>
            </w:r>
          </w:p>
          <w:p w14:paraId="298F6C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p>
          <w:p w14:paraId="307A8F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55B3E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83695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701FC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1633115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D54B8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1CBE8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2D69C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p>
          <w:p w14:paraId="030E87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2、规格：1000mL。内应力消除：在偏光仪下呈紫色；</w:t>
            </w:r>
          </w:p>
          <w:p w14:paraId="7930D3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p>
          <w:p w14:paraId="4DFE87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C188A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53D3C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BA678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43.26 </w:t>
            </w:r>
          </w:p>
        </w:tc>
      </w:tr>
      <w:tr w14:paraId="7272401E">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D8741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6EED0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ED0E1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1mL，玻璃制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6C21C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7DBB5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6E6D3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7.10 </w:t>
            </w:r>
          </w:p>
        </w:tc>
      </w:tr>
      <w:tr w14:paraId="7DF050AB">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56FDF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29AB8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1C441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2mL，玻璃制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7A69B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70681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7D8B5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0.34 </w:t>
            </w:r>
          </w:p>
        </w:tc>
      </w:tr>
      <w:tr w14:paraId="107E74D2">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F66D5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C39C6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8204A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5mL，玻璃制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7C1D1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E06B7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451FB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 </w:t>
            </w:r>
          </w:p>
        </w:tc>
      </w:tr>
      <w:tr w14:paraId="0C41E223">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8737E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B58D5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03C4B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79703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E54CA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1E5B9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9.46 </w:t>
            </w:r>
          </w:p>
        </w:tc>
      </w:tr>
      <w:tr w14:paraId="22DAFFE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A0643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6516E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174F8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052665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2、厚薄均匀，不得有刺手现象；规格：试管外径Φ15mm，试管高150mm；</w:t>
            </w:r>
          </w:p>
          <w:p w14:paraId="1D6E32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3、截面应为适度的圆形；试管口部是熔光的平口；</w:t>
            </w:r>
          </w:p>
          <w:p w14:paraId="66C79D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4、管口应平整、光滑，不得有裂口、裂纹存在；试管的底部应基本为半球形。</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5FA42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0562A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F6D5F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0.57 </w:t>
            </w:r>
          </w:p>
        </w:tc>
      </w:tr>
      <w:tr w14:paraId="4B3A83B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93CA9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C9C40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0F48D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320744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2、规格：50mL，烧杯上标志应清晰、耐久，造型规范、薄厚均匀、无明显偏斜，底部不允许有结石、节瘤存在；</w:t>
            </w:r>
          </w:p>
          <w:p w14:paraId="71CFF8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p>
          <w:p w14:paraId="0C1FA6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7C51D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596FA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C1DD1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4.56 </w:t>
            </w:r>
          </w:p>
        </w:tc>
      </w:tr>
      <w:tr w14:paraId="22C5D71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638F0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75C99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2EE83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379C29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2、规格：100mL，烧杯上标志应清晰、耐久，造型规范、薄厚均匀、无明显偏斜，底部不允许有结石、节瘤存在；</w:t>
            </w:r>
          </w:p>
          <w:p w14:paraId="4CE7AA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p>
          <w:p w14:paraId="5529FC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3CBD4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120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67762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442A1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4.90 </w:t>
            </w:r>
          </w:p>
        </w:tc>
      </w:tr>
      <w:tr w14:paraId="062586F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3FBD9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B3C4D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D8F4F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29D025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2、规格：250mL，烧杯上标志应清晰、耐久，造型规范、薄厚均匀、无明显偏斜，底部不允许有结石、节瘤存在；</w:t>
            </w:r>
          </w:p>
          <w:p w14:paraId="2DA418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p>
          <w:p w14:paraId="42075B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41355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98AC2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0F840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 </w:t>
            </w:r>
          </w:p>
        </w:tc>
      </w:tr>
      <w:tr w14:paraId="746AA8D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EAFA2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21CF9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BB969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631E53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2、规格：500mL，烧杯上标志应清晰、耐久，造型规范、薄厚均匀、无明显偏斜，底部不允许有结石、节瘤存在；</w:t>
            </w:r>
          </w:p>
          <w:p w14:paraId="446FC3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p>
          <w:p w14:paraId="024E67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79D06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79238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082AA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10.48 </w:t>
            </w:r>
          </w:p>
        </w:tc>
      </w:tr>
      <w:tr w14:paraId="4B4FAB7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FEEDE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A99F2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A6EF7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1F94C1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2、规格：1000mL，烧杯上标志应清晰、耐久，造型规范、薄厚均匀、无明显偏斜，底部不允许有结石、节瘤存在；</w:t>
            </w:r>
          </w:p>
          <w:p w14:paraId="382796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p>
          <w:p w14:paraId="69BE33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72BEC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2EE42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5C113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21.63 </w:t>
            </w:r>
          </w:p>
        </w:tc>
      </w:tr>
      <w:tr w14:paraId="0AF9EFC7">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04DA4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D7F1E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锥形瓶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90705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31A66F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2、规格：锥形，50mL；壁厚：不小于1mm；</w:t>
            </w:r>
          </w:p>
          <w:p w14:paraId="53607C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3、底部不允许有结石、节瘤存在。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B0175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30077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8B277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7.44 </w:t>
            </w:r>
          </w:p>
        </w:tc>
      </w:tr>
      <w:tr w14:paraId="788122B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1916A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29ABC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锥形瓶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24098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7EB66E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2、规格：锥形，100mL；</w:t>
            </w:r>
          </w:p>
          <w:p w14:paraId="336773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3、底部不允许有结石、节瘤存在。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A7419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BFF85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8E56C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 </w:t>
            </w:r>
          </w:p>
        </w:tc>
      </w:tr>
      <w:tr w14:paraId="073F656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85CA5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A372C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锥形瓶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3B219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765D0F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2、规格：锥形，250mL；</w:t>
            </w:r>
          </w:p>
          <w:p w14:paraId="2F8E69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3、底部不允许有结石、节瘤存在。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9CB85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BF956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D25BE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14.20 </w:t>
            </w:r>
          </w:p>
        </w:tc>
      </w:tr>
      <w:tr w14:paraId="2834B4F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EAD59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9077C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锥形瓶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148C1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33AF79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2、规格：锥形，500mL；壁厚：不小于1mm；</w:t>
            </w:r>
          </w:p>
          <w:p w14:paraId="0F298A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3、底部不允许有结石、节瘤存在。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3F9FE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3D51A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DAA5F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21.63 </w:t>
            </w:r>
          </w:p>
        </w:tc>
      </w:tr>
      <w:tr w14:paraId="0DCF7A0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11555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452D5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蒸馏烧瓶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178A1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3005B4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2、是一个具有支管的圆底球体形烧瓶，便于与冷凝管和牛角管等组成蒸馏装置；</w:t>
            </w:r>
          </w:p>
          <w:p w14:paraId="773372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3、规格：250mL。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D3CDB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C4168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DBD42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18.59 </w:t>
            </w:r>
          </w:p>
        </w:tc>
      </w:tr>
      <w:tr w14:paraId="3058107A">
        <w:tblPrEx>
          <w:tblCellMar>
            <w:top w:w="0" w:type="dxa"/>
            <w:left w:w="108" w:type="dxa"/>
            <w:bottom w:w="0" w:type="dxa"/>
            <w:right w:w="108" w:type="dxa"/>
          </w:tblCellMar>
        </w:tblPrEx>
        <w:trPr>
          <w:trHeight w:val="304"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191F4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9AF8A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酒精灯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DFEBA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1.透明钠钙玻璃材质，由灯座、灯塞、灯盖、灯芯组成；</w:t>
            </w:r>
          </w:p>
          <w:p w14:paraId="2CD722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2、规格：150mL；</w:t>
            </w:r>
          </w:p>
          <w:p w14:paraId="27D417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3、玻璃仪器，正视应无色；或仅有玻璃本身的微浅黄绿色；</w:t>
            </w:r>
          </w:p>
          <w:p w14:paraId="1373E6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4、玻璃仪器的口部都应经圆口（熔光）、卷边或磨砂处理；</w:t>
            </w:r>
          </w:p>
          <w:p w14:paraId="729795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5、应力：应力仪观察下呈紫红色或部分扩散状蓝色；</w:t>
            </w:r>
          </w:p>
          <w:p w14:paraId="16065F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6、厚薄均匀，玻璃仪器的底部应平整，放在平台上不应旋转或摇晃；</w:t>
            </w:r>
          </w:p>
          <w:p w14:paraId="1B1844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7、酒精灯塞子塞不紧是正常的，塞紧了是危险的。</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6F556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04BD1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14B1A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4.56 </w:t>
            </w:r>
          </w:p>
        </w:tc>
      </w:tr>
      <w:tr w14:paraId="3B55A4DA">
        <w:tblPrEx>
          <w:tblCellMar>
            <w:top w:w="0" w:type="dxa"/>
            <w:left w:w="108" w:type="dxa"/>
            <w:bottom w:w="0" w:type="dxa"/>
            <w:right w:w="108" w:type="dxa"/>
          </w:tblCellMar>
        </w:tblPrEx>
        <w:trPr>
          <w:trHeight w:val="725"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B77D7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2078C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干燥器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F76B5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1.透明钠钙玻璃制；</w:t>
            </w:r>
          </w:p>
          <w:p w14:paraId="3E3A8D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2、规格：160mL。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F613E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7EA53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84CF9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67.60 </w:t>
            </w:r>
          </w:p>
        </w:tc>
      </w:tr>
      <w:tr w14:paraId="0385827C">
        <w:tblPrEx>
          <w:tblCellMar>
            <w:top w:w="0" w:type="dxa"/>
            <w:left w:w="108" w:type="dxa"/>
            <w:bottom w:w="0" w:type="dxa"/>
            <w:right w:w="108" w:type="dxa"/>
          </w:tblCellMar>
        </w:tblPrEx>
        <w:trPr>
          <w:trHeight w:val="53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87ABC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F13D9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蒸馏水瓶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053E6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玻璃材质，2.5L。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DA8B9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1AB51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65728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111.54 </w:t>
            </w:r>
          </w:p>
        </w:tc>
      </w:tr>
      <w:tr w14:paraId="5183BD3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F49E8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9D9FE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冷凝器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1667B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286DAA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2、规格：直固，300mm。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0E742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B0430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FB996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26.03 </w:t>
            </w:r>
          </w:p>
        </w:tc>
      </w:tr>
      <w:tr w14:paraId="784A0AC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22827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CC811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C9A41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1.规格：60mm；</w:t>
            </w:r>
          </w:p>
          <w:p w14:paraId="06791E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2、口边光滑平整，无毛边、快口及崩缺，角度正确，口边不得呈椭圆形及不规则多边形，斗柄应垂直，下口应磨成45º角，并将斜口边倒角不呈缺口；</w:t>
            </w:r>
          </w:p>
          <w:p w14:paraId="273F7B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3、壁厚均匀，内壁光滑，斗柄接头处不允许严重褶皱，斗柄垂直偏正不超过3～5mm。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BC2E3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96498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D60D7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6.42 </w:t>
            </w:r>
          </w:p>
        </w:tc>
      </w:tr>
      <w:tr w14:paraId="02EC59B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45052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76AF9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68969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1.规格：90mm；</w:t>
            </w:r>
          </w:p>
          <w:p w14:paraId="1ADF89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2、漏斗口径：90mm±2mm；厚度：约2mm；</w:t>
            </w:r>
          </w:p>
          <w:p w14:paraId="7DD52C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3、口边光滑平整，无毛边、缺口及崩缺，角度正确，口边不得呈椭圆形及不规则多边形，斗柄应垂直，下口应磨成45º角，并将斜口边倒角不呈缺口；</w:t>
            </w:r>
          </w:p>
          <w:p w14:paraId="23D9555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4、壁厚均匀，内壁光滑，斗柄接头处不允许严重褶皱，斗柄垂直偏正不超过3～5mm。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CE53C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2735A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EAE46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7.44 </w:t>
            </w:r>
          </w:p>
        </w:tc>
      </w:tr>
      <w:tr w14:paraId="7505DCB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F232A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7101D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D5AD4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1.玻璃滴管；</w:t>
            </w:r>
          </w:p>
          <w:p w14:paraId="4063C3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2、规格：150mm。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0BE85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FC0D6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5E7E5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2.03 </w:t>
            </w:r>
          </w:p>
        </w:tc>
      </w:tr>
      <w:tr w14:paraId="7576B5F2">
        <w:tblPrEx>
          <w:tblCellMar>
            <w:top w:w="0" w:type="dxa"/>
            <w:left w:w="108" w:type="dxa"/>
            <w:bottom w:w="0" w:type="dxa"/>
            <w:right w:w="108" w:type="dxa"/>
          </w:tblCellMar>
        </w:tblPrEx>
        <w:trPr>
          <w:trHeight w:val="550"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1365E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45F58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比色管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5E9EA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4B045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1B3B2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F0464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10.48 </w:t>
            </w:r>
          </w:p>
        </w:tc>
      </w:tr>
      <w:tr w14:paraId="652F488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77DB8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9E8CF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广口瓶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115E2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4FB2DF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2、规格：250mL。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108CF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04109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A7778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7.44 </w:t>
            </w:r>
          </w:p>
        </w:tc>
      </w:tr>
      <w:tr w14:paraId="17AB342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1238A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580A6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7B626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332E38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2、规格：250mL。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6D799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D3AC7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E0A94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7.44 </w:t>
            </w:r>
          </w:p>
        </w:tc>
      </w:tr>
      <w:tr w14:paraId="1CAF590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8DD06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27450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74866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2293BD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2、规格：500mL。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90EB2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F16ED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4F386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9.13 </w:t>
            </w:r>
          </w:p>
        </w:tc>
      </w:tr>
      <w:tr w14:paraId="43BEC8A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3F4CA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DC60C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FF543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341226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2、规格：1000mL。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E0EF4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57F3B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A8298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14.87 </w:t>
            </w:r>
          </w:p>
        </w:tc>
      </w:tr>
      <w:tr w14:paraId="3112B96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767D8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3FECF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DE8D0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52F3A4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2、规格：30mL。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8C02A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457A0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50B8E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4.90 </w:t>
            </w:r>
          </w:p>
        </w:tc>
      </w:tr>
      <w:tr w14:paraId="342082E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3A2A2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0AABD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7E368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648D96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2、规格：60mL。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7E836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FC57D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E5678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5.07 </w:t>
            </w:r>
          </w:p>
        </w:tc>
      </w:tr>
      <w:tr w14:paraId="37D5B0F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2586B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59F7D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滴瓶（茶色滴瓶）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60749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5CEAE9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2、规格：茶色，30mL。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18BEE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5EE14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CEAD5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4.90 </w:t>
            </w:r>
          </w:p>
        </w:tc>
      </w:tr>
      <w:tr w14:paraId="1A42E11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29AC2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8A1F9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滴瓶（茶色滴瓶）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4C9EC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3D251C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2、规格：茶色，60mL。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AF51E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175CC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1FC70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5.07 </w:t>
            </w:r>
          </w:p>
        </w:tc>
      </w:tr>
      <w:tr w14:paraId="1ADB330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006E7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A5A01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试管夹</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5E2A8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1.产品为木质或竹质材料制成；</w:t>
            </w:r>
          </w:p>
          <w:p w14:paraId="0869BB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2、所用木材要求脱脂干燥处理，无裂纹，光滑，锯端面无毛刺，无刺手感；</w:t>
            </w:r>
          </w:p>
          <w:p w14:paraId="2C9A15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3、试管夹所附毡块应黏接牢固，不得脱落；</w:t>
            </w:r>
          </w:p>
          <w:p w14:paraId="400A88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4、管夹弹簧应有足够弹性，并做防锈处理。夹口张、合松紧强度适宜，便于试管夹持和拿取。</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AED42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0BE0F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C38AA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56C9237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3B771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0B026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石棉网</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AE6B9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1.产品为在金属网上涂敷石棉材料而制成；</w:t>
            </w:r>
          </w:p>
          <w:p w14:paraId="6157FE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2、金属网无锈蚀，具备一定的强度。石棉材料涂敷均匀，附着力强。涂敷面不得裸露金属网面；</w:t>
            </w:r>
          </w:p>
          <w:p w14:paraId="076DD52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3、整体应平整、美观，不翘角。</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AD8CF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A9F46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96CE0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3C3B0F7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9CEC7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B8617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钥匙</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7BD68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1.供中学化学实验和小学教学实验用；</w:t>
            </w:r>
          </w:p>
          <w:p w14:paraId="4D1DFB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2、药匙材质：单头塑料。</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C5638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61AA6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3D80E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 </w:t>
            </w:r>
          </w:p>
        </w:tc>
      </w:tr>
      <w:tr w14:paraId="11D80B28">
        <w:tblPrEx>
          <w:tblCellMar>
            <w:top w:w="0" w:type="dxa"/>
            <w:left w:w="108" w:type="dxa"/>
            <w:bottom w:w="0" w:type="dxa"/>
            <w:right w:w="108" w:type="dxa"/>
          </w:tblCellMar>
        </w:tblPrEx>
        <w:trPr>
          <w:trHeight w:val="374"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1AFF7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9F51E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EA9B9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36C12C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2、规格：φ5mm～φ6mm；</w:t>
            </w:r>
          </w:p>
          <w:p w14:paraId="28B19F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3、理化性能：耐水等级：1级，耐碱等级：1级，耐酸等级：2级；</w:t>
            </w:r>
          </w:p>
          <w:p w14:paraId="3AE003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4、应力：在偏光仪中呈蓝色；</w:t>
            </w:r>
          </w:p>
          <w:p w14:paraId="3A71BB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5、色泽：无色透明，允许微带黄绿色；</w:t>
            </w:r>
          </w:p>
          <w:p w14:paraId="13482B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6、玻璃棒要圆、直径均匀、不能粗细不匀，无气泡、无节瘤、无结石。</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06DA8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1E011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千克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D49CB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45.63 </w:t>
            </w:r>
          </w:p>
        </w:tc>
      </w:tr>
      <w:tr w14:paraId="15813F9B">
        <w:tblPrEx>
          <w:tblCellMar>
            <w:top w:w="0" w:type="dxa"/>
            <w:left w:w="108" w:type="dxa"/>
            <w:bottom w:w="0" w:type="dxa"/>
            <w:right w:w="108" w:type="dxa"/>
          </w:tblCellMar>
        </w:tblPrEx>
        <w:trPr>
          <w:trHeight w:val="674"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13706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089D9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洗耳球</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09121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橡胶材质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A7363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F8348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0AA86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4.73 </w:t>
            </w:r>
          </w:p>
        </w:tc>
      </w:tr>
      <w:tr w14:paraId="6ADD4B5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09A5F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BB84A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培养皿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A9D0D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4B8296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2、规格：φ60mm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BA641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7B8CB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2A164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6.42 </w:t>
            </w:r>
          </w:p>
        </w:tc>
      </w:tr>
      <w:tr w14:paraId="72F44CD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F6B18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1C37F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培养皿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912FF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0374EB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2、规格：φ120mm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C1F17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28EB0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8A90D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18.59 </w:t>
            </w:r>
          </w:p>
        </w:tc>
      </w:tr>
      <w:tr w14:paraId="7BB7CF14">
        <w:tblPrEx>
          <w:tblCellMar>
            <w:top w:w="0" w:type="dxa"/>
            <w:left w:w="108" w:type="dxa"/>
            <w:bottom w:w="0" w:type="dxa"/>
            <w:right w:w="108" w:type="dxa"/>
          </w:tblCellMar>
        </w:tblPrEx>
        <w:trPr>
          <w:trHeight w:val="54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BD359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C35EF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研钵</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018CA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瓷，60mm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CA214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51A5C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E01EB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7.10 </w:t>
            </w:r>
          </w:p>
        </w:tc>
      </w:tr>
      <w:tr w14:paraId="677BA199">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B9EB1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72DEE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实验室用品</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DBFF3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color w:val="auto"/>
                <w:highlight w:val="none"/>
              </w:rPr>
              <w:t>满足教学实验用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D1F57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6AE64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批</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E1718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15288.09</w:t>
            </w:r>
          </w:p>
        </w:tc>
      </w:tr>
      <w:tr w14:paraId="13EBCF1A">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2CBC0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8684F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琼脂</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C0923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工业品</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4B7DF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C32BE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54CEA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0.81 </w:t>
            </w:r>
          </w:p>
        </w:tc>
      </w:tr>
      <w:tr w14:paraId="1A0A4250">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0D682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5D7BE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pH广范围试纸</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52B7A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1～14，条状，每本80张，每张尺寸不小于1*20mm。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51928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C1FEA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本</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44F0A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2109FA4D">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C3E25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62A09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定性滤纸</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AD0BA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直径70mm，100张/盒</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1CCCC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731CC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盒</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64027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11.83 </w:t>
            </w:r>
          </w:p>
        </w:tc>
      </w:tr>
      <w:tr w14:paraId="76DFDBF3">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AA379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B9224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载玻片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C8362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1.玻璃质；</w:t>
            </w:r>
          </w:p>
          <w:p w14:paraId="4F29CD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2、边缘进行打磨处理边缘光滑、无尖角。</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742A7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67BB3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盒</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835A3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 </w:t>
            </w:r>
          </w:p>
        </w:tc>
      </w:tr>
      <w:tr w14:paraId="2923F176">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31331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306E3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盖玻片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EE7F4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1.玻璃制；</w:t>
            </w:r>
          </w:p>
          <w:p w14:paraId="151A70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2、100片/包。</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0052A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36E37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包</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ACEFE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0D70A00F">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AA0A5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2BF2C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植物组织培养基试剂盒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38F45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MS培养基，适用于月季或菊花生根和发芽的相关激素。</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3BD31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AD4B7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FD4BC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544.18 </w:t>
            </w:r>
          </w:p>
        </w:tc>
      </w:tr>
      <w:tr w14:paraId="3C30FB1D">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0BC2A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AC61F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牛肉膏蛋白胨培养基</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7F500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满足教学实验用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6E55A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47EF6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711DB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236.60 </w:t>
            </w:r>
          </w:p>
        </w:tc>
      </w:tr>
      <w:tr w14:paraId="0D465D6A">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673C6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F3469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分离及鉴定土壤中能分解尿素的细菌培养基</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E8B49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满足教学实验用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7543E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F0F03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84CE5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760.50 </w:t>
            </w:r>
          </w:p>
        </w:tc>
      </w:tr>
      <w:tr w14:paraId="4D922A4B">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9DFDA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D4DAB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纤维素分解菌培养及鉴别培养基</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1CF6E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试剂</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DF1F1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F1F81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27C77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760.50 </w:t>
            </w:r>
          </w:p>
        </w:tc>
      </w:tr>
      <w:tr w14:paraId="740491F5">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AB61E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F9109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血红蛋白提取及分离试剂盒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B6212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满足教学实验用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CC4CC5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7AA92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DE4CF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402.22 </w:t>
            </w:r>
          </w:p>
        </w:tc>
      </w:tr>
      <w:tr w14:paraId="17B63565">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65001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948F2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PCR扩增实验试剂盒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FE206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PCR全套试剂</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D29DC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85C02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FC6FF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676.00 </w:t>
            </w:r>
          </w:p>
        </w:tc>
      </w:tr>
      <w:tr w14:paraId="348D5247">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7EC3E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4146B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琼脂糖凝胶电泳实验试剂盒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CDD01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电泳全套试剂</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FBE9A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D3437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35D4D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422.50 </w:t>
            </w:r>
          </w:p>
        </w:tc>
      </w:tr>
      <w:tr w14:paraId="6F80F143">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76A11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55A0A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转基因植物DNA杂交鉴定试剂盒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C84E7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大豆或其他植物</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C06A1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506DF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91049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260.26 </w:t>
            </w:r>
          </w:p>
        </w:tc>
      </w:tr>
      <w:tr w14:paraId="21FB19D1">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924C5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A46AA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测电笔（低压测电器）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9158D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1.全长157mm，由测电头、绝缘手柄组成，测量范围：交流12V—220V；</w:t>
            </w:r>
          </w:p>
          <w:p w14:paraId="26CC84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2、刀杆材料选用优质CR-V钢，全硬热处理，达到CE标准；手柄绝缘性能良好。</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08D0F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ED732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FAE44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3BF98C46">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588F5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821EF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一字螺丝刀</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1F308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1.规格210mm；</w:t>
            </w:r>
          </w:p>
          <w:p w14:paraId="11A210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2、旋杆采用45#钢，工作部硬度不低于HRC48；</w:t>
            </w:r>
          </w:p>
          <w:p w14:paraId="0DB4A5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3、手柄采用绝缘材质，外形根据人体工程学设计，手感舒适；</w:t>
            </w:r>
          </w:p>
          <w:p w14:paraId="2660F6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4、旋杆应经镀铬防锈处理；</w:t>
            </w:r>
          </w:p>
          <w:p w14:paraId="07EAFA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5、旋柄为硬质塑料制成，表面光洁、无毛刺，无缩迹。</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5845F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97DF5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928CB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057C166E">
        <w:tblPrEx>
          <w:tblCellMar>
            <w:top w:w="0" w:type="dxa"/>
            <w:left w:w="108" w:type="dxa"/>
            <w:bottom w:w="0" w:type="dxa"/>
            <w:right w:w="108" w:type="dxa"/>
          </w:tblCellMar>
        </w:tblPrEx>
        <w:trPr>
          <w:trHeight w:val="29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4D438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170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F299F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十字螺丝刀</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95153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1.规格210mm；</w:t>
            </w:r>
          </w:p>
          <w:p w14:paraId="0B77BD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2、旋杆材料采用45#钢，工作部长度内硬度HRC48～54；手柄采用绝缘材质，外形根据人体工程学设计，手感舒适；</w:t>
            </w:r>
          </w:p>
          <w:p w14:paraId="797CBA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3、旋杆应经镀铬防锈处理；</w:t>
            </w:r>
          </w:p>
          <w:p w14:paraId="5CB5D9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4、旋柄为硬质塑料制成，表面光洁无毛刺，无缩迹，与旋杆接合牢固。</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8B814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551A3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7A850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006CBBB0">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E2495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171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87195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手锤（杠锤）</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77D1E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0.5kg木柄，总长285mm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1B36E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30E4A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74EBBE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15.55 </w:t>
            </w:r>
          </w:p>
        </w:tc>
      </w:tr>
      <w:tr w14:paraId="030233A4">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641F9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172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150E3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钢手锯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8A0FB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1.规格：锯架450mm，锯条310mm，由钢锯架、钢锯条组成；</w:t>
            </w:r>
          </w:p>
          <w:p w14:paraId="160D9F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2、产品材料采用钢板制，调节式；</w:t>
            </w:r>
          </w:p>
          <w:p w14:paraId="36ECC6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3、安装锯条后，锯条中心平面与锯架中心平面的平行度不得大于2mm；</w:t>
            </w:r>
          </w:p>
          <w:p w14:paraId="39193F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4、锯架在达到900N拉力历经1min后，不应有永久变形，拉钉不得松动脱落；</w:t>
            </w:r>
          </w:p>
          <w:p w14:paraId="734997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5、钢板制锯架在达到900N张力时，侧弯不得超过1.8mm；</w:t>
            </w:r>
          </w:p>
          <w:p w14:paraId="326D77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6、手柄握捏部位应光滑舒适；采用钢材及合金等材料；</w:t>
            </w:r>
          </w:p>
          <w:p w14:paraId="5F8763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7、锯架表面不应有裂纹，锈渍、毛刺、剥落等缺陷，表面处理色泽一致。</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3A301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50237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C4063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21.97 </w:t>
            </w:r>
          </w:p>
        </w:tc>
      </w:tr>
      <w:tr w14:paraId="40ABACA1">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DE2ED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173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49BC9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剥线钳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957B5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材质：高碳钢，长度不小于160mm，压接范围：0.9、1.25、2.0、3.5、5.5平方毫米。</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3A712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7E64F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9ED48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 </w:t>
            </w:r>
          </w:p>
        </w:tc>
      </w:tr>
      <w:tr w14:paraId="77BCEBE8">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E4101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174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B77C9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钢丝钳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A5F72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材质：45#高碳钢锻造，规格不小于：长165mm。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3142A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DC1B6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BB5BF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 </w:t>
            </w:r>
          </w:p>
        </w:tc>
      </w:tr>
      <w:tr w14:paraId="7CC64AF0">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C5112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175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B1F4D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活扳手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E353B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1.材质：优质中碳钢；</w:t>
            </w:r>
          </w:p>
          <w:p w14:paraId="275216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2、规格：200mm；活动扳手。</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9685C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EF7C3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8E07A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20.28 </w:t>
            </w:r>
          </w:p>
        </w:tc>
      </w:tr>
      <w:tr w14:paraId="0604FA8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B5162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176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8FF93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工作服</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5864B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1.材质：涤卡；颜色为白色；</w:t>
            </w:r>
          </w:p>
          <w:p w14:paraId="7D6F32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2、工作服具有一定的防静电，及防酸、碱及其他化学腐蚀的能力；</w:t>
            </w:r>
          </w:p>
          <w:p w14:paraId="251E4B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3、产品应做工精细，产品外观无破损、斑点、污物等缺陷；</w:t>
            </w:r>
          </w:p>
          <w:p w14:paraId="02DFDA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4、产品所用材料应能满足日常穿用和中学实验室日常使用要求，具有一定耐穿性、牢固性和舒适感。</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2CB4B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22C4E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754D9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40.56 </w:t>
            </w:r>
          </w:p>
        </w:tc>
      </w:tr>
      <w:tr w14:paraId="263B6C1E">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39564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177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A8E85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护目镜</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E3143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1.用于实验教师防强光、眩光、紫外、激光，或是机械性伤害（机加工）；</w:t>
            </w:r>
          </w:p>
          <w:p w14:paraId="2AAFF6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2、护目镜镜片由高级光学树脂（聚碳酸酯）制成，透光率高，应达到97％，强度好，防摔，能遮挡各种强光、射线等辐射，且耐腐蚀，无屈光度；</w:t>
            </w:r>
          </w:p>
          <w:p w14:paraId="3CFC01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3、镜片无波纹、无结瘤、疵点、无划伤等缺陷。</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1523E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481B4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99E26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 </w:t>
            </w:r>
          </w:p>
        </w:tc>
      </w:tr>
      <w:tr w14:paraId="098E25CF">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9B6BF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178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6EE98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乳胶手套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9476C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一次性乳胶手套</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726F2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AEE20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付</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A2E6C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56D22B59">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4C3F8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179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AC4F9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洗眼器（洗眼壶）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16DF4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壶式，冲洗型，玻璃。</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7E072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B2541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26BBF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34.48  </w:t>
            </w:r>
          </w:p>
        </w:tc>
      </w:tr>
      <w:tr w14:paraId="56B8B839">
        <w:tblPrEx>
          <w:tblCellMar>
            <w:top w:w="0" w:type="dxa"/>
            <w:left w:w="108" w:type="dxa"/>
            <w:bottom w:w="0" w:type="dxa"/>
            <w:right w:w="108" w:type="dxa"/>
          </w:tblCellMar>
        </w:tblPrEx>
        <w:trPr>
          <w:trHeight w:val="90" w:hRule="atLeast"/>
        </w:trPr>
        <w:tc>
          <w:tcPr>
            <w:tcW w:w="10546" w:type="dxa"/>
            <w:gridSpan w:val="6"/>
            <w:tcBorders>
              <w:top w:val="single" w:color="auto" w:sz="4" w:space="0"/>
              <w:left w:val="single" w:color="auto" w:sz="4" w:space="0"/>
              <w:bottom w:val="single" w:color="auto" w:sz="4" w:space="0"/>
              <w:right w:val="single" w:color="auto" w:sz="4" w:space="0"/>
            </w:tcBorders>
            <w:vAlign w:val="center"/>
          </w:tcPr>
          <w:p w14:paraId="46F9A8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eastAsia="宋体"/>
                <w:color w:val="auto"/>
                <w:sz w:val="21"/>
                <w:szCs w:val="21"/>
                <w:highlight w:val="none"/>
                <w:lang w:val="en-US" w:eastAsia="zh-CN"/>
              </w:rPr>
            </w:pPr>
            <w:r>
              <w:rPr>
                <w:rFonts w:hint="eastAsia"/>
                <w:b/>
                <w:bCs/>
                <w:color w:val="auto"/>
                <w:sz w:val="21"/>
                <w:szCs w:val="21"/>
                <w:highlight w:val="none"/>
              </w:rPr>
              <w:t>化学仪器</w:t>
            </w:r>
            <w:r>
              <w:rPr>
                <w:rFonts w:hint="eastAsia"/>
                <w:b/>
                <w:bCs/>
                <w:color w:val="auto"/>
                <w:sz w:val="21"/>
                <w:szCs w:val="21"/>
                <w:highlight w:val="none"/>
                <w:lang w:val="en-US" w:eastAsia="zh-CN"/>
              </w:rPr>
              <w:t>设备</w:t>
            </w:r>
          </w:p>
        </w:tc>
      </w:tr>
      <w:tr w14:paraId="6ECC4E3C">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192BD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1BCA9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数据采集处理系统</w:t>
            </w:r>
            <w:r>
              <w:rPr>
                <w:rFonts w:hint="eastAsia" w:asciiTheme="minorEastAsia" w:hAnsiTheme="minorEastAsia" w:eastAsiaTheme="minorEastAsia" w:cstheme="minorEastAsia"/>
                <w:color w:val="auto"/>
                <w:kern w:val="0"/>
                <w:sz w:val="21"/>
                <w:szCs w:val="21"/>
                <w:highlight w:val="none"/>
                <w:lang w:bidi="ar"/>
              </w:rPr>
              <w:tab/>
            </w:r>
            <w:r>
              <w:rPr>
                <w:rFonts w:hint="eastAsia" w:asciiTheme="minorEastAsia" w:hAnsiTheme="minorEastAsia" w:eastAsiaTheme="minorEastAsia" w:cstheme="minorEastAsia"/>
                <w:color w:val="auto"/>
                <w:kern w:val="0"/>
                <w:sz w:val="21"/>
                <w:szCs w:val="21"/>
                <w:highlight w:val="none"/>
                <w:lang w:bidi="ar"/>
              </w:rPr>
              <w:tab/>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F0FD5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运</w:t>
            </w:r>
            <w:r>
              <w:rPr>
                <w:rFonts w:hint="eastAsia" w:asciiTheme="minorEastAsia" w:hAnsiTheme="minorEastAsia" w:eastAsiaTheme="minorEastAsia" w:cstheme="minorEastAsia"/>
                <w:color w:val="auto"/>
                <w:kern w:val="0"/>
                <w:sz w:val="21"/>
                <w:szCs w:val="21"/>
                <w:highlight w:val="none"/>
                <w:lang w:bidi="ar"/>
              </w:rPr>
              <w:t>用数据采集处理系统进行实验探究，通过多种传感器、软件等，实现实验研究的多样化，提升实验结果形式的多样性，发展数据收集、结果分析的能力，具体配置如下：</w:t>
            </w:r>
          </w:p>
          <w:p w14:paraId="086846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1、多功能氧气传感器：量程：0～100%，分辨率：0.1%；</w:t>
            </w:r>
          </w:p>
          <w:p w14:paraId="12A49D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①设备具备≥3.5英寸的触摸显示屏；屏幕具有校准功能；</w:t>
            </w:r>
          </w:p>
          <w:p w14:paraId="6C3175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②</w:t>
            </w: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整机具备不少于 6 个实体功能按键；标配触摸书写笔；设置独立硬件电源开关；本机内置存储容量≥4GB；系统可查看存储总容量及已使用容量；具备 USB 数据传输接口，可外接存储设备实现文件读写。</w:t>
            </w:r>
          </w:p>
          <w:p w14:paraId="3F627F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③可以进行数据录制和储存，并回放录制的数据，并可将保存的数据导出，方便进行户外采集实验。</w:t>
            </w:r>
          </w:p>
          <w:p w14:paraId="067EAB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④</w:t>
            </w: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采集终端具备数据超限提醒功能，可自定义测量阈值，支持声光两种提醒方式；</w:t>
            </w:r>
          </w:p>
          <w:p w14:paraId="338E1E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⑤传感器上可显示电池电量；可以调节屏幕亮度；具有存储状态显示，可显示总容量和已使用容量。</w:t>
            </w:r>
          </w:p>
          <w:p w14:paraId="597236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color w:val="auto"/>
                <w:kern w:val="0"/>
                <w:sz w:val="21"/>
                <w:szCs w:val="21"/>
                <w:highlight w:val="none"/>
                <w:lang w:bidi="ar"/>
              </w:rPr>
              <w:t>⑥</w:t>
            </w: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不少于</w:t>
            </w:r>
            <w:r>
              <w:rPr>
                <w:rFonts w:hint="eastAsia" w:asciiTheme="minorEastAsia" w:hAnsiTheme="minorEastAsia" w:cstheme="minorEastAsia"/>
                <w:i w:val="0"/>
                <w:iCs w:val="0"/>
                <w:color w:val="auto"/>
                <w:kern w:val="2"/>
                <w:sz w:val="21"/>
                <w:szCs w:val="21"/>
                <w:highlight w:val="none"/>
                <w:u w:val="none"/>
                <w:lang w:val="en-US" w:eastAsia="zh-CN" w:bidi="ar-SA"/>
              </w:rPr>
              <w:t>2</w:t>
            </w: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路传感器拓展接口，可与其他传感器连接进行数据采集；传感器接口带防脱落自锁结构，可以防止实验过程中传感器脱落中断数据采集。</w:t>
            </w:r>
          </w:p>
          <w:p w14:paraId="709785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⑦具有不少于3个程控输出口，可以支持风扇、蜂鸣器、LED灯等。</w:t>
            </w:r>
          </w:p>
          <w:p w14:paraId="0F090D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⑧具备 USB 数据传输接口，内置无线模块，可以通过无线和有线两种方式与电脑进行通信。</w:t>
            </w:r>
          </w:p>
          <w:p w14:paraId="1038B0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⑨具有多种显示模式，包含数字显示、仪表显示、列表显示和曲线显示，且曲线显示可以进行横向和纵向放大。</w:t>
            </w:r>
          </w:p>
          <w:p w14:paraId="789E81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⑩具有手动采集和自动采集两种功能，并可以调节采集频率，可以直接在传感器上调节小数部分的显示位数。</w:t>
            </w:r>
          </w:p>
          <w:p w14:paraId="728AAA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2、电导率传感器：量程：0~20000us/cm，分辨率：10us/cm；传感器具有2个M5螺纹孔和通信指示灯；</w:t>
            </w:r>
          </w:p>
          <w:p w14:paraId="04541D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3、pH传感器：量程：0~14，分辨率：0.01；传感器具有2个M5螺纹孔和通信指示灯；</w:t>
            </w:r>
          </w:p>
          <w:p w14:paraId="1E28AF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4、相对压强传感器：量程：-20kPa~+20kPa，分辨率：0.01kPa，传感器具有2个M5螺纹孔和通信指示灯；</w:t>
            </w:r>
          </w:p>
          <w:p w14:paraId="21B970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5、温度传感器：量程：-50℃~+200℃，分辨率：0.01℃；传感器具有2个M5螺纹孔和通信指示灯；</w:t>
            </w:r>
          </w:p>
          <w:p w14:paraId="3C584F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6、电流传感器：量程：-3A~+3A，分辨率：0.01A；传感器具有2个M5螺纹孔和通信指示灯；</w:t>
            </w:r>
          </w:p>
          <w:p w14:paraId="431490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7、电压传感器：量程：-15V~+15V，分辨率：0.01V；传感器具有2个M5螺纹孔和通信指示灯；</w:t>
            </w:r>
          </w:p>
          <w:p w14:paraId="6E0EF8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8、软件包：包含数据分析软件、化学辅助实验采集软件、化学仿真实验系统：</w:t>
            </w:r>
          </w:p>
          <w:p w14:paraId="3A0F35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数据分析软件：配套实验分析系统软件，人机界面友好、简洁，要求为中文界面；自动识别新插入传感器并自动运行、支持多路传感器同时采集；实时显示实验数据或曲线，多种数据显示方式（包括数字、曲线、混合、列表）；内置重新实验公式，同时可以完全自定义公式，不套用模板，自主输入公式；具有多种采集模式（自动采集和手动采集，自动采集频率可选）；完善的数据统计和曲线分析功能：包含多种拟合方式、积分、放大、缩小等多种曲线分析功能；屏幕上的曲线图可上下、左右滚动或放大、缩小，自由选择所观察的部分，可以选定某段曲线进行分析；可将实验数据输出保存并导入。</w:t>
            </w:r>
          </w:p>
          <w:p w14:paraId="31D509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化学辅助实验采集软件：中文简体界面；是一款针对中学化学实验设计的专用软件，软件界面清晰整洁，自带实验模板，支持自动生成实验报告，每个实验模板具有该实验的实验原理、目的、器材、实验器材、实验操作步骤等。</w:t>
            </w:r>
          </w:p>
          <w:p w14:paraId="0FE83E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9、铝合金箱及各种配件：铝合金箱1个，传感器数据线4条，USB数据线2条，多向转接头1对，软件光盘1张，生化实验手册1本。</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7D9EA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4AA9B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7B6276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cs="宋体"/>
                <w:i w:val="0"/>
                <w:iCs w:val="0"/>
                <w:color w:val="auto"/>
                <w:kern w:val="0"/>
                <w:sz w:val="21"/>
                <w:szCs w:val="21"/>
                <w:u w:val="none"/>
                <w:lang w:val="en-US" w:eastAsia="zh-CN" w:bidi="ar"/>
              </w:rPr>
              <w:t>6110</w:t>
            </w:r>
            <w:r>
              <w:rPr>
                <w:rFonts w:hint="eastAsia" w:ascii="宋体" w:hAnsi="宋体" w:eastAsia="宋体" w:cs="宋体"/>
                <w:i w:val="0"/>
                <w:iCs w:val="0"/>
                <w:color w:val="auto"/>
                <w:kern w:val="0"/>
                <w:sz w:val="21"/>
                <w:szCs w:val="21"/>
                <w:u w:val="none"/>
                <w:lang w:val="en-US" w:eastAsia="zh-CN" w:bidi="ar"/>
              </w:rPr>
              <w:t>.00</w:t>
            </w:r>
            <w:r>
              <w:rPr>
                <w:rFonts w:hint="eastAsia" w:ascii="宋体" w:hAnsi="宋体" w:eastAsia="宋体" w:cs="宋体"/>
                <w:i w:val="0"/>
                <w:iCs w:val="0"/>
                <w:color w:val="auto"/>
                <w:kern w:val="0"/>
                <w:sz w:val="24"/>
                <w:szCs w:val="24"/>
                <w:u w:val="none"/>
                <w:lang w:val="en-US" w:eastAsia="zh-CN" w:bidi="ar"/>
              </w:rPr>
              <w:t xml:space="preserve"> </w:t>
            </w:r>
          </w:p>
        </w:tc>
      </w:tr>
      <w:tr w14:paraId="443124E9">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026B7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DBD3D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钢制黑板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4703E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1.尺寸及要求：不小于850mm×600mm，双面，黑板提手在长边边框中间安装牢靠，挂起或提拿时无明显歪斜；</w:t>
            </w:r>
          </w:p>
          <w:p w14:paraId="413517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2、钢制双面黑板，书写面为镀锌冷轧钢板制造，两钢板间为人造板，并与金属板黏结牢固；</w:t>
            </w:r>
            <w:r>
              <w:rPr>
                <w:rFonts w:hint="eastAsia" w:asciiTheme="minorEastAsia" w:hAnsiTheme="minorEastAsia" w:eastAsiaTheme="minorEastAsia" w:cstheme="minorEastAsia"/>
                <w:color w:val="auto"/>
                <w:kern w:val="0"/>
                <w:sz w:val="21"/>
                <w:szCs w:val="21"/>
                <w:highlight w:val="none"/>
                <w:lang w:bidi="ar"/>
              </w:rPr>
              <w:tab/>
            </w:r>
          </w:p>
          <w:p w14:paraId="10EBB3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3、无镜面反光，色泽均匀；</w:t>
            </w:r>
            <w:r>
              <w:rPr>
                <w:rFonts w:hint="eastAsia" w:asciiTheme="minorEastAsia" w:hAnsiTheme="minorEastAsia" w:eastAsiaTheme="minorEastAsia" w:cstheme="minorEastAsia"/>
                <w:color w:val="auto"/>
                <w:kern w:val="0"/>
                <w:sz w:val="21"/>
                <w:szCs w:val="21"/>
                <w:highlight w:val="none"/>
                <w:lang w:bidi="ar"/>
              </w:rPr>
              <w:tab/>
            </w:r>
          </w:p>
          <w:p w14:paraId="03106B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4、允许用绿白两用书写板代替；</w:t>
            </w:r>
            <w:r>
              <w:rPr>
                <w:rFonts w:hint="eastAsia" w:asciiTheme="minorEastAsia" w:hAnsiTheme="minorEastAsia" w:eastAsiaTheme="minorEastAsia" w:cstheme="minorEastAsia"/>
                <w:color w:val="auto"/>
                <w:kern w:val="0"/>
                <w:sz w:val="21"/>
                <w:szCs w:val="21"/>
                <w:highlight w:val="none"/>
                <w:lang w:bidi="ar"/>
              </w:rPr>
              <w:tab/>
            </w:r>
          </w:p>
          <w:p w14:paraId="1ADC53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5、使用普通或无尘粉笔时，应手感流畅、充实，笔迹清晰，经反复擦拭无明显遗留粉笔痕迹。</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05F08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D6606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11086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81.12 </w:t>
            </w:r>
          </w:p>
        </w:tc>
      </w:tr>
      <w:tr w14:paraId="01FB3061">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CAE84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BBF44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打孔器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01E96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1.产品为手持式打孔器，要求用优质钢材制造，刀刃硬度不低于HRC55；四件套；</w:t>
            </w:r>
            <w:r>
              <w:rPr>
                <w:rFonts w:hint="eastAsia" w:asciiTheme="minorEastAsia" w:hAnsiTheme="minorEastAsia" w:eastAsiaTheme="minorEastAsia" w:cstheme="minorEastAsia"/>
                <w:color w:val="auto"/>
                <w:kern w:val="0"/>
                <w:sz w:val="21"/>
                <w:szCs w:val="21"/>
                <w:highlight w:val="none"/>
                <w:lang w:bidi="ar"/>
              </w:rPr>
              <w:tab/>
            </w:r>
          </w:p>
          <w:p w14:paraId="29F47B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2、空心结构，一端带柄，一端有刃，刃口平整、锋利；</w:t>
            </w:r>
          </w:p>
          <w:p w14:paraId="4F5543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3、空管与手柄焊接牢固，使用中不得脱柄。</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75D3A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5F505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1A5CC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 </w:t>
            </w:r>
          </w:p>
        </w:tc>
      </w:tr>
      <w:tr w14:paraId="535A40FD">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FB936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F3DD9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打孔夹板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64A5B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1.产品由左夹板、右夹板、螺钉及紧固蝴蝶螺母等组成。</w:t>
            </w:r>
          </w:p>
          <w:p w14:paraId="5DA715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2．产品长220mm，宽35mm。</w:t>
            </w:r>
            <w:r>
              <w:rPr>
                <w:rFonts w:hint="eastAsia" w:asciiTheme="minorEastAsia" w:hAnsiTheme="minorEastAsia" w:eastAsiaTheme="minorEastAsia" w:cstheme="minorEastAsia"/>
                <w:color w:val="auto"/>
                <w:kern w:val="0"/>
                <w:sz w:val="21"/>
                <w:szCs w:val="21"/>
                <w:highlight w:val="none"/>
                <w:lang w:bidi="ar"/>
              </w:rPr>
              <w:tab/>
            </w:r>
          </w:p>
          <w:p w14:paraId="43CB7D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3．左、右夹板应由木质制成。</w:t>
            </w:r>
            <w:r>
              <w:rPr>
                <w:rFonts w:hint="eastAsia" w:asciiTheme="minorEastAsia" w:hAnsiTheme="minorEastAsia" w:eastAsiaTheme="minorEastAsia" w:cstheme="minorEastAsia"/>
                <w:color w:val="auto"/>
                <w:kern w:val="0"/>
                <w:sz w:val="21"/>
                <w:szCs w:val="21"/>
                <w:highlight w:val="none"/>
                <w:lang w:bidi="ar"/>
              </w:rPr>
              <w:tab/>
            </w:r>
          </w:p>
          <w:p w14:paraId="7541BE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4．上夹板有直径为6mm、8mm、10mm、12mm直穿孔4个。</w:t>
            </w:r>
          </w:p>
          <w:p w14:paraId="010A4F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5．紧固螺钉与下夹板紧固为一体，紧固螺钉长度40mm。上夹板上下高度可调，由蝴蝶螺母定位。</w:t>
            </w:r>
            <w:r>
              <w:rPr>
                <w:rFonts w:hint="eastAsia" w:asciiTheme="minorEastAsia" w:hAnsiTheme="minorEastAsia" w:eastAsiaTheme="minorEastAsia" w:cstheme="minorEastAsia"/>
                <w:color w:val="auto"/>
                <w:kern w:val="0"/>
                <w:sz w:val="21"/>
                <w:szCs w:val="21"/>
                <w:highlight w:val="none"/>
                <w:lang w:bidi="ar"/>
              </w:rPr>
              <w:tab/>
            </w:r>
          </w:p>
          <w:p w14:paraId="7A3186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6．上夹板、下夹板厚度13mm，具有足够强度。</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3454A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DAA7C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BE532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16.90 </w:t>
            </w:r>
          </w:p>
        </w:tc>
      </w:tr>
      <w:tr w14:paraId="41E5513E">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03CA0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333CE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打孔器刮刀</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46A58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1.采用金属材料制作，表面做防锈处理。</w:t>
            </w:r>
            <w:r>
              <w:rPr>
                <w:rFonts w:hint="eastAsia" w:asciiTheme="minorEastAsia" w:hAnsiTheme="minorEastAsia" w:eastAsiaTheme="minorEastAsia" w:cstheme="minorEastAsia"/>
                <w:color w:val="auto"/>
                <w:kern w:val="0"/>
                <w:sz w:val="21"/>
                <w:szCs w:val="21"/>
                <w:highlight w:val="none"/>
                <w:lang w:bidi="ar"/>
              </w:rPr>
              <w:tab/>
            </w:r>
          </w:p>
          <w:p w14:paraId="034663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2、表面光洁，大小适当，握持手感舒适。</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DBD1E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9BA70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78ED1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16.90 </w:t>
            </w:r>
          </w:p>
        </w:tc>
      </w:tr>
      <w:tr w14:paraId="3B07FCDB">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5D454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99982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手摇钻孔器（手摇打孔器、手摇钻）</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7E411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手摇式，不小于300mm，可装0-7mm钻头。</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C30FB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ED49A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8482C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84.50 </w:t>
            </w:r>
          </w:p>
        </w:tc>
      </w:tr>
      <w:tr w14:paraId="388A7081">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15612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87078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电动钻孔器（电动打孔器）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F3D87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电动钻孔器由电源开关、底座、电机罩、钻头夹、卡盘、卡盘手柄、锁紧螺母、给进手柄组成。</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30391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61FE5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86A0E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743.60 </w:t>
            </w:r>
          </w:p>
        </w:tc>
      </w:tr>
      <w:tr w14:paraId="56BF0D18">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9451C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1FAF5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仪器车</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B671B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1.规格尺寸不小于：590mm×400mm×800mm；</w:t>
            </w:r>
            <w:r>
              <w:rPr>
                <w:rFonts w:hint="eastAsia" w:asciiTheme="minorEastAsia" w:hAnsiTheme="minorEastAsia" w:eastAsiaTheme="minorEastAsia" w:cstheme="minorEastAsia"/>
                <w:color w:val="auto"/>
                <w:kern w:val="0"/>
                <w:sz w:val="21"/>
                <w:szCs w:val="21"/>
                <w:highlight w:val="none"/>
                <w:lang w:bidi="ar"/>
              </w:rPr>
              <w:tab/>
            </w:r>
          </w:p>
          <w:p w14:paraId="500D97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2、仪器车额定载重量为60kg，上、下层托盘承载重量均不小于60kg；</w:t>
            </w:r>
            <w:r>
              <w:rPr>
                <w:rFonts w:hint="eastAsia" w:asciiTheme="minorEastAsia" w:hAnsiTheme="minorEastAsia" w:eastAsiaTheme="minorEastAsia" w:cstheme="minorEastAsia"/>
                <w:color w:val="auto"/>
                <w:kern w:val="0"/>
                <w:sz w:val="21"/>
                <w:szCs w:val="21"/>
                <w:highlight w:val="none"/>
                <w:lang w:bidi="ar"/>
              </w:rPr>
              <w:tab/>
            </w:r>
          </w:p>
          <w:p w14:paraId="3C399E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3、采用双层结构，有上、下两层托盘，不锈钢材料；</w:t>
            </w:r>
            <w:r>
              <w:rPr>
                <w:rFonts w:hint="eastAsia" w:asciiTheme="minorEastAsia" w:hAnsiTheme="minorEastAsia" w:eastAsiaTheme="minorEastAsia" w:cstheme="minorEastAsia"/>
                <w:color w:val="auto"/>
                <w:kern w:val="0"/>
                <w:sz w:val="21"/>
                <w:szCs w:val="21"/>
                <w:highlight w:val="none"/>
                <w:lang w:bidi="ar"/>
              </w:rPr>
              <w:tab/>
            </w:r>
          </w:p>
          <w:p w14:paraId="3283DD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4、车架用不锈钢管制成；</w:t>
            </w:r>
            <w:r>
              <w:rPr>
                <w:rFonts w:hint="eastAsia" w:asciiTheme="minorEastAsia" w:hAnsiTheme="minorEastAsia" w:eastAsiaTheme="minorEastAsia" w:cstheme="minorEastAsia"/>
                <w:color w:val="auto"/>
                <w:kern w:val="0"/>
                <w:sz w:val="21"/>
                <w:szCs w:val="21"/>
                <w:highlight w:val="none"/>
                <w:lang w:bidi="ar"/>
              </w:rPr>
              <w:tab/>
            </w:r>
          </w:p>
          <w:p w14:paraId="680128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5、万向轮部件可以绕固定管作360º旋转；在仪器车载重为额定值时，车轮应转动灵活，并且万向轮的方向也能自动调整，无卡阻现象。</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7E3DA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5F531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辆</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F11DC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439.40 </w:t>
            </w:r>
          </w:p>
        </w:tc>
      </w:tr>
      <w:tr w14:paraId="3DFF9814">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AB226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50436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电动离心机</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93646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1.0-4000r/min,10mL×8；</w:t>
            </w:r>
            <w:r>
              <w:rPr>
                <w:rFonts w:hint="eastAsia" w:asciiTheme="minorEastAsia" w:hAnsiTheme="minorEastAsia" w:eastAsiaTheme="minorEastAsia" w:cstheme="minorEastAsia"/>
                <w:color w:val="auto"/>
                <w:kern w:val="0"/>
                <w:sz w:val="21"/>
                <w:szCs w:val="21"/>
                <w:highlight w:val="none"/>
                <w:lang w:bidi="ar"/>
              </w:rPr>
              <w:tab/>
            </w:r>
          </w:p>
          <w:p w14:paraId="0FF423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2、无刷电机，工作电压220V50Hz带电锁。</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BCC4B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10B9F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C6A9F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473.20 </w:t>
            </w:r>
          </w:p>
        </w:tc>
      </w:tr>
      <w:tr w14:paraId="39E65A35">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4FDB5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CF8F1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离心沉淀器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4DF63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1.产品为组合式，主要由齿轮变速箱1套，转台1套，试管4个组成；</w:t>
            </w:r>
            <w:r>
              <w:rPr>
                <w:rFonts w:hint="eastAsia" w:asciiTheme="minorEastAsia" w:hAnsiTheme="minorEastAsia" w:eastAsiaTheme="minorEastAsia" w:cstheme="minorEastAsia"/>
                <w:color w:val="auto"/>
                <w:kern w:val="0"/>
                <w:sz w:val="21"/>
                <w:szCs w:val="21"/>
                <w:highlight w:val="none"/>
                <w:lang w:bidi="ar"/>
              </w:rPr>
              <w:tab/>
            </w:r>
          </w:p>
          <w:p w14:paraId="4B6AC2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2、齿轮变速箱：塑钢材质，正面有手摇装置；</w:t>
            </w:r>
            <w:r>
              <w:rPr>
                <w:rFonts w:hint="eastAsia" w:asciiTheme="minorEastAsia" w:hAnsiTheme="minorEastAsia" w:eastAsiaTheme="minorEastAsia" w:cstheme="minorEastAsia"/>
                <w:color w:val="auto"/>
                <w:kern w:val="0"/>
                <w:sz w:val="21"/>
                <w:szCs w:val="21"/>
                <w:highlight w:val="none"/>
                <w:lang w:bidi="ar"/>
              </w:rPr>
              <w:tab/>
            </w:r>
          </w:p>
          <w:p w14:paraId="64EBC1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3、转台用金属制作；</w:t>
            </w:r>
            <w:r>
              <w:rPr>
                <w:rFonts w:hint="eastAsia" w:asciiTheme="minorEastAsia" w:hAnsiTheme="minorEastAsia" w:eastAsiaTheme="minorEastAsia" w:cstheme="minorEastAsia"/>
                <w:color w:val="auto"/>
                <w:kern w:val="0"/>
                <w:sz w:val="21"/>
                <w:szCs w:val="21"/>
                <w:highlight w:val="none"/>
                <w:lang w:bidi="ar"/>
              </w:rPr>
              <w:tab/>
            </w:r>
          </w:p>
          <w:p w14:paraId="63DC13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4、等分均匀分布试管环，表面镀锌防锈处理。</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27957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DF4F0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61F4C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87.88 </w:t>
            </w:r>
          </w:p>
        </w:tc>
      </w:tr>
      <w:tr w14:paraId="7D4F0570">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9B2A5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7944C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磁力加热搅拌器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0C874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1.搅拌速度：无级调速0-2000转/分；</w:t>
            </w:r>
            <w:r>
              <w:rPr>
                <w:rFonts w:hint="eastAsia" w:asciiTheme="minorEastAsia" w:hAnsiTheme="minorEastAsia" w:eastAsiaTheme="minorEastAsia" w:cstheme="minorEastAsia"/>
                <w:color w:val="auto"/>
                <w:kern w:val="0"/>
                <w:sz w:val="21"/>
                <w:szCs w:val="21"/>
                <w:highlight w:val="none"/>
                <w:lang w:bidi="ar"/>
              </w:rPr>
              <w:tab/>
            </w:r>
          </w:p>
          <w:p w14:paraId="65E7F7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2、加热温度：室温至400℃；</w:t>
            </w:r>
            <w:r>
              <w:rPr>
                <w:rFonts w:hint="eastAsia" w:asciiTheme="minorEastAsia" w:hAnsiTheme="minorEastAsia" w:eastAsiaTheme="minorEastAsia" w:cstheme="minorEastAsia"/>
                <w:color w:val="auto"/>
                <w:kern w:val="0"/>
                <w:sz w:val="21"/>
                <w:szCs w:val="21"/>
                <w:highlight w:val="none"/>
                <w:lang w:bidi="ar"/>
              </w:rPr>
              <w:tab/>
            </w:r>
          </w:p>
          <w:p w14:paraId="70D115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3、控温方式：自动；</w:t>
            </w:r>
            <w:r>
              <w:rPr>
                <w:rFonts w:hint="eastAsia" w:asciiTheme="minorEastAsia" w:hAnsiTheme="minorEastAsia" w:eastAsiaTheme="minorEastAsia" w:cstheme="minorEastAsia"/>
                <w:color w:val="auto"/>
                <w:kern w:val="0"/>
                <w:sz w:val="21"/>
                <w:szCs w:val="21"/>
                <w:highlight w:val="none"/>
                <w:lang w:bidi="ar"/>
              </w:rPr>
              <w:tab/>
            </w:r>
          </w:p>
          <w:p w14:paraId="441BE3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4、工作电压：220V/50Hz，加热功率：150W，电动功率25W。</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BB143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6B41C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B9B53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219.70 </w:t>
            </w:r>
          </w:p>
        </w:tc>
      </w:tr>
      <w:tr w14:paraId="2265A17E">
        <w:tblPrEx>
          <w:tblCellMar>
            <w:top w:w="0" w:type="dxa"/>
            <w:left w:w="108" w:type="dxa"/>
            <w:bottom w:w="0" w:type="dxa"/>
            <w:right w:w="108" w:type="dxa"/>
          </w:tblCellMar>
        </w:tblPrEx>
        <w:trPr>
          <w:trHeight w:val="708"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D30B44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C2762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金属酒精灯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3C820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不锈钢制灯帽、不锈钢缸体。</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BC22A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F06F1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8E334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 </w:t>
            </w:r>
          </w:p>
        </w:tc>
      </w:tr>
      <w:tr w14:paraId="3F48C305">
        <w:tblPrEx>
          <w:tblCellMar>
            <w:top w:w="0" w:type="dxa"/>
            <w:left w:w="108" w:type="dxa"/>
            <w:bottom w:w="0" w:type="dxa"/>
            <w:right w:w="108" w:type="dxa"/>
          </w:tblCellMar>
        </w:tblPrEx>
        <w:trPr>
          <w:trHeight w:val="658"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CA8D8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D181C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酒精喷灯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AC0F0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结构为座式。金属制作，壁厚1mm，火焰温度可达900摄氏度。</w:t>
            </w:r>
            <w:r>
              <w:rPr>
                <w:rFonts w:hint="eastAsia" w:asciiTheme="minorEastAsia" w:hAnsiTheme="minorEastAsia" w:eastAsiaTheme="minorEastAsia" w:cstheme="minorEastAsia"/>
                <w:color w:val="auto"/>
                <w:kern w:val="0"/>
                <w:sz w:val="21"/>
                <w:szCs w:val="21"/>
                <w:highlight w:val="none"/>
                <w:lang w:bidi="ar"/>
              </w:rPr>
              <w:tab/>
            </w:r>
          </w:p>
          <w:p w14:paraId="71C3F8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1、主要由壶体、预燃杯、壶嘴、喷管、火苗调节杆组成；</w:t>
            </w:r>
          </w:p>
          <w:p w14:paraId="0155DF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2、壶体外形尺寸：容量250ml；</w:t>
            </w:r>
            <w:r>
              <w:rPr>
                <w:rFonts w:hint="eastAsia" w:asciiTheme="minorEastAsia" w:hAnsiTheme="minorEastAsia" w:eastAsiaTheme="minorEastAsia" w:cstheme="minorEastAsia"/>
                <w:color w:val="auto"/>
                <w:kern w:val="0"/>
                <w:sz w:val="21"/>
                <w:szCs w:val="21"/>
                <w:highlight w:val="none"/>
                <w:lang w:bidi="ar"/>
              </w:rPr>
              <w:tab/>
            </w:r>
          </w:p>
          <w:p w14:paraId="269964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3、喷管与壶体连接螺纹、壶体密封盖无漏气现象；</w:t>
            </w:r>
            <w:r>
              <w:rPr>
                <w:rFonts w:hint="eastAsia" w:asciiTheme="minorEastAsia" w:hAnsiTheme="minorEastAsia" w:eastAsiaTheme="minorEastAsia" w:cstheme="minorEastAsia"/>
                <w:color w:val="auto"/>
                <w:kern w:val="0"/>
                <w:sz w:val="21"/>
                <w:szCs w:val="21"/>
                <w:highlight w:val="none"/>
                <w:lang w:bidi="ar"/>
              </w:rPr>
              <w:tab/>
            </w:r>
          </w:p>
          <w:p w14:paraId="22C750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4、焊接部位应焊接牢固、光滑。</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D822D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6B04D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E9B77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135.20 </w:t>
            </w:r>
          </w:p>
        </w:tc>
      </w:tr>
      <w:tr w14:paraId="72931485">
        <w:tblPrEx>
          <w:tblCellMar>
            <w:top w:w="0" w:type="dxa"/>
            <w:left w:w="108" w:type="dxa"/>
            <w:bottom w:w="0" w:type="dxa"/>
            <w:right w:w="108" w:type="dxa"/>
          </w:tblCellMar>
        </w:tblPrEx>
        <w:trPr>
          <w:trHeight w:val="658"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BE056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9A41F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电加热器（电炉）</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B2525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密封式；</w:t>
            </w:r>
            <w:r>
              <w:rPr>
                <w:rFonts w:hint="eastAsia" w:asciiTheme="minorEastAsia" w:hAnsiTheme="minorEastAsia" w:eastAsiaTheme="minorEastAsia" w:cstheme="minorEastAsia"/>
                <w:color w:val="auto"/>
                <w:kern w:val="0"/>
                <w:sz w:val="21"/>
                <w:szCs w:val="21"/>
                <w:highlight w:val="none"/>
                <w:lang w:bidi="ar"/>
              </w:rPr>
              <w:tab/>
            </w:r>
          </w:p>
          <w:p w14:paraId="34DDF82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1、工作电源：AC220V50Hz；</w:t>
            </w:r>
            <w:r>
              <w:rPr>
                <w:rFonts w:hint="eastAsia" w:asciiTheme="minorEastAsia" w:hAnsiTheme="minorEastAsia" w:eastAsiaTheme="minorEastAsia" w:cstheme="minorEastAsia"/>
                <w:color w:val="auto"/>
                <w:kern w:val="0"/>
                <w:sz w:val="21"/>
                <w:szCs w:val="21"/>
                <w:highlight w:val="none"/>
                <w:lang w:bidi="ar"/>
              </w:rPr>
              <w:tab/>
            </w:r>
          </w:p>
          <w:p w14:paraId="66F85D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2、额定功率：1000W。</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31721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39F39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4070D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87.88 </w:t>
            </w:r>
          </w:p>
        </w:tc>
      </w:tr>
      <w:tr w14:paraId="551B199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84D16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CE0B4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蒸馏水器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62791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1.实验室设备，整体采用全不锈钢金属材质，用于生产蒸馏水；</w:t>
            </w:r>
          </w:p>
          <w:p w14:paraId="42AE4C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2、整体结构由蒸发锅、冷凝器、加热部分等组成，蒸发锅采用优质不锈钢薄板，经过滚动、延伸与先进的焊接方法加工而成；</w:t>
            </w:r>
            <w:r>
              <w:rPr>
                <w:rFonts w:hint="eastAsia" w:asciiTheme="minorEastAsia" w:hAnsiTheme="minorEastAsia" w:eastAsiaTheme="minorEastAsia" w:cstheme="minorEastAsia"/>
                <w:color w:val="auto"/>
                <w:kern w:val="0"/>
                <w:sz w:val="21"/>
                <w:szCs w:val="21"/>
                <w:highlight w:val="none"/>
                <w:lang w:bidi="ar"/>
              </w:rPr>
              <w:tab/>
            </w:r>
          </w:p>
          <w:p w14:paraId="57C04C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3、出水量：不小于5升/小时。</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FCBDB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64837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F7D79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946.40 </w:t>
            </w:r>
          </w:p>
        </w:tc>
      </w:tr>
      <w:tr w14:paraId="40430E1C">
        <w:tblPrEx>
          <w:tblCellMar>
            <w:top w:w="0" w:type="dxa"/>
            <w:left w:w="108" w:type="dxa"/>
            <w:bottom w:w="0" w:type="dxa"/>
            <w:right w:w="108" w:type="dxa"/>
          </w:tblCellMar>
        </w:tblPrEx>
        <w:trPr>
          <w:trHeight w:val="1003"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81823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420DC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列管式烘干器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380DE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1.上盖、下底、列管、加热器、风扇、电源线组成；</w:t>
            </w:r>
            <w:r>
              <w:rPr>
                <w:rFonts w:hint="eastAsia" w:asciiTheme="minorEastAsia" w:hAnsiTheme="minorEastAsia" w:eastAsiaTheme="minorEastAsia" w:cstheme="minorEastAsia"/>
                <w:color w:val="auto"/>
                <w:kern w:val="0"/>
                <w:sz w:val="21"/>
                <w:szCs w:val="21"/>
                <w:highlight w:val="none"/>
                <w:lang w:bidi="ar"/>
              </w:rPr>
              <w:tab/>
            </w:r>
          </w:p>
          <w:p w14:paraId="637476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2、工程塑料制作；</w:t>
            </w:r>
            <w:r>
              <w:rPr>
                <w:rFonts w:hint="eastAsia" w:asciiTheme="minorEastAsia" w:hAnsiTheme="minorEastAsia" w:eastAsiaTheme="minorEastAsia" w:cstheme="minorEastAsia"/>
                <w:color w:val="auto"/>
                <w:kern w:val="0"/>
                <w:sz w:val="21"/>
                <w:szCs w:val="21"/>
                <w:highlight w:val="none"/>
                <w:lang w:bidi="ar"/>
              </w:rPr>
              <w:tab/>
            </w:r>
          </w:p>
          <w:p w14:paraId="2CF64D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3、性能：工作电压：AC220V、50Hz；加热功率：220W；干燥气流温度50℃～60℃；绝缘电阻大于20MΩ；</w:t>
            </w:r>
            <w:r>
              <w:rPr>
                <w:rFonts w:hint="eastAsia" w:asciiTheme="minorEastAsia" w:hAnsiTheme="minorEastAsia" w:eastAsiaTheme="minorEastAsia" w:cstheme="minorEastAsia"/>
                <w:color w:val="auto"/>
                <w:kern w:val="0"/>
                <w:sz w:val="21"/>
                <w:szCs w:val="21"/>
                <w:highlight w:val="none"/>
                <w:lang w:bidi="ar"/>
              </w:rPr>
              <w:tab/>
            </w:r>
          </w:p>
          <w:p w14:paraId="2261A2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4、工作温度：-20℃～40℃。</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80E45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E7AE4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3FEE3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338.00 </w:t>
            </w:r>
          </w:p>
        </w:tc>
      </w:tr>
      <w:tr w14:paraId="17977BBA">
        <w:tblPrEx>
          <w:tblCellMar>
            <w:top w:w="0" w:type="dxa"/>
            <w:left w:w="108" w:type="dxa"/>
            <w:bottom w:w="0" w:type="dxa"/>
            <w:right w:w="108" w:type="dxa"/>
          </w:tblCellMar>
        </w:tblPrEx>
        <w:trPr>
          <w:trHeight w:val="98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D479C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38C42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烘干箱</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40368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≥80L，尺寸为465*465*740mm。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25577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53486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FE66A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1521.00 </w:t>
            </w:r>
          </w:p>
        </w:tc>
      </w:tr>
      <w:tr w14:paraId="0A4A3E31">
        <w:tblPrEx>
          <w:tblCellMar>
            <w:top w:w="0" w:type="dxa"/>
            <w:left w:w="108" w:type="dxa"/>
            <w:bottom w:w="0" w:type="dxa"/>
            <w:right w:w="108" w:type="dxa"/>
          </w:tblCellMar>
        </w:tblPrEx>
        <w:trPr>
          <w:trHeight w:val="69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52503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C62E2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电冰箱</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B504B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1.适用于实验室设备，制取低温物品，保存生化制剂；</w:t>
            </w:r>
          </w:p>
          <w:p w14:paraId="3E7262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2、双门有效容积不小于218L。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81AF7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9F848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4D5BA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3278.60 </w:t>
            </w:r>
          </w:p>
        </w:tc>
      </w:tr>
      <w:tr w14:paraId="28A927C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1C3D9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8C15E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水浴锅</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7F728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1.中学化学实验用的常用仪器，适用于必须使被加热物质均匀受热，而温度不超过100℃时的间接加热；</w:t>
            </w:r>
            <w:r>
              <w:rPr>
                <w:rFonts w:hint="eastAsia" w:asciiTheme="minorEastAsia" w:hAnsiTheme="minorEastAsia" w:eastAsiaTheme="minorEastAsia" w:cstheme="minorEastAsia"/>
                <w:color w:val="auto"/>
                <w:kern w:val="0"/>
                <w:sz w:val="21"/>
                <w:szCs w:val="21"/>
                <w:highlight w:val="none"/>
                <w:lang w:bidi="ar"/>
              </w:rPr>
              <w:tab/>
            </w:r>
          </w:p>
          <w:p w14:paraId="1B9DAB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2、结构为紫铜制品，均冲压成形，其规格为Φ150mm×73mm。容积为120ml，盖由从小到大的五层圈组成。</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CA7F6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1AB2E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339CF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405.60 </w:t>
            </w:r>
          </w:p>
        </w:tc>
      </w:tr>
      <w:tr w14:paraId="7468AD5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C5673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8311C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保温漏斗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C0679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保温漏斗整体用约0.5mm厚的黄铜皮制成。</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B6E0B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CB29C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7C3BD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135.20 </w:t>
            </w:r>
          </w:p>
        </w:tc>
      </w:tr>
      <w:tr w14:paraId="1DAAB12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80B34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C1D78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塑料洗瓶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37502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250mL，密封性好，不漏气。</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13A56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3CB92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A453E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 </w:t>
            </w:r>
          </w:p>
        </w:tc>
      </w:tr>
      <w:tr w14:paraId="2FDC43A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82188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0C36D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试剂瓶托盘</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F92C7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1.ABS工程塑料制品；</w:t>
            </w:r>
            <w:r>
              <w:rPr>
                <w:rFonts w:hint="eastAsia" w:asciiTheme="minorEastAsia" w:hAnsiTheme="minorEastAsia" w:eastAsiaTheme="minorEastAsia" w:cstheme="minorEastAsia"/>
                <w:color w:val="auto"/>
                <w:kern w:val="0"/>
                <w:sz w:val="21"/>
                <w:szCs w:val="21"/>
                <w:highlight w:val="none"/>
                <w:lang w:bidi="ar"/>
              </w:rPr>
              <w:tab/>
            </w:r>
          </w:p>
          <w:p w14:paraId="78908D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2、托盘质量应保证不易老化，变脆和开裂等；</w:t>
            </w:r>
            <w:r>
              <w:rPr>
                <w:rFonts w:hint="eastAsia" w:asciiTheme="minorEastAsia" w:hAnsiTheme="minorEastAsia" w:eastAsiaTheme="minorEastAsia" w:cstheme="minorEastAsia"/>
                <w:color w:val="auto"/>
                <w:kern w:val="0"/>
                <w:sz w:val="21"/>
                <w:szCs w:val="21"/>
                <w:highlight w:val="none"/>
                <w:lang w:bidi="ar"/>
              </w:rPr>
              <w:tab/>
            </w:r>
          </w:p>
          <w:p w14:paraId="408E1B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3、托盘厚度≥2mm，四周及底面有加强筋，应满足承重要求。</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CB338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5F834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E00E0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 </w:t>
            </w:r>
          </w:p>
        </w:tc>
      </w:tr>
      <w:tr w14:paraId="313472A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ECBE5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76C0D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实验用品提篮</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0D2E2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提篮的整体为木制，稳定性好，提篮手柄高度为380mm，提篮长度不小于490mm，提篮宽度不小于300mm；提篮深度不小于120mm。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0D5FB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D4B20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C3E34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101.40 </w:t>
            </w:r>
          </w:p>
        </w:tc>
      </w:tr>
      <w:tr w14:paraId="0F624E7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84BB6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ACDC7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塑料水槽</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DDCA1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1.长方形透明水槽里口尺寸：270×195×100mm，槽壁不得有明显的不平。</w:t>
            </w:r>
            <w:r>
              <w:rPr>
                <w:rFonts w:hint="eastAsia" w:asciiTheme="minorEastAsia" w:hAnsiTheme="minorEastAsia" w:eastAsiaTheme="minorEastAsia" w:cstheme="minorEastAsia"/>
                <w:color w:val="auto"/>
                <w:kern w:val="0"/>
                <w:sz w:val="21"/>
                <w:szCs w:val="21"/>
                <w:highlight w:val="none"/>
                <w:lang w:bidi="ar"/>
              </w:rPr>
              <w:tab/>
            </w:r>
          </w:p>
          <w:p w14:paraId="6E0CA2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2．水槽应不因温度和盛水时重力的影响而发生形变（水温40℃</w:t>
            </w:r>
            <w:r>
              <w:rPr>
                <w:rFonts w:hint="eastAsia" w:asciiTheme="minorEastAsia" w:hAnsiTheme="minorEastAsia" w:eastAsiaTheme="minorEastAsia" w:cstheme="minorEastAsia"/>
                <w:color w:val="auto"/>
                <w:kern w:val="0"/>
                <w:sz w:val="21"/>
                <w:szCs w:val="21"/>
                <w:highlight w:val="none"/>
                <w:lang w:bidi="ar"/>
              </w:rPr>
              <w:tab/>
            </w:r>
          </w:p>
          <w:p w14:paraId="7DD996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3．水槽应能在高度1M处自由下落于水泥地面时不碎裂。</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8EEC4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9A6B5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A7F81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8.79 </w:t>
            </w:r>
          </w:p>
        </w:tc>
      </w:tr>
      <w:tr w14:paraId="58DDE39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431EA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5D656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碘升华凝华管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C2373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1.产品的造型为密封的T型玻璃瓶；</w:t>
            </w:r>
            <w:r>
              <w:rPr>
                <w:rFonts w:hint="eastAsia" w:asciiTheme="minorEastAsia" w:hAnsiTheme="minorEastAsia" w:eastAsiaTheme="minorEastAsia" w:cstheme="minorEastAsia"/>
                <w:color w:val="auto"/>
                <w:kern w:val="0"/>
                <w:sz w:val="21"/>
                <w:szCs w:val="21"/>
                <w:highlight w:val="none"/>
                <w:lang w:bidi="ar"/>
              </w:rPr>
              <w:tab/>
            </w:r>
          </w:p>
          <w:p w14:paraId="449CF2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2、玻璃瓶用95号玻璃制成，</w:t>
            </w:r>
            <w:r>
              <w:rPr>
                <w:rFonts w:hint="eastAsia" w:asciiTheme="minorEastAsia" w:hAnsiTheme="minorEastAsia" w:eastAsiaTheme="minorEastAsia" w:cstheme="minorEastAsia"/>
                <w:color w:val="auto"/>
                <w:kern w:val="0"/>
                <w:sz w:val="21"/>
                <w:szCs w:val="21"/>
                <w:highlight w:val="none"/>
                <w:lang w:bidi="ar"/>
              </w:rPr>
              <w:tab/>
            </w:r>
          </w:p>
          <w:p w14:paraId="0B59E1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3、玻璃瓶应光洁透明，无波纹和疵病，密封完好无裂缝、砂眼。</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067D0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4E018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3A94B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6.08 </w:t>
            </w:r>
          </w:p>
        </w:tc>
      </w:tr>
      <w:tr w14:paraId="10D91D9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DAA7C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F44F0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聚光小手电筒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834D0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LED节能，充电式，塑料材质。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5528C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0A874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41D55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7720969D">
        <w:tblPrEx>
          <w:tblCellMar>
            <w:top w:w="0" w:type="dxa"/>
            <w:left w:w="108" w:type="dxa"/>
            <w:bottom w:w="0" w:type="dxa"/>
            <w:right w:w="108" w:type="dxa"/>
          </w:tblCellMar>
        </w:tblPrEx>
        <w:trPr>
          <w:trHeight w:val="558"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70752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65901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方座支架（铁架台）</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46C81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由底座、立杆、烧瓶夹，大小铁环，十字夹等组成。</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7980B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8F7DD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85832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67.60 </w:t>
            </w:r>
          </w:p>
        </w:tc>
      </w:tr>
      <w:tr w14:paraId="62C7B3F1">
        <w:tblPrEx>
          <w:tblCellMar>
            <w:top w:w="0" w:type="dxa"/>
            <w:left w:w="108" w:type="dxa"/>
            <w:bottom w:w="0" w:type="dxa"/>
            <w:right w:w="108" w:type="dxa"/>
          </w:tblCellMar>
        </w:tblPrEx>
        <w:trPr>
          <w:trHeight w:val="54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1B8A3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BD35E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万能夹</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3058B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产品由夹杆、夹头组成。夹头分两爪，铝合金压铸成夹叉形，夹口为张紧螺丝张口，每一夹叉上均粘接橡胶垫。</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20366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FA1D4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81A36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 </w:t>
            </w:r>
          </w:p>
        </w:tc>
      </w:tr>
      <w:tr w14:paraId="4ED82850">
        <w:tblPrEx>
          <w:tblCellMar>
            <w:top w:w="0" w:type="dxa"/>
            <w:left w:w="108" w:type="dxa"/>
            <w:bottom w:w="0" w:type="dxa"/>
            <w:right w:w="108" w:type="dxa"/>
          </w:tblCellMar>
        </w:tblPrEx>
        <w:trPr>
          <w:trHeight w:val="658"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BAB48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FF466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三脚架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8E1B4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1.由铁环和3只脚组成；</w:t>
            </w:r>
            <w:r>
              <w:rPr>
                <w:rFonts w:hint="eastAsia" w:asciiTheme="minorEastAsia" w:hAnsiTheme="minorEastAsia" w:eastAsiaTheme="minorEastAsia" w:cstheme="minorEastAsia"/>
                <w:color w:val="auto"/>
                <w:kern w:val="0"/>
                <w:sz w:val="21"/>
                <w:szCs w:val="21"/>
                <w:highlight w:val="none"/>
                <w:lang w:bidi="ar"/>
              </w:rPr>
              <w:tab/>
            </w:r>
          </w:p>
          <w:p w14:paraId="634435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2、三只脚与铁环焊接紧固，脚距相等，立放台上时圆环应与台面平行，所支承的容器不得有滑动。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034E1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7543A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DD8FC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6.08 </w:t>
            </w:r>
          </w:p>
        </w:tc>
      </w:tr>
      <w:tr w14:paraId="5728B17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AF64A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53214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泥三角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3794B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1.金属丝外套石棉筒；</w:t>
            </w:r>
            <w:r>
              <w:rPr>
                <w:rFonts w:hint="eastAsia" w:asciiTheme="minorEastAsia" w:hAnsiTheme="minorEastAsia" w:eastAsiaTheme="minorEastAsia" w:cstheme="minorEastAsia"/>
                <w:color w:val="auto"/>
                <w:kern w:val="0"/>
                <w:sz w:val="21"/>
                <w:szCs w:val="21"/>
                <w:highlight w:val="none"/>
                <w:lang w:bidi="ar"/>
              </w:rPr>
              <w:tab/>
            </w:r>
          </w:p>
          <w:p w14:paraId="017E3D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2、等边三角形的单边长不小于55㎜。</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9B1F2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31B2E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F870F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 </w:t>
            </w:r>
          </w:p>
        </w:tc>
      </w:tr>
      <w:tr w14:paraId="716D4BA5">
        <w:tblPrEx>
          <w:tblCellMar>
            <w:top w:w="0" w:type="dxa"/>
            <w:left w:w="108" w:type="dxa"/>
            <w:bottom w:w="0" w:type="dxa"/>
            <w:right w:w="108" w:type="dxa"/>
          </w:tblCellMar>
        </w:tblPrEx>
        <w:trPr>
          <w:trHeight w:val="574"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1B729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61929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ABB72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1.塑料制、注塑成型；</w:t>
            </w:r>
            <w:r>
              <w:rPr>
                <w:rFonts w:hint="eastAsia" w:asciiTheme="minorEastAsia" w:hAnsiTheme="minorEastAsia" w:eastAsiaTheme="minorEastAsia" w:cstheme="minorEastAsia"/>
                <w:color w:val="auto"/>
                <w:kern w:val="0"/>
                <w:sz w:val="21"/>
                <w:szCs w:val="21"/>
                <w:highlight w:val="none"/>
                <w:lang w:bidi="ar"/>
              </w:rPr>
              <w:tab/>
            </w:r>
          </w:p>
          <w:p w14:paraId="385DE3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2、产品由顶板、底板、插杆组成，8孔。</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F15FD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47C66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261F3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5.41 </w:t>
            </w:r>
          </w:p>
        </w:tc>
      </w:tr>
      <w:tr w14:paraId="68A06E1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FD0F5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0F927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漏斗架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E515F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1.产品由支承板、底板、立柱等组成；</w:t>
            </w:r>
            <w:r>
              <w:rPr>
                <w:rFonts w:hint="eastAsia" w:asciiTheme="minorEastAsia" w:hAnsiTheme="minorEastAsia" w:eastAsiaTheme="minorEastAsia" w:cstheme="minorEastAsia"/>
                <w:color w:val="auto"/>
                <w:kern w:val="0"/>
                <w:sz w:val="21"/>
                <w:szCs w:val="21"/>
                <w:highlight w:val="none"/>
                <w:lang w:bidi="ar"/>
              </w:rPr>
              <w:tab/>
            </w:r>
          </w:p>
          <w:p w14:paraId="64D709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2、全木质结构，支承板，板上布有2个圆孔；</w:t>
            </w:r>
            <w:r>
              <w:rPr>
                <w:rFonts w:hint="eastAsia" w:asciiTheme="minorEastAsia" w:hAnsiTheme="minorEastAsia" w:eastAsiaTheme="minorEastAsia" w:cstheme="minorEastAsia"/>
                <w:color w:val="auto"/>
                <w:kern w:val="0"/>
                <w:sz w:val="21"/>
                <w:szCs w:val="21"/>
                <w:highlight w:val="none"/>
                <w:lang w:bidi="ar"/>
              </w:rPr>
              <w:tab/>
            </w:r>
          </w:p>
          <w:p w14:paraId="4A79B4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3、立杆垂直，支承板的高度应能方便调整且紧固可靠。</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6A376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952A4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02A89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16.90 </w:t>
            </w:r>
          </w:p>
        </w:tc>
      </w:tr>
      <w:tr w14:paraId="15B9423D">
        <w:tblPrEx>
          <w:tblCellMar>
            <w:top w:w="0" w:type="dxa"/>
            <w:left w:w="108" w:type="dxa"/>
            <w:bottom w:w="0" w:type="dxa"/>
            <w:right w:w="108" w:type="dxa"/>
          </w:tblCellMar>
        </w:tblPrEx>
        <w:trPr>
          <w:trHeight w:val="74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331E1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63F09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滴定台</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4E472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产品由底座、立杆及附件组成。</w:t>
            </w:r>
            <w:r>
              <w:rPr>
                <w:rFonts w:hint="eastAsia" w:asciiTheme="minorEastAsia" w:hAnsiTheme="minorEastAsia" w:eastAsiaTheme="minorEastAsia" w:cstheme="minorEastAsia"/>
                <w:color w:val="auto"/>
                <w:kern w:val="0"/>
                <w:sz w:val="21"/>
                <w:szCs w:val="21"/>
                <w:highlight w:val="none"/>
                <w:lang w:bidi="ar"/>
              </w:rPr>
              <w:tab/>
            </w:r>
          </w:p>
          <w:p w14:paraId="610F89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1、支架由大理石制成；</w:t>
            </w:r>
            <w:r>
              <w:rPr>
                <w:rFonts w:hint="eastAsia" w:asciiTheme="minorEastAsia" w:hAnsiTheme="minorEastAsia" w:eastAsiaTheme="minorEastAsia" w:cstheme="minorEastAsia"/>
                <w:color w:val="auto"/>
                <w:kern w:val="0"/>
                <w:sz w:val="21"/>
                <w:szCs w:val="21"/>
                <w:highlight w:val="none"/>
                <w:lang w:bidi="ar"/>
              </w:rPr>
              <w:tab/>
            </w:r>
          </w:p>
          <w:p w14:paraId="0120AD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2、立杆表面镀铬，立杆与方座组装后应垂直；</w:t>
            </w:r>
            <w:r>
              <w:rPr>
                <w:rFonts w:hint="eastAsia" w:asciiTheme="minorEastAsia" w:hAnsiTheme="minorEastAsia" w:eastAsiaTheme="minorEastAsia" w:cstheme="minorEastAsia"/>
                <w:color w:val="auto"/>
                <w:kern w:val="0"/>
                <w:sz w:val="21"/>
                <w:szCs w:val="21"/>
                <w:highlight w:val="none"/>
                <w:lang w:bidi="ar"/>
              </w:rPr>
              <w:tab/>
            </w:r>
          </w:p>
          <w:p w14:paraId="6AF841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3、滴定夹的高度应能方便调整且紧固可靠；</w:t>
            </w:r>
            <w:r>
              <w:rPr>
                <w:rFonts w:hint="eastAsia" w:asciiTheme="minorEastAsia" w:hAnsiTheme="minorEastAsia" w:eastAsiaTheme="minorEastAsia" w:cstheme="minorEastAsia"/>
                <w:color w:val="auto"/>
                <w:kern w:val="0"/>
                <w:sz w:val="21"/>
                <w:szCs w:val="21"/>
                <w:highlight w:val="none"/>
                <w:lang w:bidi="ar"/>
              </w:rPr>
              <w:tab/>
            </w:r>
          </w:p>
          <w:p w14:paraId="24B30C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4、整套产品有足够的平稳度，底座耐碱。采用钢材，防锈处理及表面环保油漆涂层精制而成。</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B20DA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73ACB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51316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30.42 </w:t>
            </w:r>
          </w:p>
        </w:tc>
      </w:tr>
      <w:tr w14:paraId="3D3650F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60634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4C9DD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滴定夹</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79AAC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1.产品由铝合金制，外形为蝶形夹持，每侧的两夹夹持中心同轴，用螺丝或弹簧控制，可同时在左、右夹持一支滴定管，夹持质量为1KG，确保滴定管夹持后与水平面垂直；</w:t>
            </w:r>
          </w:p>
          <w:p w14:paraId="77A601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2、各夹头上装有软质护套。</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7D80C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14AA3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20E97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11.83 </w:t>
            </w:r>
          </w:p>
        </w:tc>
      </w:tr>
      <w:tr w14:paraId="219ACEC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38B10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CED09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多用滴管架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D515B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1.产品选用聚丙烯塑料注塑而成，无毒、环保、性能好；</w:t>
            </w:r>
          </w:p>
          <w:p w14:paraId="4ED7C6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2、多用滴管架由支架2个，横杆3根组成；</w:t>
            </w:r>
            <w:r>
              <w:rPr>
                <w:rFonts w:hint="eastAsia" w:asciiTheme="minorEastAsia" w:hAnsiTheme="minorEastAsia" w:eastAsiaTheme="minorEastAsia" w:cstheme="minorEastAsia"/>
                <w:color w:val="auto"/>
                <w:kern w:val="0"/>
                <w:sz w:val="21"/>
                <w:szCs w:val="21"/>
                <w:highlight w:val="none"/>
                <w:lang w:bidi="ar"/>
              </w:rPr>
              <w:tab/>
            </w:r>
          </w:p>
          <w:p w14:paraId="2DBF8F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3、支架为塑料制作；</w:t>
            </w:r>
            <w:r>
              <w:rPr>
                <w:rFonts w:hint="eastAsia" w:asciiTheme="minorEastAsia" w:hAnsiTheme="minorEastAsia" w:eastAsiaTheme="minorEastAsia" w:cstheme="minorEastAsia"/>
                <w:color w:val="auto"/>
                <w:kern w:val="0"/>
                <w:sz w:val="21"/>
                <w:szCs w:val="21"/>
                <w:highlight w:val="none"/>
                <w:lang w:bidi="ar"/>
              </w:rPr>
              <w:tab/>
            </w:r>
          </w:p>
          <w:p w14:paraId="3A91D1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4、横杆为塑料制作；</w:t>
            </w:r>
            <w:r>
              <w:rPr>
                <w:rFonts w:hint="eastAsia" w:asciiTheme="minorEastAsia" w:hAnsiTheme="minorEastAsia" w:eastAsiaTheme="minorEastAsia" w:cstheme="minorEastAsia"/>
                <w:color w:val="auto"/>
                <w:kern w:val="0"/>
                <w:sz w:val="21"/>
                <w:szCs w:val="21"/>
                <w:highlight w:val="none"/>
                <w:lang w:bidi="ar"/>
              </w:rPr>
              <w:tab/>
            </w:r>
          </w:p>
          <w:p w14:paraId="7344E5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5、支架与横杆插装后应摆放平稳。</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C3393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D9C57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F2B7E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5.41 </w:t>
            </w:r>
          </w:p>
        </w:tc>
      </w:tr>
      <w:tr w14:paraId="5C15D9C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E3B00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74B58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移液管架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ACC26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塑料制品8孔。</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44450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0BC55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5A592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1E0600B6">
        <w:tblPrEx>
          <w:tblCellMar>
            <w:top w:w="0" w:type="dxa"/>
            <w:left w:w="108" w:type="dxa"/>
            <w:bottom w:w="0" w:type="dxa"/>
            <w:right w:w="108" w:type="dxa"/>
          </w:tblCellMar>
        </w:tblPrEx>
        <w:trPr>
          <w:trHeight w:val="530"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6070F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2FDD9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比色管架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762D8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6孔，塑料材质。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7E72A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AC4F7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75816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15.21 </w:t>
            </w:r>
          </w:p>
        </w:tc>
      </w:tr>
      <w:tr w14:paraId="78A71822">
        <w:tblPrEx>
          <w:tblCellMar>
            <w:top w:w="0" w:type="dxa"/>
            <w:left w:w="108" w:type="dxa"/>
            <w:bottom w:w="0" w:type="dxa"/>
            <w:right w:w="108" w:type="dxa"/>
          </w:tblCellMar>
        </w:tblPrEx>
        <w:trPr>
          <w:trHeight w:val="59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19D1A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51289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组合式支架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EB66C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支座2个、滑道2根、滑块6个、金属杆3根、万向夹1个、烧瓶夹1个、铁环1个、托盘1个、托盘支杆1根、吊钩4个、绝缘环1个、定滑轮1个。</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F1DC4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C0277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C186A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439.40 </w:t>
            </w:r>
          </w:p>
        </w:tc>
      </w:tr>
      <w:tr w14:paraId="4B4654C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0B848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9AF51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学生电源</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37D7A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1.结构：前后面板及底板，上面板与左右面板都采用金属一次成型，表面磨砂质感漆面；</w:t>
            </w:r>
            <w:r>
              <w:rPr>
                <w:rFonts w:hint="eastAsia" w:asciiTheme="minorEastAsia" w:hAnsiTheme="minorEastAsia" w:eastAsiaTheme="minorEastAsia" w:cstheme="minorEastAsia"/>
                <w:color w:val="auto"/>
                <w:kern w:val="0"/>
                <w:sz w:val="21"/>
                <w:szCs w:val="21"/>
                <w:highlight w:val="none"/>
                <w:lang w:bidi="ar"/>
              </w:rPr>
              <w:tab/>
            </w:r>
          </w:p>
          <w:p w14:paraId="0FA43E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2、直流稳压输出：标准电压：2～16V每2V一档，共八档；额定电流：2A；保护：（1.05～1.5）×2A自动保护；控制端断线输出电压不高于4V；</w:t>
            </w:r>
            <w:r>
              <w:rPr>
                <w:rFonts w:hint="eastAsia" w:asciiTheme="minorEastAsia" w:hAnsiTheme="minorEastAsia" w:eastAsiaTheme="minorEastAsia" w:cstheme="minorEastAsia"/>
                <w:color w:val="auto"/>
                <w:kern w:val="0"/>
                <w:sz w:val="21"/>
                <w:szCs w:val="21"/>
                <w:highlight w:val="none"/>
                <w:lang w:bidi="ar"/>
              </w:rPr>
              <w:tab/>
            </w:r>
          </w:p>
          <w:p w14:paraId="1415F0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3、交流输出：标准电压：2～16V，每2V一档，共八档；额定电流：3A；保护：（1.05～1.5）×3A；</w:t>
            </w:r>
            <w:r>
              <w:rPr>
                <w:rFonts w:hint="eastAsia" w:asciiTheme="minorEastAsia" w:hAnsiTheme="minorEastAsia" w:eastAsiaTheme="minorEastAsia" w:cstheme="minorEastAsia"/>
                <w:color w:val="auto"/>
                <w:kern w:val="0"/>
                <w:sz w:val="21"/>
                <w:szCs w:val="21"/>
                <w:highlight w:val="none"/>
                <w:lang w:bidi="ar"/>
              </w:rPr>
              <w:tab/>
            </w:r>
          </w:p>
          <w:p w14:paraId="6F15C0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4、电源电压：198V～242V50Hz±2.5Hz；工作时间：连续。</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FF056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D753D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46949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202.80 </w:t>
            </w:r>
          </w:p>
        </w:tc>
      </w:tr>
      <w:tr w14:paraId="2B81121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D38B64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AAFBE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教学电源</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DFC79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稳压输出；电压；1V—30V无级可调，输出电流额定；2A。交流输出；电流压；2V—30V，每2V一档，共12档可调，输出电流额定；额定3A。</w:t>
            </w:r>
            <w:r>
              <w:rPr>
                <w:rFonts w:hint="eastAsia" w:asciiTheme="minorEastAsia" w:hAnsiTheme="minorEastAsia" w:eastAsiaTheme="minorEastAsia" w:cstheme="minorEastAsia"/>
                <w:color w:val="auto"/>
                <w:kern w:val="0"/>
                <w:sz w:val="21"/>
                <w:szCs w:val="21"/>
                <w:highlight w:val="none"/>
                <w:lang w:bidi="ar"/>
              </w:rPr>
              <w:tab/>
            </w:r>
          </w:p>
          <w:p w14:paraId="0560F7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a、各档空载电压应不大于1.05U标＋0.3V；</w:t>
            </w:r>
            <w:r>
              <w:rPr>
                <w:rFonts w:hint="eastAsia" w:asciiTheme="minorEastAsia" w:hAnsiTheme="minorEastAsia" w:eastAsiaTheme="minorEastAsia" w:cstheme="minorEastAsia"/>
                <w:color w:val="auto"/>
                <w:kern w:val="0"/>
                <w:sz w:val="21"/>
                <w:szCs w:val="21"/>
                <w:highlight w:val="none"/>
                <w:lang w:bidi="ar"/>
              </w:rPr>
              <w:tab/>
            </w:r>
          </w:p>
          <w:p w14:paraId="6DF0DF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b、各档满载电压应不小于0.95U标～0.3V；直流稳压输出电压偏调：±（2％U标＋0.1V）；直流大电流短时输出电流大于10A时，20s±2s自动关断。输出短时电流为40A+10A，8s±2自动关断；过载保护；</w:t>
            </w:r>
            <w:r>
              <w:rPr>
                <w:rFonts w:hint="eastAsia" w:asciiTheme="minorEastAsia" w:hAnsiTheme="minorEastAsia" w:eastAsiaTheme="minorEastAsia" w:cstheme="minorEastAsia"/>
                <w:color w:val="auto"/>
                <w:kern w:val="0"/>
                <w:sz w:val="21"/>
                <w:szCs w:val="21"/>
                <w:highlight w:val="none"/>
                <w:lang w:bidi="ar"/>
              </w:rPr>
              <w:tab/>
            </w:r>
          </w:p>
          <w:p w14:paraId="036DD0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a、电源的交流输出和直流输出电流等于或小于其额定输出电流时，电源应正常工作，当输出电流在额定输出电流值的1.05～1.5倍时，电源应能过载保护；</w:t>
            </w:r>
            <w:r>
              <w:rPr>
                <w:rFonts w:hint="eastAsia" w:asciiTheme="minorEastAsia" w:hAnsiTheme="minorEastAsia" w:eastAsiaTheme="minorEastAsia" w:cstheme="minorEastAsia"/>
                <w:color w:val="auto"/>
                <w:kern w:val="0"/>
                <w:sz w:val="21"/>
                <w:szCs w:val="21"/>
                <w:highlight w:val="none"/>
                <w:lang w:bidi="ar"/>
              </w:rPr>
              <w:tab/>
            </w:r>
          </w:p>
          <w:p w14:paraId="526A5B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b、各档输出电路短路时应能自动关断；连续工作时间不少于8h。</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EF24B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9EB67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3BDE1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591.50 </w:t>
            </w:r>
          </w:p>
        </w:tc>
      </w:tr>
      <w:tr w14:paraId="4797602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E045A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818E8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托盘天平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E0C04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1.最大称量100g，分度值0.1g；</w:t>
            </w:r>
            <w:r>
              <w:rPr>
                <w:rFonts w:hint="eastAsia" w:asciiTheme="minorEastAsia" w:hAnsiTheme="minorEastAsia" w:eastAsiaTheme="minorEastAsia" w:cstheme="minorEastAsia"/>
                <w:color w:val="auto"/>
                <w:kern w:val="0"/>
                <w:sz w:val="21"/>
                <w:szCs w:val="21"/>
                <w:highlight w:val="none"/>
                <w:lang w:bidi="ar"/>
              </w:rPr>
              <w:tab/>
            </w:r>
          </w:p>
          <w:p w14:paraId="709A36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2、称量允许误差为±0.5d（分度值）；</w:t>
            </w:r>
            <w:r>
              <w:rPr>
                <w:rFonts w:hint="eastAsia" w:asciiTheme="minorEastAsia" w:hAnsiTheme="minorEastAsia" w:eastAsiaTheme="minorEastAsia" w:cstheme="minorEastAsia"/>
                <w:color w:val="auto"/>
                <w:kern w:val="0"/>
                <w:sz w:val="21"/>
                <w:szCs w:val="21"/>
                <w:highlight w:val="none"/>
                <w:lang w:bidi="ar"/>
              </w:rPr>
              <w:tab/>
            </w:r>
          </w:p>
          <w:p w14:paraId="51EFEA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3、砝码组合的总质量（包括标尺计量值）应不小于天平的最大称量；</w:t>
            </w:r>
          </w:p>
          <w:p w14:paraId="7CFA80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4、冲压件及铸件表面应光洁平整，不应有毛刺、锋棱、裂纹和显见砂眼。</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CDAC7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05B36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A30CA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60.84 </w:t>
            </w:r>
          </w:p>
        </w:tc>
      </w:tr>
      <w:tr w14:paraId="51FFBCA5">
        <w:tblPrEx>
          <w:tblCellMar>
            <w:top w:w="0" w:type="dxa"/>
            <w:left w:w="108" w:type="dxa"/>
            <w:bottom w:w="0" w:type="dxa"/>
            <w:right w:w="108" w:type="dxa"/>
          </w:tblCellMar>
        </w:tblPrEx>
        <w:trPr>
          <w:trHeight w:val="548"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CBC33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72073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托盘天平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9979F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1.最大称量500g，分度值0.5g；</w:t>
            </w:r>
            <w:r>
              <w:rPr>
                <w:rFonts w:hint="eastAsia" w:asciiTheme="minorEastAsia" w:hAnsiTheme="minorEastAsia" w:eastAsiaTheme="minorEastAsia" w:cstheme="minorEastAsia"/>
                <w:color w:val="auto"/>
                <w:kern w:val="0"/>
                <w:sz w:val="21"/>
                <w:szCs w:val="21"/>
                <w:highlight w:val="none"/>
                <w:lang w:bidi="ar"/>
              </w:rPr>
              <w:tab/>
            </w:r>
          </w:p>
          <w:p w14:paraId="4735BA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2、称量允许误差为±0.5d（分度值）；</w:t>
            </w:r>
            <w:r>
              <w:rPr>
                <w:rFonts w:hint="eastAsia" w:asciiTheme="minorEastAsia" w:hAnsiTheme="minorEastAsia" w:eastAsiaTheme="minorEastAsia" w:cstheme="minorEastAsia"/>
                <w:color w:val="auto"/>
                <w:kern w:val="0"/>
                <w:sz w:val="21"/>
                <w:szCs w:val="21"/>
                <w:highlight w:val="none"/>
                <w:lang w:bidi="ar"/>
              </w:rPr>
              <w:tab/>
            </w:r>
          </w:p>
          <w:p w14:paraId="5356E7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3、砝码组合的总质量（包括标尺计量值）应不小于天平的最大称量；</w:t>
            </w:r>
          </w:p>
          <w:p w14:paraId="19DE87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4、冲压件及铸件表面应光洁平整，不应有毛刺、锋棱、裂纹和显见砂眼。</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6602B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18264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FF10D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98.02 </w:t>
            </w:r>
          </w:p>
        </w:tc>
      </w:tr>
      <w:tr w14:paraId="6E85FF01">
        <w:tblPrEx>
          <w:tblCellMar>
            <w:top w:w="0" w:type="dxa"/>
            <w:left w:w="108" w:type="dxa"/>
            <w:bottom w:w="0" w:type="dxa"/>
            <w:right w:w="108" w:type="dxa"/>
          </w:tblCellMar>
        </w:tblPrEx>
        <w:trPr>
          <w:trHeight w:val="624"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85040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54B34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电子天平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65557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100g,0.001g.</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6862C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D019C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38ECE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540.80 </w:t>
            </w:r>
          </w:p>
        </w:tc>
      </w:tr>
      <w:tr w14:paraId="0C69015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01BDE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D1620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电子天平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17368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1.量程200g，最小分度值：0.001g；</w:t>
            </w:r>
            <w:r>
              <w:rPr>
                <w:rFonts w:hint="eastAsia" w:asciiTheme="minorEastAsia" w:hAnsiTheme="minorEastAsia" w:eastAsiaTheme="minorEastAsia" w:cstheme="minorEastAsia"/>
                <w:color w:val="auto"/>
                <w:kern w:val="0"/>
                <w:sz w:val="21"/>
                <w:szCs w:val="21"/>
                <w:highlight w:val="none"/>
                <w:lang w:bidi="ar"/>
              </w:rPr>
              <w:tab/>
            </w:r>
          </w:p>
          <w:p w14:paraId="3A198E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2、线性误差≤±0.002g；重复性误差≤0.001g；</w:t>
            </w:r>
            <w:r>
              <w:rPr>
                <w:rFonts w:hint="eastAsia" w:asciiTheme="minorEastAsia" w:hAnsiTheme="minorEastAsia" w:eastAsiaTheme="minorEastAsia" w:cstheme="minorEastAsia"/>
                <w:color w:val="auto"/>
                <w:kern w:val="0"/>
                <w:sz w:val="21"/>
                <w:szCs w:val="21"/>
                <w:highlight w:val="none"/>
                <w:lang w:bidi="ar"/>
              </w:rPr>
              <w:tab/>
            </w:r>
          </w:p>
          <w:p w14:paraId="258A4B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3、校准方式：外校（配砝码）；</w:t>
            </w:r>
            <w:r>
              <w:rPr>
                <w:rFonts w:hint="eastAsia" w:asciiTheme="minorEastAsia" w:hAnsiTheme="minorEastAsia" w:eastAsiaTheme="minorEastAsia" w:cstheme="minorEastAsia"/>
                <w:color w:val="auto"/>
                <w:kern w:val="0"/>
                <w:sz w:val="21"/>
                <w:szCs w:val="21"/>
                <w:highlight w:val="none"/>
                <w:lang w:bidi="ar"/>
              </w:rPr>
              <w:tab/>
            </w:r>
          </w:p>
          <w:p w14:paraId="05DB37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4、数据输出：RS232；电源电压：220VAC；</w:t>
            </w:r>
            <w:r>
              <w:rPr>
                <w:rFonts w:hint="eastAsia" w:asciiTheme="minorEastAsia" w:hAnsiTheme="minorEastAsia" w:eastAsiaTheme="minorEastAsia" w:cstheme="minorEastAsia"/>
                <w:color w:val="auto"/>
                <w:kern w:val="0"/>
                <w:sz w:val="21"/>
                <w:szCs w:val="21"/>
                <w:highlight w:val="none"/>
                <w:lang w:bidi="ar"/>
              </w:rPr>
              <w:tab/>
            </w:r>
          </w:p>
          <w:p w14:paraId="5EA682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5、采用高精度电磁平衡传达室感器，LED显示。</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374CF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B1C7E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A04BE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540.80 </w:t>
            </w:r>
          </w:p>
        </w:tc>
      </w:tr>
      <w:tr w14:paraId="5916B7F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39C59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E88BA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电子天平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1E645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1.量程400g，感量0.1g；</w:t>
            </w:r>
            <w:r>
              <w:rPr>
                <w:rFonts w:hint="eastAsia" w:asciiTheme="minorEastAsia" w:hAnsiTheme="minorEastAsia" w:eastAsiaTheme="minorEastAsia" w:cstheme="minorEastAsia"/>
                <w:color w:val="auto"/>
                <w:kern w:val="0"/>
                <w:sz w:val="21"/>
                <w:szCs w:val="21"/>
                <w:highlight w:val="none"/>
                <w:lang w:bidi="ar"/>
              </w:rPr>
              <w:tab/>
            </w:r>
          </w:p>
          <w:p w14:paraId="435978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2、高亮度显示，读数清晰，具有计数、称重、去皮等多种功能模式。</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DF68E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9F3E9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B1B58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229.84 </w:t>
            </w:r>
          </w:p>
        </w:tc>
      </w:tr>
      <w:tr w14:paraId="4EB8D00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22474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45E66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电子天平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D2AF6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200g,0.0001g</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43F90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298DC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8F741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3887.00 </w:t>
            </w:r>
          </w:p>
        </w:tc>
      </w:tr>
      <w:tr w14:paraId="663AA4FC">
        <w:tblPrEx>
          <w:tblCellMar>
            <w:top w:w="0" w:type="dxa"/>
            <w:left w:w="108" w:type="dxa"/>
            <w:bottom w:w="0" w:type="dxa"/>
            <w:right w:w="108" w:type="dxa"/>
          </w:tblCellMar>
        </w:tblPrEx>
        <w:trPr>
          <w:trHeight w:val="574"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B041D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3C7E8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电子停表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FEB69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1.外包装采用防潮、防尘的硬纸盒包装，盒面与盒体采用纽扣式连接。数据可精确到0.01s；</w:t>
            </w:r>
            <w:r>
              <w:rPr>
                <w:rFonts w:hint="eastAsia" w:asciiTheme="minorEastAsia" w:hAnsiTheme="minorEastAsia" w:eastAsiaTheme="minorEastAsia" w:cstheme="minorEastAsia"/>
                <w:color w:val="auto"/>
                <w:kern w:val="0"/>
                <w:sz w:val="21"/>
                <w:szCs w:val="21"/>
                <w:highlight w:val="none"/>
                <w:lang w:bidi="ar"/>
              </w:rPr>
              <w:tab/>
            </w:r>
          </w:p>
          <w:p w14:paraId="21C60D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2、秒表计时带有简易计时、分段计时、两段时间显示，带暂停按钮；</w:t>
            </w:r>
            <w:r>
              <w:rPr>
                <w:rFonts w:hint="eastAsia" w:asciiTheme="minorEastAsia" w:hAnsiTheme="minorEastAsia" w:eastAsiaTheme="minorEastAsia" w:cstheme="minorEastAsia"/>
                <w:color w:val="auto"/>
                <w:kern w:val="0"/>
                <w:sz w:val="21"/>
                <w:szCs w:val="21"/>
                <w:highlight w:val="none"/>
                <w:lang w:bidi="ar"/>
              </w:rPr>
              <w:tab/>
            </w:r>
          </w:p>
          <w:p w14:paraId="4BDA22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3、秒表具有每小时报时，每日定时响闹及自动重响功能，可显示时间，12及24小时制式，日历、星期、防水、防震结构等功能。</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9B4E6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70779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eastAsia="zh-CN" w:bidi="ar"/>
              </w:rPr>
              <w:t>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893D0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15.55 </w:t>
            </w:r>
          </w:p>
        </w:tc>
      </w:tr>
      <w:tr w14:paraId="05744C70">
        <w:tblPrEx>
          <w:tblCellMar>
            <w:top w:w="0" w:type="dxa"/>
            <w:left w:w="108" w:type="dxa"/>
            <w:bottom w:w="0" w:type="dxa"/>
            <w:right w:w="108" w:type="dxa"/>
          </w:tblCellMar>
        </w:tblPrEx>
        <w:trPr>
          <w:trHeight w:val="608"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A90D5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E7C2B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温度计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6076D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1.感温物质：红液；2、全长：290mm；3、测量范围：0－100℃；最小分度值：1℃；允许误差±1℃。</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7B441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F439D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893F5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297B8679">
        <w:tblPrEx>
          <w:tblCellMar>
            <w:top w:w="0" w:type="dxa"/>
            <w:left w:w="108" w:type="dxa"/>
            <w:bottom w:w="0" w:type="dxa"/>
            <w:right w:w="108" w:type="dxa"/>
          </w:tblCellMar>
        </w:tblPrEx>
        <w:trPr>
          <w:trHeight w:val="625"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1C15F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E6416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温度计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03E57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1.感温物质：红液；2、全长：290mm；3、测量范围：0－100℃；最小分度值：1℃；允许误差±1℃。</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5B1BE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E4B73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3D2BA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 </w:t>
            </w:r>
          </w:p>
        </w:tc>
      </w:tr>
      <w:tr w14:paraId="35517E9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B0709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67AA8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数字测温计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FAEB2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集成温度传感器，-50℃～+200℃，分辨率0.1°C</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96B45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86FD0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DB8BE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87.88 </w:t>
            </w:r>
          </w:p>
        </w:tc>
      </w:tr>
      <w:tr w14:paraId="0B794D1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96D64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E92C0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直流电流表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B0E56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1.误差等级2.5级，量程0.6A、3A；</w:t>
            </w:r>
            <w:r>
              <w:rPr>
                <w:rFonts w:hint="eastAsia" w:asciiTheme="minorEastAsia" w:hAnsiTheme="minorEastAsia" w:eastAsiaTheme="minorEastAsia" w:cstheme="minorEastAsia"/>
                <w:color w:val="auto"/>
                <w:kern w:val="0"/>
                <w:sz w:val="21"/>
                <w:szCs w:val="21"/>
                <w:highlight w:val="none"/>
                <w:lang w:bidi="ar"/>
              </w:rPr>
              <w:tab/>
            </w:r>
          </w:p>
          <w:p w14:paraId="538D93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2、标度盘：标度盘正面为无光白色，色调柔和，刻度线条平直不间断，清晰鲜明，色差明显；表面清洁平整；</w:t>
            </w:r>
          </w:p>
          <w:p w14:paraId="51C70A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3、指针：指针应挺直，涂色与标度盘颜色的色差要明显。</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63B42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4EEAD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D759E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24.34 </w:t>
            </w:r>
          </w:p>
        </w:tc>
      </w:tr>
      <w:tr w14:paraId="0CA5BA7C">
        <w:tblPrEx>
          <w:tblCellMar>
            <w:top w:w="0" w:type="dxa"/>
            <w:left w:w="108" w:type="dxa"/>
            <w:bottom w:w="0" w:type="dxa"/>
            <w:right w:w="108" w:type="dxa"/>
          </w:tblCellMar>
        </w:tblPrEx>
        <w:trPr>
          <w:trHeight w:val="656"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6DB48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8C1FB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灵敏电流计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04B2C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1.由测量结构、测量路线、外壳等组成；测量机构采用磁电系仪表结构、标度盘；</w:t>
            </w:r>
            <w:r>
              <w:rPr>
                <w:rFonts w:hint="eastAsia" w:asciiTheme="minorEastAsia" w:hAnsiTheme="minorEastAsia" w:eastAsiaTheme="minorEastAsia" w:cstheme="minorEastAsia"/>
                <w:color w:val="auto"/>
                <w:kern w:val="0"/>
                <w:sz w:val="21"/>
                <w:szCs w:val="21"/>
                <w:highlight w:val="none"/>
                <w:lang w:bidi="ar"/>
              </w:rPr>
              <w:tab/>
            </w:r>
          </w:p>
          <w:p w14:paraId="089F72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2、准确度等级：2.5级。</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FA1F9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83A92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E6038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24.34 </w:t>
            </w:r>
          </w:p>
        </w:tc>
      </w:tr>
      <w:tr w14:paraId="207C8F8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1B02A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3204D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多用电表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0ECA6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1.本品为整流系，轴尖轴承支承式、指针式电表；</w:t>
            </w:r>
            <w:r>
              <w:rPr>
                <w:rFonts w:hint="eastAsia" w:asciiTheme="minorEastAsia" w:hAnsiTheme="minorEastAsia" w:eastAsiaTheme="minorEastAsia" w:cstheme="minorEastAsia"/>
                <w:color w:val="auto"/>
                <w:kern w:val="0"/>
                <w:sz w:val="21"/>
                <w:szCs w:val="21"/>
                <w:highlight w:val="none"/>
                <w:lang w:bidi="ar"/>
              </w:rPr>
              <w:tab/>
            </w:r>
          </w:p>
          <w:p w14:paraId="6EC086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2、准确度等级：直流电流、电压、电阻测量档均为2.5级；</w:t>
            </w:r>
            <w:r>
              <w:rPr>
                <w:rFonts w:hint="eastAsia" w:asciiTheme="minorEastAsia" w:hAnsiTheme="minorEastAsia" w:eastAsiaTheme="minorEastAsia" w:cstheme="minorEastAsia"/>
                <w:color w:val="auto"/>
                <w:kern w:val="0"/>
                <w:sz w:val="21"/>
                <w:szCs w:val="21"/>
                <w:highlight w:val="none"/>
                <w:lang w:bidi="ar"/>
              </w:rPr>
              <w:tab/>
            </w:r>
          </w:p>
          <w:p w14:paraId="2BD233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3、电压灵敏度：直流为20kΩ/V，交流为9kΩ/V；</w:t>
            </w:r>
            <w:r>
              <w:rPr>
                <w:rFonts w:hint="eastAsia" w:asciiTheme="minorEastAsia" w:hAnsiTheme="minorEastAsia" w:eastAsiaTheme="minorEastAsia" w:cstheme="minorEastAsia"/>
                <w:color w:val="auto"/>
                <w:kern w:val="0"/>
                <w:sz w:val="21"/>
                <w:szCs w:val="21"/>
                <w:highlight w:val="none"/>
                <w:lang w:bidi="ar"/>
              </w:rPr>
              <w:tab/>
            </w:r>
          </w:p>
          <w:p w14:paraId="1748BA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4、阻尼时间：不超过4s；绝缘电阻不小于20MΩ；</w:t>
            </w:r>
            <w:r>
              <w:rPr>
                <w:rFonts w:hint="eastAsia" w:asciiTheme="minorEastAsia" w:hAnsiTheme="minorEastAsia" w:eastAsiaTheme="minorEastAsia" w:cstheme="minorEastAsia"/>
                <w:color w:val="auto"/>
                <w:kern w:val="0"/>
                <w:sz w:val="21"/>
                <w:szCs w:val="21"/>
                <w:highlight w:val="none"/>
                <w:lang w:bidi="ar"/>
              </w:rPr>
              <w:tab/>
            </w:r>
          </w:p>
          <w:p w14:paraId="64C29D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5、转换开关各档位定位正确，无错位，转动时手感好；</w:t>
            </w:r>
          </w:p>
          <w:p w14:paraId="4CE5A5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7、电表指针挺直，机械调零时可在零刻度左右移动；</w:t>
            </w:r>
            <w:r>
              <w:rPr>
                <w:rFonts w:hint="eastAsia" w:asciiTheme="minorEastAsia" w:hAnsiTheme="minorEastAsia" w:eastAsiaTheme="minorEastAsia" w:cstheme="minorEastAsia"/>
                <w:color w:val="auto"/>
                <w:kern w:val="0"/>
                <w:sz w:val="21"/>
                <w:szCs w:val="21"/>
                <w:highlight w:val="none"/>
                <w:lang w:bidi="ar"/>
              </w:rPr>
              <w:tab/>
            </w:r>
          </w:p>
          <w:p w14:paraId="41DB0D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8、产品所附测量表笔及电池应完好有效。</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E2FBD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9A22E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63842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87.88 </w:t>
            </w:r>
          </w:p>
        </w:tc>
      </w:tr>
      <w:tr w14:paraId="38DACC8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66679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43A69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演示电流电压表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77831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1.高中演示电流电压表为指针式内磁结构。供教学演示实验中作检流计，及测量直流电流、直流电压、交流电流、交流电压等之用；</w:t>
            </w:r>
          </w:p>
          <w:p w14:paraId="77CAE9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2、基本误差：±2.5%；</w:t>
            </w:r>
            <w:r>
              <w:rPr>
                <w:rFonts w:hint="eastAsia" w:asciiTheme="minorEastAsia" w:hAnsiTheme="minorEastAsia" w:eastAsiaTheme="minorEastAsia" w:cstheme="minorEastAsia"/>
                <w:color w:val="auto"/>
                <w:kern w:val="0"/>
                <w:sz w:val="21"/>
                <w:szCs w:val="21"/>
                <w:highlight w:val="none"/>
                <w:lang w:bidi="ar"/>
              </w:rPr>
              <w:tab/>
            </w:r>
          </w:p>
          <w:p w14:paraId="2A3D78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3、阻尼时间：≤6s。</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AE1EA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266C8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3A40B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523.90 </w:t>
            </w:r>
          </w:p>
        </w:tc>
      </w:tr>
      <w:tr w14:paraId="3690ABCA">
        <w:tblPrEx>
          <w:tblCellMar>
            <w:top w:w="0" w:type="dxa"/>
            <w:left w:w="108" w:type="dxa"/>
            <w:bottom w:w="0" w:type="dxa"/>
            <w:right w:w="108" w:type="dxa"/>
          </w:tblCellMar>
        </w:tblPrEx>
        <w:trPr>
          <w:trHeight w:val="656"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4A71C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5D485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密度计（比重计）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D58C1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1.标准温度20℃，温度范围0～70℃；</w:t>
            </w:r>
            <w:r>
              <w:rPr>
                <w:rFonts w:hint="eastAsia" w:asciiTheme="minorEastAsia" w:hAnsiTheme="minorEastAsia" w:eastAsiaTheme="minorEastAsia" w:cstheme="minorEastAsia"/>
                <w:color w:val="auto"/>
                <w:kern w:val="0"/>
                <w:sz w:val="21"/>
                <w:szCs w:val="21"/>
                <w:highlight w:val="none"/>
                <w:lang w:bidi="ar"/>
              </w:rPr>
              <w:tab/>
            </w:r>
          </w:p>
          <w:p w14:paraId="02EF70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2、密度范围：1.000～2.000g/cm³；</w:t>
            </w:r>
            <w:r>
              <w:rPr>
                <w:rFonts w:hint="eastAsia" w:asciiTheme="minorEastAsia" w:hAnsiTheme="minorEastAsia" w:eastAsiaTheme="minorEastAsia" w:cstheme="minorEastAsia"/>
                <w:color w:val="auto"/>
                <w:kern w:val="0"/>
                <w:sz w:val="21"/>
                <w:szCs w:val="21"/>
                <w:highlight w:val="none"/>
                <w:lang w:bidi="ar"/>
              </w:rPr>
              <w:tab/>
            </w:r>
          </w:p>
          <w:p w14:paraId="7F353D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3、在液体中倾斜度不大于0.2分度值；</w:t>
            </w:r>
            <w:r>
              <w:rPr>
                <w:rFonts w:hint="eastAsia" w:asciiTheme="minorEastAsia" w:hAnsiTheme="minorEastAsia" w:eastAsiaTheme="minorEastAsia" w:cstheme="minorEastAsia"/>
                <w:color w:val="auto"/>
                <w:kern w:val="0"/>
                <w:sz w:val="21"/>
                <w:szCs w:val="21"/>
                <w:highlight w:val="none"/>
                <w:lang w:bidi="ar"/>
              </w:rPr>
              <w:tab/>
            </w:r>
          </w:p>
          <w:p w14:paraId="3C12E6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4、密度计各部位无严重内应力集中现象，无影响强度及密度测量的玻璃缺陷。</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B2AF3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62C24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6BE69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5.07 </w:t>
            </w:r>
          </w:p>
        </w:tc>
      </w:tr>
      <w:tr w14:paraId="46884E8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B69EB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94D56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密度计（比轻计）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A248F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1.标准温度20℃，温度范围10～70℃；</w:t>
            </w:r>
            <w:r>
              <w:rPr>
                <w:rFonts w:hint="eastAsia" w:asciiTheme="minorEastAsia" w:hAnsiTheme="minorEastAsia" w:eastAsiaTheme="minorEastAsia" w:cstheme="minorEastAsia"/>
                <w:color w:val="auto"/>
                <w:kern w:val="0"/>
                <w:sz w:val="21"/>
                <w:szCs w:val="21"/>
                <w:highlight w:val="none"/>
                <w:lang w:bidi="ar"/>
              </w:rPr>
              <w:tab/>
            </w:r>
          </w:p>
          <w:p w14:paraId="564129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2、密度范围：0.700～1.000g/cm³；</w:t>
            </w:r>
            <w:r>
              <w:rPr>
                <w:rFonts w:hint="eastAsia" w:asciiTheme="minorEastAsia" w:hAnsiTheme="minorEastAsia" w:eastAsiaTheme="minorEastAsia" w:cstheme="minorEastAsia"/>
                <w:color w:val="auto"/>
                <w:kern w:val="0"/>
                <w:sz w:val="21"/>
                <w:szCs w:val="21"/>
                <w:highlight w:val="none"/>
                <w:lang w:bidi="ar"/>
              </w:rPr>
              <w:tab/>
            </w:r>
          </w:p>
          <w:p w14:paraId="4C647D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3、在液体中倾斜度不大于0.2分度值；</w:t>
            </w:r>
            <w:r>
              <w:rPr>
                <w:rFonts w:hint="eastAsia" w:asciiTheme="minorEastAsia" w:hAnsiTheme="minorEastAsia" w:eastAsiaTheme="minorEastAsia" w:cstheme="minorEastAsia"/>
                <w:color w:val="auto"/>
                <w:kern w:val="0"/>
                <w:sz w:val="21"/>
                <w:szCs w:val="21"/>
                <w:highlight w:val="none"/>
                <w:lang w:bidi="ar"/>
              </w:rPr>
              <w:tab/>
            </w:r>
          </w:p>
          <w:p w14:paraId="1813C8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4、密度计各部位无严重内应力集中现象，无影响强度及密度测量的玻璃缺陷。</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FEF8D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F5AE3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F08F7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5.41 </w:t>
            </w:r>
          </w:p>
        </w:tc>
      </w:tr>
      <w:tr w14:paraId="76D32CE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3D4FB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C70CC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酸度计（pH计）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78D1E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1.笔式，测量范围：0.0～14.0pH；</w:t>
            </w:r>
            <w:r>
              <w:rPr>
                <w:rFonts w:hint="eastAsia" w:asciiTheme="minorEastAsia" w:hAnsiTheme="minorEastAsia" w:eastAsiaTheme="minorEastAsia" w:cstheme="minorEastAsia"/>
                <w:color w:val="auto"/>
                <w:kern w:val="0"/>
                <w:sz w:val="21"/>
                <w:szCs w:val="21"/>
                <w:highlight w:val="none"/>
                <w:lang w:bidi="ar"/>
              </w:rPr>
              <w:tab/>
            </w:r>
          </w:p>
          <w:p w14:paraId="447D62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2、分辨率：0.1pH；</w:t>
            </w:r>
            <w:r>
              <w:rPr>
                <w:rFonts w:hint="eastAsia" w:asciiTheme="minorEastAsia" w:hAnsiTheme="minorEastAsia" w:eastAsiaTheme="minorEastAsia" w:cstheme="minorEastAsia"/>
                <w:color w:val="auto"/>
                <w:kern w:val="0"/>
                <w:sz w:val="21"/>
                <w:szCs w:val="21"/>
                <w:highlight w:val="none"/>
                <w:lang w:bidi="ar"/>
              </w:rPr>
              <w:tab/>
            </w:r>
          </w:p>
          <w:p w14:paraId="5A5FCD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3、精度：±0.1pH（20℃）；</w:t>
            </w:r>
            <w:r>
              <w:rPr>
                <w:rFonts w:hint="eastAsia" w:asciiTheme="minorEastAsia" w:hAnsiTheme="minorEastAsia" w:eastAsiaTheme="minorEastAsia" w:cstheme="minorEastAsia"/>
                <w:color w:val="auto"/>
                <w:kern w:val="0"/>
                <w:sz w:val="21"/>
                <w:szCs w:val="21"/>
                <w:highlight w:val="none"/>
                <w:lang w:bidi="ar"/>
              </w:rPr>
              <w:tab/>
            </w:r>
          </w:p>
          <w:p w14:paraId="63652F2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4、工作环境：0～50℃RH〈95%；</w:t>
            </w:r>
            <w:r>
              <w:rPr>
                <w:rFonts w:hint="eastAsia" w:asciiTheme="minorEastAsia" w:hAnsiTheme="minorEastAsia" w:eastAsiaTheme="minorEastAsia" w:cstheme="minorEastAsia"/>
                <w:color w:val="auto"/>
                <w:kern w:val="0"/>
                <w:sz w:val="21"/>
                <w:szCs w:val="21"/>
                <w:highlight w:val="none"/>
                <w:lang w:bidi="ar"/>
              </w:rPr>
              <w:tab/>
            </w:r>
          </w:p>
          <w:p w14:paraId="6097DB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5、校正：一点校正。</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F8CF3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243D0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7623E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11438E1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D6997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33D96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原电池实验器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AF8A5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原电池实验器主要由透明塑料容器及盖（铜极板、锌极板、铝极板各1块）、电极卡和接线柱等组成。</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25226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1496B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3D0E9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 </w:t>
            </w:r>
          </w:p>
        </w:tc>
      </w:tr>
      <w:tr w14:paraId="083D78ED">
        <w:tblPrEx>
          <w:tblCellMar>
            <w:top w:w="0" w:type="dxa"/>
            <w:left w:w="108" w:type="dxa"/>
            <w:bottom w:w="0" w:type="dxa"/>
            <w:right w:w="108" w:type="dxa"/>
          </w:tblCellMar>
        </w:tblPrEx>
        <w:trPr>
          <w:trHeight w:val="412"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F2220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EF665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贮气装置（储气装置）</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45061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1.产品为组合式，主要由出水管、注水室、导气阀、贮气室、底座、乳胶管组成。</w:t>
            </w:r>
            <w:r>
              <w:rPr>
                <w:rFonts w:hint="eastAsia" w:asciiTheme="minorEastAsia" w:hAnsiTheme="minorEastAsia" w:eastAsiaTheme="minorEastAsia" w:cstheme="minorEastAsia"/>
                <w:color w:val="auto"/>
                <w:kern w:val="0"/>
                <w:sz w:val="21"/>
                <w:szCs w:val="21"/>
                <w:highlight w:val="none"/>
                <w:lang w:bidi="ar"/>
              </w:rPr>
              <w:tab/>
            </w:r>
          </w:p>
          <w:p w14:paraId="0497E3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2、贮气装置用优质透明塑料和ABS工程塑料注塑成型、表面清晰、无划痕、气泡、飞边等现象。</w:t>
            </w:r>
            <w:r>
              <w:rPr>
                <w:rFonts w:hint="eastAsia" w:asciiTheme="minorEastAsia" w:hAnsiTheme="minorEastAsia" w:eastAsiaTheme="minorEastAsia" w:cstheme="minorEastAsia"/>
                <w:color w:val="auto"/>
                <w:kern w:val="0"/>
                <w:sz w:val="21"/>
                <w:szCs w:val="21"/>
                <w:highlight w:val="none"/>
                <w:lang w:bidi="ar"/>
              </w:rPr>
              <w:tab/>
            </w:r>
          </w:p>
          <w:p w14:paraId="0C4192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3、各部位连接牢固、密封、无漏气现象。</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6191F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F1E1E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1CA5A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74.36 </w:t>
            </w:r>
          </w:p>
        </w:tc>
      </w:tr>
      <w:tr w14:paraId="7699A07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39599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25FEC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微型化学实验箱</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D5E5B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含微型蒸馏回馏装置，试剂用量较常规实验省90%。</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3D0C5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2336B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8B1D9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94.64 </w:t>
            </w:r>
          </w:p>
        </w:tc>
      </w:tr>
      <w:tr w14:paraId="437C2EF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32BA5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98C18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溶液导电演示器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A9917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1.产品由带座演示板、灯座、灯珠、电解槽等组成。</w:t>
            </w:r>
            <w:r>
              <w:rPr>
                <w:rFonts w:hint="eastAsia" w:asciiTheme="minorEastAsia" w:hAnsiTheme="minorEastAsia" w:eastAsiaTheme="minorEastAsia" w:cstheme="minorEastAsia"/>
                <w:color w:val="auto"/>
                <w:kern w:val="0"/>
                <w:sz w:val="21"/>
                <w:szCs w:val="21"/>
                <w:highlight w:val="none"/>
                <w:lang w:bidi="ar"/>
              </w:rPr>
              <w:tab/>
            </w:r>
          </w:p>
          <w:p w14:paraId="7C68CC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2.示教电路板用塑料制成。</w:t>
            </w:r>
            <w:r>
              <w:rPr>
                <w:rFonts w:hint="eastAsia" w:asciiTheme="minorEastAsia" w:hAnsiTheme="minorEastAsia" w:eastAsiaTheme="minorEastAsia" w:cstheme="minorEastAsia"/>
                <w:color w:val="auto"/>
                <w:kern w:val="0"/>
                <w:sz w:val="21"/>
                <w:szCs w:val="21"/>
                <w:highlight w:val="none"/>
                <w:lang w:bidi="ar"/>
              </w:rPr>
              <w:tab/>
            </w:r>
          </w:p>
          <w:p w14:paraId="10AAA3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3.容器为耐酸、碱、盐的透明材料制成。</w:t>
            </w:r>
            <w:r>
              <w:rPr>
                <w:rFonts w:hint="eastAsia" w:asciiTheme="minorEastAsia" w:hAnsiTheme="minorEastAsia" w:eastAsiaTheme="minorEastAsia" w:cstheme="minorEastAsia"/>
                <w:color w:val="auto"/>
                <w:kern w:val="0"/>
                <w:sz w:val="21"/>
                <w:szCs w:val="21"/>
                <w:highlight w:val="none"/>
                <w:lang w:bidi="ar"/>
              </w:rPr>
              <w:tab/>
            </w:r>
          </w:p>
          <w:p w14:paraId="4D571A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4.为进行比较实验，容器数量为5个。</w:t>
            </w:r>
            <w:r>
              <w:rPr>
                <w:rFonts w:hint="eastAsia" w:asciiTheme="minorEastAsia" w:hAnsiTheme="minorEastAsia" w:eastAsiaTheme="minorEastAsia" w:cstheme="minorEastAsia"/>
                <w:color w:val="auto"/>
                <w:kern w:val="0"/>
                <w:sz w:val="21"/>
                <w:szCs w:val="21"/>
                <w:highlight w:val="none"/>
                <w:lang w:bidi="ar"/>
              </w:rPr>
              <w:tab/>
            </w:r>
          </w:p>
          <w:p w14:paraId="17F3D9E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5.产品的电源电压为直流6V。</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CAB28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C955E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B15AC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135.20 </w:t>
            </w:r>
          </w:p>
        </w:tc>
      </w:tr>
      <w:tr w14:paraId="704FEDE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AEE5C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F3EFE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微型溶液导电实验器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C5A8C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both"/>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1.电源电压DC3V，可放7#电池2节。</w:t>
            </w:r>
            <w:r>
              <w:rPr>
                <w:rFonts w:hint="eastAsia" w:asciiTheme="minorEastAsia" w:hAnsiTheme="minorEastAsia" w:eastAsiaTheme="minorEastAsia" w:cstheme="minorEastAsia"/>
                <w:color w:val="auto"/>
                <w:kern w:val="0"/>
                <w:sz w:val="21"/>
                <w:szCs w:val="21"/>
                <w:highlight w:val="none"/>
                <w:lang w:bidi="ar"/>
              </w:rPr>
              <w:tab/>
            </w:r>
          </w:p>
          <w:p w14:paraId="249EF1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2、可独立地实验任何溶液。</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CB8CF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E40FB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5164F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 </w:t>
            </w:r>
          </w:p>
        </w:tc>
      </w:tr>
      <w:tr w14:paraId="334DE49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BB69D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C98D8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中和热测定仪</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AA70B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本仪器装置由φ89×96mm有机玻璃外壳，有机玻璃上盖，隔热温层，φ47×73mm有机圆筒内，以及玻璃环形搅拌器等部件组成。</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1F1AD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FAEC4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EA90D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37.18 </w:t>
            </w:r>
          </w:p>
        </w:tc>
      </w:tr>
      <w:tr w14:paraId="0ECAC57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BE9A6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4BE14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化学实验废液处理装置</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0E168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本装置有多种实验功能：酸碱废液中和、pH值测试、重金属达标处理、天然水的净化、处理前后水质检测，模拟酸雨危害、模拟酸碱性水环境、对植物生存的影响、对动物生存的影响等；包括试剂瓶、反应槽、搅拌机、水阀、过滤槽、活性炭槽；</w:t>
            </w:r>
            <w:r>
              <w:rPr>
                <w:rFonts w:hint="eastAsia" w:asciiTheme="minorEastAsia" w:hAnsiTheme="minorEastAsia" w:eastAsiaTheme="minorEastAsia" w:cstheme="minorEastAsia"/>
                <w:color w:val="auto"/>
                <w:kern w:val="0"/>
                <w:sz w:val="21"/>
                <w:szCs w:val="21"/>
                <w:highlight w:val="none"/>
                <w:lang w:bidi="ar"/>
              </w:rPr>
              <w:tab/>
            </w:r>
          </w:p>
          <w:p w14:paraId="1A4483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2、处理量不小于20升/次，无级变速双搅拌，附循环泵，普通水要半小时，重金属水稍长时间。</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73375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10954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4B9B5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895.70 </w:t>
            </w:r>
          </w:p>
        </w:tc>
      </w:tr>
      <w:tr w14:paraId="4A29465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0EFC3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1C130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气体实验微型装置</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38D6E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以微型玻璃为主，能完成氧气、氢气、二氧化碳、一氧化碳、氯气、氨气、二氧化硫、硫化氢、一氧化氮、二氧化氮等十几种气体的制备和性质实验，反应容器一般不超过30mL。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F2F05E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7D821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C3FEC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67.60 </w:t>
            </w:r>
          </w:p>
        </w:tc>
      </w:tr>
      <w:tr w14:paraId="1A93F5E1">
        <w:tblPrEx>
          <w:tblCellMar>
            <w:top w:w="0" w:type="dxa"/>
            <w:left w:w="108" w:type="dxa"/>
            <w:bottom w:w="0" w:type="dxa"/>
            <w:right w:w="108" w:type="dxa"/>
          </w:tblCellMar>
        </w:tblPrEx>
        <w:trPr>
          <w:trHeight w:val="324"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13ECB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173C8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氢燃料电池演示器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BFA26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2个质子交换膜电极，膜电极≥14㎜×14㎜，电表两个。</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4AD97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58118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C0E4A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507.00 </w:t>
            </w:r>
          </w:p>
        </w:tc>
      </w:tr>
      <w:tr w14:paraId="72F355D8">
        <w:tblPrEx>
          <w:tblCellMar>
            <w:top w:w="0" w:type="dxa"/>
            <w:left w:w="108" w:type="dxa"/>
            <w:bottom w:w="0" w:type="dxa"/>
            <w:right w:w="108" w:type="dxa"/>
          </w:tblCellMar>
        </w:tblPrEx>
        <w:trPr>
          <w:trHeight w:val="34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5E56B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E7EB4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氢燃料电池实验器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F5BA4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一个质子交换膜电极，膜电极≥15㎜×15㎜，带电流、电压表。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1D2F2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54458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BF300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135.20 </w:t>
            </w:r>
          </w:p>
        </w:tc>
      </w:tr>
      <w:tr w14:paraId="7992DEA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8C0C3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92D9B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电解槽演示器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0B0E6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1.电解槽外形采用立方体，外壳采用透明材料，可以在同一侧面上观察到内部结构和变化；</w:t>
            </w:r>
            <w:r>
              <w:rPr>
                <w:rFonts w:hint="eastAsia" w:asciiTheme="minorEastAsia" w:hAnsiTheme="minorEastAsia" w:eastAsiaTheme="minorEastAsia" w:cstheme="minorEastAsia"/>
                <w:color w:val="auto"/>
                <w:kern w:val="0"/>
                <w:sz w:val="21"/>
                <w:szCs w:val="21"/>
                <w:highlight w:val="none"/>
                <w:lang w:bidi="ar"/>
              </w:rPr>
              <w:tab/>
            </w:r>
          </w:p>
          <w:p w14:paraId="2B4C13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2、采用碳板阳极和金属阴极；</w:t>
            </w:r>
            <w:r>
              <w:rPr>
                <w:rFonts w:hint="eastAsia" w:asciiTheme="minorEastAsia" w:hAnsiTheme="minorEastAsia" w:eastAsiaTheme="minorEastAsia" w:cstheme="minorEastAsia"/>
                <w:color w:val="auto"/>
                <w:kern w:val="0"/>
                <w:sz w:val="21"/>
                <w:szCs w:val="21"/>
                <w:highlight w:val="none"/>
                <w:lang w:bidi="ar"/>
              </w:rPr>
              <w:tab/>
            </w:r>
          </w:p>
          <w:p w14:paraId="39CA99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3、采用透水性适宜的材料做隔膜，隔开阳极室和阴极室。</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C409C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4C8D3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BFB8E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338.00 </w:t>
            </w:r>
          </w:p>
        </w:tc>
      </w:tr>
      <w:tr w14:paraId="1164E61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AAAD9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237DF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离子交换柱</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46ED7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含玻璃纤维和离子交换树脂。</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60E25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45B89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15187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37.18 </w:t>
            </w:r>
          </w:p>
        </w:tc>
      </w:tr>
      <w:tr w14:paraId="73B8127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4EA1A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A3F75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电泳演示器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A9E0E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1.仪器外形结构由底座电源装置、带刻度的U形管、电极插座和开关等组成；</w:t>
            </w:r>
            <w:r>
              <w:rPr>
                <w:rFonts w:hint="eastAsia" w:asciiTheme="minorEastAsia" w:hAnsiTheme="minorEastAsia" w:eastAsiaTheme="minorEastAsia" w:cstheme="minorEastAsia"/>
                <w:color w:val="auto"/>
                <w:kern w:val="0"/>
                <w:sz w:val="21"/>
                <w:szCs w:val="21"/>
                <w:highlight w:val="none"/>
                <w:lang w:bidi="ar"/>
              </w:rPr>
              <w:tab/>
            </w:r>
          </w:p>
          <w:p w14:paraId="6AD1D2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2、主要技术参数：输入电压：AC12V；输出电压大于120V；输出电流80mA。</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75089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40835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9688F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101.40 </w:t>
            </w:r>
          </w:p>
        </w:tc>
      </w:tr>
      <w:tr w14:paraId="423A1559">
        <w:tblPrEx>
          <w:tblCellMar>
            <w:top w:w="0" w:type="dxa"/>
            <w:left w:w="108" w:type="dxa"/>
            <w:bottom w:w="0" w:type="dxa"/>
            <w:right w:w="108" w:type="dxa"/>
          </w:tblCellMar>
        </w:tblPrEx>
        <w:trPr>
          <w:trHeight w:val="533"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CB265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CC2F3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丁达尔现象实验器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59F34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1.产品由光源和盒体两部分组成；</w:t>
            </w:r>
            <w:r>
              <w:rPr>
                <w:rFonts w:hint="eastAsia" w:asciiTheme="minorEastAsia" w:hAnsiTheme="minorEastAsia" w:eastAsiaTheme="minorEastAsia" w:cstheme="minorEastAsia"/>
                <w:color w:val="auto"/>
                <w:kern w:val="0"/>
                <w:sz w:val="21"/>
                <w:szCs w:val="21"/>
                <w:highlight w:val="none"/>
                <w:lang w:bidi="ar"/>
              </w:rPr>
              <w:tab/>
            </w:r>
          </w:p>
          <w:p w14:paraId="25798D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2、光源：由电池盒（内可装两节5号电池）按钮开关，1.5V—2.2V集光灯珠组成。</w:t>
            </w:r>
            <w:r>
              <w:rPr>
                <w:rFonts w:hint="eastAsia" w:asciiTheme="minorEastAsia" w:hAnsiTheme="minorEastAsia" w:eastAsiaTheme="minorEastAsia" w:cstheme="minorEastAsia"/>
                <w:color w:val="auto"/>
                <w:kern w:val="0"/>
                <w:sz w:val="21"/>
                <w:szCs w:val="21"/>
                <w:highlight w:val="none"/>
                <w:lang w:bidi="ar"/>
              </w:rPr>
              <w:tab/>
            </w:r>
          </w:p>
          <w:p w14:paraId="77117A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3、盒体：（暗室）内附有方形试管三支，供盛放胶体或溶液用。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14EE0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5AF4E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D16E2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23.66 </w:t>
            </w:r>
          </w:p>
        </w:tc>
      </w:tr>
      <w:tr w14:paraId="68DA597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53BE2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F7C18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二氧化氮球</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D6875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双球，内封NO2和N2O4。</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04EEE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173EB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B0D01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23.66 </w:t>
            </w:r>
          </w:p>
        </w:tc>
      </w:tr>
      <w:tr w14:paraId="0273600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4E690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7CA8B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渗析实验器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3E268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高中化学实验中电渗析实验膜分离法实验仪器。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D721C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200D0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5EFBD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23.66 </w:t>
            </w:r>
          </w:p>
        </w:tc>
      </w:tr>
      <w:tr w14:paraId="72ED0EA0">
        <w:tblPrEx>
          <w:tblCellMar>
            <w:top w:w="0" w:type="dxa"/>
            <w:left w:w="108" w:type="dxa"/>
            <w:bottom w:w="0" w:type="dxa"/>
            <w:right w:w="108" w:type="dxa"/>
          </w:tblCellMar>
        </w:tblPrEx>
        <w:trPr>
          <w:trHeight w:val="90"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09A76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98DA0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放电反应实验仪</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6C2E1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通电五分钟之内即有氮气与氧气反应的现象，消耗功率不大于30W。</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D2172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171D1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E2979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270.40 </w:t>
            </w:r>
          </w:p>
        </w:tc>
      </w:tr>
      <w:tr w14:paraId="7A230121">
        <w:tblPrEx>
          <w:tblCellMar>
            <w:top w:w="0" w:type="dxa"/>
            <w:left w:w="108" w:type="dxa"/>
            <w:bottom w:w="0" w:type="dxa"/>
            <w:right w:w="108" w:type="dxa"/>
          </w:tblCellMar>
        </w:tblPrEx>
        <w:trPr>
          <w:trHeight w:val="64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DC10F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1259D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光化学实验演示器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181D7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本产品由底座、闪光装置、安全防护罩、手控按钮、开关、指示灯、附件盒组成。</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D8A79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F5229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20876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229.84 </w:t>
            </w:r>
          </w:p>
        </w:tc>
      </w:tr>
      <w:tr w14:paraId="1E11E5A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068D8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91194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化学实验演示平台</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86249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本产品由底座、摄像头、试管、试管支架、软件等组成。</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D8E34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56EA9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70630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743.60 </w:t>
            </w:r>
          </w:p>
        </w:tc>
      </w:tr>
      <w:tr w14:paraId="0605F3D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21A1A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both"/>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C479F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炼铁高炉模型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C0A3F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1.产品为炼铁高炉缩小模型，装置于底座上；</w:t>
            </w:r>
            <w:r>
              <w:rPr>
                <w:rFonts w:hint="eastAsia" w:asciiTheme="minorEastAsia" w:hAnsiTheme="minorEastAsia" w:eastAsiaTheme="minorEastAsia" w:cstheme="minorEastAsia"/>
                <w:color w:val="auto"/>
                <w:kern w:val="0"/>
                <w:sz w:val="21"/>
                <w:szCs w:val="21"/>
                <w:highlight w:val="none"/>
                <w:lang w:bidi="ar"/>
              </w:rPr>
              <w:tab/>
            </w:r>
          </w:p>
          <w:p w14:paraId="354EF5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2、模型应能正确显示高炉“腰粗、喉细”的整体特征，并应显示炉喉、炉身、炉腰、炉腹、炉缸等各部分结</w:t>
            </w:r>
            <w:r>
              <w:rPr>
                <w:rFonts w:hint="eastAsia" w:asciiTheme="minorEastAsia" w:hAnsiTheme="minorEastAsia" w:eastAsiaTheme="minorEastAsia" w:cstheme="minorEastAsia"/>
                <w:color w:val="auto"/>
                <w:kern w:val="0"/>
                <w:sz w:val="21"/>
                <w:szCs w:val="21"/>
                <w:highlight w:val="none"/>
                <w:lang w:bidi="ar"/>
              </w:rPr>
              <w:tab/>
            </w:r>
          </w:p>
          <w:p w14:paraId="37F083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3、模型应能正确显示小料斗、大料斗及煤气出口的结构和位置，并可演示在加料过程中各有关部件间的相互关系；</w:t>
            </w:r>
            <w:r>
              <w:rPr>
                <w:rFonts w:hint="eastAsia" w:asciiTheme="minorEastAsia" w:hAnsiTheme="minorEastAsia" w:eastAsiaTheme="minorEastAsia" w:cstheme="minorEastAsia"/>
                <w:color w:val="auto"/>
                <w:kern w:val="0"/>
                <w:sz w:val="21"/>
                <w:szCs w:val="21"/>
                <w:highlight w:val="none"/>
                <w:lang w:bidi="ar"/>
              </w:rPr>
              <w:tab/>
            </w:r>
          </w:p>
          <w:p w14:paraId="794C73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4、产品的主要结构应用标签注明，标注应准确、清晰、牢固；</w:t>
            </w:r>
            <w:r>
              <w:rPr>
                <w:rFonts w:hint="eastAsia" w:asciiTheme="minorEastAsia" w:hAnsiTheme="minorEastAsia" w:eastAsiaTheme="minorEastAsia" w:cstheme="minorEastAsia"/>
                <w:color w:val="auto"/>
                <w:kern w:val="0"/>
                <w:sz w:val="21"/>
                <w:szCs w:val="21"/>
                <w:highlight w:val="none"/>
                <w:lang w:bidi="ar"/>
              </w:rPr>
              <w:tab/>
            </w:r>
          </w:p>
          <w:p w14:paraId="6FBFC6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5、各部件应比例适当，位置正确，连接牢固，不得因正常震动、碰触而开裂、松脱。</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A6F42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A1C3E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03017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169.00 </w:t>
            </w:r>
          </w:p>
        </w:tc>
      </w:tr>
      <w:tr w14:paraId="36D1BA1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CA7BF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BB9E6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分子结构模型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A7A81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演示用，氢原子球直径不小于21mm，其他原子球直径不小于28mm。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301E4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1B48B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41B7A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169.00 </w:t>
            </w:r>
          </w:p>
        </w:tc>
      </w:tr>
      <w:tr w14:paraId="3052990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33CB7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8AC95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分子结构模型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15799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分组用，氢原子球直径不小于16mm，其他原子球直径不小于22mm。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8863C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A31E6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59BA2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47.32 </w:t>
            </w:r>
          </w:p>
        </w:tc>
      </w:tr>
      <w:tr w14:paraId="61246A9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1A5C1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8F845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金刚石结构模型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B61BB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1.仪器可组装金刚石晶体结构，由黑色橡胶球、塑料杆组成，演示用；</w:t>
            </w:r>
            <w:r>
              <w:rPr>
                <w:rFonts w:hint="eastAsia" w:asciiTheme="minorEastAsia" w:hAnsiTheme="minorEastAsia" w:eastAsiaTheme="minorEastAsia" w:cstheme="minorEastAsia"/>
                <w:color w:val="auto"/>
                <w:kern w:val="0"/>
                <w:sz w:val="21"/>
                <w:szCs w:val="21"/>
                <w:highlight w:val="none"/>
                <w:lang w:bidi="ar"/>
              </w:rPr>
              <w:tab/>
            </w:r>
          </w:p>
          <w:p w14:paraId="4D817D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2、直径不小于27mm，球杆组装松紧适度，不应有自由转动、松脱，组装后不得有明显的弯曲变形及角度变化；教学演示效果明显。</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8C9FA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C0EF6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207EC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27.04 </w:t>
            </w:r>
          </w:p>
        </w:tc>
      </w:tr>
      <w:tr w14:paraId="7358F92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A2D67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260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73B58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石墨结构模型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6AEEF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1.仪器可组装石墨晶体结构，由黑色橡胶球39个、塑料杆组成，演示用；</w:t>
            </w:r>
            <w:r>
              <w:rPr>
                <w:rFonts w:hint="eastAsia" w:asciiTheme="minorEastAsia" w:hAnsiTheme="minorEastAsia" w:eastAsiaTheme="minorEastAsia" w:cstheme="minorEastAsia"/>
                <w:color w:val="auto"/>
                <w:kern w:val="0"/>
                <w:sz w:val="21"/>
                <w:szCs w:val="21"/>
                <w:highlight w:val="none"/>
                <w:lang w:bidi="ar"/>
              </w:rPr>
              <w:tab/>
            </w:r>
          </w:p>
          <w:p w14:paraId="296D07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2、橡胶球直径不小于27mm；球杆组装松紧适度，不应有自由转动、松脱，组装后不得有明显的弯曲变形及角度变化；教学演示效果明显。</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0A51C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B3F20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51B30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2FAC869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E4ECC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261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2609F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碳-60结构模型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5BCD8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1.模型由黑色塑料球60个和管状塑料键组成，演示用</w:t>
            </w:r>
            <w:r>
              <w:rPr>
                <w:rFonts w:hint="eastAsia" w:asciiTheme="minorEastAsia" w:hAnsiTheme="minorEastAsia" w:eastAsiaTheme="minorEastAsia" w:cstheme="minorEastAsia"/>
                <w:color w:val="auto"/>
                <w:kern w:val="0"/>
                <w:sz w:val="21"/>
                <w:szCs w:val="21"/>
                <w:highlight w:val="none"/>
                <w:lang w:bidi="ar"/>
              </w:rPr>
              <w:tab/>
            </w:r>
          </w:p>
          <w:p w14:paraId="78CA4F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2、球与键的表面应光滑无划痕；键与球的结合应松紧恰当。</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63389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D1812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98CCE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54.08 </w:t>
            </w:r>
          </w:p>
        </w:tc>
      </w:tr>
      <w:tr w14:paraId="41922AA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DD85E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262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BE92C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氯化钠晶体结构模型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F290C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演示用，由14个Φ27mm绿色塑料球与14个Φ20mm灰色塑料球、塑料杆55根组成。</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8E834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7C553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98479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27.04 </w:t>
            </w:r>
          </w:p>
        </w:tc>
      </w:tr>
      <w:tr w14:paraId="468A8D3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382FC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263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35BFF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碳的同素异形体结构模型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78540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包括金刚石、石墨、碳-60三种结构模型；小型，球管式，可拆卸。</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59ADF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3C298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38BD4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46DF89C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D9BC6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264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FB078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氯化铯晶体结构模型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4E0D0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模型组成：氯原子、铯原子、金属杆组成，球直径不小于28mm。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1B22F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0A2E9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96E4B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81.12 </w:t>
            </w:r>
          </w:p>
        </w:tc>
      </w:tr>
      <w:tr w14:paraId="66F9017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77D23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265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4AFB8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二氧化碳晶体结构模型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7D3EB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氧原子（天蓝球、直径22mm）28个，碳原子（黑球、直径27mm）14个。</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1DD23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2023C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0B2F6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118.30 </w:t>
            </w:r>
          </w:p>
        </w:tc>
      </w:tr>
      <w:tr w14:paraId="5999B2B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AA03F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266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87D14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二氧化硅晶体结构模型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7AB7C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硅原子（蓝色，14个，直径不小于27mm）、氧原子（红色，16个，直径不小于21mm）、连接杆（32个）组成，球直径不小于25mm。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86D97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8EE97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B7EED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43.94 </w:t>
            </w:r>
          </w:p>
        </w:tc>
      </w:tr>
      <w:tr w14:paraId="3D9806E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F62B5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267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6A0CA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金属晶体结构模型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B700F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由堆积、晶胞模型和延展性模型组成，球直径不小于28mm。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50548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D7886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F874A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118.30 </w:t>
            </w:r>
          </w:p>
        </w:tc>
      </w:tr>
      <w:tr w14:paraId="54717131">
        <w:tblPrEx>
          <w:tblCellMar>
            <w:top w:w="0" w:type="dxa"/>
            <w:left w:w="108" w:type="dxa"/>
            <w:bottom w:w="0" w:type="dxa"/>
            <w:right w:w="108" w:type="dxa"/>
          </w:tblCellMar>
        </w:tblPrEx>
        <w:trPr>
          <w:trHeight w:val="374" w:hRule="atLeast"/>
        </w:trPr>
        <w:tc>
          <w:tcPr>
            <w:tcW w:w="649" w:type="dxa"/>
            <w:tcBorders>
              <w:top w:val="single" w:color="auto" w:sz="4" w:space="0"/>
              <w:left w:val="single" w:color="auto" w:sz="4" w:space="0"/>
              <w:bottom w:val="single" w:color="auto" w:sz="4" w:space="0"/>
              <w:right w:val="single" w:color="auto" w:sz="4" w:space="0"/>
            </w:tcBorders>
            <w:vAlign w:val="center"/>
          </w:tcPr>
          <w:p w14:paraId="23F600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268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541B0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电子云杂化轨道模型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CAA75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S.SP、SP2、SP3、Px、Py、Pz.</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B05BF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05ACA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ABF22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439.40 </w:t>
            </w:r>
          </w:p>
        </w:tc>
      </w:tr>
      <w:tr w14:paraId="3825A77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A0864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269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B65AB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气体摩尔体积模型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0F04D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拆装式，由气体摩尔体积正方体组成，正方体规格为280mm×280mm×280mm，厚度为1mm的透明有机玻璃，再用专门设计的透明塑料角联结。</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48832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0C71E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19E51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118.30 </w:t>
            </w:r>
          </w:p>
        </w:tc>
      </w:tr>
      <w:tr w14:paraId="4A15B8F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EAE0C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76A82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沸腾焙烧炉模型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5F465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1.产品为沸腾焙烧炉的缩小模型，装置于底座上，外壳可局部剖开，能看清其内部结构；</w:t>
            </w:r>
            <w:r>
              <w:rPr>
                <w:rFonts w:hint="eastAsia" w:asciiTheme="minorEastAsia" w:hAnsiTheme="minorEastAsia" w:eastAsiaTheme="minorEastAsia" w:cstheme="minorEastAsia"/>
                <w:color w:val="auto"/>
                <w:kern w:val="0"/>
                <w:sz w:val="21"/>
                <w:szCs w:val="21"/>
                <w:highlight w:val="none"/>
                <w:lang w:bidi="ar"/>
              </w:rPr>
              <w:tab/>
            </w:r>
          </w:p>
          <w:p w14:paraId="284DB6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2、炉体上侧有炉气出口，下部两侧分别为加料室和出渣口；</w:t>
            </w:r>
            <w:r>
              <w:rPr>
                <w:rFonts w:hint="eastAsia" w:asciiTheme="minorEastAsia" w:hAnsiTheme="minorEastAsia" w:eastAsiaTheme="minorEastAsia" w:cstheme="minorEastAsia"/>
                <w:color w:val="auto"/>
                <w:kern w:val="0"/>
                <w:sz w:val="21"/>
                <w:szCs w:val="21"/>
                <w:highlight w:val="none"/>
                <w:lang w:bidi="ar"/>
              </w:rPr>
              <w:tab/>
            </w:r>
          </w:p>
          <w:p w14:paraId="1E34DB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3、空气分布板位于炉内下部，板上均匀装有若干个风帽，应正确显示风帽与分布板的结构关系；</w:t>
            </w:r>
            <w:r>
              <w:rPr>
                <w:rFonts w:hint="eastAsia" w:asciiTheme="minorEastAsia" w:hAnsiTheme="minorEastAsia" w:eastAsiaTheme="minorEastAsia" w:cstheme="minorEastAsia"/>
                <w:color w:val="auto"/>
                <w:kern w:val="0"/>
                <w:sz w:val="21"/>
                <w:szCs w:val="21"/>
                <w:highlight w:val="none"/>
                <w:lang w:bidi="ar"/>
              </w:rPr>
              <w:tab/>
            </w:r>
          </w:p>
          <w:p w14:paraId="611BF0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4、空气分布室呈倒锥形，其底部侧面有空气进口；加料室内空气分布板上部有加料口，下面有空气进口。</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15F04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E5F82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BC5E9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219.70 </w:t>
            </w:r>
          </w:p>
        </w:tc>
      </w:tr>
      <w:tr w14:paraId="69C0555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7634A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6ACA6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硫酸接触室模型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C0B77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1.产品为接触法制硫酸的接触室缩小模型，外壳可局部剖开，能看清其内部结构；接触室内上部和下部各有一层触媒，两触媒层之间为热交换器；</w:t>
            </w:r>
            <w:r>
              <w:rPr>
                <w:rFonts w:hint="eastAsia" w:asciiTheme="minorEastAsia" w:hAnsiTheme="minorEastAsia" w:eastAsiaTheme="minorEastAsia" w:cstheme="minorEastAsia"/>
                <w:color w:val="auto"/>
                <w:kern w:val="0"/>
                <w:sz w:val="21"/>
                <w:szCs w:val="21"/>
                <w:highlight w:val="none"/>
                <w:lang w:bidi="ar"/>
              </w:rPr>
              <w:tab/>
            </w:r>
          </w:p>
          <w:p w14:paraId="796183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2、热交换器采用列管式，应表现出其内部立体结构；</w:t>
            </w:r>
            <w:r>
              <w:rPr>
                <w:rFonts w:hint="eastAsia" w:asciiTheme="minorEastAsia" w:hAnsiTheme="minorEastAsia" w:eastAsiaTheme="minorEastAsia" w:cstheme="minorEastAsia"/>
                <w:color w:val="auto"/>
                <w:kern w:val="0"/>
                <w:sz w:val="21"/>
                <w:szCs w:val="21"/>
                <w:highlight w:val="none"/>
                <w:lang w:bidi="ar"/>
              </w:rPr>
              <w:tab/>
            </w:r>
          </w:p>
          <w:p w14:paraId="463692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3、气体的各进、出口的位置正确。</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76A8A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A47B8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85038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219.70 </w:t>
            </w:r>
          </w:p>
        </w:tc>
      </w:tr>
      <w:tr w14:paraId="342EAF1B">
        <w:tblPrEx>
          <w:tblCellMar>
            <w:top w:w="0" w:type="dxa"/>
            <w:left w:w="108" w:type="dxa"/>
            <w:bottom w:w="0" w:type="dxa"/>
            <w:right w:w="108" w:type="dxa"/>
          </w:tblCellMar>
        </w:tblPrEx>
        <w:trPr>
          <w:trHeight w:val="514" w:hRule="atLeast"/>
        </w:trPr>
        <w:tc>
          <w:tcPr>
            <w:tcW w:w="649" w:type="dxa"/>
            <w:tcBorders>
              <w:top w:val="single" w:color="auto" w:sz="4" w:space="0"/>
              <w:left w:val="single" w:color="auto" w:sz="4" w:space="0"/>
              <w:bottom w:val="single" w:color="auto" w:sz="4" w:space="0"/>
              <w:right w:val="single" w:color="auto" w:sz="4" w:space="0"/>
            </w:tcBorders>
            <w:vAlign w:val="center"/>
          </w:tcPr>
          <w:p w14:paraId="2264FD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84812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氨合成塔模型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82637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1.产品为氨合成塔缩小模型，模型外形示塔体及顶盖等；</w:t>
            </w:r>
          </w:p>
          <w:p w14:paraId="6F77DF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2、外壳剖开，应能看清塔内的环状空间及塔上部的触媒室和塔下部的热交换器等结构，在外壳剖面上示其壁厚；</w:t>
            </w:r>
          </w:p>
          <w:p w14:paraId="31CABD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3、触媒室示触媒层的形态，触媒层应置于多空板上；热交换器采用列管式，应表现出其内部立体结构。</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FDC02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69A39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D81BA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253.50 </w:t>
            </w:r>
          </w:p>
        </w:tc>
      </w:tr>
      <w:tr w14:paraId="48A0FF1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279EE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42E5F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炼钢转炉模型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A978C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1.产品为炼铁高炉缩小模型，装置于底座上；</w:t>
            </w:r>
            <w:r>
              <w:rPr>
                <w:rFonts w:hint="eastAsia" w:asciiTheme="minorEastAsia" w:hAnsiTheme="minorEastAsia" w:eastAsiaTheme="minorEastAsia" w:cstheme="minorEastAsia"/>
                <w:color w:val="auto"/>
                <w:kern w:val="0"/>
                <w:sz w:val="21"/>
                <w:szCs w:val="21"/>
                <w:highlight w:val="none"/>
                <w:lang w:bidi="ar"/>
              </w:rPr>
              <w:tab/>
            </w:r>
          </w:p>
          <w:p w14:paraId="1E68D8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2、模型应能正确显示高炉“腰粗、喉细”的整体特征；</w:t>
            </w:r>
          </w:p>
          <w:p w14:paraId="1B3DCA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3、产品的主要结构应用标签注明，标注应准确、清晰、牢固；</w:t>
            </w:r>
            <w:r>
              <w:rPr>
                <w:rFonts w:hint="eastAsia" w:asciiTheme="minorEastAsia" w:hAnsiTheme="minorEastAsia" w:eastAsiaTheme="minorEastAsia" w:cstheme="minorEastAsia"/>
                <w:color w:val="auto"/>
                <w:kern w:val="0"/>
                <w:sz w:val="21"/>
                <w:szCs w:val="21"/>
                <w:highlight w:val="none"/>
                <w:lang w:bidi="ar"/>
              </w:rPr>
              <w:tab/>
            </w:r>
          </w:p>
          <w:p w14:paraId="6DAC67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4、各部件应比例适当，位置正确，连接牢固，不得因正常震动、碰触而开裂、松脱。</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C414E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3C270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43064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229.84 </w:t>
            </w:r>
          </w:p>
        </w:tc>
      </w:tr>
      <w:tr w14:paraId="1264C56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63838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F0EEF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金属矿物、金属及合金标本</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7510C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1.包括：铜矿、铁矿、铝矿、钨矿、锡石矿、铁、铝、锡、铝合金、钛金；</w:t>
            </w:r>
            <w:r>
              <w:rPr>
                <w:rFonts w:hint="eastAsia" w:asciiTheme="minorEastAsia" w:hAnsiTheme="minorEastAsia" w:eastAsiaTheme="minorEastAsia" w:cstheme="minorEastAsia"/>
                <w:color w:val="auto"/>
                <w:kern w:val="0"/>
                <w:sz w:val="21"/>
                <w:szCs w:val="21"/>
                <w:highlight w:val="none"/>
                <w:lang w:bidi="ar"/>
              </w:rPr>
              <w:tab/>
            </w:r>
          </w:p>
          <w:p w14:paraId="712B7E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2、每种标本附有标签；</w:t>
            </w:r>
            <w:r>
              <w:rPr>
                <w:rFonts w:hint="eastAsia" w:asciiTheme="minorEastAsia" w:hAnsiTheme="minorEastAsia" w:eastAsiaTheme="minorEastAsia" w:cstheme="minorEastAsia"/>
                <w:color w:val="auto"/>
                <w:kern w:val="0"/>
                <w:sz w:val="21"/>
                <w:szCs w:val="21"/>
                <w:highlight w:val="none"/>
                <w:lang w:bidi="ar"/>
              </w:rPr>
              <w:tab/>
            </w:r>
          </w:p>
          <w:p w14:paraId="4CAD7D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3、塑料包装盒。</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00036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368CB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盒</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92A63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27.04 </w:t>
            </w:r>
          </w:p>
        </w:tc>
      </w:tr>
      <w:tr w14:paraId="67832251">
        <w:tblPrEx>
          <w:tblCellMar>
            <w:top w:w="0" w:type="dxa"/>
            <w:left w:w="108" w:type="dxa"/>
            <w:bottom w:w="0" w:type="dxa"/>
            <w:right w:w="108" w:type="dxa"/>
          </w:tblCellMar>
        </w:tblPrEx>
        <w:trPr>
          <w:trHeight w:val="547" w:hRule="atLeast"/>
        </w:trPr>
        <w:tc>
          <w:tcPr>
            <w:tcW w:w="649" w:type="dxa"/>
            <w:tcBorders>
              <w:top w:val="single" w:color="auto" w:sz="4" w:space="0"/>
              <w:left w:val="single" w:color="auto" w:sz="4" w:space="0"/>
              <w:bottom w:val="single" w:color="auto" w:sz="4" w:space="0"/>
              <w:right w:val="single" w:color="auto" w:sz="4" w:space="0"/>
            </w:tcBorders>
            <w:vAlign w:val="center"/>
          </w:tcPr>
          <w:p w14:paraId="1E6DD4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17BED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原油常见馏分标本</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84727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1.包括：原油、汽油、煤油、柴油、重油、润滑油、凡士林、沥青；</w:t>
            </w:r>
            <w:r>
              <w:rPr>
                <w:rFonts w:hint="eastAsia" w:asciiTheme="minorEastAsia" w:hAnsiTheme="minorEastAsia" w:eastAsiaTheme="minorEastAsia" w:cstheme="minorEastAsia"/>
                <w:color w:val="auto"/>
                <w:kern w:val="0"/>
                <w:sz w:val="21"/>
                <w:szCs w:val="21"/>
                <w:highlight w:val="none"/>
                <w:lang w:bidi="ar"/>
              </w:rPr>
              <w:tab/>
            </w:r>
          </w:p>
          <w:p w14:paraId="1930AC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2、每种标本附有标签采用塑料盒包装。</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3B19C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427BD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盒</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95168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27.04 </w:t>
            </w:r>
          </w:p>
        </w:tc>
      </w:tr>
      <w:tr w14:paraId="4EF086BA">
        <w:tblPrEx>
          <w:tblCellMar>
            <w:top w:w="0" w:type="dxa"/>
            <w:left w:w="108" w:type="dxa"/>
            <w:bottom w:w="0" w:type="dxa"/>
            <w:right w:w="108" w:type="dxa"/>
          </w:tblCellMar>
        </w:tblPrEx>
        <w:trPr>
          <w:trHeight w:val="557" w:hRule="atLeast"/>
        </w:trPr>
        <w:tc>
          <w:tcPr>
            <w:tcW w:w="649" w:type="dxa"/>
            <w:tcBorders>
              <w:top w:val="single" w:color="auto" w:sz="4" w:space="0"/>
              <w:left w:val="single" w:color="auto" w:sz="4" w:space="0"/>
              <w:bottom w:val="single" w:color="auto" w:sz="4" w:space="0"/>
              <w:right w:val="single" w:color="auto" w:sz="4" w:space="0"/>
            </w:tcBorders>
            <w:vAlign w:val="center"/>
          </w:tcPr>
          <w:p w14:paraId="2AE663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1936B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新型无机非金属材料标本</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5542A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氧化铝陶瓷、氮化硅陶瓷、光导纤维等。</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AF541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D1BE7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盒</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3DDBD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27.04 </w:t>
            </w:r>
          </w:p>
        </w:tc>
      </w:tr>
      <w:tr w14:paraId="6DEC8697">
        <w:tblPrEx>
          <w:tblCellMar>
            <w:top w:w="0" w:type="dxa"/>
            <w:left w:w="108" w:type="dxa"/>
            <w:bottom w:w="0" w:type="dxa"/>
            <w:right w:w="108" w:type="dxa"/>
          </w:tblCellMar>
        </w:tblPrEx>
        <w:trPr>
          <w:trHeight w:val="656" w:hRule="atLeast"/>
        </w:trPr>
        <w:tc>
          <w:tcPr>
            <w:tcW w:w="649" w:type="dxa"/>
            <w:tcBorders>
              <w:top w:val="single" w:color="auto" w:sz="4" w:space="0"/>
              <w:left w:val="single" w:color="auto" w:sz="4" w:space="0"/>
              <w:bottom w:val="single" w:color="auto" w:sz="4" w:space="0"/>
              <w:right w:val="single" w:color="auto" w:sz="4" w:space="0"/>
            </w:tcBorders>
            <w:vAlign w:val="center"/>
          </w:tcPr>
          <w:p w14:paraId="47E504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431C4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4FAC9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1.标称容量：10mL；</w:t>
            </w:r>
            <w:r>
              <w:rPr>
                <w:rFonts w:hint="eastAsia" w:asciiTheme="minorEastAsia" w:hAnsiTheme="minorEastAsia" w:eastAsiaTheme="minorEastAsia" w:cstheme="minorEastAsia"/>
                <w:color w:val="auto"/>
                <w:kern w:val="0"/>
                <w:sz w:val="21"/>
                <w:szCs w:val="21"/>
                <w:highlight w:val="none"/>
                <w:lang w:bidi="ar"/>
              </w:rPr>
              <w:tab/>
            </w:r>
          </w:p>
          <w:p w14:paraId="0C6C38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r>
              <w:rPr>
                <w:rFonts w:hint="eastAsia" w:asciiTheme="minorEastAsia" w:hAnsiTheme="minorEastAsia" w:eastAsiaTheme="minorEastAsia" w:cstheme="minorEastAsia"/>
                <w:color w:val="auto"/>
                <w:kern w:val="0"/>
                <w:sz w:val="21"/>
                <w:szCs w:val="21"/>
                <w:highlight w:val="none"/>
                <w:lang w:bidi="ar"/>
              </w:rPr>
              <w:tab/>
            </w:r>
          </w:p>
          <w:p w14:paraId="0EC220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r>
              <w:rPr>
                <w:rFonts w:hint="eastAsia" w:asciiTheme="minorEastAsia" w:hAnsiTheme="minorEastAsia" w:eastAsiaTheme="minorEastAsia" w:cstheme="minorEastAsia"/>
                <w:color w:val="auto"/>
                <w:kern w:val="0"/>
                <w:sz w:val="21"/>
                <w:szCs w:val="21"/>
                <w:highlight w:val="none"/>
                <w:lang w:bidi="ar"/>
              </w:rPr>
              <w:tab/>
            </w:r>
          </w:p>
          <w:p w14:paraId="525BBD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r>
              <w:rPr>
                <w:rFonts w:hint="eastAsia" w:asciiTheme="minorEastAsia" w:hAnsiTheme="minorEastAsia" w:eastAsiaTheme="minorEastAsia" w:cstheme="minorEastAsia"/>
                <w:color w:val="auto"/>
                <w:kern w:val="0"/>
                <w:sz w:val="21"/>
                <w:szCs w:val="21"/>
                <w:highlight w:val="none"/>
                <w:lang w:bidi="ar"/>
              </w:rPr>
              <w:tab/>
            </w:r>
          </w:p>
          <w:p w14:paraId="2282B3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p w14:paraId="6D22F3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B9564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7D61A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03261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4.90 </w:t>
            </w:r>
          </w:p>
        </w:tc>
      </w:tr>
      <w:tr w14:paraId="5068976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0ADCF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D68EA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702BB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1.标称容量：25mL；</w:t>
            </w:r>
            <w:r>
              <w:rPr>
                <w:rFonts w:hint="eastAsia" w:asciiTheme="minorEastAsia" w:hAnsiTheme="minorEastAsia" w:eastAsiaTheme="minorEastAsia" w:cstheme="minorEastAsia"/>
                <w:color w:val="auto"/>
                <w:kern w:val="0"/>
                <w:sz w:val="21"/>
                <w:szCs w:val="21"/>
                <w:highlight w:val="none"/>
                <w:lang w:bidi="ar"/>
              </w:rPr>
              <w:tab/>
            </w:r>
          </w:p>
          <w:p w14:paraId="72FB92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r>
              <w:rPr>
                <w:rFonts w:hint="eastAsia" w:asciiTheme="minorEastAsia" w:hAnsiTheme="minorEastAsia" w:eastAsiaTheme="minorEastAsia" w:cstheme="minorEastAsia"/>
                <w:color w:val="auto"/>
                <w:kern w:val="0"/>
                <w:sz w:val="21"/>
                <w:szCs w:val="21"/>
                <w:highlight w:val="none"/>
                <w:lang w:bidi="ar"/>
              </w:rPr>
              <w:tab/>
            </w:r>
          </w:p>
          <w:p w14:paraId="34FD48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r>
              <w:rPr>
                <w:rFonts w:hint="eastAsia" w:asciiTheme="minorEastAsia" w:hAnsiTheme="minorEastAsia" w:eastAsiaTheme="minorEastAsia" w:cstheme="minorEastAsia"/>
                <w:color w:val="auto"/>
                <w:kern w:val="0"/>
                <w:sz w:val="21"/>
                <w:szCs w:val="21"/>
                <w:highlight w:val="none"/>
                <w:lang w:bidi="ar"/>
              </w:rPr>
              <w:tab/>
            </w:r>
          </w:p>
          <w:p w14:paraId="2ACCD8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r>
              <w:rPr>
                <w:rFonts w:hint="eastAsia" w:asciiTheme="minorEastAsia" w:hAnsiTheme="minorEastAsia" w:eastAsiaTheme="minorEastAsia" w:cstheme="minorEastAsia"/>
                <w:color w:val="auto"/>
                <w:kern w:val="0"/>
                <w:sz w:val="21"/>
                <w:szCs w:val="21"/>
                <w:highlight w:val="none"/>
                <w:lang w:bidi="ar"/>
              </w:rPr>
              <w:tab/>
            </w:r>
          </w:p>
          <w:p w14:paraId="50DE20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p w14:paraId="38D062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183D1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42E69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68D27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6.42 </w:t>
            </w:r>
          </w:p>
        </w:tc>
      </w:tr>
      <w:tr w14:paraId="5B13F9E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CB89F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90910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E8546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1.标称容量：50mL，</w:t>
            </w:r>
            <w:r>
              <w:rPr>
                <w:rFonts w:hint="eastAsia" w:asciiTheme="minorEastAsia" w:hAnsiTheme="minorEastAsia" w:eastAsiaTheme="minorEastAsia" w:cstheme="minorEastAsia"/>
                <w:color w:val="auto"/>
                <w:kern w:val="0"/>
                <w:sz w:val="21"/>
                <w:szCs w:val="21"/>
                <w:highlight w:val="none"/>
                <w:lang w:bidi="ar"/>
              </w:rPr>
              <w:tab/>
            </w:r>
          </w:p>
          <w:p w14:paraId="6F44DA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r>
              <w:rPr>
                <w:rFonts w:hint="eastAsia" w:asciiTheme="minorEastAsia" w:hAnsiTheme="minorEastAsia" w:eastAsiaTheme="minorEastAsia" w:cstheme="minorEastAsia"/>
                <w:color w:val="auto"/>
                <w:kern w:val="0"/>
                <w:sz w:val="21"/>
                <w:szCs w:val="21"/>
                <w:highlight w:val="none"/>
                <w:lang w:bidi="ar"/>
              </w:rPr>
              <w:tab/>
            </w:r>
          </w:p>
          <w:p w14:paraId="7C9984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r>
              <w:rPr>
                <w:rFonts w:hint="eastAsia" w:asciiTheme="minorEastAsia" w:hAnsiTheme="minorEastAsia" w:eastAsiaTheme="minorEastAsia" w:cstheme="minorEastAsia"/>
                <w:color w:val="auto"/>
                <w:kern w:val="0"/>
                <w:sz w:val="21"/>
                <w:szCs w:val="21"/>
                <w:highlight w:val="none"/>
                <w:lang w:bidi="ar"/>
              </w:rPr>
              <w:tab/>
            </w:r>
          </w:p>
          <w:p w14:paraId="2ABC63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r>
              <w:rPr>
                <w:rFonts w:hint="eastAsia" w:asciiTheme="minorEastAsia" w:hAnsiTheme="minorEastAsia" w:eastAsiaTheme="minorEastAsia" w:cstheme="minorEastAsia"/>
                <w:color w:val="auto"/>
                <w:kern w:val="0"/>
                <w:sz w:val="21"/>
                <w:szCs w:val="21"/>
                <w:highlight w:val="none"/>
                <w:lang w:bidi="ar"/>
              </w:rPr>
              <w:tab/>
            </w:r>
          </w:p>
          <w:p w14:paraId="20EE5B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p w14:paraId="1E4C23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CAC08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1038A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F9B8F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7.10 </w:t>
            </w:r>
          </w:p>
        </w:tc>
      </w:tr>
      <w:tr w14:paraId="691152B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EB9B8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BF792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53F23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1.标称容量：100mL；</w:t>
            </w:r>
            <w:r>
              <w:rPr>
                <w:rFonts w:hint="eastAsia" w:asciiTheme="minorEastAsia" w:hAnsiTheme="minorEastAsia" w:eastAsiaTheme="minorEastAsia" w:cstheme="minorEastAsia"/>
                <w:color w:val="auto"/>
                <w:kern w:val="0"/>
                <w:sz w:val="21"/>
                <w:szCs w:val="21"/>
                <w:highlight w:val="none"/>
                <w:lang w:bidi="ar"/>
              </w:rPr>
              <w:tab/>
            </w:r>
          </w:p>
          <w:p w14:paraId="7FC4BA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r>
              <w:rPr>
                <w:rFonts w:hint="eastAsia" w:asciiTheme="minorEastAsia" w:hAnsiTheme="minorEastAsia" w:eastAsiaTheme="minorEastAsia" w:cstheme="minorEastAsia"/>
                <w:color w:val="auto"/>
                <w:kern w:val="0"/>
                <w:sz w:val="21"/>
                <w:szCs w:val="21"/>
                <w:highlight w:val="none"/>
                <w:lang w:bidi="ar"/>
              </w:rPr>
              <w:tab/>
            </w:r>
          </w:p>
          <w:p w14:paraId="50FE46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r>
              <w:rPr>
                <w:rFonts w:hint="eastAsia" w:asciiTheme="minorEastAsia" w:hAnsiTheme="minorEastAsia" w:eastAsiaTheme="minorEastAsia" w:cstheme="minorEastAsia"/>
                <w:color w:val="auto"/>
                <w:kern w:val="0"/>
                <w:sz w:val="21"/>
                <w:szCs w:val="21"/>
                <w:highlight w:val="none"/>
                <w:lang w:bidi="ar"/>
              </w:rPr>
              <w:tab/>
            </w:r>
          </w:p>
          <w:p w14:paraId="2B1CE8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r>
              <w:rPr>
                <w:rFonts w:hint="eastAsia" w:asciiTheme="minorEastAsia" w:hAnsiTheme="minorEastAsia" w:eastAsiaTheme="minorEastAsia" w:cstheme="minorEastAsia"/>
                <w:color w:val="auto"/>
                <w:kern w:val="0"/>
                <w:sz w:val="21"/>
                <w:szCs w:val="21"/>
                <w:highlight w:val="none"/>
                <w:lang w:bidi="ar"/>
              </w:rPr>
              <w:tab/>
            </w:r>
          </w:p>
          <w:p w14:paraId="332A6E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p w14:paraId="359C98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DDB51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A1F93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3E149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8.79 </w:t>
            </w:r>
          </w:p>
        </w:tc>
      </w:tr>
      <w:tr w14:paraId="3959DCB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DDE73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9C6C3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7C22D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1.标称容量：500mL；</w:t>
            </w:r>
            <w:r>
              <w:rPr>
                <w:rFonts w:hint="eastAsia" w:asciiTheme="minorEastAsia" w:hAnsiTheme="minorEastAsia" w:eastAsiaTheme="minorEastAsia" w:cstheme="minorEastAsia"/>
                <w:color w:val="auto"/>
                <w:kern w:val="0"/>
                <w:sz w:val="21"/>
                <w:szCs w:val="21"/>
                <w:highlight w:val="none"/>
                <w:lang w:bidi="ar"/>
              </w:rPr>
              <w:tab/>
            </w:r>
          </w:p>
          <w:p w14:paraId="072A54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r>
              <w:rPr>
                <w:rFonts w:hint="eastAsia" w:asciiTheme="minorEastAsia" w:hAnsiTheme="minorEastAsia" w:eastAsiaTheme="minorEastAsia" w:cstheme="minorEastAsia"/>
                <w:color w:val="auto"/>
                <w:kern w:val="0"/>
                <w:sz w:val="21"/>
                <w:szCs w:val="21"/>
                <w:highlight w:val="none"/>
                <w:lang w:bidi="ar"/>
              </w:rPr>
              <w:tab/>
            </w:r>
          </w:p>
          <w:p w14:paraId="7D813B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r>
              <w:rPr>
                <w:rFonts w:hint="eastAsia" w:asciiTheme="minorEastAsia" w:hAnsiTheme="minorEastAsia" w:eastAsiaTheme="minorEastAsia" w:cstheme="minorEastAsia"/>
                <w:color w:val="auto"/>
                <w:kern w:val="0"/>
                <w:sz w:val="21"/>
                <w:szCs w:val="21"/>
                <w:highlight w:val="none"/>
                <w:lang w:bidi="ar"/>
              </w:rPr>
              <w:tab/>
            </w:r>
          </w:p>
          <w:p w14:paraId="485A32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r>
              <w:rPr>
                <w:rFonts w:hint="eastAsia" w:asciiTheme="minorEastAsia" w:hAnsiTheme="minorEastAsia" w:eastAsiaTheme="minorEastAsia" w:cstheme="minorEastAsia"/>
                <w:color w:val="auto"/>
                <w:kern w:val="0"/>
                <w:sz w:val="21"/>
                <w:szCs w:val="21"/>
                <w:highlight w:val="none"/>
                <w:lang w:bidi="ar"/>
              </w:rPr>
              <w:tab/>
            </w:r>
          </w:p>
          <w:p w14:paraId="49478C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p w14:paraId="638B05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B3EE4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B01DE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4DAD5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19.60 </w:t>
            </w:r>
          </w:p>
        </w:tc>
      </w:tr>
      <w:tr w14:paraId="3302676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9B7AD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C98AC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61C29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1.标称容量：1000mL；</w:t>
            </w:r>
            <w:r>
              <w:rPr>
                <w:rFonts w:hint="eastAsia" w:asciiTheme="minorEastAsia" w:hAnsiTheme="minorEastAsia" w:eastAsiaTheme="minorEastAsia" w:cstheme="minorEastAsia"/>
                <w:color w:val="auto"/>
                <w:kern w:val="0"/>
                <w:sz w:val="21"/>
                <w:szCs w:val="21"/>
                <w:highlight w:val="none"/>
                <w:lang w:bidi="ar"/>
              </w:rPr>
              <w:tab/>
            </w:r>
          </w:p>
          <w:p w14:paraId="158A2D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r>
              <w:rPr>
                <w:rFonts w:hint="eastAsia" w:asciiTheme="minorEastAsia" w:hAnsiTheme="minorEastAsia" w:eastAsiaTheme="minorEastAsia" w:cstheme="minorEastAsia"/>
                <w:color w:val="auto"/>
                <w:kern w:val="0"/>
                <w:sz w:val="21"/>
                <w:szCs w:val="21"/>
                <w:highlight w:val="none"/>
                <w:lang w:bidi="ar"/>
              </w:rPr>
              <w:tab/>
            </w:r>
          </w:p>
          <w:p w14:paraId="22F11D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r>
              <w:rPr>
                <w:rFonts w:hint="eastAsia" w:asciiTheme="minorEastAsia" w:hAnsiTheme="minorEastAsia" w:eastAsiaTheme="minorEastAsia" w:cstheme="minorEastAsia"/>
                <w:color w:val="auto"/>
                <w:kern w:val="0"/>
                <w:sz w:val="21"/>
                <w:szCs w:val="21"/>
                <w:highlight w:val="none"/>
                <w:lang w:bidi="ar"/>
              </w:rPr>
              <w:tab/>
            </w:r>
          </w:p>
          <w:p w14:paraId="42FF2C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r>
              <w:rPr>
                <w:rFonts w:hint="eastAsia" w:asciiTheme="minorEastAsia" w:hAnsiTheme="minorEastAsia" w:eastAsiaTheme="minorEastAsia" w:cstheme="minorEastAsia"/>
                <w:color w:val="auto"/>
                <w:kern w:val="0"/>
                <w:sz w:val="21"/>
                <w:szCs w:val="21"/>
                <w:highlight w:val="none"/>
                <w:lang w:bidi="ar"/>
              </w:rPr>
              <w:tab/>
            </w:r>
          </w:p>
          <w:p w14:paraId="372830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p w14:paraId="6789C0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5F75D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70D5F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98CBA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54.08 </w:t>
            </w:r>
          </w:p>
        </w:tc>
      </w:tr>
      <w:tr w14:paraId="579FD54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3A6B2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59E8E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60E26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1.标称容量：250mL；</w:t>
            </w:r>
            <w:r>
              <w:rPr>
                <w:rFonts w:hint="eastAsia" w:asciiTheme="minorEastAsia" w:hAnsiTheme="minorEastAsia" w:eastAsiaTheme="minorEastAsia" w:cstheme="minorEastAsia"/>
                <w:color w:val="auto"/>
                <w:kern w:val="0"/>
                <w:sz w:val="21"/>
                <w:szCs w:val="21"/>
                <w:highlight w:val="none"/>
                <w:lang w:bidi="ar"/>
              </w:rPr>
              <w:tab/>
            </w:r>
          </w:p>
          <w:p w14:paraId="0EBC60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r>
              <w:rPr>
                <w:rFonts w:hint="eastAsia" w:asciiTheme="minorEastAsia" w:hAnsiTheme="minorEastAsia" w:eastAsiaTheme="minorEastAsia" w:cstheme="minorEastAsia"/>
                <w:color w:val="auto"/>
                <w:kern w:val="0"/>
                <w:sz w:val="21"/>
                <w:szCs w:val="21"/>
                <w:highlight w:val="none"/>
                <w:lang w:bidi="ar"/>
              </w:rPr>
              <w:tab/>
            </w:r>
          </w:p>
          <w:p w14:paraId="5C5C26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r>
              <w:rPr>
                <w:rFonts w:hint="eastAsia" w:asciiTheme="minorEastAsia" w:hAnsiTheme="minorEastAsia" w:eastAsiaTheme="minorEastAsia" w:cstheme="minorEastAsia"/>
                <w:color w:val="auto"/>
                <w:kern w:val="0"/>
                <w:sz w:val="21"/>
                <w:szCs w:val="21"/>
                <w:highlight w:val="none"/>
                <w:lang w:bidi="ar"/>
              </w:rPr>
              <w:tab/>
            </w:r>
          </w:p>
          <w:p w14:paraId="3E2F0A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r>
              <w:rPr>
                <w:rFonts w:hint="eastAsia" w:asciiTheme="minorEastAsia" w:hAnsiTheme="minorEastAsia" w:eastAsiaTheme="minorEastAsia" w:cstheme="minorEastAsia"/>
                <w:color w:val="auto"/>
                <w:kern w:val="0"/>
                <w:sz w:val="21"/>
                <w:szCs w:val="21"/>
                <w:highlight w:val="none"/>
                <w:lang w:bidi="ar"/>
              </w:rPr>
              <w:tab/>
            </w:r>
          </w:p>
          <w:p w14:paraId="26C57E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p w14:paraId="7ABE13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34B19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E50AC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E240F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27.04 </w:t>
            </w:r>
          </w:p>
        </w:tc>
      </w:tr>
      <w:tr w14:paraId="7AA7856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8A9A6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E1EA4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30361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r>
              <w:rPr>
                <w:rFonts w:hint="eastAsia" w:asciiTheme="minorEastAsia" w:hAnsiTheme="minorEastAsia" w:eastAsiaTheme="minorEastAsia" w:cstheme="minorEastAsia"/>
                <w:color w:val="auto"/>
                <w:kern w:val="0"/>
                <w:sz w:val="21"/>
                <w:szCs w:val="21"/>
                <w:highlight w:val="none"/>
                <w:lang w:bidi="ar"/>
              </w:rPr>
              <w:tab/>
            </w:r>
          </w:p>
          <w:p w14:paraId="7D7DB1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2、规格：50mL。内应力消除：在偏光仪下呈紫色；</w:t>
            </w:r>
            <w:r>
              <w:rPr>
                <w:rFonts w:hint="eastAsia" w:asciiTheme="minorEastAsia" w:hAnsiTheme="minorEastAsia" w:eastAsiaTheme="minorEastAsia" w:cstheme="minorEastAsia"/>
                <w:color w:val="auto"/>
                <w:kern w:val="0"/>
                <w:sz w:val="21"/>
                <w:szCs w:val="21"/>
                <w:highlight w:val="none"/>
                <w:lang w:bidi="ar"/>
              </w:rPr>
              <w:tab/>
            </w:r>
          </w:p>
          <w:p w14:paraId="5BD4FB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r>
              <w:rPr>
                <w:rFonts w:hint="eastAsia" w:asciiTheme="minorEastAsia" w:hAnsiTheme="minorEastAsia" w:eastAsiaTheme="minorEastAsia" w:cstheme="minorEastAsia"/>
                <w:color w:val="auto"/>
                <w:kern w:val="0"/>
                <w:sz w:val="21"/>
                <w:szCs w:val="21"/>
                <w:highlight w:val="none"/>
                <w:lang w:bidi="ar"/>
              </w:rPr>
              <w:tab/>
            </w:r>
          </w:p>
          <w:p w14:paraId="0A1499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FFCCF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2A7B9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88A0D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10.82 </w:t>
            </w:r>
          </w:p>
        </w:tc>
      </w:tr>
      <w:tr w14:paraId="7B792E8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F1A22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5FE11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E3922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r>
              <w:rPr>
                <w:rFonts w:hint="eastAsia" w:asciiTheme="minorEastAsia" w:hAnsiTheme="minorEastAsia" w:eastAsiaTheme="minorEastAsia" w:cstheme="minorEastAsia"/>
                <w:color w:val="auto"/>
                <w:kern w:val="0"/>
                <w:sz w:val="21"/>
                <w:szCs w:val="21"/>
                <w:highlight w:val="none"/>
                <w:lang w:bidi="ar"/>
              </w:rPr>
              <w:tab/>
            </w:r>
          </w:p>
          <w:p w14:paraId="0778EE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2、规格：100mL。内应力消除：在偏光仪下呈紫色；</w:t>
            </w:r>
            <w:r>
              <w:rPr>
                <w:rFonts w:hint="eastAsia" w:asciiTheme="minorEastAsia" w:hAnsiTheme="minorEastAsia" w:eastAsiaTheme="minorEastAsia" w:cstheme="minorEastAsia"/>
                <w:color w:val="auto"/>
                <w:kern w:val="0"/>
                <w:sz w:val="21"/>
                <w:szCs w:val="21"/>
                <w:highlight w:val="none"/>
                <w:lang w:bidi="ar"/>
              </w:rPr>
              <w:tab/>
            </w:r>
          </w:p>
          <w:p w14:paraId="6949C1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r>
              <w:rPr>
                <w:rFonts w:hint="eastAsia" w:asciiTheme="minorEastAsia" w:hAnsiTheme="minorEastAsia" w:eastAsiaTheme="minorEastAsia" w:cstheme="minorEastAsia"/>
                <w:color w:val="auto"/>
                <w:kern w:val="0"/>
                <w:sz w:val="21"/>
                <w:szCs w:val="21"/>
                <w:highlight w:val="none"/>
                <w:lang w:bidi="ar"/>
              </w:rPr>
              <w:tab/>
            </w:r>
          </w:p>
          <w:p w14:paraId="7619E6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DE468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D66C5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97F28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 </w:t>
            </w:r>
          </w:p>
        </w:tc>
      </w:tr>
      <w:tr w14:paraId="5995871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3C20C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B68FC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B8DE6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r>
              <w:rPr>
                <w:rFonts w:hint="eastAsia" w:asciiTheme="minorEastAsia" w:hAnsiTheme="minorEastAsia" w:eastAsiaTheme="minorEastAsia" w:cstheme="minorEastAsia"/>
                <w:color w:val="auto"/>
                <w:kern w:val="0"/>
                <w:sz w:val="21"/>
                <w:szCs w:val="21"/>
                <w:highlight w:val="none"/>
                <w:lang w:bidi="ar"/>
              </w:rPr>
              <w:tab/>
            </w:r>
          </w:p>
          <w:p w14:paraId="14019E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2、规格：250mL。内应力消除：在偏光仪下呈紫色；</w:t>
            </w:r>
            <w:r>
              <w:rPr>
                <w:rFonts w:hint="eastAsia" w:asciiTheme="minorEastAsia" w:hAnsiTheme="minorEastAsia" w:eastAsiaTheme="minorEastAsia" w:cstheme="minorEastAsia"/>
                <w:color w:val="auto"/>
                <w:kern w:val="0"/>
                <w:sz w:val="21"/>
                <w:szCs w:val="21"/>
                <w:highlight w:val="none"/>
                <w:lang w:bidi="ar"/>
              </w:rPr>
              <w:tab/>
            </w:r>
          </w:p>
          <w:p w14:paraId="26BF95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r>
              <w:rPr>
                <w:rFonts w:hint="eastAsia" w:asciiTheme="minorEastAsia" w:hAnsiTheme="minorEastAsia" w:eastAsiaTheme="minorEastAsia" w:cstheme="minorEastAsia"/>
                <w:color w:val="auto"/>
                <w:kern w:val="0"/>
                <w:sz w:val="21"/>
                <w:szCs w:val="21"/>
                <w:highlight w:val="none"/>
                <w:lang w:bidi="ar"/>
              </w:rPr>
              <w:tab/>
            </w:r>
          </w:p>
          <w:p w14:paraId="206D98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86CD5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EA419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62BBF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21.97 </w:t>
            </w:r>
          </w:p>
        </w:tc>
      </w:tr>
      <w:tr w14:paraId="030D0B4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3FE64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C349B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0B959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r>
              <w:rPr>
                <w:rFonts w:hint="eastAsia" w:asciiTheme="minorEastAsia" w:hAnsiTheme="minorEastAsia" w:eastAsiaTheme="minorEastAsia" w:cstheme="minorEastAsia"/>
                <w:color w:val="auto"/>
                <w:kern w:val="0"/>
                <w:sz w:val="21"/>
                <w:szCs w:val="21"/>
                <w:highlight w:val="none"/>
                <w:lang w:bidi="ar"/>
              </w:rPr>
              <w:tab/>
            </w:r>
          </w:p>
          <w:p w14:paraId="781FCF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2、规格：500mL。内应力消除：在偏光仪下呈紫色；</w:t>
            </w:r>
            <w:r>
              <w:rPr>
                <w:rFonts w:hint="eastAsia" w:asciiTheme="minorEastAsia" w:hAnsiTheme="minorEastAsia" w:eastAsiaTheme="minorEastAsia" w:cstheme="minorEastAsia"/>
                <w:color w:val="auto"/>
                <w:kern w:val="0"/>
                <w:sz w:val="21"/>
                <w:szCs w:val="21"/>
                <w:highlight w:val="none"/>
                <w:lang w:bidi="ar"/>
              </w:rPr>
              <w:tab/>
            </w:r>
          </w:p>
          <w:p w14:paraId="438B3E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r>
              <w:rPr>
                <w:rFonts w:hint="eastAsia" w:asciiTheme="minorEastAsia" w:hAnsiTheme="minorEastAsia" w:eastAsiaTheme="minorEastAsia" w:cstheme="minorEastAsia"/>
                <w:color w:val="auto"/>
                <w:kern w:val="0"/>
                <w:sz w:val="21"/>
                <w:szCs w:val="21"/>
                <w:highlight w:val="none"/>
                <w:lang w:bidi="ar"/>
              </w:rPr>
              <w:tab/>
            </w:r>
          </w:p>
          <w:p w14:paraId="6FDDDB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F25AD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F1A30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6F15F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30.42 </w:t>
            </w:r>
          </w:p>
        </w:tc>
      </w:tr>
      <w:tr w14:paraId="5BA1C13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B563A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42DDD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A999E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r>
              <w:rPr>
                <w:rFonts w:hint="eastAsia" w:asciiTheme="minorEastAsia" w:hAnsiTheme="minorEastAsia" w:eastAsiaTheme="minorEastAsia" w:cstheme="minorEastAsia"/>
                <w:color w:val="auto"/>
                <w:kern w:val="0"/>
                <w:sz w:val="21"/>
                <w:szCs w:val="21"/>
                <w:highlight w:val="none"/>
                <w:lang w:bidi="ar"/>
              </w:rPr>
              <w:tab/>
            </w:r>
          </w:p>
          <w:p w14:paraId="52687B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2、规格：1000mL。内应力消除：在偏光仪下呈紫色；</w:t>
            </w:r>
            <w:r>
              <w:rPr>
                <w:rFonts w:hint="eastAsia" w:asciiTheme="minorEastAsia" w:hAnsiTheme="minorEastAsia" w:eastAsiaTheme="minorEastAsia" w:cstheme="minorEastAsia"/>
                <w:color w:val="auto"/>
                <w:kern w:val="0"/>
                <w:sz w:val="21"/>
                <w:szCs w:val="21"/>
                <w:highlight w:val="none"/>
                <w:lang w:bidi="ar"/>
              </w:rPr>
              <w:tab/>
            </w:r>
          </w:p>
          <w:p w14:paraId="25AA0C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r>
              <w:rPr>
                <w:rFonts w:hint="eastAsia" w:asciiTheme="minorEastAsia" w:hAnsiTheme="minorEastAsia" w:eastAsiaTheme="minorEastAsia" w:cstheme="minorEastAsia"/>
                <w:color w:val="auto"/>
                <w:kern w:val="0"/>
                <w:sz w:val="21"/>
                <w:szCs w:val="21"/>
                <w:highlight w:val="none"/>
                <w:lang w:bidi="ar"/>
              </w:rPr>
              <w:tab/>
            </w:r>
          </w:p>
          <w:p w14:paraId="271141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A39B7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82940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B5727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40.56 </w:t>
            </w:r>
          </w:p>
        </w:tc>
      </w:tr>
      <w:tr w14:paraId="22861A3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73CFB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3FAE3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滴定管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AABEE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18DF6B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2、酸式，25mL，内应力消除：在偏光仪下呈紫色；</w:t>
            </w:r>
            <w:r>
              <w:rPr>
                <w:rFonts w:hint="eastAsia" w:asciiTheme="minorEastAsia" w:hAnsiTheme="minorEastAsia" w:eastAsiaTheme="minorEastAsia" w:cstheme="minorEastAsia"/>
                <w:color w:val="auto"/>
                <w:kern w:val="0"/>
                <w:sz w:val="21"/>
                <w:szCs w:val="21"/>
                <w:highlight w:val="none"/>
                <w:lang w:bidi="ar"/>
              </w:rPr>
              <w:tab/>
            </w:r>
          </w:p>
          <w:p w14:paraId="65E95E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3、刻度标识清晰、均匀。</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E638C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BA1CF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F2547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30.76 </w:t>
            </w:r>
          </w:p>
        </w:tc>
      </w:tr>
      <w:tr w14:paraId="1097679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9E17F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E9254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滴定管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BE180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31E518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2、酸式，50mL，内应力消除：在偏光仪下呈紫色；</w:t>
            </w:r>
            <w:r>
              <w:rPr>
                <w:rFonts w:hint="eastAsia" w:asciiTheme="minorEastAsia" w:hAnsiTheme="minorEastAsia" w:eastAsiaTheme="minorEastAsia" w:cstheme="minorEastAsia"/>
                <w:color w:val="auto"/>
                <w:kern w:val="0"/>
                <w:sz w:val="21"/>
                <w:szCs w:val="21"/>
                <w:highlight w:val="none"/>
                <w:lang w:bidi="ar"/>
              </w:rPr>
              <w:tab/>
            </w:r>
          </w:p>
          <w:p w14:paraId="032644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3、刻度标识清晰、均匀。</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89189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1294A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939F0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35.49 </w:t>
            </w:r>
          </w:p>
        </w:tc>
      </w:tr>
      <w:tr w14:paraId="2D05FF38">
        <w:tblPrEx>
          <w:tblCellMar>
            <w:top w:w="0" w:type="dxa"/>
            <w:left w:w="108" w:type="dxa"/>
            <w:bottom w:w="0" w:type="dxa"/>
            <w:right w:w="108" w:type="dxa"/>
          </w:tblCellMar>
        </w:tblPrEx>
        <w:trPr>
          <w:trHeight w:val="625" w:hRule="atLeast"/>
        </w:trPr>
        <w:tc>
          <w:tcPr>
            <w:tcW w:w="649" w:type="dxa"/>
            <w:tcBorders>
              <w:top w:val="single" w:color="auto" w:sz="4" w:space="0"/>
              <w:left w:val="single" w:color="auto" w:sz="4" w:space="0"/>
              <w:bottom w:val="single" w:color="auto" w:sz="4" w:space="0"/>
              <w:right w:val="single" w:color="auto" w:sz="4" w:space="0"/>
            </w:tcBorders>
            <w:vAlign w:val="center"/>
          </w:tcPr>
          <w:p w14:paraId="6C8258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7EC71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滴定管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B22F6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35A073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2、碱式，25mL，内应力消除：在偏光仪下呈紫色；</w:t>
            </w:r>
            <w:r>
              <w:rPr>
                <w:rFonts w:hint="eastAsia" w:asciiTheme="minorEastAsia" w:hAnsiTheme="minorEastAsia" w:eastAsiaTheme="minorEastAsia" w:cstheme="minorEastAsia"/>
                <w:color w:val="auto"/>
                <w:kern w:val="0"/>
                <w:sz w:val="21"/>
                <w:szCs w:val="21"/>
                <w:highlight w:val="none"/>
                <w:lang w:bidi="ar"/>
              </w:rPr>
              <w:tab/>
            </w:r>
          </w:p>
          <w:p w14:paraId="4C7F79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3、刻度标识清晰、均匀。</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7F0FA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3E416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B2D2F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14.87 </w:t>
            </w:r>
          </w:p>
        </w:tc>
      </w:tr>
      <w:tr w14:paraId="2A6C8520">
        <w:tblPrEx>
          <w:tblCellMar>
            <w:top w:w="0" w:type="dxa"/>
            <w:left w:w="108" w:type="dxa"/>
            <w:bottom w:w="0" w:type="dxa"/>
            <w:right w:w="108" w:type="dxa"/>
          </w:tblCellMar>
        </w:tblPrEx>
        <w:trPr>
          <w:trHeight w:val="631" w:hRule="atLeast"/>
        </w:trPr>
        <w:tc>
          <w:tcPr>
            <w:tcW w:w="649" w:type="dxa"/>
            <w:tcBorders>
              <w:top w:val="single" w:color="auto" w:sz="4" w:space="0"/>
              <w:left w:val="single" w:color="auto" w:sz="4" w:space="0"/>
              <w:bottom w:val="single" w:color="auto" w:sz="4" w:space="0"/>
              <w:right w:val="single" w:color="auto" w:sz="4" w:space="0"/>
            </w:tcBorders>
            <w:vAlign w:val="center"/>
          </w:tcPr>
          <w:p w14:paraId="3E4D79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56DDD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滴定管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C7381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554511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2、碱式，50mL，内应力消除：在偏光仪下呈紫色；</w:t>
            </w:r>
            <w:r>
              <w:rPr>
                <w:rFonts w:hint="eastAsia" w:asciiTheme="minorEastAsia" w:hAnsiTheme="minorEastAsia" w:eastAsiaTheme="minorEastAsia" w:cstheme="minorEastAsia"/>
                <w:color w:val="auto"/>
                <w:kern w:val="0"/>
                <w:sz w:val="21"/>
                <w:szCs w:val="21"/>
                <w:highlight w:val="none"/>
                <w:lang w:bidi="ar"/>
              </w:rPr>
              <w:tab/>
            </w:r>
          </w:p>
          <w:p w14:paraId="563EC9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3、刻度标识清晰、均匀。</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58DF5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06083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4267D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26.03 </w:t>
            </w:r>
          </w:p>
        </w:tc>
      </w:tr>
      <w:tr w14:paraId="12FBE2B4">
        <w:tblPrEx>
          <w:tblCellMar>
            <w:top w:w="0" w:type="dxa"/>
            <w:left w:w="108" w:type="dxa"/>
            <w:bottom w:w="0" w:type="dxa"/>
            <w:right w:w="108" w:type="dxa"/>
          </w:tblCellMar>
        </w:tblPrEx>
        <w:trPr>
          <w:trHeight w:val="357" w:hRule="atLeast"/>
        </w:trPr>
        <w:tc>
          <w:tcPr>
            <w:tcW w:w="649" w:type="dxa"/>
            <w:tcBorders>
              <w:top w:val="single" w:color="auto" w:sz="4" w:space="0"/>
              <w:left w:val="single" w:color="auto" w:sz="4" w:space="0"/>
              <w:bottom w:val="single" w:color="auto" w:sz="4" w:space="0"/>
              <w:right w:val="single" w:color="auto" w:sz="4" w:space="0"/>
            </w:tcBorders>
            <w:vAlign w:val="center"/>
          </w:tcPr>
          <w:p w14:paraId="111F74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16D5C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滴定管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8ECE2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聚四氟乙烯活塞，50mL。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8CD07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06D0E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84B41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118.30 </w:t>
            </w:r>
          </w:p>
        </w:tc>
      </w:tr>
      <w:tr w14:paraId="52341B99">
        <w:tblPrEx>
          <w:tblCellMar>
            <w:top w:w="0" w:type="dxa"/>
            <w:left w:w="108" w:type="dxa"/>
            <w:bottom w:w="0" w:type="dxa"/>
            <w:right w:w="108" w:type="dxa"/>
          </w:tblCellMar>
        </w:tblPrEx>
        <w:trPr>
          <w:trHeight w:val="90" w:hRule="atLeast"/>
        </w:trPr>
        <w:tc>
          <w:tcPr>
            <w:tcW w:w="649" w:type="dxa"/>
            <w:tcBorders>
              <w:top w:val="single" w:color="auto" w:sz="4" w:space="0"/>
              <w:left w:val="single" w:color="auto" w:sz="4" w:space="0"/>
              <w:bottom w:val="single" w:color="auto" w:sz="4" w:space="0"/>
              <w:right w:val="single" w:color="auto" w:sz="4" w:space="0"/>
            </w:tcBorders>
            <w:vAlign w:val="center"/>
          </w:tcPr>
          <w:p w14:paraId="38CD81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2597F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6EA30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1mL，玻璃制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D010C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E58B6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12E5A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 </w:t>
            </w:r>
          </w:p>
        </w:tc>
      </w:tr>
      <w:tr w14:paraId="4E7C5D99">
        <w:tblPrEx>
          <w:tblCellMar>
            <w:top w:w="0" w:type="dxa"/>
            <w:left w:w="108" w:type="dxa"/>
            <w:bottom w:w="0" w:type="dxa"/>
            <w:right w:w="108" w:type="dxa"/>
          </w:tblCellMar>
        </w:tblPrEx>
        <w:trPr>
          <w:trHeight w:val="354" w:hRule="atLeast"/>
        </w:trPr>
        <w:tc>
          <w:tcPr>
            <w:tcW w:w="649" w:type="dxa"/>
            <w:tcBorders>
              <w:top w:val="single" w:color="auto" w:sz="4" w:space="0"/>
              <w:left w:val="single" w:color="auto" w:sz="4" w:space="0"/>
              <w:bottom w:val="single" w:color="auto" w:sz="4" w:space="0"/>
              <w:right w:val="single" w:color="auto" w:sz="4" w:space="0"/>
            </w:tcBorders>
            <w:vAlign w:val="center"/>
          </w:tcPr>
          <w:p w14:paraId="3AC3BD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7B170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EEBFB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2mL，玻璃制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2B0D8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D9D56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29634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 </w:t>
            </w:r>
          </w:p>
        </w:tc>
      </w:tr>
      <w:tr w14:paraId="20C6EDC4">
        <w:tblPrEx>
          <w:tblCellMar>
            <w:top w:w="0" w:type="dxa"/>
            <w:left w:w="108" w:type="dxa"/>
            <w:bottom w:w="0" w:type="dxa"/>
            <w:right w:w="108" w:type="dxa"/>
          </w:tblCellMar>
        </w:tblPrEx>
        <w:trPr>
          <w:trHeight w:val="412" w:hRule="atLeast"/>
        </w:trPr>
        <w:tc>
          <w:tcPr>
            <w:tcW w:w="649" w:type="dxa"/>
            <w:tcBorders>
              <w:top w:val="single" w:color="auto" w:sz="4" w:space="0"/>
              <w:left w:val="single" w:color="auto" w:sz="4" w:space="0"/>
              <w:bottom w:val="single" w:color="auto" w:sz="4" w:space="0"/>
              <w:right w:val="single" w:color="auto" w:sz="4" w:space="0"/>
            </w:tcBorders>
            <w:vAlign w:val="center"/>
          </w:tcPr>
          <w:p w14:paraId="25C8F0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44699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422C2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5mL，玻璃制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7E370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7B347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A2D2C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7.77 </w:t>
            </w:r>
          </w:p>
        </w:tc>
      </w:tr>
      <w:tr w14:paraId="7CBBB234">
        <w:tblPrEx>
          <w:tblCellMar>
            <w:top w:w="0" w:type="dxa"/>
            <w:left w:w="108" w:type="dxa"/>
            <w:bottom w:w="0" w:type="dxa"/>
            <w:right w:w="108" w:type="dxa"/>
          </w:tblCellMar>
        </w:tblPrEx>
        <w:trPr>
          <w:trHeight w:val="441" w:hRule="atLeast"/>
        </w:trPr>
        <w:tc>
          <w:tcPr>
            <w:tcW w:w="649" w:type="dxa"/>
            <w:tcBorders>
              <w:top w:val="single" w:color="auto" w:sz="4" w:space="0"/>
              <w:left w:val="single" w:color="auto" w:sz="4" w:space="0"/>
              <w:bottom w:val="single" w:color="auto" w:sz="4" w:space="0"/>
              <w:right w:val="single" w:color="auto" w:sz="4" w:space="0"/>
            </w:tcBorders>
            <w:vAlign w:val="center"/>
          </w:tcPr>
          <w:p w14:paraId="4DA9C1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26DF5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21E24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25mL，玻璃制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54B21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077BA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01411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 </w:t>
            </w:r>
          </w:p>
        </w:tc>
      </w:tr>
      <w:tr w14:paraId="349643E1">
        <w:tblPrEx>
          <w:tblCellMar>
            <w:top w:w="0" w:type="dxa"/>
            <w:left w:w="108" w:type="dxa"/>
            <w:bottom w:w="0" w:type="dxa"/>
            <w:right w:w="108" w:type="dxa"/>
          </w:tblCellMar>
        </w:tblPrEx>
        <w:trPr>
          <w:trHeight w:val="550" w:hRule="atLeast"/>
        </w:trPr>
        <w:tc>
          <w:tcPr>
            <w:tcW w:w="649" w:type="dxa"/>
            <w:tcBorders>
              <w:top w:val="single" w:color="auto" w:sz="4" w:space="0"/>
              <w:left w:val="single" w:color="auto" w:sz="4" w:space="0"/>
              <w:bottom w:val="single" w:color="auto" w:sz="4" w:space="0"/>
              <w:right w:val="single" w:color="auto" w:sz="4" w:space="0"/>
            </w:tcBorders>
            <w:vAlign w:val="center"/>
          </w:tcPr>
          <w:p w14:paraId="26F3CE4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78B33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E5BCE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57C484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2、厚薄均匀，不得有刺手现象；规格：试管外径Φ12mm，试管高70mm；</w:t>
            </w:r>
            <w:r>
              <w:rPr>
                <w:rFonts w:hint="eastAsia" w:asciiTheme="minorEastAsia" w:hAnsiTheme="minorEastAsia" w:eastAsiaTheme="minorEastAsia" w:cstheme="minorEastAsia"/>
                <w:color w:val="auto"/>
                <w:kern w:val="0"/>
                <w:sz w:val="21"/>
                <w:szCs w:val="21"/>
                <w:highlight w:val="none"/>
                <w:lang w:bidi="ar"/>
              </w:rPr>
              <w:tab/>
            </w:r>
          </w:p>
          <w:p w14:paraId="2790B6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3、截面应为适度的圆形；试管口部是熔光的平口；</w:t>
            </w:r>
            <w:r>
              <w:rPr>
                <w:rFonts w:hint="eastAsia" w:asciiTheme="minorEastAsia" w:hAnsiTheme="minorEastAsia" w:eastAsiaTheme="minorEastAsia" w:cstheme="minorEastAsia"/>
                <w:color w:val="auto"/>
                <w:kern w:val="0"/>
                <w:sz w:val="21"/>
                <w:szCs w:val="21"/>
                <w:highlight w:val="none"/>
                <w:lang w:bidi="ar"/>
              </w:rPr>
              <w:tab/>
            </w:r>
          </w:p>
          <w:p w14:paraId="4237A2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4、管口应平整、光滑，不得有裂口、裂纹存在；试管的底部应基本为半球形。</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3DB18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6C17E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E502E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0.34 </w:t>
            </w:r>
          </w:p>
        </w:tc>
      </w:tr>
      <w:tr w14:paraId="0CE38C5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5DC71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F2B07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FC7EC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6C5AA9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2、厚薄均匀，不得有刺手现象；规格：试管外径Φ15mm，试管高150mm；</w:t>
            </w:r>
            <w:r>
              <w:rPr>
                <w:rFonts w:hint="eastAsia" w:asciiTheme="minorEastAsia" w:hAnsiTheme="minorEastAsia" w:eastAsiaTheme="minorEastAsia" w:cstheme="minorEastAsia"/>
                <w:color w:val="auto"/>
                <w:kern w:val="0"/>
                <w:sz w:val="21"/>
                <w:szCs w:val="21"/>
                <w:highlight w:val="none"/>
                <w:lang w:bidi="ar"/>
              </w:rPr>
              <w:tab/>
            </w:r>
          </w:p>
          <w:p w14:paraId="7973BA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3、截面应为适度的圆形；试管口部是熔光的平口；</w:t>
            </w:r>
            <w:r>
              <w:rPr>
                <w:rFonts w:hint="eastAsia" w:asciiTheme="minorEastAsia" w:hAnsiTheme="minorEastAsia" w:eastAsiaTheme="minorEastAsia" w:cstheme="minorEastAsia"/>
                <w:color w:val="auto"/>
                <w:kern w:val="0"/>
                <w:sz w:val="21"/>
                <w:szCs w:val="21"/>
                <w:highlight w:val="none"/>
                <w:lang w:bidi="ar"/>
              </w:rPr>
              <w:tab/>
            </w:r>
          </w:p>
          <w:p w14:paraId="6AD66A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4、管口应平整、光滑，不得有裂口、裂纹存在；试管的底部应基本为半球形。</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0DA18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4B550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71F35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0.47 </w:t>
            </w:r>
          </w:p>
        </w:tc>
      </w:tr>
      <w:tr w14:paraId="376A144D">
        <w:tblPrEx>
          <w:tblCellMar>
            <w:top w:w="0" w:type="dxa"/>
            <w:left w:w="108" w:type="dxa"/>
            <w:bottom w:w="0" w:type="dxa"/>
            <w:right w:w="108" w:type="dxa"/>
          </w:tblCellMar>
        </w:tblPrEx>
        <w:trPr>
          <w:trHeight w:val="780" w:hRule="atLeast"/>
        </w:trPr>
        <w:tc>
          <w:tcPr>
            <w:tcW w:w="649" w:type="dxa"/>
            <w:tcBorders>
              <w:top w:val="single" w:color="auto" w:sz="4" w:space="0"/>
              <w:left w:val="single" w:color="auto" w:sz="4" w:space="0"/>
              <w:bottom w:val="single" w:color="auto" w:sz="4" w:space="0"/>
              <w:right w:val="single" w:color="auto" w:sz="4" w:space="0"/>
            </w:tcBorders>
            <w:vAlign w:val="center"/>
          </w:tcPr>
          <w:p w14:paraId="6F4F59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10E68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9D400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17548D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2、厚薄均匀，不得有刺手现象；规格：试管外径Φ18mm，试管高180mm；</w:t>
            </w:r>
            <w:r>
              <w:rPr>
                <w:rFonts w:hint="eastAsia" w:asciiTheme="minorEastAsia" w:hAnsiTheme="minorEastAsia" w:eastAsiaTheme="minorEastAsia" w:cstheme="minorEastAsia"/>
                <w:color w:val="auto"/>
                <w:kern w:val="0"/>
                <w:sz w:val="21"/>
                <w:szCs w:val="21"/>
                <w:highlight w:val="none"/>
                <w:lang w:bidi="ar"/>
              </w:rPr>
              <w:tab/>
            </w:r>
          </w:p>
          <w:p w14:paraId="05D495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3、截面应为适度的圆形；试管口部是熔光的平口；</w:t>
            </w:r>
            <w:r>
              <w:rPr>
                <w:rFonts w:hint="eastAsia" w:asciiTheme="minorEastAsia" w:hAnsiTheme="minorEastAsia" w:eastAsiaTheme="minorEastAsia" w:cstheme="minorEastAsia"/>
                <w:color w:val="auto"/>
                <w:kern w:val="0"/>
                <w:sz w:val="21"/>
                <w:szCs w:val="21"/>
                <w:highlight w:val="none"/>
                <w:lang w:bidi="ar"/>
              </w:rPr>
              <w:tab/>
            </w:r>
          </w:p>
          <w:p w14:paraId="52F76D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4、管口应平整、光滑，不得有裂口、裂纹存在；试管的底部应基本为半球形。</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1A29C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D5296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CE477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0.74 </w:t>
            </w:r>
          </w:p>
        </w:tc>
      </w:tr>
      <w:tr w14:paraId="5F0B95A2">
        <w:tblPrEx>
          <w:tblCellMar>
            <w:top w:w="0" w:type="dxa"/>
            <w:left w:w="108" w:type="dxa"/>
            <w:bottom w:w="0" w:type="dxa"/>
            <w:right w:w="108" w:type="dxa"/>
          </w:tblCellMar>
        </w:tblPrEx>
        <w:trPr>
          <w:trHeight w:val="498" w:hRule="atLeast"/>
        </w:trPr>
        <w:tc>
          <w:tcPr>
            <w:tcW w:w="649" w:type="dxa"/>
            <w:tcBorders>
              <w:top w:val="single" w:color="auto" w:sz="4" w:space="0"/>
              <w:left w:val="single" w:color="auto" w:sz="4" w:space="0"/>
              <w:bottom w:val="single" w:color="auto" w:sz="4" w:space="0"/>
              <w:right w:val="single" w:color="auto" w:sz="4" w:space="0"/>
            </w:tcBorders>
            <w:vAlign w:val="center"/>
          </w:tcPr>
          <w:p w14:paraId="5F99F7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33E37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338D2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4A142F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2、厚薄均匀，不得有刺手现象；规格：试管外径Φ20mm，试管高200mm；</w:t>
            </w:r>
            <w:r>
              <w:rPr>
                <w:rFonts w:hint="eastAsia" w:asciiTheme="minorEastAsia" w:hAnsiTheme="minorEastAsia" w:eastAsiaTheme="minorEastAsia" w:cstheme="minorEastAsia"/>
                <w:color w:val="auto"/>
                <w:kern w:val="0"/>
                <w:sz w:val="21"/>
                <w:szCs w:val="21"/>
                <w:highlight w:val="none"/>
                <w:lang w:bidi="ar"/>
              </w:rPr>
              <w:tab/>
            </w:r>
          </w:p>
          <w:p w14:paraId="2EDD6E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3、截面应为适度的圆形；试管口部是熔光的平口；</w:t>
            </w:r>
            <w:r>
              <w:rPr>
                <w:rFonts w:hint="eastAsia" w:asciiTheme="minorEastAsia" w:hAnsiTheme="minorEastAsia" w:eastAsiaTheme="minorEastAsia" w:cstheme="minorEastAsia"/>
                <w:color w:val="auto"/>
                <w:kern w:val="0"/>
                <w:sz w:val="21"/>
                <w:szCs w:val="21"/>
                <w:highlight w:val="none"/>
                <w:lang w:bidi="ar"/>
              </w:rPr>
              <w:tab/>
            </w:r>
          </w:p>
          <w:p w14:paraId="750E06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4、管口应平整、光滑，不得有裂口、裂纹存在；试管的底部应基本为半球形。</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5BC80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18434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CC9AA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0.81 </w:t>
            </w:r>
          </w:p>
        </w:tc>
      </w:tr>
      <w:tr w14:paraId="6D979E2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52C19E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62136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C14D4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15A84A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2、厚薄均匀，不得有刺手现象；规格：试管外径Φ30mm，试管高200mm；</w:t>
            </w:r>
            <w:r>
              <w:rPr>
                <w:rFonts w:hint="eastAsia" w:asciiTheme="minorEastAsia" w:hAnsiTheme="minorEastAsia" w:eastAsiaTheme="minorEastAsia" w:cstheme="minorEastAsia"/>
                <w:color w:val="auto"/>
                <w:kern w:val="0"/>
                <w:sz w:val="21"/>
                <w:szCs w:val="21"/>
                <w:highlight w:val="none"/>
                <w:lang w:bidi="ar"/>
              </w:rPr>
              <w:tab/>
            </w:r>
          </w:p>
          <w:p w14:paraId="705D47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3、截面应为适度的圆形；试管口部是熔光的平口；</w:t>
            </w:r>
            <w:r>
              <w:rPr>
                <w:rFonts w:hint="eastAsia" w:asciiTheme="minorEastAsia" w:hAnsiTheme="minorEastAsia" w:eastAsiaTheme="minorEastAsia" w:cstheme="minorEastAsia"/>
                <w:color w:val="auto"/>
                <w:kern w:val="0"/>
                <w:sz w:val="21"/>
                <w:szCs w:val="21"/>
                <w:highlight w:val="none"/>
                <w:lang w:bidi="ar"/>
              </w:rPr>
              <w:tab/>
            </w:r>
          </w:p>
          <w:p w14:paraId="4AA08A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4、管口应平整、光滑，不得有裂口、裂纹存在；试管的底部应基本为半球形。</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CC998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802BA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4035C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2.64 </w:t>
            </w:r>
          </w:p>
        </w:tc>
      </w:tr>
      <w:tr w14:paraId="05960C0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02C85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E2902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BBC94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14E59EA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2、厚薄均匀，不得有刺手现象；规格：试管外径Φ40mm，试管高200mm；</w:t>
            </w:r>
            <w:r>
              <w:rPr>
                <w:rFonts w:hint="eastAsia" w:asciiTheme="minorEastAsia" w:hAnsiTheme="minorEastAsia" w:eastAsiaTheme="minorEastAsia" w:cstheme="minorEastAsia"/>
                <w:color w:val="auto"/>
                <w:kern w:val="0"/>
                <w:sz w:val="21"/>
                <w:szCs w:val="21"/>
                <w:highlight w:val="none"/>
                <w:lang w:bidi="ar"/>
              </w:rPr>
              <w:tab/>
            </w:r>
          </w:p>
          <w:p w14:paraId="016919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3、截面应为适度的圆形；试管口部是熔光的平口；</w:t>
            </w:r>
            <w:r>
              <w:rPr>
                <w:rFonts w:hint="eastAsia" w:asciiTheme="minorEastAsia" w:hAnsiTheme="minorEastAsia" w:eastAsiaTheme="minorEastAsia" w:cstheme="minorEastAsia"/>
                <w:color w:val="auto"/>
                <w:kern w:val="0"/>
                <w:sz w:val="21"/>
                <w:szCs w:val="21"/>
                <w:highlight w:val="none"/>
                <w:lang w:bidi="ar"/>
              </w:rPr>
              <w:tab/>
            </w:r>
          </w:p>
          <w:p w14:paraId="6383B3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4、管口应平整、光滑，不得有裂口、裂纹存在；试管的底部应基本为半球形。</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EB13B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5311E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65512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 </w:t>
            </w:r>
          </w:p>
        </w:tc>
      </w:tr>
      <w:tr w14:paraId="203F49D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DE5A7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2185E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具支试管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97DF0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1.高硼硅玻璃材质。管口应切平整烘光，底部圆正，厚薄均匀，不得有刺手现象；</w:t>
            </w:r>
            <w:r>
              <w:rPr>
                <w:rFonts w:hint="eastAsia" w:asciiTheme="minorEastAsia" w:hAnsiTheme="minorEastAsia" w:eastAsiaTheme="minorEastAsia" w:cstheme="minorEastAsia"/>
                <w:color w:val="auto"/>
                <w:kern w:val="0"/>
                <w:sz w:val="21"/>
                <w:szCs w:val="21"/>
                <w:highlight w:val="none"/>
                <w:lang w:bidi="ar"/>
              </w:rPr>
              <w:tab/>
            </w:r>
          </w:p>
          <w:p w14:paraId="6957BE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2、规格：试管外径Φ18mm，试管高180mm，急冷温差＞200℃；</w:t>
            </w:r>
            <w:r>
              <w:rPr>
                <w:rFonts w:hint="eastAsia" w:asciiTheme="minorEastAsia" w:hAnsiTheme="minorEastAsia" w:eastAsiaTheme="minorEastAsia" w:cstheme="minorEastAsia"/>
                <w:color w:val="auto"/>
                <w:kern w:val="0"/>
                <w:sz w:val="21"/>
                <w:szCs w:val="21"/>
                <w:highlight w:val="none"/>
                <w:lang w:bidi="ar"/>
              </w:rPr>
              <w:tab/>
            </w:r>
          </w:p>
          <w:p w14:paraId="2CAC56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3、支管与试管连接处牢固、平滑。</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D5141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EAA9E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D6BFE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2.54 </w:t>
            </w:r>
          </w:p>
        </w:tc>
      </w:tr>
      <w:tr w14:paraId="41F8E7C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7B893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DEE21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具支试管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57B0C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1.高硼硅玻璃材质。管口应切平整烘光，底部圆正，厚薄均匀，不得有刺手现象；</w:t>
            </w:r>
            <w:r>
              <w:rPr>
                <w:rFonts w:hint="eastAsia" w:asciiTheme="minorEastAsia" w:hAnsiTheme="minorEastAsia" w:eastAsiaTheme="minorEastAsia" w:cstheme="minorEastAsia"/>
                <w:color w:val="auto"/>
                <w:kern w:val="0"/>
                <w:sz w:val="21"/>
                <w:szCs w:val="21"/>
                <w:highlight w:val="none"/>
                <w:lang w:bidi="ar"/>
              </w:rPr>
              <w:tab/>
            </w:r>
          </w:p>
          <w:p w14:paraId="29BBD6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2、规格：试管外径Φ20mm，试管高200mm，急冷温差＞200℃；</w:t>
            </w:r>
            <w:r>
              <w:rPr>
                <w:rFonts w:hint="eastAsia" w:asciiTheme="minorEastAsia" w:hAnsiTheme="minorEastAsia" w:eastAsiaTheme="minorEastAsia" w:cstheme="minorEastAsia"/>
                <w:color w:val="auto"/>
                <w:kern w:val="0"/>
                <w:sz w:val="21"/>
                <w:szCs w:val="21"/>
                <w:highlight w:val="none"/>
                <w:lang w:bidi="ar"/>
              </w:rPr>
              <w:tab/>
            </w:r>
          </w:p>
          <w:p w14:paraId="39DB9A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3、支管与试管连接处牢固、平滑。</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68BCC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22FBD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2C3E8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 </w:t>
            </w:r>
          </w:p>
        </w:tc>
      </w:tr>
      <w:tr w14:paraId="3E7C999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8ACCA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316CD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硬质玻璃管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3CC63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1.高硼硅玻璃材质，硬质；</w:t>
            </w:r>
            <w:r>
              <w:rPr>
                <w:rFonts w:hint="eastAsia" w:asciiTheme="minorEastAsia" w:hAnsiTheme="minorEastAsia" w:eastAsiaTheme="minorEastAsia" w:cstheme="minorEastAsia"/>
                <w:color w:val="auto"/>
                <w:kern w:val="0"/>
                <w:sz w:val="21"/>
                <w:szCs w:val="21"/>
                <w:highlight w:val="none"/>
                <w:lang w:bidi="ar"/>
              </w:rPr>
              <w:tab/>
            </w:r>
          </w:p>
          <w:p w14:paraId="0F8B6F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2、规格：外径Φ15mm，长150mm。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6574A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361A8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AB3AC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 </w:t>
            </w:r>
          </w:p>
        </w:tc>
      </w:tr>
      <w:tr w14:paraId="1BDBA0A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8AE3F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7E90D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硬质玻璃管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E78B4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1.高硼硅玻璃材质，硬质；</w:t>
            </w:r>
            <w:r>
              <w:rPr>
                <w:rFonts w:hint="eastAsia" w:asciiTheme="minorEastAsia" w:hAnsiTheme="minorEastAsia" w:eastAsiaTheme="minorEastAsia" w:cstheme="minorEastAsia"/>
                <w:color w:val="auto"/>
                <w:kern w:val="0"/>
                <w:sz w:val="21"/>
                <w:szCs w:val="21"/>
                <w:highlight w:val="none"/>
                <w:lang w:bidi="ar"/>
              </w:rPr>
              <w:tab/>
            </w:r>
          </w:p>
          <w:p w14:paraId="5BC302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2、规格：外径Φ20mm，长250mm。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B3938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930F92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E3B65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5.07 </w:t>
            </w:r>
          </w:p>
        </w:tc>
      </w:tr>
      <w:tr w14:paraId="5A93EC06">
        <w:tblPrEx>
          <w:tblCellMar>
            <w:top w:w="0" w:type="dxa"/>
            <w:left w:w="108" w:type="dxa"/>
            <w:bottom w:w="0" w:type="dxa"/>
            <w:right w:w="108" w:type="dxa"/>
          </w:tblCellMar>
        </w:tblPrEx>
        <w:trPr>
          <w:trHeight w:val="414" w:hRule="atLeast"/>
        </w:trPr>
        <w:tc>
          <w:tcPr>
            <w:tcW w:w="649" w:type="dxa"/>
            <w:tcBorders>
              <w:top w:val="single" w:color="auto" w:sz="4" w:space="0"/>
              <w:left w:val="single" w:color="auto" w:sz="4" w:space="0"/>
              <w:bottom w:val="single" w:color="auto" w:sz="4" w:space="0"/>
              <w:right w:val="single" w:color="auto" w:sz="4" w:space="0"/>
            </w:tcBorders>
            <w:vAlign w:val="center"/>
          </w:tcPr>
          <w:p w14:paraId="0DE3B8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49DBC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燃烧管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6BE02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φ25mm×300mm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7CFD3E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A43C1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E0786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 </w:t>
            </w:r>
          </w:p>
        </w:tc>
      </w:tr>
      <w:tr w14:paraId="07032614">
        <w:tblPrEx>
          <w:tblCellMar>
            <w:top w:w="0" w:type="dxa"/>
            <w:left w:w="108" w:type="dxa"/>
            <w:bottom w:w="0" w:type="dxa"/>
            <w:right w:w="108" w:type="dxa"/>
          </w:tblCellMar>
        </w:tblPrEx>
        <w:trPr>
          <w:trHeight w:val="90" w:hRule="atLeast"/>
        </w:trPr>
        <w:tc>
          <w:tcPr>
            <w:tcW w:w="649" w:type="dxa"/>
            <w:tcBorders>
              <w:top w:val="single" w:color="auto" w:sz="4" w:space="0"/>
              <w:left w:val="single" w:color="auto" w:sz="4" w:space="0"/>
              <w:bottom w:val="single" w:color="auto" w:sz="4" w:space="0"/>
              <w:right w:val="single" w:color="auto" w:sz="4" w:space="0"/>
            </w:tcBorders>
            <w:vAlign w:val="center"/>
          </w:tcPr>
          <w:p w14:paraId="7375E4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82D7E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Y形试管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73E2B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φ20mm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68F16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E2F43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31485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 </w:t>
            </w:r>
          </w:p>
        </w:tc>
      </w:tr>
      <w:tr w14:paraId="4E81020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DBC0D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310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22B1F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BF435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423DE5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2、规格：5mL，烧杯上标志应清晰、耐久，造型规范、薄厚均匀、无明显偏斜，底部不允许有结石、节瘤存在；</w:t>
            </w:r>
            <w:r>
              <w:rPr>
                <w:rFonts w:hint="eastAsia" w:asciiTheme="minorEastAsia" w:hAnsiTheme="minorEastAsia" w:eastAsiaTheme="minorEastAsia" w:cstheme="minorEastAsia"/>
                <w:color w:val="auto"/>
                <w:kern w:val="0"/>
                <w:sz w:val="21"/>
                <w:szCs w:val="21"/>
                <w:highlight w:val="none"/>
                <w:lang w:bidi="ar"/>
              </w:rPr>
              <w:tab/>
            </w:r>
          </w:p>
          <w:p w14:paraId="33DBB3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0FA070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E9064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11B28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7CCA1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3.72 </w:t>
            </w:r>
          </w:p>
        </w:tc>
      </w:tr>
      <w:tr w14:paraId="570140A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6DD10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311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F10E8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B02EB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51E5A8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2、规格：10mL，烧杯上标志应清晰、耐久，造型规范、薄厚均匀、无明显偏斜，底部不允许有结石、节瘤存</w:t>
            </w:r>
            <w:r>
              <w:rPr>
                <w:rFonts w:hint="eastAsia" w:asciiTheme="minorEastAsia" w:hAnsiTheme="minorEastAsia" w:eastAsiaTheme="minorEastAsia" w:cstheme="minorEastAsia"/>
                <w:color w:val="auto"/>
                <w:kern w:val="0"/>
                <w:sz w:val="21"/>
                <w:szCs w:val="21"/>
                <w:highlight w:val="none"/>
                <w:lang w:bidi="ar"/>
              </w:rPr>
              <w:tab/>
            </w:r>
          </w:p>
          <w:p w14:paraId="1C54A1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4A8987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A6777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F6D73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BA54A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3.72 </w:t>
            </w:r>
          </w:p>
        </w:tc>
      </w:tr>
      <w:tr w14:paraId="7ADEB825">
        <w:tblPrEx>
          <w:tblCellMar>
            <w:top w:w="0" w:type="dxa"/>
            <w:left w:w="108" w:type="dxa"/>
            <w:bottom w:w="0" w:type="dxa"/>
            <w:right w:w="108" w:type="dxa"/>
          </w:tblCellMar>
        </w:tblPrEx>
        <w:trPr>
          <w:trHeight w:val="404" w:hRule="atLeast"/>
        </w:trPr>
        <w:tc>
          <w:tcPr>
            <w:tcW w:w="649" w:type="dxa"/>
            <w:tcBorders>
              <w:top w:val="single" w:color="auto" w:sz="4" w:space="0"/>
              <w:left w:val="single" w:color="auto" w:sz="4" w:space="0"/>
              <w:bottom w:val="single" w:color="auto" w:sz="4" w:space="0"/>
              <w:right w:val="single" w:color="auto" w:sz="4" w:space="0"/>
            </w:tcBorders>
            <w:vAlign w:val="center"/>
          </w:tcPr>
          <w:p w14:paraId="179531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312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9AC53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66642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49355F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2、规格：25mL，烧杯上标志应清晰、耐久，造型规范、薄厚均匀、无明显偏斜，底部不允许有结石、节瘤存在；</w:t>
            </w:r>
          </w:p>
          <w:p w14:paraId="14ED77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1995AB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3ECAD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9944D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F9320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3.72 </w:t>
            </w:r>
          </w:p>
        </w:tc>
      </w:tr>
      <w:tr w14:paraId="040B23C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BF59E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313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ED593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6ADC3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3CA828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2、规格：50mL，烧杯上标志应清晰、耐久，造型规范、薄厚均匀、无明显偏斜，底部不允许有结石、节瘤存在；</w:t>
            </w:r>
          </w:p>
          <w:p w14:paraId="7964D4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7F4FE0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1ACC1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45644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22B58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4.39 </w:t>
            </w:r>
          </w:p>
        </w:tc>
      </w:tr>
      <w:tr w14:paraId="25DFBCA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6AD07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314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97050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4A647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5BD364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2、规格：100mL，烧杯上标志应清晰、耐久，造型规范、薄厚均匀、无明显偏斜，底部不允许有结石、节瘤存在；</w:t>
            </w:r>
          </w:p>
          <w:p w14:paraId="7865AB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42649E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00749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60D73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65028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1.69 </w:t>
            </w:r>
          </w:p>
        </w:tc>
      </w:tr>
      <w:tr w14:paraId="2C2B91C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83EBF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315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893E7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16059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3E0C83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2、规格：250mL，烧杯上标志应清晰、耐久，造型规范、薄厚均匀、无明显偏斜，底部不允许有结石、节瘤存在；</w:t>
            </w:r>
          </w:p>
          <w:p w14:paraId="68265E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2B7D08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511BC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077D0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F6BAF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 </w:t>
            </w:r>
          </w:p>
        </w:tc>
      </w:tr>
      <w:tr w14:paraId="7EE7EBD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D8361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316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E64F4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DD4F1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3CDBD8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2、规格：500mL，烧杯上标志应清晰、耐久，造型规范、薄厚均匀、无明显偏斜，底部不允许有结石、节瘤存在；</w:t>
            </w:r>
          </w:p>
          <w:p w14:paraId="7B5CAB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1AB3FA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D811D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23BA9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1263B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 </w:t>
            </w:r>
          </w:p>
        </w:tc>
      </w:tr>
      <w:tr w14:paraId="454E3DD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0A520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317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359FE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E0A4E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71458E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2、规格：1000mL，烧杯上标志应清晰、耐久，造型规范、薄厚均匀、无明显偏斜，底部不允许有结石、节瘤存在；</w:t>
            </w:r>
          </w:p>
          <w:p w14:paraId="049F3C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433CB6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6BB1C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FE347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024D3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20.28 </w:t>
            </w:r>
          </w:p>
        </w:tc>
      </w:tr>
      <w:tr w14:paraId="681126E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6A5FC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318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8AF1B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9A9EC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3E7D05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2、规格：圆底，长，250mL；</w:t>
            </w:r>
            <w:r>
              <w:rPr>
                <w:rFonts w:hint="eastAsia" w:asciiTheme="minorEastAsia" w:hAnsiTheme="minorEastAsia" w:eastAsiaTheme="minorEastAsia" w:cstheme="minorEastAsia"/>
                <w:color w:val="auto"/>
                <w:kern w:val="0"/>
                <w:sz w:val="21"/>
                <w:szCs w:val="21"/>
                <w:highlight w:val="none"/>
                <w:lang w:bidi="ar"/>
              </w:rPr>
              <w:tab/>
            </w:r>
          </w:p>
          <w:p w14:paraId="6D84B2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3、细口球形平底烧瓶放在平台上不应旋转或摇晃；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03391C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4、烧瓶颈应上下粗细一致，不应有明显的弯曲，不允许有严重的条纹存在。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23217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DF1FC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94AE2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10.48 </w:t>
            </w:r>
          </w:p>
        </w:tc>
      </w:tr>
      <w:tr w14:paraId="7A144E3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05B33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319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7744B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DCD4E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0896BA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2、规格：圆底，250mL；</w:t>
            </w:r>
            <w:r>
              <w:rPr>
                <w:rFonts w:hint="eastAsia" w:asciiTheme="minorEastAsia" w:hAnsiTheme="minorEastAsia" w:eastAsiaTheme="minorEastAsia" w:cstheme="minorEastAsia"/>
                <w:color w:val="auto"/>
                <w:kern w:val="0"/>
                <w:sz w:val="21"/>
                <w:szCs w:val="21"/>
                <w:highlight w:val="none"/>
                <w:lang w:bidi="ar"/>
              </w:rPr>
              <w:tab/>
            </w:r>
          </w:p>
          <w:p w14:paraId="40032E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3、细口球形平底烧瓶放在平台上不应旋转或摇晃；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567FC5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4、烧瓶颈应上下粗细一致，不应有明显的弯曲，不允许有严重的条纹存在，不允许有明显的能目测的铁锈、铁屑存在。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11332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10DA9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FFBEB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10.48 </w:t>
            </w:r>
          </w:p>
        </w:tc>
      </w:tr>
      <w:tr w14:paraId="5658023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A8AEF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61107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61091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019238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2、规格：圆底，500mL；</w:t>
            </w:r>
            <w:r>
              <w:rPr>
                <w:rFonts w:hint="eastAsia" w:asciiTheme="minorEastAsia" w:hAnsiTheme="minorEastAsia" w:eastAsiaTheme="minorEastAsia" w:cstheme="minorEastAsia"/>
                <w:color w:val="auto"/>
                <w:kern w:val="0"/>
                <w:sz w:val="21"/>
                <w:szCs w:val="21"/>
                <w:highlight w:val="none"/>
                <w:lang w:bidi="ar"/>
              </w:rPr>
              <w:tab/>
            </w:r>
          </w:p>
          <w:p w14:paraId="504EC6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3、细口球形平底烧瓶放在平台上不应旋转或摇晃；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4DC7FC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4、烧瓶颈应上下粗细一致，不应有明显的弯曲，不允许有严重的条纹存在，不允许有明显的能目测的铁锈、铁屑存在。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4ED3A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895735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D2147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20.62 </w:t>
            </w:r>
          </w:p>
        </w:tc>
      </w:tr>
      <w:tr w14:paraId="60D5885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ED13B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60546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61312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67EF54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2、规格：平底，250mL；</w:t>
            </w:r>
            <w:r>
              <w:rPr>
                <w:rFonts w:hint="eastAsia" w:asciiTheme="minorEastAsia" w:hAnsiTheme="minorEastAsia" w:eastAsiaTheme="minorEastAsia" w:cstheme="minorEastAsia"/>
                <w:color w:val="auto"/>
                <w:kern w:val="0"/>
                <w:sz w:val="21"/>
                <w:szCs w:val="21"/>
                <w:highlight w:val="none"/>
                <w:lang w:bidi="ar"/>
              </w:rPr>
              <w:tab/>
            </w:r>
          </w:p>
          <w:p w14:paraId="6F5055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3、细口球形平底烧瓶放在平台上不应旋转或摇晃；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6FE590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4、烧瓶颈应上下粗细一致，不应有明显的弯曲，不允许有严重的条纹存在，不允许有明显的能目测的铁锈、铁屑存在。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23DA7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94EE9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45B9C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10.48 </w:t>
            </w:r>
          </w:p>
        </w:tc>
      </w:tr>
      <w:tr w14:paraId="75A0C10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30DF3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D4790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锥形瓶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872FC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2E886F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2、规格：锥形，100mL；</w:t>
            </w:r>
            <w:r>
              <w:rPr>
                <w:rFonts w:hint="eastAsia" w:asciiTheme="minorEastAsia" w:hAnsiTheme="minorEastAsia" w:eastAsiaTheme="minorEastAsia" w:cstheme="minorEastAsia"/>
                <w:color w:val="auto"/>
                <w:kern w:val="0"/>
                <w:sz w:val="21"/>
                <w:szCs w:val="21"/>
                <w:highlight w:val="none"/>
                <w:lang w:bidi="ar"/>
              </w:rPr>
              <w:tab/>
            </w:r>
          </w:p>
          <w:p w14:paraId="0CC0BC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3、底部不允许有结石、节瘤存在。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10BBB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16F91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E18CC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7.44 </w:t>
            </w:r>
          </w:p>
        </w:tc>
      </w:tr>
      <w:tr w14:paraId="2B7AE6D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3951D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A1C98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锥形瓶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3FB93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321246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2、规格：锥形，250mL；</w:t>
            </w:r>
            <w:r>
              <w:rPr>
                <w:rFonts w:hint="eastAsia" w:asciiTheme="minorEastAsia" w:hAnsiTheme="minorEastAsia" w:eastAsiaTheme="minorEastAsia" w:cstheme="minorEastAsia"/>
                <w:color w:val="auto"/>
                <w:kern w:val="0"/>
                <w:sz w:val="21"/>
                <w:szCs w:val="21"/>
                <w:highlight w:val="none"/>
                <w:lang w:bidi="ar"/>
              </w:rPr>
              <w:tab/>
            </w:r>
          </w:p>
          <w:p w14:paraId="3C4E0E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3、底部不允许有结石、节瘤存在。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6F969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79A84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52A6A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 </w:t>
            </w:r>
          </w:p>
        </w:tc>
      </w:tr>
      <w:tr w14:paraId="12AABBB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BBCE2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9354A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蒸馏烧瓶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184A1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1CD711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2、是一个具有支管的圆底球体形烧瓶，便于与冷凝管和牛角管等组成蒸馏装置；</w:t>
            </w:r>
            <w:r>
              <w:rPr>
                <w:rFonts w:hint="eastAsia" w:asciiTheme="minorEastAsia" w:hAnsiTheme="minorEastAsia" w:eastAsiaTheme="minorEastAsia" w:cstheme="minorEastAsia"/>
                <w:color w:val="auto"/>
                <w:kern w:val="0"/>
                <w:sz w:val="21"/>
                <w:szCs w:val="21"/>
                <w:highlight w:val="none"/>
                <w:lang w:bidi="ar"/>
              </w:rPr>
              <w:tab/>
            </w:r>
          </w:p>
          <w:p w14:paraId="5DB597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3、规格：250mL。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5F284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E0FC0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63339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18.59 </w:t>
            </w:r>
          </w:p>
        </w:tc>
      </w:tr>
      <w:tr w14:paraId="4FA33100">
        <w:tblPrEx>
          <w:tblCellMar>
            <w:top w:w="0" w:type="dxa"/>
            <w:left w:w="108" w:type="dxa"/>
            <w:bottom w:w="0" w:type="dxa"/>
            <w:right w:w="108" w:type="dxa"/>
          </w:tblCellMar>
        </w:tblPrEx>
        <w:trPr>
          <w:trHeight w:val="433" w:hRule="atLeast"/>
        </w:trPr>
        <w:tc>
          <w:tcPr>
            <w:tcW w:w="649" w:type="dxa"/>
            <w:tcBorders>
              <w:top w:val="single" w:color="auto" w:sz="4" w:space="0"/>
              <w:left w:val="single" w:color="auto" w:sz="4" w:space="0"/>
              <w:bottom w:val="single" w:color="auto" w:sz="4" w:space="0"/>
              <w:right w:val="single" w:color="auto" w:sz="4" w:space="0"/>
            </w:tcBorders>
            <w:vAlign w:val="center"/>
          </w:tcPr>
          <w:p w14:paraId="68FBB3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A853F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三口烧瓶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382A3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C0511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8EB40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2D069E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30.42 </w:t>
            </w:r>
          </w:p>
        </w:tc>
      </w:tr>
      <w:tr w14:paraId="7DF5D50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CF04F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62FB5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酒精灯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9BFEA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1.透明钠钙玻璃材质，由灯座、灯塞、灯盖、灯芯组成；</w:t>
            </w:r>
          </w:p>
          <w:p w14:paraId="7E0597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2、规格：150mL；</w:t>
            </w:r>
            <w:r>
              <w:rPr>
                <w:rFonts w:hint="eastAsia" w:asciiTheme="minorEastAsia" w:hAnsiTheme="minorEastAsia" w:eastAsiaTheme="minorEastAsia" w:cstheme="minorEastAsia"/>
                <w:color w:val="auto"/>
                <w:kern w:val="0"/>
                <w:sz w:val="21"/>
                <w:szCs w:val="21"/>
                <w:highlight w:val="none"/>
                <w:lang w:bidi="ar"/>
              </w:rPr>
              <w:tab/>
            </w:r>
          </w:p>
          <w:p w14:paraId="779D3B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3、玻璃仪器，正视应无色；或仅有玻璃本身的微浅黄绿色；</w:t>
            </w:r>
            <w:r>
              <w:rPr>
                <w:rFonts w:hint="eastAsia" w:asciiTheme="minorEastAsia" w:hAnsiTheme="minorEastAsia" w:eastAsiaTheme="minorEastAsia" w:cstheme="minorEastAsia"/>
                <w:color w:val="auto"/>
                <w:kern w:val="0"/>
                <w:sz w:val="21"/>
                <w:szCs w:val="21"/>
                <w:highlight w:val="none"/>
                <w:lang w:bidi="ar"/>
              </w:rPr>
              <w:tab/>
            </w:r>
          </w:p>
          <w:p w14:paraId="13904F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4、玻璃仪器的口部都应经圆口（熔光）、卷边或磨砂处理；</w:t>
            </w:r>
            <w:r>
              <w:rPr>
                <w:rFonts w:hint="eastAsia" w:asciiTheme="minorEastAsia" w:hAnsiTheme="minorEastAsia" w:eastAsiaTheme="minorEastAsia" w:cstheme="minorEastAsia"/>
                <w:color w:val="auto"/>
                <w:kern w:val="0"/>
                <w:sz w:val="21"/>
                <w:szCs w:val="21"/>
                <w:highlight w:val="none"/>
                <w:lang w:bidi="ar"/>
              </w:rPr>
              <w:tab/>
            </w:r>
          </w:p>
          <w:p w14:paraId="1C403A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5、应力：应力仪观察下呈紫红色或部分扩散状蓝色；</w:t>
            </w:r>
            <w:r>
              <w:rPr>
                <w:rFonts w:hint="eastAsia" w:asciiTheme="minorEastAsia" w:hAnsiTheme="minorEastAsia" w:eastAsiaTheme="minorEastAsia" w:cstheme="minorEastAsia"/>
                <w:color w:val="auto"/>
                <w:kern w:val="0"/>
                <w:sz w:val="21"/>
                <w:szCs w:val="21"/>
                <w:highlight w:val="none"/>
                <w:lang w:bidi="ar"/>
              </w:rPr>
              <w:tab/>
            </w:r>
          </w:p>
          <w:p w14:paraId="63B5EA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6、厚薄均匀，玻璃仪器的底部应平整，放在平台上不应旋转或摇晃；</w:t>
            </w:r>
          </w:p>
          <w:p w14:paraId="7F6AA1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7、酒精灯塞子塞不紧是正常的，塞紧了是危险的。</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ABDD7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7A18F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1AF82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4.56 </w:t>
            </w:r>
          </w:p>
        </w:tc>
      </w:tr>
      <w:tr w14:paraId="7756723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652AF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DB1BB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酒精灯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0F8B0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1.透明钠钙玻璃材质，由灯座、灯塞、灯盖、灯芯组成；</w:t>
            </w:r>
          </w:p>
          <w:p w14:paraId="03CC7F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2、规格：250mL，单头；</w:t>
            </w:r>
            <w:r>
              <w:rPr>
                <w:rFonts w:hint="eastAsia" w:asciiTheme="minorEastAsia" w:hAnsiTheme="minorEastAsia" w:eastAsiaTheme="minorEastAsia" w:cstheme="minorEastAsia"/>
                <w:color w:val="auto"/>
                <w:kern w:val="0"/>
                <w:sz w:val="21"/>
                <w:szCs w:val="21"/>
                <w:highlight w:val="none"/>
                <w:lang w:bidi="ar"/>
              </w:rPr>
              <w:tab/>
            </w:r>
          </w:p>
          <w:p w14:paraId="6984A2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3、玻璃仪器，正视应无色；或仅有玻璃本身的微浅黄绿色；</w:t>
            </w:r>
            <w:r>
              <w:rPr>
                <w:rFonts w:hint="eastAsia" w:asciiTheme="minorEastAsia" w:hAnsiTheme="minorEastAsia" w:eastAsiaTheme="minorEastAsia" w:cstheme="minorEastAsia"/>
                <w:color w:val="auto"/>
                <w:kern w:val="0"/>
                <w:sz w:val="21"/>
                <w:szCs w:val="21"/>
                <w:highlight w:val="none"/>
                <w:lang w:bidi="ar"/>
              </w:rPr>
              <w:tab/>
            </w:r>
          </w:p>
          <w:p w14:paraId="621573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4、玻璃仪器的口部都应经圆口（熔光）、卷边或磨砂处理；</w:t>
            </w:r>
            <w:r>
              <w:rPr>
                <w:rFonts w:hint="eastAsia" w:asciiTheme="minorEastAsia" w:hAnsiTheme="minorEastAsia" w:eastAsiaTheme="minorEastAsia" w:cstheme="minorEastAsia"/>
                <w:color w:val="auto"/>
                <w:kern w:val="0"/>
                <w:sz w:val="21"/>
                <w:szCs w:val="21"/>
                <w:highlight w:val="none"/>
                <w:lang w:bidi="ar"/>
              </w:rPr>
              <w:tab/>
            </w:r>
          </w:p>
          <w:p w14:paraId="20719F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5、应力：应力仪观察下呈紫红色或部分扩散状蓝色；</w:t>
            </w:r>
            <w:r>
              <w:rPr>
                <w:rFonts w:hint="eastAsia" w:asciiTheme="minorEastAsia" w:hAnsiTheme="minorEastAsia" w:eastAsiaTheme="minorEastAsia" w:cstheme="minorEastAsia"/>
                <w:color w:val="auto"/>
                <w:kern w:val="0"/>
                <w:sz w:val="21"/>
                <w:szCs w:val="21"/>
                <w:highlight w:val="none"/>
                <w:lang w:bidi="ar"/>
              </w:rPr>
              <w:tab/>
            </w:r>
          </w:p>
          <w:p w14:paraId="003D52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6、厚薄均匀，玻璃仪器的底部应平整，放在平台上不应旋转或摇晃；7、酒精灯塞子塞不紧是正常的，塞紧了是危险的。</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6A14B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AB561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E8102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8.11 </w:t>
            </w:r>
          </w:p>
        </w:tc>
      </w:tr>
      <w:tr w14:paraId="4A18EBD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7F937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844BE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酒精灯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90F85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1.透明钠钙玻璃材质，由灯座、灯塞、灯盖、灯芯组成；</w:t>
            </w:r>
          </w:p>
          <w:p w14:paraId="0E28DD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2、规格：250mL，双头；</w:t>
            </w:r>
            <w:r>
              <w:rPr>
                <w:rFonts w:hint="eastAsia" w:asciiTheme="minorEastAsia" w:hAnsiTheme="minorEastAsia" w:eastAsiaTheme="minorEastAsia" w:cstheme="minorEastAsia"/>
                <w:color w:val="auto"/>
                <w:kern w:val="0"/>
                <w:sz w:val="21"/>
                <w:szCs w:val="21"/>
                <w:highlight w:val="none"/>
                <w:lang w:bidi="ar"/>
              </w:rPr>
              <w:tab/>
            </w:r>
          </w:p>
          <w:p w14:paraId="763730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3、玻璃仪器，正视应无色；或仅有玻璃本身的微浅黄绿色；</w:t>
            </w:r>
            <w:r>
              <w:rPr>
                <w:rFonts w:hint="eastAsia" w:asciiTheme="minorEastAsia" w:hAnsiTheme="minorEastAsia" w:eastAsiaTheme="minorEastAsia" w:cstheme="minorEastAsia"/>
                <w:color w:val="auto"/>
                <w:kern w:val="0"/>
                <w:sz w:val="21"/>
                <w:szCs w:val="21"/>
                <w:highlight w:val="none"/>
                <w:lang w:bidi="ar"/>
              </w:rPr>
              <w:tab/>
            </w:r>
          </w:p>
          <w:p w14:paraId="3F60C8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4、玻璃仪器的口部都应经圆口（熔光）、卷边或磨砂处理；</w:t>
            </w:r>
            <w:r>
              <w:rPr>
                <w:rFonts w:hint="eastAsia" w:asciiTheme="minorEastAsia" w:hAnsiTheme="minorEastAsia" w:eastAsiaTheme="minorEastAsia" w:cstheme="minorEastAsia"/>
                <w:color w:val="auto"/>
                <w:kern w:val="0"/>
                <w:sz w:val="21"/>
                <w:szCs w:val="21"/>
                <w:highlight w:val="none"/>
                <w:lang w:bidi="ar"/>
              </w:rPr>
              <w:tab/>
            </w:r>
          </w:p>
          <w:p w14:paraId="5C1425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5、应力：应力仪观察下呈紫红色或部分扩散状蓝色；</w:t>
            </w:r>
            <w:r>
              <w:rPr>
                <w:rFonts w:hint="eastAsia" w:asciiTheme="minorEastAsia" w:hAnsiTheme="minorEastAsia" w:eastAsiaTheme="minorEastAsia" w:cstheme="minorEastAsia"/>
                <w:color w:val="auto"/>
                <w:kern w:val="0"/>
                <w:sz w:val="21"/>
                <w:szCs w:val="21"/>
                <w:highlight w:val="none"/>
                <w:lang w:bidi="ar"/>
              </w:rPr>
              <w:tab/>
            </w:r>
          </w:p>
          <w:p w14:paraId="65CE4A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6、厚薄均匀，玻璃仪器的底部应平整，放在平台上不应旋转或摇晃；7、酒精灯塞子塞不紧是正常的，塞紧了是危险的。</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24B73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6A3FC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B7C87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45.63 </w:t>
            </w:r>
          </w:p>
        </w:tc>
      </w:tr>
      <w:tr w14:paraId="18871A8B">
        <w:tblPrEx>
          <w:tblCellMar>
            <w:top w:w="0" w:type="dxa"/>
            <w:left w:w="108" w:type="dxa"/>
            <w:bottom w:w="0" w:type="dxa"/>
            <w:right w:w="108" w:type="dxa"/>
          </w:tblCellMar>
        </w:tblPrEx>
        <w:trPr>
          <w:trHeight w:val="349" w:hRule="atLeast"/>
        </w:trPr>
        <w:tc>
          <w:tcPr>
            <w:tcW w:w="649" w:type="dxa"/>
            <w:tcBorders>
              <w:top w:val="single" w:color="auto" w:sz="4" w:space="0"/>
              <w:left w:val="single" w:color="auto" w:sz="4" w:space="0"/>
              <w:bottom w:val="single" w:color="auto" w:sz="4" w:space="0"/>
              <w:right w:val="single" w:color="auto" w:sz="4" w:space="0"/>
            </w:tcBorders>
            <w:vAlign w:val="center"/>
          </w:tcPr>
          <w:p w14:paraId="560AA0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7060C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干燥塔</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53E04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EADDC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3E70B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2D0C5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74.36 </w:t>
            </w:r>
          </w:p>
        </w:tc>
      </w:tr>
      <w:tr w14:paraId="0E8BDB00">
        <w:tblPrEx>
          <w:tblCellMar>
            <w:top w:w="0" w:type="dxa"/>
            <w:left w:w="108" w:type="dxa"/>
            <w:bottom w:w="0" w:type="dxa"/>
            <w:right w:w="108" w:type="dxa"/>
          </w:tblCellMar>
        </w:tblPrEx>
        <w:trPr>
          <w:trHeight w:val="368" w:hRule="atLeast"/>
        </w:trPr>
        <w:tc>
          <w:tcPr>
            <w:tcW w:w="649" w:type="dxa"/>
            <w:tcBorders>
              <w:top w:val="single" w:color="auto" w:sz="4" w:space="0"/>
              <w:left w:val="single" w:color="auto" w:sz="4" w:space="0"/>
              <w:bottom w:val="single" w:color="auto" w:sz="4" w:space="0"/>
              <w:right w:val="single" w:color="auto" w:sz="4" w:space="0"/>
            </w:tcBorders>
            <w:vAlign w:val="center"/>
          </w:tcPr>
          <w:p w14:paraId="5EAF80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A062A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气体洗瓶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639A7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01156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BA227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FBEA6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1384CB6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14B67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D6769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抽滤瓶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C6DFE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1B9476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2、规格：500mL；</w:t>
            </w:r>
            <w:r>
              <w:rPr>
                <w:rFonts w:hint="eastAsia" w:asciiTheme="minorEastAsia" w:hAnsiTheme="minorEastAsia" w:eastAsiaTheme="minorEastAsia" w:cstheme="minorEastAsia"/>
                <w:color w:val="auto"/>
                <w:kern w:val="0"/>
                <w:sz w:val="21"/>
                <w:szCs w:val="21"/>
                <w:highlight w:val="none"/>
                <w:lang w:bidi="ar"/>
              </w:rPr>
              <w:tab/>
            </w:r>
          </w:p>
          <w:p w14:paraId="6C2E17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3、底部不允许有结石、节瘤存在。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7A9F8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8ACA4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93074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25.35 </w:t>
            </w:r>
          </w:p>
        </w:tc>
      </w:tr>
      <w:tr w14:paraId="561BF8F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4F978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A2134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抽气管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D8677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565C8A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2、灯工焊接牢固，喷水管应在球内中心位置，喷口对正下管孔，两孔间距不大于2.5mm；</w:t>
            </w:r>
            <w:r>
              <w:rPr>
                <w:rFonts w:hint="eastAsia" w:asciiTheme="minorEastAsia" w:hAnsiTheme="minorEastAsia" w:eastAsiaTheme="minorEastAsia" w:cstheme="minorEastAsia"/>
                <w:color w:val="auto"/>
                <w:kern w:val="0"/>
                <w:sz w:val="21"/>
                <w:szCs w:val="21"/>
                <w:highlight w:val="none"/>
                <w:lang w:bidi="ar"/>
              </w:rPr>
              <w:tab/>
            </w:r>
          </w:p>
          <w:p w14:paraId="6FE541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3、喷口切割磨平，不得有歪斜及小缺点；</w:t>
            </w:r>
            <w:r>
              <w:rPr>
                <w:rFonts w:hint="eastAsia" w:asciiTheme="minorEastAsia" w:hAnsiTheme="minorEastAsia" w:eastAsiaTheme="minorEastAsia" w:cstheme="minorEastAsia"/>
                <w:color w:val="auto"/>
                <w:kern w:val="0"/>
                <w:sz w:val="21"/>
                <w:szCs w:val="21"/>
                <w:highlight w:val="none"/>
                <w:lang w:bidi="ar"/>
              </w:rPr>
              <w:tab/>
            </w:r>
          </w:p>
          <w:p w14:paraId="3CF43E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4、磨砂浮子必须活动自如，不得阻塞不动。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DD32E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8C01F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2C0E8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19.60 </w:t>
            </w:r>
          </w:p>
        </w:tc>
      </w:tr>
      <w:tr w14:paraId="0F35072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62B12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E0E73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干燥器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74410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1.透明钠钙玻璃制；</w:t>
            </w:r>
            <w:r>
              <w:rPr>
                <w:rFonts w:hint="eastAsia" w:asciiTheme="minorEastAsia" w:hAnsiTheme="minorEastAsia" w:eastAsiaTheme="minorEastAsia" w:cstheme="minorEastAsia"/>
                <w:color w:val="auto"/>
                <w:kern w:val="0"/>
                <w:sz w:val="21"/>
                <w:szCs w:val="21"/>
                <w:highlight w:val="none"/>
                <w:lang w:bidi="ar"/>
              </w:rPr>
              <w:tab/>
            </w:r>
          </w:p>
          <w:p w14:paraId="6B8A36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2、规格：160mL。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54947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CEAAF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ACC44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62.53 </w:t>
            </w:r>
          </w:p>
        </w:tc>
      </w:tr>
      <w:tr w14:paraId="783FAE9B">
        <w:tblPrEx>
          <w:tblCellMar>
            <w:top w:w="0" w:type="dxa"/>
            <w:left w:w="108" w:type="dxa"/>
            <w:bottom w:w="0" w:type="dxa"/>
            <w:right w:w="108" w:type="dxa"/>
          </w:tblCellMar>
        </w:tblPrEx>
        <w:trPr>
          <w:trHeight w:val="725" w:hRule="atLeast"/>
        </w:trPr>
        <w:tc>
          <w:tcPr>
            <w:tcW w:w="649" w:type="dxa"/>
            <w:tcBorders>
              <w:top w:val="single" w:color="auto" w:sz="4" w:space="0"/>
              <w:left w:val="single" w:color="auto" w:sz="4" w:space="0"/>
              <w:bottom w:val="single" w:color="auto" w:sz="4" w:space="0"/>
              <w:right w:val="single" w:color="auto" w:sz="4" w:space="0"/>
            </w:tcBorders>
            <w:vAlign w:val="center"/>
          </w:tcPr>
          <w:p w14:paraId="7B728C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16BF1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气体发生器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35277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1.透明钠钙玻璃制；</w:t>
            </w:r>
            <w:r>
              <w:rPr>
                <w:rFonts w:hint="eastAsia" w:asciiTheme="minorEastAsia" w:hAnsiTheme="minorEastAsia" w:eastAsiaTheme="minorEastAsia" w:cstheme="minorEastAsia"/>
                <w:color w:val="auto"/>
                <w:kern w:val="0"/>
                <w:sz w:val="21"/>
                <w:szCs w:val="21"/>
                <w:highlight w:val="none"/>
                <w:lang w:bidi="ar"/>
              </w:rPr>
              <w:tab/>
            </w:r>
          </w:p>
          <w:p w14:paraId="73D76A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2、规格：250mL。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74449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5F610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9670B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141.96 </w:t>
            </w:r>
          </w:p>
        </w:tc>
      </w:tr>
      <w:tr w14:paraId="3CFD406B">
        <w:tblPrEx>
          <w:tblCellMar>
            <w:top w:w="0" w:type="dxa"/>
            <w:left w:w="108" w:type="dxa"/>
            <w:bottom w:w="0" w:type="dxa"/>
            <w:right w:w="108" w:type="dxa"/>
          </w:tblCellMar>
        </w:tblPrEx>
        <w:trPr>
          <w:trHeight w:val="724" w:hRule="atLeast"/>
        </w:trPr>
        <w:tc>
          <w:tcPr>
            <w:tcW w:w="649" w:type="dxa"/>
            <w:tcBorders>
              <w:top w:val="single" w:color="auto" w:sz="4" w:space="0"/>
              <w:left w:val="single" w:color="auto" w:sz="4" w:space="0"/>
              <w:bottom w:val="single" w:color="auto" w:sz="4" w:space="0"/>
              <w:right w:val="single" w:color="auto" w:sz="4" w:space="0"/>
            </w:tcBorders>
            <w:vAlign w:val="center"/>
          </w:tcPr>
          <w:p w14:paraId="68DE37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1B4F3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冷凝器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680FC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741024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2、规格：直形，300mm。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CEA7D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EFF0D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2F396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20.28 </w:t>
            </w:r>
          </w:p>
        </w:tc>
      </w:tr>
      <w:tr w14:paraId="0D9D365F">
        <w:tblPrEx>
          <w:tblCellMar>
            <w:top w:w="0" w:type="dxa"/>
            <w:left w:w="108" w:type="dxa"/>
            <w:bottom w:w="0" w:type="dxa"/>
            <w:right w:w="108" w:type="dxa"/>
          </w:tblCellMar>
        </w:tblPrEx>
        <w:trPr>
          <w:trHeight w:val="691" w:hRule="atLeast"/>
        </w:trPr>
        <w:tc>
          <w:tcPr>
            <w:tcW w:w="649" w:type="dxa"/>
            <w:tcBorders>
              <w:top w:val="single" w:color="auto" w:sz="4" w:space="0"/>
              <w:left w:val="single" w:color="auto" w:sz="4" w:space="0"/>
              <w:bottom w:val="single" w:color="auto" w:sz="4" w:space="0"/>
              <w:right w:val="single" w:color="auto" w:sz="4" w:space="0"/>
            </w:tcBorders>
            <w:vAlign w:val="center"/>
          </w:tcPr>
          <w:p w14:paraId="1D2765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4B190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冷凝器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CA1B6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536FDD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2、规格：球形，300mm。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3C9D7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0279E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F2F5B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35.49 </w:t>
            </w:r>
          </w:p>
        </w:tc>
      </w:tr>
      <w:tr w14:paraId="2DA05A9A">
        <w:tblPrEx>
          <w:tblCellMar>
            <w:top w:w="0" w:type="dxa"/>
            <w:left w:w="108" w:type="dxa"/>
            <w:bottom w:w="0" w:type="dxa"/>
            <w:right w:w="108" w:type="dxa"/>
          </w:tblCellMar>
        </w:tblPrEx>
        <w:trPr>
          <w:trHeight w:val="675" w:hRule="atLeast"/>
        </w:trPr>
        <w:tc>
          <w:tcPr>
            <w:tcW w:w="649" w:type="dxa"/>
            <w:tcBorders>
              <w:top w:val="single" w:color="auto" w:sz="4" w:space="0"/>
              <w:left w:val="single" w:color="auto" w:sz="4" w:space="0"/>
              <w:bottom w:val="single" w:color="auto" w:sz="4" w:space="0"/>
              <w:right w:val="single" w:color="auto" w:sz="4" w:space="0"/>
            </w:tcBorders>
            <w:vAlign w:val="center"/>
          </w:tcPr>
          <w:p w14:paraId="66DA03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2AC1B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牛角管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B447A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3358BC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2、规格：Φ18mm×150mm。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9B0A7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A561E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9265A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4.06 </w:t>
            </w:r>
          </w:p>
        </w:tc>
      </w:tr>
      <w:tr w14:paraId="392F53D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A9821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97E94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13C7F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1.规格：60mm；</w:t>
            </w:r>
            <w:r>
              <w:rPr>
                <w:rFonts w:hint="eastAsia" w:asciiTheme="minorEastAsia" w:hAnsiTheme="minorEastAsia" w:eastAsiaTheme="minorEastAsia" w:cstheme="minorEastAsia"/>
                <w:color w:val="auto"/>
                <w:kern w:val="0"/>
                <w:sz w:val="21"/>
                <w:szCs w:val="21"/>
                <w:highlight w:val="none"/>
                <w:lang w:bidi="ar"/>
              </w:rPr>
              <w:tab/>
            </w:r>
          </w:p>
          <w:p w14:paraId="1AD399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2、口边光滑平整，无毛边、快口及崩缺，角度正确，口边不得呈椭圆形及不规则多边形，斗柄应垂直，下口应磨成45º角，并将斜口边倒角不呈缺口；</w:t>
            </w:r>
            <w:r>
              <w:rPr>
                <w:rFonts w:hint="eastAsia" w:asciiTheme="minorEastAsia" w:hAnsiTheme="minorEastAsia" w:eastAsiaTheme="minorEastAsia" w:cstheme="minorEastAsia"/>
                <w:color w:val="auto"/>
                <w:kern w:val="0"/>
                <w:sz w:val="21"/>
                <w:szCs w:val="21"/>
                <w:highlight w:val="none"/>
                <w:lang w:bidi="ar"/>
              </w:rPr>
              <w:tab/>
            </w:r>
          </w:p>
          <w:p w14:paraId="5D772A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3、壁厚均匀，内壁光滑，斗柄接头处不允许严重褶皱，斗柄垂直偏正不超过3～5mm。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ACA8E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1B48A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04DCF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5.75 </w:t>
            </w:r>
          </w:p>
        </w:tc>
      </w:tr>
      <w:tr w14:paraId="13B3E4A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4718B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EAFFF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203C1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1.规格：90mm；</w:t>
            </w:r>
            <w:r>
              <w:rPr>
                <w:rFonts w:hint="eastAsia" w:asciiTheme="minorEastAsia" w:hAnsiTheme="minorEastAsia" w:eastAsiaTheme="minorEastAsia" w:cstheme="minorEastAsia"/>
                <w:color w:val="auto"/>
                <w:kern w:val="0"/>
                <w:sz w:val="21"/>
                <w:szCs w:val="21"/>
                <w:highlight w:val="none"/>
                <w:lang w:bidi="ar"/>
              </w:rPr>
              <w:tab/>
            </w:r>
          </w:p>
          <w:p w14:paraId="0D326A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2、漏斗口径：90mm±2mm；厚度：约2mm；</w:t>
            </w:r>
            <w:r>
              <w:rPr>
                <w:rFonts w:hint="eastAsia" w:asciiTheme="minorEastAsia" w:hAnsiTheme="minorEastAsia" w:eastAsiaTheme="minorEastAsia" w:cstheme="minorEastAsia"/>
                <w:color w:val="auto"/>
                <w:kern w:val="0"/>
                <w:sz w:val="21"/>
                <w:szCs w:val="21"/>
                <w:highlight w:val="none"/>
                <w:lang w:bidi="ar"/>
              </w:rPr>
              <w:tab/>
            </w:r>
          </w:p>
          <w:p w14:paraId="63B5D1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3、口边光滑平整，无毛边、缺口及崩缺，角度正确，口边不得呈椭圆形及不规则多边形，斗柄应垂直，下口应磨成45º角，并将斜口边倒角不呈缺口；</w:t>
            </w:r>
            <w:r>
              <w:rPr>
                <w:rFonts w:hint="eastAsia" w:asciiTheme="minorEastAsia" w:hAnsiTheme="minorEastAsia" w:eastAsiaTheme="minorEastAsia" w:cstheme="minorEastAsia"/>
                <w:color w:val="auto"/>
                <w:kern w:val="0"/>
                <w:sz w:val="21"/>
                <w:szCs w:val="21"/>
                <w:highlight w:val="none"/>
                <w:lang w:bidi="ar"/>
              </w:rPr>
              <w:tab/>
            </w:r>
          </w:p>
          <w:p w14:paraId="6BA9CF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4、壁厚均匀，内壁光滑，斗柄接头处不允许严重褶皱，斗柄垂直偏正不超过3～5mm。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86546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1B983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0DC42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11.83 </w:t>
            </w:r>
          </w:p>
        </w:tc>
      </w:tr>
      <w:tr w14:paraId="5EE097E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FCD20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8508A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安全漏斗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172F8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67FA37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2、规格：直形；</w:t>
            </w:r>
            <w:r>
              <w:rPr>
                <w:rFonts w:hint="eastAsia" w:asciiTheme="minorEastAsia" w:hAnsiTheme="minorEastAsia" w:eastAsiaTheme="minorEastAsia" w:cstheme="minorEastAsia"/>
                <w:color w:val="auto"/>
                <w:kern w:val="0"/>
                <w:sz w:val="21"/>
                <w:szCs w:val="21"/>
                <w:highlight w:val="none"/>
                <w:lang w:bidi="ar"/>
              </w:rPr>
              <w:tab/>
            </w:r>
          </w:p>
          <w:p w14:paraId="4023BB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3、口部翻边圆整，不得呈波浪形，斗管焊接牢固，不得有内壁缩小现象。</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45A02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DC11B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CB3A0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2.03 </w:t>
            </w:r>
          </w:p>
        </w:tc>
      </w:tr>
      <w:tr w14:paraId="25D05417">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6EA19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34F95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安全漏斗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FFAC6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61B223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2、规格：双球；</w:t>
            </w:r>
            <w:r>
              <w:rPr>
                <w:rFonts w:hint="eastAsia" w:asciiTheme="minorEastAsia" w:hAnsiTheme="minorEastAsia" w:eastAsiaTheme="minorEastAsia" w:cstheme="minorEastAsia"/>
                <w:color w:val="auto"/>
                <w:kern w:val="0"/>
                <w:sz w:val="21"/>
                <w:szCs w:val="21"/>
                <w:highlight w:val="none"/>
                <w:lang w:bidi="ar"/>
              </w:rPr>
              <w:tab/>
            </w:r>
          </w:p>
          <w:p w14:paraId="67D395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3、口部翻边圆整，不得呈波浪形，斗管焊接牢固，不得有内壁缩小现象。</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B9541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F9B03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7D89B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11.83 </w:t>
            </w:r>
          </w:p>
        </w:tc>
      </w:tr>
      <w:tr w14:paraId="013C0F46">
        <w:tblPrEx>
          <w:tblCellMar>
            <w:top w:w="0" w:type="dxa"/>
            <w:left w:w="108" w:type="dxa"/>
            <w:bottom w:w="0" w:type="dxa"/>
            <w:right w:w="108" w:type="dxa"/>
          </w:tblCellMar>
        </w:tblPrEx>
        <w:trPr>
          <w:trHeight w:val="657" w:hRule="atLeast"/>
        </w:trPr>
        <w:tc>
          <w:tcPr>
            <w:tcW w:w="649" w:type="dxa"/>
            <w:tcBorders>
              <w:top w:val="single" w:color="auto" w:sz="4" w:space="0"/>
              <w:left w:val="single" w:color="auto" w:sz="4" w:space="0"/>
              <w:bottom w:val="single" w:color="auto" w:sz="4" w:space="0"/>
              <w:right w:val="single" w:color="auto" w:sz="4" w:space="0"/>
            </w:tcBorders>
            <w:vAlign w:val="center"/>
          </w:tcPr>
          <w:p w14:paraId="4C4CF7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0919F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分液漏斗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A8F14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76CBC6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2、规格：锥（梨）形，100mL。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BE3B3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6FD90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4B369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35.49 </w:t>
            </w:r>
          </w:p>
        </w:tc>
      </w:tr>
      <w:tr w14:paraId="4F1466EF">
        <w:tblPrEx>
          <w:tblCellMar>
            <w:top w:w="0" w:type="dxa"/>
            <w:left w:w="108" w:type="dxa"/>
            <w:bottom w:w="0" w:type="dxa"/>
            <w:right w:w="108" w:type="dxa"/>
          </w:tblCellMar>
        </w:tblPrEx>
        <w:trPr>
          <w:trHeight w:val="641" w:hRule="atLeast"/>
        </w:trPr>
        <w:tc>
          <w:tcPr>
            <w:tcW w:w="649" w:type="dxa"/>
            <w:tcBorders>
              <w:top w:val="single" w:color="auto" w:sz="4" w:space="0"/>
              <w:left w:val="single" w:color="auto" w:sz="4" w:space="0"/>
              <w:bottom w:val="single" w:color="auto" w:sz="4" w:space="0"/>
              <w:right w:val="single" w:color="auto" w:sz="4" w:space="0"/>
            </w:tcBorders>
            <w:vAlign w:val="center"/>
          </w:tcPr>
          <w:p w14:paraId="3F5FD0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A3BB1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分液漏斗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030A2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646975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2、规格：球形，50mL。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0C49E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8C5DF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66BF0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30.42 </w:t>
            </w:r>
          </w:p>
        </w:tc>
      </w:tr>
      <w:tr w14:paraId="02E12AB3">
        <w:tblPrEx>
          <w:tblCellMar>
            <w:top w:w="0" w:type="dxa"/>
            <w:left w:w="108" w:type="dxa"/>
            <w:bottom w:w="0" w:type="dxa"/>
            <w:right w:w="108" w:type="dxa"/>
          </w:tblCellMar>
        </w:tblPrEx>
        <w:trPr>
          <w:trHeight w:val="464" w:hRule="atLeast"/>
        </w:trPr>
        <w:tc>
          <w:tcPr>
            <w:tcW w:w="649" w:type="dxa"/>
            <w:tcBorders>
              <w:top w:val="single" w:color="auto" w:sz="4" w:space="0"/>
              <w:left w:val="single" w:color="auto" w:sz="4" w:space="0"/>
              <w:bottom w:val="single" w:color="auto" w:sz="4" w:space="0"/>
              <w:right w:val="single" w:color="auto" w:sz="4" w:space="0"/>
            </w:tcBorders>
            <w:vAlign w:val="center"/>
          </w:tcPr>
          <w:p w14:paraId="59006B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F0366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布氏漏斗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11FBD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瓷，80mm。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E1142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43939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0BB8B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21.97 </w:t>
            </w:r>
          </w:p>
        </w:tc>
      </w:tr>
      <w:tr w14:paraId="1568E568">
        <w:tblPrEx>
          <w:tblCellMar>
            <w:top w:w="0" w:type="dxa"/>
            <w:left w:w="108" w:type="dxa"/>
            <w:bottom w:w="0" w:type="dxa"/>
            <w:right w:w="108" w:type="dxa"/>
          </w:tblCellMar>
        </w:tblPrEx>
        <w:trPr>
          <w:trHeight w:val="391" w:hRule="atLeast"/>
        </w:trPr>
        <w:tc>
          <w:tcPr>
            <w:tcW w:w="649" w:type="dxa"/>
            <w:tcBorders>
              <w:top w:val="single" w:color="auto" w:sz="4" w:space="0"/>
              <w:left w:val="single" w:color="auto" w:sz="4" w:space="0"/>
              <w:bottom w:val="single" w:color="auto" w:sz="4" w:space="0"/>
              <w:right w:val="single" w:color="auto" w:sz="4" w:space="0"/>
            </w:tcBorders>
            <w:vAlign w:val="center"/>
          </w:tcPr>
          <w:p w14:paraId="3C7375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BA159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T形管（T形试管）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AC204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4E6816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2、规格：直径Φ7－8mm，直通管长度100mm，垂直管长度50mm；</w:t>
            </w:r>
          </w:p>
          <w:p w14:paraId="64A94A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3、灯工焊接牢固，口部平整熔光处理。</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FC3FF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561B6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5F054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2.03 </w:t>
            </w:r>
          </w:p>
        </w:tc>
      </w:tr>
      <w:tr w14:paraId="6AF567B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625DF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DE284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Y形管（Y形试管）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DA366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采用透明玻璃制造，全长100±5mm，支长50±5mm，直径7—8mm，壁厚1.5mm。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1CDFB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A07B0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D1D4C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2.03 </w:t>
            </w:r>
          </w:p>
        </w:tc>
      </w:tr>
      <w:tr w14:paraId="697CB45C">
        <w:tblPrEx>
          <w:tblCellMar>
            <w:top w:w="0" w:type="dxa"/>
            <w:left w:w="108" w:type="dxa"/>
            <w:bottom w:w="0" w:type="dxa"/>
            <w:right w:w="108" w:type="dxa"/>
          </w:tblCellMar>
        </w:tblPrEx>
        <w:trPr>
          <w:trHeight w:val="557" w:hRule="atLeast"/>
        </w:trPr>
        <w:tc>
          <w:tcPr>
            <w:tcW w:w="649" w:type="dxa"/>
            <w:tcBorders>
              <w:top w:val="single" w:color="auto" w:sz="4" w:space="0"/>
              <w:left w:val="single" w:color="auto" w:sz="4" w:space="0"/>
              <w:bottom w:val="single" w:color="auto" w:sz="4" w:space="0"/>
              <w:right w:val="single" w:color="auto" w:sz="4" w:space="0"/>
            </w:tcBorders>
            <w:vAlign w:val="center"/>
          </w:tcPr>
          <w:p w14:paraId="5C626D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F8552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离心管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701B5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10mL，内应力消除：在偏光仪下呈紫红色。</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A5C36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BE3BD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46E8E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1AFC1289">
        <w:tblPrEx>
          <w:tblCellMar>
            <w:top w:w="0" w:type="dxa"/>
            <w:left w:w="108" w:type="dxa"/>
            <w:bottom w:w="0" w:type="dxa"/>
            <w:right w:w="108" w:type="dxa"/>
          </w:tblCellMar>
        </w:tblPrEx>
        <w:trPr>
          <w:trHeight w:val="691" w:hRule="atLeast"/>
        </w:trPr>
        <w:tc>
          <w:tcPr>
            <w:tcW w:w="649" w:type="dxa"/>
            <w:tcBorders>
              <w:top w:val="single" w:color="auto" w:sz="4" w:space="0"/>
              <w:left w:val="single" w:color="auto" w:sz="4" w:space="0"/>
              <w:bottom w:val="single" w:color="auto" w:sz="4" w:space="0"/>
              <w:right w:val="single" w:color="auto" w:sz="4" w:space="0"/>
            </w:tcBorders>
            <w:vAlign w:val="center"/>
          </w:tcPr>
          <w:p w14:paraId="68CA29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11941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干燥管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F4A80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6E9209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2、规格：单球，150mm。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2E574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33238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8CCA3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5.41 </w:t>
            </w:r>
          </w:p>
        </w:tc>
      </w:tr>
      <w:tr w14:paraId="554A3160">
        <w:tblPrEx>
          <w:tblCellMar>
            <w:top w:w="0" w:type="dxa"/>
            <w:left w:w="108" w:type="dxa"/>
            <w:bottom w:w="0" w:type="dxa"/>
            <w:right w:w="108" w:type="dxa"/>
          </w:tblCellMar>
        </w:tblPrEx>
        <w:trPr>
          <w:trHeight w:val="324" w:hRule="atLeast"/>
        </w:trPr>
        <w:tc>
          <w:tcPr>
            <w:tcW w:w="649" w:type="dxa"/>
            <w:tcBorders>
              <w:top w:val="single" w:color="auto" w:sz="4" w:space="0"/>
              <w:left w:val="single" w:color="auto" w:sz="4" w:space="0"/>
              <w:bottom w:val="single" w:color="auto" w:sz="4" w:space="0"/>
              <w:right w:val="single" w:color="auto" w:sz="4" w:space="0"/>
            </w:tcBorders>
            <w:vAlign w:val="center"/>
          </w:tcPr>
          <w:p w14:paraId="234574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51597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干燥管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A44C0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1F58CB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2、规格：U形，Φ15mm×150mm；</w:t>
            </w:r>
            <w:r>
              <w:rPr>
                <w:rFonts w:hint="eastAsia" w:asciiTheme="minorEastAsia" w:hAnsiTheme="minorEastAsia" w:eastAsiaTheme="minorEastAsia" w:cstheme="minorEastAsia"/>
                <w:color w:val="auto"/>
                <w:kern w:val="0"/>
                <w:sz w:val="21"/>
                <w:szCs w:val="21"/>
                <w:highlight w:val="none"/>
                <w:lang w:bidi="ar"/>
              </w:rPr>
              <w:tab/>
            </w:r>
          </w:p>
          <w:p w14:paraId="03A413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3、U形管弯度圆正，不得过分扁瘪歪斜，两管呈水平，其高低差不大于5mm。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4E789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6994B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6AB70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13.52 </w:t>
            </w:r>
          </w:p>
        </w:tc>
      </w:tr>
      <w:tr w14:paraId="358677F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E26AD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003FD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干燥管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8E6A9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66BBA0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2、规格：U形，Φ20mm×200mm；</w:t>
            </w:r>
            <w:r>
              <w:rPr>
                <w:rFonts w:hint="eastAsia" w:asciiTheme="minorEastAsia" w:hAnsiTheme="minorEastAsia" w:eastAsiaTheme="minorEastAsia" w:cstheme="minorEastAsia"/>
                <w:color w:val="auto"/>
                <w:kern w:val="0"/>
                <w:sz w:val="21"/>
                <w:szCs w:val="21"/>
                <w:highlight w:val="none"/>
                <w:lang w:bidi="ar"/>
              </w:rPr>
              <w:tab/>
            </w:r>
          </w:p>
          <w:p w14:paraId="083A95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3、U形管弯度圆正，不得过分扁瘪歪斜，两管呈水平，其高低差不大于5mm。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DB25D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C2651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44A03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5.75 </w:t>
            </w:r>
          </w:p>
        </w:tc>
      </w:tr>
      <w:tr w14:paraId="35CAAEE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0150F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A14D6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干燥管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959E5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0DE629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2、规格：U形，具支，Φ15mm×150mm；</w:t>
            </w:r>
            <w:r>
              <w:rPr>
                <w:rFonts w:hint="eastAsia" w:asciiTheme="minorEastAsia" w:hAnsiTheme="minorEastAsia" w:eastAsiaTheme="minorEastAsia" w:cstheme="minorEastAsia"/>
                <w:color w:val="auto"/>
                <w:kern w:val="0"/>
                <w:sz w:val="21"/>
                <w:szCs w:val="21"/>
                <w:highlight w:val="none"/>
                <w:lang w:bidi="ar"/>
              </w:rPr>
              <w:tab/>
            </w:r>
          </w:p>
          <w:p w14:paraId="06BC95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3、U形管弯度圆正，不得过分扁瘪歪斜，两管呈水平，其高低差不大于5mm。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443D1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F0903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C40A6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1.01 </w:t>
            </w:r>
          </w:p>
        </w:tc>
      </w:tr>
      <w:tr w14:paraId="03F3BC04">
        <w:tblPrEx>
          <w:tblCellMar>
            <w:top w:w="0" w:type="dxa"/>
            <w:left w:w="108" w:type="dxa"/>
            <w:bottom w:w="0" w:type="dxa"/>
            <w:right w:w="108" w:type="dxa"/>
          </w:tblCellMar>
        </w:tblPrEx>
        <w:trPr>
          <w:trHeight w:val="454" w:hRule="atLeast"/>
        </w:trPr>
        <w:tc>
          <w:tcPr>
            <w:tcW w:w="649" w:type="dxa"/>
            <w:tcBorders>
              <w:top w:val="single" w:color="auto" w:sz="4" w:space="0"/>
              <w:left w:val="single" w:color="auto" w:sz="4" w:space="0"/>
              <w:bottom w:val="single" w:color="auto" w:sz="4" w:space="0"/>
              <w:right w:val="single" w:color="auto" w:sz="4" w:space="0"/>
            </w:tcBorders>
            <w:vAlign w:val="center"/>
          </w:tcPr>
          <w:p w14:paraId="5CE983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2E0FA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比色管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1C8F7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25mL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5C09B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E3BC6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0BB42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10.14 </w:t>
            </w:r>
          </w:p>
        </w:tc>
      </w:tr>
      <w:tr w14:paraId="7A3A0F5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956CB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5AE30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活塞</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BF711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13F4EB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2、规格：直形；</w:t>
            </w:r>
            <w:r>
              <w:rPr>
                <w:rFonts w:hint="eastAsia" w:asciiTheme="minorEastAsia" w:hAnsiTheme="minorEastAsia" w:eastAsiaTheme="minorEastAsia" w:cstheme="minorEastAsia"/>
                <w:color w:val="auto"/>
                <w:kern w:val="0"/>
                <w:sz w:val="21"/>
                <w:szCs w:val="21"/>
                <w:highlight w:val="none"/>
                <w:lang w:bidi="ar"/>
              </w:rPr>
              <w:tab/>
            </w:r>
          </w:p>
          <w:p w14:paraId="6B4DD5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3、灯工焊接牢固，焊接处玻管内径以不小于芯孔直径</w:t>
            </w:r>
            <w:r>
              <w:rPr>
                <w:rFonts w:hint="eastAsia" w:asciiTheme="minorEastAsia" w:hAnsiTheme="minorEastAsia" w:eastAsiaTheme="minorEastAsia" w:cstheme="minorEastAsia"/>
                <w:color w:val="auto"/>
                <w:kern w:val="0"/>
                <w:sz w:val="21"/>
                <w:szCs w:val="21"/>
                <w:highlight w:val="none"/>
                <w:lang w:bidi="ar"/>
              </w:rPr>
              <w:tab/>
            </w:r>
          </w:p>
          <w:p w14:paraId="2943E3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4、管口烘光不得有缺损块口；</w:t>
            </w:r>
            <w:r>
              <w:rPr>
                <w:rFonts w:hint="eastAsia" w:asciiTheme="minorEastAsia" w:hAnsiTheme="minorEastAsia" w:eastAsiaTheme="minorEastAsia" w:cstheme="minorEastAsia"/>
                <w:color w:val="auto"/>
                <w:kern w:val="0"/>
                <w:sz w:val="21"/>
                <w:szCs w:val="21"/>
                <w:highlight w:val="none"/>
                <w:lang w:bidi="ar"/>
              </w:rPr>
              <w:tab/>
            </w:r>
          </w:p>
          <w:p w14:paraId="7B6EDF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5、活塞芯孔径应与活塞壳孔对正，出现的偏差不得超过有效孔径的1/3为准；</w:t>
            </w:r>
            <w:r>
              <w:rPr>
                <w:rFonts w:hint="eastAsia" w:asciiTheme="minorEastAsia" w:hAnsiTheme="minorEastAsia" w:eastAsiaTheme="minorEastAsia" w:cstheme="minorEastAsia"/>
                <w:color w:val="auto"/>
                <w:kern w:val="0"/>
                <w:sz w:val="21"/>
                <w:szCs w:val="21"/>
                <w:highlight w:val="none"/>
                <w:lang w:bidi="ar"/>
              </w:rPr>
              <w:tab/>
            </w:r>
          </w:p>
          <w:p w14:paraId="62A68C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6、活塞芯手柄不得有割手合缝线，尾部磨平，不得有4mm以上的缺口；</w:t>
            </w:r>
            <w:r>
              <w:rPr>
                <w:rFonts w:hint="eastAsia" w:asciiTheme="minorEastAsia" w:hAnsiTheme="minorEastAsia" w:eastAsiaTheme="minorEastAsia" w:cstheme="minorEastAsia"/>
                <w:color w:val="auto"/>
                <w:kern w:val="0"/>
                <w:sz w:val="21"/>
                <w:szCs w:val="21"/>
                <w:highlight w:val="none"/>
                <w:lang w:bidi="ar"/>
              </w:rPr>
              <w:tab/>
            </w:r>
          </w:p>
          <w:p w14:paraId="43B07D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7、活塞芯与活塞壳磨合后，芯、肩应与壳肩齐平，其伸出或缩入最大偏差不得超过1mm为准；</w:t>
            </w:r>
            <w:r>
              <w:rPr>
                <w:rFonts w:hint="eastAsia" w:asciiTheme="minorEastAsia" w:hAnsiTheme="minorEastAsia" w:eastAsiaTheme="minorEastAsia" w:cstheme="minorEastAsia"/>
                <w:color w:val="auto"/>
                <w:kern w:val="0"/>
                <w:sz w:val="21"/>
                <w:szCs w:val="21"/>
                <w:highlight w:val="none"/>
                <w:lang w:bidi="ar"/>
              </w:rPr>
              <w:tab/>
            </w:r>
          </w:p>
          <w:p w14:paraId="49CDF3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8、产品应符合《玻璃仪器通用技术要求》。</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D30F1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32B29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76296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20.28 </w:t>
            </w:r>
          </w:p>
        </w:tc>
      </w:tr>
      <w:tr w14:paraId="1A5E865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0F8FF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ADD58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活塞</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1B0B7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36F6D1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2、规格：T形；</w:t>
            </w:r>
            <w:r>
              <w:rPr>
                <w:rFonts w:hint="eastAsia" w:asciiTheme="minorEastAsia" w:hAnsiTheme="minorEastAsia" w:eastAsiaTheme="minorEastAsia" w:cstheme="minorEastAsia"/>
                <w:color w:val="auto"/>
                <w:kern w:val="0"/>
                <w:sz w:val="21"/>
                <w:szCs w:val="21"/>
                <w:highlight w:val="none"/>
                <w:lang w:bidi="ar"/>
              </w:rPr>
              <w:tab/>
            </w:r>
          </w:p>
          <w:p w14:paraId="457457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3、灯工焊接牢固，焊接处玻管内径以不小于芯孔直径；</w:t>
            </w:r>
          </w:p>
          <w:p w14:paraId="457163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4、管口烘光不得有缺损块口；</w:t>
            </w:r>
            <w:r>
              <w:rPr>
                <w:rFonts w:hint="eastAsia" w:asciiTheme="minorEastAsia" w:hAnsiTheme="minorEastAsia" w:eastAsiaTheme="minorEastAsia" w:cstheme="minorEastAsia"/>
                <w:color w:val="auto"/>
                <w:kern w:val="0"/>
                <w:sz w:val="21"/>
                <w:szCs w:val="21"/>
                <w:highlight w:val="none"/>
                <w:lang w:bidi="ar"/>
              </w:rPr>
              <w:tab/>
            </w:r>
          </w:p>
          <w:p w14:paraId="430471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5、活塞芯孔径应与活塞壳孔对正，出现的偏差不得超过有效孔径的1/3为准；</w:t>
            </w:r>
            <w:r>
              <w:rPr>
                <w:rFonts w:hint="eastAsia" w:asciiTheme="minorEastAsia" w:hAnsiTheme="minorEastAsia" w:eastAsiaTheme="minorEastAsia" w:cstheme="minorEastAsia"/>
                <w:color w:val="auto"/>
                <w:kern w:val="0"/>
                <w:sz w:val="21"/>
                <w:szCs w:val="21"/>
                <w:highlight w:val="none"/>
                <w:lang w:bidi="ar"/>
              </w:rPr>
              <w:tab/>
            </w:r>
          </w:p>
          <w:p w14:paraId="212FF9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6、活塞芯手柄不得有割手合缝线，尾部磨平，不得有4mm以上的缺口；</w:t>
            </w:r>
            <w:r>
              <w:rPr>
                <w:rFonts w:hint="eastAsia" w:asciiTheme="minorEastAsia" w:hAnsiTheme="minorEastAsia" w:eastAsiaTheme="minorEastAsia" w:cstheme="minorEastAsia"/>
                <w:color w:val="auto"/>
                <w:kern w:val="0"/>
                <w:sz w:val="21"/>
                <w:szCs w:val="21"/>
                <w:highlight w:val="none"/>
                <w:lang w:bidi="ar"/>
              </w:rPr>
              <w:tab/>
            </w:r>
          </w:p>
          <w:p w14:paraId="6EB565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7、活塞芯与活塞壳磨合后，芯、肩应与壳肩齐平，其伸出或缩入最大偏差不得超过1mm为准。</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012BD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413985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2F3C5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30.42 </w:t>
            </w:r>
          </w:p>
        </w:tc>
      </w:tr>
      <w:tr w14:paraId="20F5CBD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3AD8F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D65BD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圆水槽</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9D5C4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11AF5F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2、规格：Φ200mm×100mm。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94B16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0A6AD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2CD03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43.94 </w:t>
            </w:r>
          </w:p>
        </w:tc>
      </w:tr>
      <w:tr w14:paraId="40A7134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E6DA2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0118E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圆水槽</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EF632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1.透明钠钙玻璃制；</w:t>
            </w:r>
            <w:r>
              <w:rPr>
                <w:rFonts w:hint="eastAsia" w:asciiTheme="minorEastAsia" w:hAnsiTheme="minorEastAsia" w:eastAsiaTheme="minorEastAsia" w:cstheme="minorEastAsia"/>
                <w:color w:val="auto"/>
                <w:sz w:val="21"/>
                <w:szCs w:val="21"/>
                <w:highlight w:val="none"/>
              </w:rPr>
              <w:tab/>
            </w:r>
          </w:p>
          <w:p w14:paraId="58CA2A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rPr>
              <w:t>2、圆形，Φ270mm×140mm。</w:t>
            </w:r>
            <w:r>
              <w:rPr>
                <w:rFonts w:hint="eastAsia" w:asciiTheme="minorEastAsia" w:hAnsiTheme="minorEastAsia" w:eastAsiaTheme="minorEastAsia" w:cstheme="minorEastAsia"/>
                <w:color w:val="auto"/>
                <w:sz w:val="21"/>
                <w:szCs w:val="21"/>
                <w:highlight w:val="none"/>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52700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C2E2C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F3CF5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67.60 </w:t>
            </w:r>
          </w:p>
        </w:tc>
      </w:tr>
      <w:tr w14:paraId="47E4EA3F">
        <w:tblPrEx>
          <w:tblCellMar>
            <w:top w:w="0" w:type="dxa"/>
            <w:left w:w="108" w:type="dxa"/>
            <w:bottom w:w="0" w:type="dxa"/>
            <w:right w:w="108" w:type="dxa"/>
          </w:tblCellMar>
        </w:tblPrEx>
        <w:trPr>
          <w:trHeight w:val="283" w:hRule="atLeast"/>
        </w:trPr>
        <w:tc>
          <w:tcPr>
            <w:tcW w:w="649" w:type="dxa"/>
            <w:tcBorders>
              <w:top w:val="single" w:color="auto" w:sz="4" w:space="0"/>
              <w:left w:val="single" w:color="auto" w:sz="4" w:space="0"/>
              <w:bottom w:val="single" w:color="auto" w:sz="4" w:space="0"/>
              <w:right w:val="single" w:color="auto" w:sz="4" w:space="0"/>
            </w:tcBorders>
            <w:vAlign w:val="center"/>
          </w:tcPr>
          <w:p w14:paraId="646196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7F50B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玻璃钟罩</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7A834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1.透明钠钙玻璃制；</w:t>
            </w:r>
            <w:r>
              <w:rPr>
                <w:rFonts w:hint="eastAsia" w:asciiTheme="minorEastAsia" w:hAnsiTheme="minorEastAsia" w:eastAsiaTheme="minorEastAsia" w:cstheme="minorEastAsia"/>
                <w:color w:val="auto"/>
                <w:kern w:val="0"/>
                <w:sz w:val="21"/>
                <w:szCs w:val="21"/>
                <w:highlight w:val="none"/>
                <w:lang w:bidi="ar"/>
              </w:rPr>
              <w:tab/>
            </w:r>
          </w:p>
          <w:p w14:paraId="28A4A1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2、Φ150mm×280mm，具上口。</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CE2B0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14911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E8E67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753.74 </w:t>
            </w:r>
          </w:p>
        </w:tc>
      </w:tr>
      <w:tr w14:paraId="24AAEE8F">
        <w:tblPrEx>
          <w:tblCellMar>
            <w:top w:w="0" w:type="dxa"/>
            <w:left w:w="108" w:type="dxa"/>
            <w:bottom w:w="0" w:type="dxa"/>
            <w:right w:w="108" w:type="dxa"/>
          </w:tblCellMar>
        </w:tblPrEx>
        <w:trPr>
          <w:trHeight w:val="525" w:hRule="atLeast"/>
        </w:trPr>
        <w:tc>
          <w:tcPr>
            <w:tcW w:w="649" w:type="dxa"/>
            <w:tcBorders>
              <w:top w:val="single" w:color="auto" w:sz="4" w:space="0"/>
              <w:left w:val="single" w:color="auto" w:sz="4" w:space="0"/>
              <w:bottom w:val="single" w:color="auto" w:sz="4" w:space="0"/>
              <w:right w:val="single" w:color="auto" w:sz="4" w:space="0"/>
            </w:tcBorders>
            <w:vAlign w:val="center"/>
          </w:tcPr>
          <w:p w14:paraId="4C86BC5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81D1A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钴玻璃片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DC4D4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焰色反应专用钴玻片</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17350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C9DBC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6692A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15.21 </w:t>
            </w:r>
          </w:p>
        </w:tc>
      </w:tr>
      <w:tr w14:paraId="4FB0C48E">
        <w:tblPrEx>
          <w:tblCellMar>
            <w:top w:w="0" w:type="dxa"/>
            <w:left w:w="108" w:type="dxa"/>
            <w:bottom w:w="0" w:type="dxa"/>
            <w:right w:w="108" w:type="dxa"/>
          </w:tblCellMar>
        </w:tblPrEx>
        <w:trPr>
          <w:trHeight w:val="608" w:hRule="atLeast"/>
        </w:trPr>
        <w:tc>
          <w:tcPr>
            <w:tcW w:w="649" w:type="dxa"/>
            <w:tcBorders>
              <w:top w:val="single" w:color="auto" w:sz="4" w:space="0"/>
              <w:left w:val="single" w:color="auto" w:sz="4" w:space="0"/>
              <w:bottom w:val="single" w:color="auto" w:sz="4" w:space="0"/>
              <w:right w:val="single" w:color="auto" w:sz="4" w:space="0"/>
            </w:tcBorders>
            <w:vAlign w:val="center"/>
          </w:tcPr>
          <w:p w14:paraId="6CF5E7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FA9B5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集气瓶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27174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591731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2、规格：125mL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046BC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B8499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26F4D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3.72 </w:t>
            </w:r>
          </w:p>
        </w:tc>
      </w:tr>
      <w:tr w14:paraId="283366C6">
        <w:tblPrEx>
          <w:tblCellMar>
            <w:top w:w="0" w:type="dxa"/>
            <w:left w:w="108" w:type="dxa"/>
            <w:bottom w:w="0" w:type="dxa"/>
            <w:right w:w="108" w:type="dxa"/>
          </w:tblCellMar>
        </w:tblPrEx>
        <w:trPr>
          <w:trHeight w:val="624" w:hRule="atLeast"/>
        </w:trPr>
        <w:tc>
          <w:tcPr>
            <w:tcW w:w="649" w:type="dxa"/>
            <w:tcBorders>
              <w:top w:val="single" w:color="auto" w:sz="4" w:space="0"/>
              <w:left w:val="single" w:color="auto" w:sz="4" w:space="0"/>
              <w:bottom w:val="single" w:color="auto" w:sz="4" w:space="0"/>
              <w:right w:val="single" w:color="auto" w:sz="4" w:space="0"/>
            </w:tcBorders>
            <w:vAlign w:val="center"/>
          </w:tcPr>
          <w:p w14:paraId="676E1C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360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37A3B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集气瓶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B0E82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727610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2、规格：250mL。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01A95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352FE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83087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4.73 </w:t>
            </w:r>
          </w:p>
        </w:tc>
      </w:tr>
      <w:tr w14:paraId="277AF93E">
        <w:tblPrEx>
          <w:tblCellMar>
            <w:top w:w="0" w:type="dxa"/>
            <w:left w:w="108" w:type="dxa"/>
            <w:bottom w:w="0" w:type="dxa"/>
            <w:right w:w="108" w:type="dxa"/>
          </w:tblCellMar>
        </w:tblPrEx>
        <w:trPr>
          <w:trHeight w:val="641" w:hRule="atLeast"/>
        </w:trPr>
        <w:tc>
          <w:tcPr>
            <w:tcW w:w="649" w:type="dxa"/>
            <w:tcBorders>
              <w:top w:val="single" w:color="auto" w:sz="4" w:space="0"/>
              <w:left w:val="single" w:color="auto" w:sz="4" w:space="0"/>
              <w:bottom w:val="single" w:color="auto" w:sz="4" w:space="0"/>
              <w:right w:val="single" w:color="auto" w:sz="4" w:space="0"/>
            </w:tcBorders>
            <w:vAlign w:val="center"/>
          </w:tcPr>
          <w:p w14:paraId="669E6B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361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FDDFC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集气瓶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1E5C3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7B13B0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2、规格：500mL。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B16CB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A6489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EBC37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8.45 </w:t>
            </w:r>
          </w:p>
        </w:tc>
      </w:tr>
      <w:tr w14:paraId="03BC62F8">
        <w:tblPrEx>
          <w:tblCellMar>
            <w:top w:w="0" w:type="dxa"/>
            <w:left w:w="108" w:type="dxa"/>
            <w:bottom w:w="0" w:type="dxa"/>
            <w:right w:w="108" w:type="dxa"/>
          </w:tblCellMar>
        </w:tblPrEx>
        <w:trPr>
          <w:trHeight w:val="658" w:hRule="atLeast"/>
        </w:trPr>
        <w:tc>
          <w:tcPr>
            <w:tcW w:w="649" w:type="dxa"/>
            <w:tcBorders>
              <w:top w:val="single" w:color="auto" w:sz="4" w:space="0"/>
              <w:left w:val="single" w:color="auto" w:sz="4" w:space="0"/>
              <w:bottom w:val="single" w:color="auto" w:sz="4" w:space="0"/>
              <w:right w:val="single" w:color="auto" w:sz="4" w:space="0"/>
            </w:tcBorders>
            <w:vAlign w:val="center"/>
          </w:tcPr>
          <w:p w14:paraId="70E5CD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362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F128F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液封除毒气集气瓶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2C230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078B6C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2、规格：250mL。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3570D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5C130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D366B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57.46 </w:t>
            </w:r>
          </w:p>
        </w:tc>
      </w:tr>
      <w:tr w14:paraId="151AD540">
        <w:tblPrEx>
          <w:tblCellMar>
            <w:top w:w="0" w:type="dxa"/>
            <w:left w:w="108" w:type="dxa"/>
            <w:bottom w:w="0" w:type="dxa"/>
            <w:right w:w="108" w:type="dxa"/>
          </w:tblCellMar>
        </w:tblPrEx>
        <w:trPr>
          <w:trHeight w:val="660" w:hRule="atLeast"/>
        </w:trPr>
        <w:tc>
          <w:tcPr>
            <w:tcW w:w="649" w:type="dxa"/>
            <w:tcBorders>
              <w:top w:val="single" w:color="auto" w:sz="4" w:space="0"/>
              <w:left w:val="single" w:color="auto" w:sz="4" w:space="0"/>
              <w:bottom w:val="single" w:color="auto" w:sz="4" w:space="0"/>
              <w:right w:val="single" w:color="auto" w:sz="4" w:space="0"/>
            </w:tcBorders>
            <w:vAlign w:val="center"/>
          </w:tcPr>
          <w:p w14:paraId="463B8E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363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D042E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广口瓶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BA76C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3766EF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2、规格：60mL。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E9173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36535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A5E8C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4.73 </w:t>
            </w:r>
          </w:p>
        </w:tc>
      </w:tr>
      <w:tr w14:paraId="65C455A7">
        <w:tblPrEx>
          <w:tblCellMar>
            <w:top w:w="0" w:type="dxa"/>
            <w:left w:w="108" w:type="dxa"/>
            <w:bottom w:w="0" w:type="dxa"/>
            <w:right w:w="108" w:type="dxa"/>
          </w:tblCellMar>
        </w:tblPrEx>
        <w:trPr>
          <w:trHeight w:val="641" w:hRule="atLeast"/>
        </w:trPr>
        <w:tc>
          <w:tcPr>
            <w:tcW w:w="649" w:type="dxa"/>
            <w:tcBorders>
              <w:top w:val="single" w:color="auto" w:sz="4" w:space="0"/>
              <w:left w:val="single" w:color="auto" w:sz="4" w:space="0"/>
              <w:bottom w:val="single" w:color="auto" w:sz="4" w:space="0"/>
              <w:right w:val="single" w:color="auto" w:sz="4" w:space="0"/>
            </w:tcBorders>
            <w:vAlign w:val="center"/>
          </w:tcPr>
          <w:p w14:paraId="21E193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364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4A07E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广口瓶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F6DD8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0CE05C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2、规格：125mL。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431EA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F0DE5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371D6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5.24 </w:t>
            </w:r>
          </w:p>
        </w:tc>
      </w:tr>
      <w:tr w14:paraId="6B4BA5D8">
        <w:tblPrEx>
          <w:tblCellMar>
            <w:top w:w="0" w:type="dxa"/>
            <w:left w:w="108" w:type="dxa"/>
            <w:bottom w:w="0" w:type="dxa"/>
            <w:right w:w="108" w:type="dxa"/>
          </w:tblCellMar>
        </w:tblPrEx>
        <w:trPr>
          <w:trHeight w:val="641" w:hRule="atLeast"/>
        </w:trPr>
        <w:tc>
          <w:tcPr>
            <w:tcW w:w="649" w:type="dxa"/>
            <w:tcBorders>
              <w:top w:val="single" w:color="auto" w:sz="4" w:space="0"/>
              <w:left w:val="single" w:color="auto" w:sz="4" w:space="0"/>
              <w:bottom w:val="single" w:color="auto" w:sz="4" w:space="0"/>
              <w:right w:val="single" w:color="auto" w:sz="4" w:space="0"/>
            </w:tcBorders>
            <w:vAlign w:val="center"/>
          </w:tcPr>
          <w:p w14:paraId="40CD6B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365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94D2A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广口瓶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AB5AA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5CA1C7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2、规格：250mL。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A2D08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6C18C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44D1B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7.77 </w:t>
            </w:r>
          </w:p>
        </w:tc>
      </w:tr>
      <w:tr w14:paraId="007342B0">
        <w:tblPrEx>
          <w:tblCellMar>
            <w:top w:w="0" w:type="dxa"/>
            <w:left w:w="108" w:type="dxa"/>
            <w:bottom w:w="0" w:type="dxa"/>
            <w:right w:w="108" w:type="dxa"/>
          </w:tblCellMar>
        </w:tblPrEx>
        <w:trPr>
          <w:trHeight w:val="453" w:hRule="atLeast"/>
        </w:trPr>
        <w:tc>
          <w:tcPr>
            <w:tcW w:w="649" w:type="dxa"/>
            <w:tcBorders>
              <w:top w:val="single" w:color="auto" w:sz="4" w:space="0"/>
              <w:left w:val="single" w:color="auto" w:sz="4" w:space="0"/>
              <w:bottom w:val="single" w:color="auto" w:sz="4" w:space="0"/>
              <w:right w:val="single" w:color="auto" w:sz="4" w:space="0"/>
            </w:tcBorders>
            <w:vAlign w:val="center"/>
          </w:tcPr>
          <w:p w14:paraId="7A7DF8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366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2304C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广口瓶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6CE64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27A879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2、规格：500mL。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3255C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BADC1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B01E5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10.82 </w:t>
            </w:r>
          </w:p>
        </w:tc>
      </w:tr>
      <w:tr w14:paraId="72FF8892">
        <w:tblPrEx>
          <w:tblCellMar>
            <w:top w:w="0" w:type="dxa"/>
            <w:left w:w="108" w:type="dxa"/>
            <w:bottom w:w="0" w:type="dxa"/>
            <w:right w:w="108" w:type="dxa"/>
          </w:tblCellMar>
        </w:tblPrEx>
        <w:trPr>
          <w:trHeight w:val="641" w:hRule="atLeast"/>
        </w:trPr>
        <w:tc>
          <w:tcPr>
            <w:tcW w:w="649" w:type="dxa"/>
            <w:tcBorders>
              <w:top w:val="single" w:color="auto" w:sz="4" w:space="0"/>
              <w:left w:val="single" w:color="auto" w:sz="4" w:space="0"/>
              <w:bottom w:val="single" w:color="auto" w:sz="4" w:space="0"/>
              <w:right w:val="single" w:color="auto" w:sz="4" w:space="0"/>
            </w:tcBorders>
            <w:vAlign w:val="center"/>
          </w:tcPr>
          <w:p w14:paraId="07FB60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367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495DF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广口瓶（茶色广口瓶）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E8173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710480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2、规格：棕色，60mL。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8A40D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127EC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1D014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7.44 </w:t>
            </w:r>
          </w:p>
        </w:tc>
      </w:tr>
      <w:tr w14:paraId="7ECF142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4EE36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368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096BD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广口瓶（茶色广口瓶）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EA78E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7A76D9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2、规格：棕色，125mL。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34218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F6217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20FB1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8.45 </w:t>
            </w:r>
          </w:p>
        </w:tc>
      </w:tr>
      <w:tr w14:paraId="5597FD32">
        <w:tblPrEx>
          <w:tblCellMar>
            <w:top w:w="0" w:type="dxa"/>
            <w:left w:w="108" w:type="dxa"/>
            <w:bottom w:w="0" w:type="dxa"/>
            <w:right w:w="108" w:type="dxa"/>
          </w:tblCellMar>
        </w:tblPrEx>
        <w:trPr>
          <w:trHeight w:val="691" w:hRule="atLeast"/>
        </w:trPr>
        <w:tc>
          <w:tcPr>
            <w:tcW w:w="649" w:type="dxa"/>
            <w:tcBorders>
              <w:top w:val="single" w:color="auto" w:sz="4" w:space="0"/>
              <w:left w:val="single" w:color="auto" w:sz="4" w:space="0"/>
              <w:bottom w:val="single" w:color="auto" w:sz="4" w:space="0"/>
              <w:right w:val="single" w:color="auto" w:sz="4" w:space="0"/>
            </w:tcBorders>
            <w:vAlign w:val="center"/>
          </w:tcPr>
          <w:p w14:paraId="693279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369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B830D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广口瓶（茶色广口瓶）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87F2F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30D45D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2、规格：棕色，250mL。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CF52A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98D83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CDF8D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11.83 </w:t>
            </w:r>
          </w:p>
        </w:tc>
      </w:tr>
      <w:tr w14:paraId="013D37C2">
        <w:tblPrEx>
          <w:tblCellMar>
            <w:top w:w="0" w:type="dxa"/>
            <w:left w:w="108" w:type="dxa"/>
            <w:bottom w:w="0" w:type="dxa"/>
            <w:right w:w="108" w:type="dxa"/>
          </w:tblCellMar>
        </w:tblPrEx>
        <w:trPr>
          <w:trHeight w:val="591" w:hRule="atLeast"/>
        </w:trPr>
        <w:tc>
          <w:tcPr>
            <w:tcW w:w="649" w:type="dxa"/>
            <w:tcBorders>
              <w:top w:val="single" w:color="auto" w:sz="4" w:space="0"/>
              <w:left w:val="single" w:color="auto" w:sz="4" w:space="0"/>
              <w:bottom w:val="single" w:color="auto" w:sz="4" w:space="0"/>
              <w:right w:val="single" w:color="auto" w:sz="4" w:space="0"/>
            </w:tcBorders>
            <w:vAlign w:val="center"/>
          </w:tcPr>
          <w:p w14:paraId="6DB3F3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9572E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6A9BA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448CA6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2、规格：60mL。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12235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A4245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4F508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4.56 </w:t>
            </w:r>
          </w:p>
        </w:tc>
      </w:tr>
      <w:tr w14:paraId="3C13939E">
        <w:tblPrEx>
          <w:tblCellMar>
            <w:top w:w="0" w:type="dxa"/>
            <w:left w:w="108" w:type="dxa"/>
            <w:bottom w:w="0" w:type="dxa"/>
            <w:right w:w="108" w:type="dxa"/>
          </w:tblCellMar>
        </w:tblPrEx>
        <w:trPr>
          <w:trHeight w:val="608" w:hRule="atLeast"/>
        </w:trPr>
        <w:tc>
          <w:tcPr>
            <w:tcW w:w="649" w:type="dxa"/>
            <w:tcBorders>
              <w:top w:val="single" w:color="auto" w:sz="4" w:space="0"/>
              <w:left w:val="single" w:color="auto" w:sz="4" w:space="0"/>
              <w:bottom w:val="single" w:color="auto" w:sz="4" w:space="0"/>
              <w:right w:val="single" w:color="auto" w:sz="4" w:space="0"/>
            </w:tcBorders>
            <w:vAlign w:val="center"/>
          </w:tcPr>
          <w:p w14:paraId="01BC93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B24C3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34673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5B4F9D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2、规格：125mL。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A78C9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ED949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CED8F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rPr>
              <w:t xml:space="preserve">5.07 </w:t>
            </w:r>
          </w:p>
        </w:tc>
      </w:tr>
      <w:tr w14:paraId="14B5A2C5">
        <w:tblPrEx>
          <w:tblCellMar>
            <w:top w:w="0" w:type="dxa"/>
            <w:left w:w="108" w:type="dxa"/>
            <w:bottom w:w="0" w:type="dxa"/>
            <w:right w:w="108" w:type="dxa"/>
          </w:tblCellMar>
        </w:tblPrEx>
        <w:trPr>
          <w:trHeight w:val="641" w:hRule="atLeast"/>
        </w:trPr>
        <w:tc>
          <w:tcPr>
            <w:tcW w:w="649" w:type="dxa"/>
            <w:tcBorders>
              <w:top w:val="single" w:color="auto" w:sz="4" w:space="0"/>
              <w:left w:val="single" w:color="auto" w:sz="4" w:space="0"/>
              <w:bottom w:val="single" w:color="auto" w:sz="4" w:space="0"/>
              <w:right w:val="single" w:color="auto" w:sz="4" w:space="0"/>
            </w:tcBorders>
            <w:vAlign w:val="center"/>
          </w:tcPr>
          <w:p w14:paraId="3A05CE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3DF25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0803B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3B1E1B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2、规格：250mL。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03D0A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3CC5E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17B22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7.10 </w:t>
            </w:r>
          </w:p>
        </w:tc>
      </w:tr>
      <w:tr w14:paraId="2B7AB6DD">
        <w:tblPrEx>
          <w:tblCellMar>
            <w:top w:w="0" w:type="dxa"/>
            <w:left w:w="108" w:type="dxa"/>
            <w:bottom w:w="0" w:type="dxa"/>
            <w:right w:w="108" w:type="dxa"/>
          </w:tblCellMar>
        </w:tblPrEx>
        <w:trPr>
          <w:trHeight w:val="674" w:hRule="atLeast"/>
        </w:trPr>
        <w:tc>
          <w:tcPr>
            <w:tcW w:w="649" w:type="dxa"/>
            <w:tcBorders>
              <w:top w:val="single" w:color="auto" w:sz="4" w:space="0"/>
              <w:left w:val="single" w:color="auto" w:sz="4" w:space="0"/>
              <w:bottom w:val="single" w:color="auto" w:sz="4" w:space="0"/>
              <w:right w:val="single" w:color="auto" w:sz="4" w:space="0"/>
            </w:tcBorders>
            <w:vAlign w:val="center"/>
          </w:tcPr>
          <w:p w14:paraId="22B90D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8BB59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6D7EC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241388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2、规格：500mL。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34412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BD8A2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0F5F9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9.46 </w:t>
            </w:r>
          </w:p>
        </w:tc>
      </w:tr>
      <w:tr w14:paraId="215CFE99">
        <w:tblPrEx>
          <w:tblCellMar>
            <w:top w:w="0" w:type="dxa"/>
            <w:left w:w="108" w:type="dxa"/>
            <w:bottom w:w="0" w:type="dxa"/>
            <w:right w:w="108" w:type="dxa"/>
          </w:tblCellMar>
        </w:tblPrEx>
        <w:trPr>
          <w:trHeight w:val="674" w:hRule="atLeast"/>
        </w:trPr>
        <w:tc>
          <w:tcPr>
            <w:tcW w:w="649" w:type="dxa"/>
            <w:tcBorders>
              <w:top w:val="single" w:color="auto" w:sz="4" w:space="0"/>
              <w:left w:val="single" w:color="auto" w:sz="4" w:space="0"/>
              <w:bottom w:val="single" w:color="auto" w:sz="4" w:space="0"/>
              <w:right w:val="single" w:color="auto" w:sz="4" w:space="0"/>
            </w:tcBorders>
            <w:vAlign w:val="center"/>
          </w:tcPr>
          <w:p w14:paraId="422BC0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8F442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89221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264227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2、规格：1000mL。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1003A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95958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B2483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15.21 </w:t>
            </w:r>
          </w:p>
        </w:tc>
      </w:tr>
      <w:tr w14:paraId="1235519E">
        <w:tblPrEx>
          <w:tblCellMar>
            <w:top w:w="0" w:type="dxa"/>
            <w:left w:w="108" w:type="dxa"/>
            <w:bottom w:w="0" w:type="dxa"/>
            <w:right w:w="108" w:type="dxa"/>
          </w:tblCellMar>
        </w:tblPrEx>
        <w:trPr>
          <w:trHeight w:val="574" w:hRule="atLeast"/>
        </w:trPr>
        <w:tc>
          <w:tcPr>
            <w:tcW w:w="649" w:type="dxa"/>
            <w:tcBorders>
              <w:top w:val="single" w:color="auto" w:sz="4" w:space="0"/>
              <w:left w:val="single" w:color="auto" w:sz="4" w:space="0"/>
              <w:bottom w:val="single" w:color="auto" w:sz="4" w:space="0"/>
              <w:right w:val="single" w:color="auto" w:sz="4" w:space="0"/>
            </w:tcBorders>
            <w:vAlign w:val="center"/>
          </w:tcPr>
          <w:p w14:paraId="7A40B5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21C19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CB074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687874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2、规格：3000mL。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D8F01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8D9A9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E5E41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50.70 </w:t>
            </w:r>
          </w:p>
        </w:tc>
      </w:tr>
      <w:tr w14:paraId="3E27356A">
        <w:tblPrEx>
          <w:tblCellMar>
            <w:top w:w="0" w:type="dxa"/>
            <w:left w:w="108" w:type="dxa"/>
            <w:bottom w:w="0" w:type="dxa"/>
            <w:right w:w="108" w:type="dxa"/>
          </w:tblCellMar>
        </w:tblPrEx>
        <w:trPr>
          <w:trHeight w:val="323" w:hRule="atLeast"/>
        </w:trPr>
        <w:tc>
          <w:tcPr>
            <w:tcW w:w="649" w:type="dxa"/>
            <w:tcBorders>
              <w:top w:val="single" w:color="auto" w:sz="4" w:space="0"/>
              <w:left w:val="single" w:color="auto" w:sz="4" w:space="0"/>
              <w:bottom w:val="single" w:color="auto" w:sz="4" w:space="0"/>
              <w:right w:val="single" w:color="auto" w:sz="4" w:space="0"/>
            </w:tcBorders>
            <w:vAlign w:val="center"/>
          </w:tcPr>
          <w:p w14:paraId="2AF0B5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9BA4F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细口瓶（茶色细口瓶）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4319A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693C84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2、规格：棕色，60mL。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02B7D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2E1DB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79851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7.44 </w:t>
            </w:r>
          </w:p>
        </w:tc>
      </w:tr>
      <w:tr w14:paraId="6E92317E">
        <w:tblPrEx>
          <w:tblCellMar>
            <w:top w:w="0" w:type="dxa"/>
            <w:left w:w="108" w:type="dxa"/>
            <w:bottom w:w="0" w:type="dxa"/>
            <w:right w:w="108" w:type="dxa"/>
          </w:tblCellMar>
        </w:tblPrEx>
        <w:trPr>
          <w:trHeight w:val="515" w:hRule="atLeast"/>
        </w:trPr>
        <w:tc>
          <w:tcPr>
            <w:tcW w:w="649" w:type="dxa"/>
            <w:tcBorders>
              <w:top w:val="single" w:color="auto" w:sz="4" w:space="0"/>
              <w:left w:val="single" w:color="auto" w:sz="4" w:space="0"/>
              <w:bottom w:val="single" w:color="auto" w:sz="4" w:space="0"/>
              <w:right w:val="single" w:color="auto" w:sz="4" w:space="0"/>
            </w:tcBorders>
            <w:vAlign w:val="center"/>
          </w:tcPr>
          <w:p w14:paraId="2F6A27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8B70B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细口瓶（茶色细口瓶）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5408F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78F8C3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2、规格：棕色，125mL。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F72CE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63938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8DAB9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8.45 </w:t>
            </w:r>
          </w:p>
        </w:tc>
      </w:tr>
      <w:tr w14:paraId="7AA67F99">
        <w:tblPrEx>
          <w:tblCellMar>
            <w:top w:w="0" w:type="dxa"/>
            <w:left w:w="108" w:type="dxa"/>
            <w:bottom w:w="0" w:type="dxa"/>
            <w:right w:w="108" w:type="dxa"/>
          </w:tblCellMar>
        </w:tblPrEx>
        <w:trPr>
          <w:trHeight w:val="595" w:hRule="atLeast"/>
        </w:trPr>
        <w:tc>
          <w:tcPr>
            <w:tcW w:w="649" w:type="dxa"/>
            <w:tcBorders>
              <w:top w:val="single" w:color="auto" w:sz="4" w:space="0"/>
              <w:left w:val="single" w:color="auto" w:sz="4" w:space="0"/>
              <w:bottom w:val="single" w:color="auto" w:sz="4" w:space="0"/>
              <w:right w:val="single" w:color="auto" w:sz="4" w:space="0"/>
            </w:tcBorders>
            <w:vAlign w:val="center"/>
          </w:tcPr>
          <w:p w14:paraId="368165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A7ED9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细口瓶（茶色细口瓶）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27BCF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324756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2、规格：棕色，250mL。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DE664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A01DEA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E8B1F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10.82 </w:t>
            </w:r>
          </w:p>
        </w:tc>
      </w:tr>
      <w:tr w14:paraId="2AD576BC">
        <w:tblPrEx>
          <w:tblCellMar>
            <w:top w:w="0" w:type="dxa"/>
            <w:left w:w="108" w:type="dxa"/>
            <w:bottom w:w="0" w:type="dxa"/>
            <w:right w:w="108" w:type="dxa"/>
          </w:tblCellMar>
        </w:tblPrEx>
        <w:trPr>
          <w:trHeight w:val="561" w:hRule="atLeast"/>
        </w:trPr>
        <w:tc>
          <w:tcPr>
            <w:tcW w:w="649" w:type="dxa"/>
            <w:tcBorders>
              <w:top w:val="single" w:color="auto" w:sz="4" w:space="0"/>
              <w:left w:val="single" w:color="auto" w:sz="4" w:space="0"/>
              <w:bottom w:val="single" w:color="auto" w:sz="4" w:space="0"/>
              <w:right w:val="single" w:color="auto" w:sz="4" w:space="0"/>
            </w:tcBorders>
            <w:vAlign w:val="center"/>
          </w:tcPr>
          <w:p w14:paraId="793D22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0C492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细口瓶（茶色细口瓶）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C6D15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74708E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2、规格：棕色，500mL。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171E3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761E7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6DB94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11.83 </w:t>
            </w:r>
          </w:p>
        </w:tc>
      </w:tr>
      <w:tr w14:paraId="772DDBA6">
        <w:tblPrEx>
          <w:tblCellMar>
            <w:top w:w="0" w:type="dxa"/>
            <w:left w:w="108" w:type="dxa"/>
            <w:bottom w:w="0" w:type="dxa"/>
            <w:right w:w="108" w:type="dxa"/>
          </w:tblCellMar>
        </w:tblPrEx>
        <w:trPr>
          <w:trHeight w:val="549" w:hRule="atLeast"/>
        </w:trPr>
        <w:tc>
          <w:tcPr>
            <w:tcW w:w="649" w:type="dxa"/>
            <w:tcBorders>
              <w:top w:val="single" w:color="auto" w:sz="4" w:space="0"/>
              <w:left w:val="single" w:color="auto" w:sz="4" w:space="0"/>
              <w:bottom w:val="single" w:color="auto" w:sz="4" w:space="0"/>
              <w:right w:val="single" w:color="auto" w:sz="4" w:space="0"/>
            </w:tcBorders>
            <w:vAlign w:val="center"/>
          </w:tcPr>
          <w:p w14:paraId="538EE0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4CC41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细口瓶（茶色细口瓶）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BF644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3B3B2D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2、规格：棕色，1000mL。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80038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A6153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A1166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15.21 </w:t>
            </w:r>
          </w:p>
        </w:tc>
      </w:tr>
      <w:tr w14:paraId="0EAD3047">
        <w:tblPrEx>
          <w:tblCellMar>
            <w:top w:w="0" w:type="dxa"/>
            <w:left w:w="108" w:type="dxa"/>
            <w:bottom w:w="0" w:type="dxa"/>
            <w:right w:w="108" w:type="dxa"/>
          </w:tblCellMar>
        </w:tblPrEx>
        <w:trPr>
          <w:trHeight w:val="708" w:hRule="atLeast"/>
        </w:trPr>
        <w:tc>
          <w:tcPr>
            <w:tcW w:w="649" w:type="dxa"/>
            <w:tcBorders>
              <w:top w:val="single" w:color="auto" w:sz="4" w:space="0"/>
              <w:left w:val="single" w:color="auto" w:sz="4" w:space="0"/>
              <w:bottom w:val="single" w:color="auto" w:sz="4" w:space="0"/>
              <w:right w:val="single" w:color="auto" w:sz="4" w:space="0"/>
            </w:tcBorders>
            <w:vAlign w:val="center"/>
          </w:tcPr>
          <w:p w14:paraId="635EB5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896B4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细口瓶（茶色细口瓶）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04A88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612E74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2、规格：棕色，3000mL。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D9EC7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D917B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C2687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50.70 </w:t>
            </w:r>
          </w:p>
        </w:tc>
      </w:tr>
      <w:tr w14:paraId="731A3A2E">
        <w:tblPrEx>
          <w:tblCellMar>
            <w:top w:w="0" w:type="dxa"/>
            <w:left w:w="108" w:type="dxa"/>
            <w:bottom w:w="0" w:type="dxa"/>
            <w:right w:w="108" w:type="dxa"/>
          </w:tblCellMar>
        </w:tblPrEx>
        <w:trPr>
          <w:trHeight w:val="431" w:hRule="atLeast"/>
        </w:trPr>
        <w:tc>
          <w:tcPr>
            <w:tcW w:w="649" w:type="dxa"/>
            <w:tcBorders>
              <w:top w:val="single" w:color="auto" w:sz="4" w:space="0"/>
              <w:left w:val="single" w:color="auto" w:sz="4" w:space="0"/>
              <w:bottom w:val="single" w:color="auto" w:sz="4" w:space="0"/>
              <w:right w:val="single" w:color="auto" w:sz="4" w:space="0"/>
            </w:tcBorders>
            <w:vAlign w:val="center"/>
          </w:tcPr>
          <w:p w14:paraId="1B34CC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83A49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下口瓶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3235E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5000mL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63785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47F2B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B731C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152.10 </w:t>
            </w:r>
          </w:p>
        </w:tc>
      </w:tr>
      <w:tr w14:paraId="4EB6A024">
        <w:tblPrEx>
          <w:tblCellMar>
            <w:top w:w="0" w:type="dxa"/>
            <w:left w:w="108" w:type="dxa"/>
            <w:bottom w:w="0" w:type="dxa"/>
            <w:right w:w="108" w:type="dxa"/>
          </w:tblCellMar>
        </w:tblPrEx>
        <w:trPr>
          <w:trHeight w:val="675" w:hRule="atLeast"/>
        </w:trPr>
        <w:tc>
          <w:tcPr>
            <w:tcW w:w="649" w:type="dxa"/>
            <w:tcBorders>
              <w:top w:val="single" w:color="auto" w:sz="4" w:space="0"/>
              <w:left w:val="single" w:color="auto" w:sz="4" w:space="0"/>
              <w:bottom w:val="single" w:color="auto" w:sz="4" w:space="0"/>
              <w:right w:val="single" w:color="auto" w:sz="4" w:space="0"/>
            </w:tcBorders>
            <w:vAlign w:val="center"/>
          </w:tcPr>
          <w:p w14:paraId="669E71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6F7A3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72548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784B17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2、规格：30mL。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A9EBE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7EC1B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C680B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4.73 </w:t>
            </w:r>
          </w:p>
        </w:tc>
      </w:tr>
      <w:tr w14:paraId="21F19743">
        <w:tblPrEx>
          <w:tblCellMar>
            <w:top w:w="0" w:type="dxa"/>
            <w:left w:w="108" w:type="dxa"/>
            <w:bottom w:w="0" w:type="dxa"/>
            <w:right w:w="108" w:type="dxa"/>
          </w:tblCellMar>
        </w:tblPrEx>
        <w:trPr>
          <w:trHeight w:val="591" w:hRule="atLeast"/>
        </w:trPr>
        <w:tc>
          <w:tcPr>
            <w:tcW w:w="649" w:type="dxa"/>
            <w:tcBorders>
              <w:top w:val="single" w:color="auto" w:sz="4" w:space="0"/>
              <w:left w:val="single" w:color="auto" w:sz="4" w:space="0"/>
              <w:bottom w:val="single" w:color="auto" w:sz="4" w:space="0"/>
              <w:right w:val="single" w:color="auto" w:sz="4" w:space="0"/>
            </w:tcBorders>
            <w:vAlign w:val="center"/>
          </w:tcPr>
          <w:p w14:paraId="7572E0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7D567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05807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290DC6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2、规格：60mL；</w:t>
            </w:r>
            <w:r>
              <w:rPr>
                <w:rFonts w:hint="eastAsia" w:asciiTheme="minorEastAsia" w:hAnsiTheme="minorEastAsia" w:eastAsiaTheme="minorEastAsia" w:cstheme="minorEastAsia"/>
                <w:color w:val="auto"/>
                <w:kern w:val="0"/>
                <w:sz w:val="21"/>
                <w:szCs w:val="21"/>
                <w:highlight w:val="none"/>
                <w:lang w:bidi="ar"/>
              </w:rPr>
              <w:tab/>
            </w:r>
          </w:p>
          <w:p w14:paraId="28E166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3、瓶塞上口应配合橡皮头下管正直。</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4FE8B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8DAC4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DDAEC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5.07 </w:t>
            </w:r>
          </w:p>
        </w:tc>
      </w:tr>
      <w:tr w14:paraId="466C97EC">
        <w:tblPrEx>
          <w:tblCellMar>
            <w:top w:w="0" w:type="dxa"/>
            <w:left w:w="108" w:type="dxa"/>
            <w:bottom w:w="0" w:type="dxa"/>
            <w:right w:w="108" w:type="dxa"/>
          </w:tblCellMar>
        </w:tblPrEx>
        <w:trPr>
          <w:trHeight w:val="591" w:hRule="atLeast"/>
        </w:trPr>
        <w:tc>
          <w:tcPr>
            <w:tcW w:w="649" w:type="dxa"/>
            <w:tcBorders>
              <w:top w:val="single" w:color="auto" w:sz="4" w:space="0"/>
              <w:left w:val="single" w:color="auto" w:sz="4" w:space="0"/>
              <w:bottom w:val="single" w:color="auto" w:sz="4" w:space="0"/>
              <w:right w:val="single" w:color="auto" w:sz="4" w:space="0"/>
            </w:tcBorders>
            <w:vAlign w:val="center"/>
          </w:tcPr>
          <w:p w14:paraId="2B1F9A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EBA3B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滴瓶（茶色滴瓶）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B0A81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1FD84F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2、规格：茶色，30mL；</w:t>
            </w:r>
            <w:r>
              <w:rPr>
                <w:rFonts w:hint="eastAsia" w:asciiTheme="minorEastAsia" w:hAnsiTheme="minorEastAsia" w:eastAsiaTheme="minorEastAsia" w:cstheme="minorEastAsia"/>
                <w:color w:val="auto"/>
                <w:kern w:val="0"/>
                <w:sz w:val="21"/>
                <w:szCs w:val="21"/>
                <w:highlight w:val="none"/>
                <w:lang w:bidi="ar"/>
              </w:rPr>
              <w:tab/>
            </w:r>
          </w:p>
          <w:p w14:paraId="3D31FF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3、瓶塞上口应配合橡皮头下管正直。</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14475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108FF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7DE2C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4.73 </w:t>
            </w:r>
          </w:p>
        </w:tc>
      </w:tr>
      <w:tr w14:paraId="4A5EB68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BC476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81E60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滴瓶（茶色滴瓶）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30EEB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6F5079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2、规格：茶色，60mL。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9CA53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4EB93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EE990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5.07 </w:t>
            </w:r>
          </w:p>
        </w:tc>
      </w:tr>
      <w:tr w14:paraId="520FF33A">
        <w:tblPrEx>
          <w:tblCellMar>
            <w:top w:w="0" w:type="dxa"/>
            <w:left w:w="108" w:type="dxa"/>
            <w:bottom w:w="0" w:type="dxa"/>
            <w:right w:w="108" w:type="dxa"/>
          </w:tblCellMar>
        </w:tblPrEx>
        <w:trPr>
          <w:trHeight w:val="491" w:hRule="atLeast"/>
        </w:trPr>
        <w:tc>
          <w:tcPr>
            <w:tcW w:w="649" w:type="dxa"/>
            <w:tcBorders>
              <w:top w:val="single" w:color="auto" w:sz="4" w:space="0"/>
              <w:left w:val="single" w:color="auto" w:sz="4" w:space="0"/>
              <w:bottom w:val="single" w:color="auto" w:sz="4" w:space="0"/>
              <w:right w:val="single" w:color="auto" w:sz="4" w:space="0"/>
            </w:tcBorders>
            <w:vAlign w:val="center"/>
          </w:tcPr>
          <w:p w14:paraId="627A3A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356F6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称量瓶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796F8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φ25mm×40mm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55D1E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8CBB6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57CBD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16.90 </w:t>
            </w:r>
          </w:p>
        </w:tc>
      </w:tr>
      <w:tr w14:paraId="019681BC">
        <w:tblPrEx>
          <w:tblCellMar>
            <w:top w:w="0" w:type="dxa"/>
            <w:left w:w="108" w:type="dxa"/>
            <w:bottom w:w="0" w:type="dxa"/>
            <w:right w:w="108" w:type="dxa"/>
          </w:tblCellMar>
        </w:tblPrEx>
        <w:trPr>
          <w:trHeight w:val="474" w:hRule="atLeast"/>
        </w:trPr>
        <w:tc>
          <w:tcPr>
            <w:tcW w:w="649" w:type="dxa"/>
            <w:tcBorders>
              <w:top w:val="single" w:color="auto" w:sz="4" w:space="0"/>
              <w:left w:val="single" w:color="auto" w:sz="4" w:space="0"/>
              <w:bottom w:val="single" w:color="auto" w:sz="4" w:space="0"/>
              <w:right w:val="single" w:color="auto" w:sz="4" w:space="0"/>
            </w:tcBorders>
            <w:vAlign w:val="center"/>
          </w:tcPr>
          <w:p w14:paraId="4A856F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F9BB9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坩埚</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5B513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瓷，30mL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C0877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D8078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10D5C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4.73 </w:t>
            </w:r>
          </w:p>
        </w:tc>
      </w:tr>
      <w:tr w14:paraId="48F3F5F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19125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05A7A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坩埚钳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0F78B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1.产品用不锈钢制造。总长度为200㎜；</w:t>
            </w:r>
            <w:r>
              <w:rPr>
                <w:rFonts w:hint="eastAsia" w:asciiTheme="minorEastAsia" w:hAnsiTheme="minorEastAsia" w:eastAsiaTheme="minorEastAsia" w:cstheme="minorEastAsia"/>
                <w:color w:val="auto"/>
                <w:kern w:val="0"/>
                <w:sz w:val="21"/>
                <w:szCs w:val="21"/>
                <w:highlight w:val="none"/>
                <w:lang w:bidi="ar"/>
              </w:rPr>
              <w:tab/>
            </w:r>
          </w:p>
          <w:p w14:paraId="52E90C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2、钳子制作应光滑、平整、无缺陷；</w:t>
            </w:r>
            <w:r>
              <w:rPr>
                <w:rFonts w:hint="eastAsia" w:asciiTheme="minorEastAsia" w:hAnsiTheme="minorEastAsia" w:eastAsiaTheme="minorEastAsia" w:cstheme="minorEastAsia"/>
                <w:color w:val="auto"/>
                <w:kern w:val="0"/>
                <w:sz w:val="21"/>
                <w:szCs w:val="21"/>
                <w:highlight w:val="none"/>
                <w:lang w:bidi="ar"/>
              </w:rPr>
              <w:tab/>
            </w:r>
          </w:p>
          <w:p w14:paraId="4D2452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3、钳子的夹持端为弯头，端头应有齿纹，便于夹住物体，吻合一致。</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9E910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A45A3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53063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 </w:t>
            </w:r>
          </w:p>
        </w:tc>
      </w:tr>
      <w:tr w14:paraId="638156F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0C8F4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6E6FD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烧杯夹</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8E5B5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1.成型规整、美观，表面无锈蚀，无损伤；</w:t>
            </w:r>
            <w:r>
              <w:rPr>
                <w:rFonts w:hint="eastAsia" w:asciiTheme="minorEastAsia" w:hAnsiTheme="minorEastAsia" w:eastAsiaTheme="minorEastAsia" w:cstheme="minorEastAsia"/>
                <w:color w:val="auto"/>
                <w:kern w:val="0"/>
                <w:sz w:val="21"/>
                <w:szCs w:val="21"/>
                <w:highlight w:val="none"/>
                <w:lang w:bidi="ar"/>
              </w:rPr>
              <w:tab/>
            </w:r>
          </w:p>
          <w:p w14:paraId="4D1328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2、具备可靠的强度和夹持能力，便于与实验装置配合、组装；</w:t>
            </w:r>
            <w:r>
              <w:rPr>
                <w:rFonts w:hint="eastAsia" w:asciiTheme="minorEastAsia" w:hAnsiTheme="minorEastAsia" w:eastAsiaTheme="minorEastAsia" w:cstheme="minorEastAsia"/>
                <w:color w:val="auto"/>
                <w:kern w:val="0"/>
                <w:sz w:val="21"/>
                <w:szCs w:val="21"/>
                <w:highlight w:val="none"/>
                <w:lang w:bidi="ar"/>
              </w:rPr>
              <w:tab/>
            </w:r>
          </w:p>
          <w:p w14:paraId="4F9F6D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3、夹杆直径为10mm±2mm，夹头内侧有软质垫衬。</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7D0D8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B7FF9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0F39B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11.15 </w:t>
            </w:r>
          </w:p>
        </w:tc>
      </w:tr>
      <w:tr w14:paraId="67F91671">
        <w:tblPrEx>
          <w:tblCellMar>
            <w:top w:w="0" w:type="dxa"/>
            <w:left w:w="108" w:type="dxa"/>
            <w:bottom w:w="0" w:type="dxa"/>
            <w:right w:w="108" w:type="dxa"/>
          </w:tblCellMar>
        </w:tblPrEx>
        <w:trPr>
          <w:trHeight w:val="514" w:hRule="atLeast"/>
        </w:trPr>
        <w:tc>
          <w:tcPr>
            <w:tcW w:w="649" w:type="dxa"/>
            <w:tcBorders>
              <w:top w:val="single" w:color="auto" w:sz="4" w:space="0"/>
              <w:left w:val="single" w:color="auto" w:sz="4" w:space="0"/>
              <w:bottom w:val="single" w:color="auto" w:sz="4" w:space="0"/>
              <w:right w:val="single" w:color="auto" w:sz="4" w:space="0"/>
            </w:tcBorders>
            <w:vAlign w:val="center"/>
          </w:tcPr>
          <w:p w14:paraId="61E000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50595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镊子</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F201B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不锈钢，尖头，140mm。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60E02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E9DD3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FD2BC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4.39 </w:t>
            </w:r>
          </w:p>
        </w:tc>
      </w:tr>
      <w:tr w14:paraId="5D5A8DEB">
        <w:tblPrEx>
          <w:tblCellMar>
            <w:top w:w="0" w:type="dxa"/>
            <w:left w:w="108" w:type="dxa"/>
            <w:bottom w:w="0" w:type="dxa"/>
            <w:right w:w="108" w:type="dxa"/>
          </w:tblCellMar>
        </w:tblPrEx>
        <w:trPr>
          <w:trHeight w:val="341" w:hRule="atLeast"/>
        </w:trPr>
        <w:tc>
          <w:tcPr>
            <w:tcW w:w="649" w:type="dxa"/>
            <w:tcBorders>
              <w:top w:val="single" w:color="auto" w:sz="4" w:space="0"/>
              <w:left w:val="single" w:color="auto" w:sz="4" w:space="0"/>
              <w:bottom w:val="single" w:color="auto" w:sz="4" w:space="0"/>
              <w:right w:val="single" w:color="auto" w:sz="4" w:space="0"/>
            </w:tcBorders>
            <w:vAlign w:val="center"/>
          </w:tcPr>
          <w:p w14:paraId="671344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6AC18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试管夹</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6B666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1.产品为木质或竹质材料制成；</w:t>
            </w:r>
            <w:r>
              <w:rPr>
                <w:rFonts w:hint="eastAsia" w:asciiTheme="minorEastAsia" w:hAnsiTheme="minorEastAsia" w:eastAsiaTheme="minorEastAsia" w:cstheme="minorEastAsia"/>
                <w:color w:val="auto"/>
                <w:kern w:val="0"/>
                <w:sz w:val="21"/>
                <w:szCs w:val="21"/>
                <w:highlight w:val="none"/>
                <w:lang w:bidi="ar"/>
              </w:rPr>
              <w:tab/>
            </w:r>
          </w:p>
          <w:p w14:paraId="0443A3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2、所用木材要求脱脂干燥处理，无裂纹，光滑，锯端面无毛刺，无刺手感；</w:t>
            </w:r>
            <w:r>
              <w:rPr>
                <w:rFonts w:hint="eastAsia" w:asciiTheme="minorEastAsia" w:hAnsiTheme="minorEastAsia" w:eastAsiaTheme="minorEastAsia" w:cstheme="minorEastAsia"/>
                <w:color w:val="auto"/>
                <w:kern w:val="0"/>
                <w:sz w:val="21"/>
                <w:szCs w:val="21"/>
                <w:highlight w:val="none"/>
                <w:lang w:bidi="ar"/>
              </w:rPr>
              <w:tab/>
            </w:r>
          </w:p>
          <w:p w14:paraId="482547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3、试管夹所附毡块应黏接牢固，不得脱落；</w:t>
            </w:r>
            <w:r>
              <w:rPr>
                <w:rFonts w:hint="eastAsia" w:asciiTheme="minorEastAsia" w:hAnsiTheme="minorEastAsia" w:eastAsiaTheme="minorEastAsia" w:cstheme="minorEastAsia"/>
                <w:color w:val="auto"/>
                <w:kern w:val="0"/>
                <w:sz w:val="21"/>
                <w:szCs w:val="21"/>
                <w:highlight w:val="none"/>
                <w:lang w:bidi="ar"/>
              </w:rPr>
              <w:tab/>
            </w:r>
          </w:p>
          <w:p w14:paraId="010C9E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4、管夹弹簧应有足够弹性，并做防锈处理。夹口张、合松紧强度适宜，便于试管夹持和拿取。</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A72C9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64E59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27E08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2.03 </w:t>
            </w:r>
          </w:p>
        </w:tc>
      </w:tr>
      <w:tr w14:paraId="73E2326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9D640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DF72F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止水皮管夹</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07DB8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1.水止皮管夹用钢丝拧制而成，弹性良好，夹持牢靠，表面做镀铬处理。</w:t>
            </w:r>
            <w:r>
              <w:rPr>
                <w:rFonts w:hint="eastAsia" w:asciiTheme="minorEastAsia" w:hAnsiTheme="minorEastAsia" w:eastAsiaTheme="minorEastAsia" w:cstheme="minorEastAsia"/>
                <w:color w:val="auto"/>
                <w:kern w:val="0"/>
                <w:sz w:val="21"/>
                <w:szCs w:val="21"/>
                <w:highlight w:val="none"/>
                <w:lang w:bidi="ar"/>
              </w:rPr>
              <w:tab/>
            </w:r>
          </w:p>
          <w:p w14:paraId="60D485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2、成型规整，表面无锈蚀。</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C90CF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4662E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87141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1.35 </w:t>
            </w:r>
          </w:p>
        </w:tc>
      </w:tr>
      <w:tr w14:paraId="7395EB5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1D2B9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BD4D6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螺旋皮管夹</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D0955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1.产品用钢材制成，应做防锈处理；</w:t>
            </w:r>
            <w:r>
              <w:rPr>
                <w:rFonts w:hint="eastAsia" w:asciiTheme="minorEastAsia" w:hAnsiTheme="minorEastAsia" w:eastAsiaTheme="minorEastAsia" w:cstheme="minorEastAsia"/>
                <w:color w:val="auto"/>
                <w:kern w:val="0"/>
                <w:sz w:val="21"/>
                <w:szCs w:val="21"/>
                <w:highlight w:val="none"/>
                <w:lang w:bidi="ar"/>
              </w:rPr>
              <w:tab/>
            </w:r>
          </w:p>
          <w:p w14:paraId="06B324E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2、产品制作应光滑、平整、无缺陷；</w:t>
            </w:r>
            <w:r>
              <w:rPr>
                <w:rFonts w:hint="eastAsia" w:asciiTheme="minorEastAsia" w:hAnsiTheme="minorEastAsia" w:eastAsiaTheme="minorEastAsia" w:cstheme="minorEastAsia"/>
                <w:color w:val="auto"/>
                <w:kern w:val="0"/>
                <w:sz w:val="21"/>
                <w:szCs w:val="21"/>
                <w:highlight w:val="none"/>
                <w:lang w:bidi="ar"/>
              </w:rPr>
              <w:tab/>
            </w:r>
          </w:p>
          <w:p w14:paraId="1C6881E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3、产品的夹持范围最大应不小于20mm，夹子的夹持应可靠，吻合好；</w:t>
            </w:r>
            <w:r>
              <w:rPr>
                <w:rFonts w:hint="eastAsia" w:asciiTheme="minorEastAsia" w:hAnsiTheme="minorEastAsia" w:eastAsiaTheme="minorEastAsia" w:cstheme="minorEastAsia"/>
                <w:color w:val="auto"/>
                <w:kern w:val="0"/>
                <w:sz w:val="21"/>
                <w:szCs w:val="21"/>
                <w:highlight w:val="none"/>
                <w:lang w:bidi="ar"/>
              </w:rPr>
              <w:tab/>
            </w:r>
          </w:p>
          <w:p w14:paraId="5B617D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4、螺母与螺杆螺纹应吻合好，旋动轻便，不应有卡死现象。</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5F878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2376E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72F5B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3.38 </w:t>
            </w:r>
          </w:p>
        </w:tc>
      </w:tr>
      <w:tr w14:paraId="3E50DEA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4CC12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B921F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石棉网</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C379C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1.产品为在金属网上涂敷石棉材料而制成；</w:t>
            </w:r>
            <w:r>
              <w:rPr>
                <w:rFonts w:hint="eastAsia" w:asciiTheme="minorEastAsia" w:hAnsiTheme="minorEastAsia" w:eastAsiaTheme="minorEastAsia" w:cstheme="minorEastAsia"/>
                <w:color w:val="auto"/>
                <w:kern w:val="0"/>
                <w:sz w:val="21"/>
                <w:szCs w:val="21"/>
                <w:highlight w:val="none"/>
                <w:lang w:bidi="ar"/>
              </w:rPr>
              <w:tab/>
            </w:r>
          </w:p>
          <w:p w14:paraId="7AE140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2、金属网无锈蚀，具备一定的强度。石棉材料涂敷均匀，附着力强。涂敷面不得裸露金属网面；</w:t>
            </w:r>
            <w:r>
              <w:rPr>
                <w:rFonts w:hint="eastAsia" w:asciiTheme="minorEastAsia" w:hAnsiTheme="minorEastAsia" w:eastAsiaTheme="minorEastAsia" w:cstheme="minorEastAsia"/>
                <w:color w:val="auto"/>
                <w:kern w:val="0"/>
                <w:sz w:val="21"/>
                <w:szCs w:val="21"/>
                <w:highlight w:val="none"/>
                <w:lang w:bidi="ar"/>
              </w:rPr>
              <w:tab/>
            </w:r>
          </w:p>
          <w:p w14:paraId="4CD13C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3、整体应平整、美观，不翘角。</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46BBB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EBBFE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D3729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2.03 </w:t>
            </w:r>
          </w:p>
        </w:tc>
      </w:tr>
      <w:tr w14:paraId="1E50951B">
        <w:tblPrEx>
          <w:tblCellMar>
            <w:top w:w="0" w:type="dxa"/>
            <w:left w:w="108" w:type="dxa"/>
            <w:bottom w:w="0" w:type="dxa"/>
            <w:right w:w="108" w:type="dxa"/>
          </w:tblCellMar>
        </w:tblPrEx>
        <w:trPr>
          <w:trHeight w:val="497" w:hRule="atLeast"/>
        </w:trPr>
        <w:tc>
          <w:tcPr>
            <w:tcW w:w="649" w:type="dxa"/>
            <w:tcBorders>
              <w:top w:val="single" w:color="auto" w:sz="4" w:space="0"/>
              <w:left w:val="single" w:color="auto" w:sz="4" w:space="0"/>
              <w:bottom w:val="single" w:color="auto" w:sz="4" w:space="0"/>
              <w:right w:val="single" w:color="auto" w:sz="4" w:space="0"/>
            </w:tcBorders>
            <w:vAlign w:val="center"/>
          </w:tcPr>
          <w:p w14:paraId="734B79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C2EB2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隔热网</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C8C05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环保型，功能与石棉网相同，隔热材料不是石棉。</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20E62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BF332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C20C7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7327E08E">
        <w:tblPrEx>
          <w:tblCellMar>
            <w:top w:w="0" w:type="dxa"/>
            <w:left w:w="108" w:type="dxa"/>
            <w:bottom w:w="0" w:type="dxa"/>
            <w:right w:w="108" w:type="dxa"/>
          </w:tblCellMar>
        </w:tblPrEx>
        <w:trPr>
          <w:trHeight w:val="480" w:hRule="atLeast"/>
        </w:trPr>
        <w:tc>
          <w:tcPr>
            <w:tcW w:w="649" w:type="dxa"/>
            <w:tcBorders>
              <w:top w:val="single" w:color="auto" w:sz="4" w:space="0"/>
              <w:left w:val="single" w:color="auto" w:sz="4" w:space="0"/>
              <w:bottom w:val="single" w:color="auto" w:sz="4" w:space="0"/>
              <w:right w:val="single" w:color="auto" w:sz="4" w:space="0"/>
            </w:tcBorders>
            <w:vAlign w:val="center"/>
          </w:tcPr>
          <w:p w14:paraId="11CD6C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4729F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二连球</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658D3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由橡皮手捏充气球和橡皮贮气球及橡胶导气管相连接而成。</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44D48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C0CBE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D9B14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35.49 </w:t>
            </w:r>
          </w:p>
        </w:tc>
      </w:tr>
      <w:tr w14:paraId="7488BE8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78D27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97FC8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燃烧匙</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F4663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1.产品由半圆面和金属丝结合制成；</w:t>
            </w:r>
            <w:r>
              <w:rPr>
                <w:rFonts w:hint="eastAsia" w:asciiTheme="minorEastAsia" w:hAnsiTheme="minorEastAsia" w:eastAsiaTheme="minorEastAsia" w:cstheme="minorEastAsia"/>
                <w:color w:val="auto"/>
                <w:kern w:val="0"/>
                <w:sz w:val="21"/>
                <w:szCs w:val="21"/>
                <w:highlight w:val="none"/>
                <w:lang w:bidi="ar"/>
              </w:rPr>
              <w:tab/>
            </w:r>
          </w:p>
          <w:p w14:paraId="5188A4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2、半圆面为铜材制造，直径Φ为20mm左右。要求光滑无毛刺、圆润；</w:t>
            </w:r>
            <w:r>
              <w:rPr>
                <w:rFonts w:hint="eastAsia" w:asciiTheme="minorEastAsia" w:hAnsiTheme="minorEastAsia" w:eastAsiaTheme="minorEastAsia" w:cstheme="minorEastAsia"/>
                <w:color w:val="auto"/>
                <w:kern w:val="0"/>
                <w:sz w:val="21"/>
                <w:szCs w:val="21"/>
                <w:highlight w:val="none"/>
                <w:lang w:bidi="ar"/>
              </w:rPr>
              <w:tab/>
            </w:r>
          </w:p>
          <w:p w14:paraId="41EF52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3、金属丝用Φ2㎜的钢丝制造，长度为200mm左右；</w:t>
            </w:r>
            <w:r>
              <w:rPr>
                <w:rFonts w:hint="eastAsia" w:asciiTheme="minorEastAsia" w:hAnsiTheme="minorEastAsia" w:eastAsiaTheme="minorEastAsia" w:cstheme="minorEastAsia"/>
                <w:color w:val="auto"/>
                <w:kern w:val="0"/>
                <w:sz w:val="21"/>
                <w:szCs w:val="21"/>
                <w:highlight w:val="none"/>
                <w:lang w:bidi="ar"/>
              </w:rPr>
              <w:tab/>
            </w:r>
          </w:p>
          <w:p w14:paraId="6DC337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4、半圆面与金属丝结合应牢固可靠，耐高温。</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91597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B7D01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7EC0A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2.03 </w:t>
            </w:r>
          </w:p>
        </w:tc>
      </w:tr>
      <w:tr w14:paraId="2CED5DB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39DA5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F9036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钥匙</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F5151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1.供中学化学实验和小学教学实验用；</w:t>
            </w:r>
            <w:r>
              <w:rPr>
                <w:rFonts w:hint="eastAsia" w:asciiTheme="minorEastAsia" w:hAnsiTheme="minorEastAsia" w:eastAsiaTheme="minorEastAsia" w:cstheme="minorEastAsia"/>
                <w:color w:val="auto"/>
                <w:kern w:val="0"/>
                <w:sz w:val="21"/>
                <w:szCs w:val="21"/>
                <w:highlight w:val="none"/>
                <w:lang w:bidi="ar"/>
              </w:rPr>
              <w:tab/>
            </w:r>
          </w:p>
          <w:p w14:paraId="6BE4AF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2、药匙材质：单头塑料。</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DAAAC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4E73F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C170E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0.85 </w:t>
            </w:r>
          </w:p>
        </w:tc>
      </w:tr>
      <w:tr w14:paraId="2468850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5B82B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99806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8FAF2E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15FBA4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2、外径：Φ5mm～Φ6mm；</w:t>
            </w:r>
            <w:r>
              <w:rPr>
                <w:rFonts w:hint="eastAsia" w:asciiTheme="minorEastAsia" w:hAnsiTheme="minorEastAsia" w:eastAsiaTheme="minorEastAsia" w:cstheme="minorEastAsia"/>
                <w:color w:val="auto"/>
                <w:kern w:val="0"/>
                <w:sz w:val="21"/>
                <w:szCs w:val="21"/>
                <w:highlight w:val="none"/>
                <w:lang w:bidi="ar"/>
              </w:rPr>
              <w:tab/>
            </w:r>
          </w:p>
          <w:p w14:paraId="464F89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3、理化性能：耐水等级：4级，耐碱等级：1～3级，耐酸等级：2～3级；</w:t>
            </w:r>
            <w:r>
              <w:rPr>
                <w:rFonts w:hint="eastAsia" w:asciiTheme="minorEastAsia" w:hAnsiTheme="minorEastAsia" w:eastAsiaTheme="minorEastAsia" w:cstheme="minorEastAsia"/>
                <w:color w:val="auto"/>
                <w:kern w:val="0"/>
                <w:sz w:val="21"/>
                <w:szCs w:val="21"/>
                <w:highlight w:val="none"/>
                <w:lang w:bidi="ar"/>
              </w:rPr>
              <w:tab/>
            </w:r>
          </w:p>
          <w:p w14:paraId="513B76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4、应力：紫红色或扩散状淡蓝；</w:t>
            </w:r>
            <w:r>
              <w:rPr>
                <w:rFonts w:hint="eastAsia" w:asciiTheme="minorEastAsia" w:hAnsiTheme="minorEastAsia" w:eastAsiaTheme="minorEastAsia" w:cstheme="minorEastAsia"/>
                <w:color w:val="auto"/>
                <w:kern w:val="0"/>
                <w:sz w:val="21"/>
                <w:szCs w:val="21"/>
                <w:highlight w:val="none"/>
                <w:lang w:bidi="ar"/>
              </w:rPr>
              <w:tab/>
            </w:r>
          </w:p>
          <w:p w14:paraId="5AAFCB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5、色泽：无色透明，允许微带黄绿色；</w:t>
            </w:r>
            <w:r>
              <w:rPr>
                <w:rFonts w:hint="eastAsia" w:asciiTheme="minorEastAsia" w:hAnsiTheme="minorEastAsia" w:eastAsiaTheme="minorEastAsia" w:cstheme="minorEastAsia"/>
                <w:color w:val="auto"/>
                <w:kern w:val="0"/>
                <w:sz w:val="21"/>
                <w:szCs w:val="21"/>
                <w:highlight w:val="none"/>
                <w:lang w:bidi="ar"/>
              </w:rPr>
              <w:tab/>
            </w:r>
          </w:p>
          <w:p w14:paraId="098125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6、玻管厚薄均匀，不能出现大小头。</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FFC67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165ED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千克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62FA2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33.80 </w:t>
            </w:r>
          </w:p>
        </w:tc>
      </w:tr>
      <w:tr w14:paraId="581D565C">
        <w:tblPrEx>
          <w:tblCellMar>
            <w:top w:w="0" w:type="dxa"/>
            <w:left w:w="108" w:type="dxa"/>
            <w:bottom w:w="0" w:type="dxa"/>
            <w:right w:w="108" w:type="dxa"/>
          </w:tblCellMar>
        </w:tblPrEx>
        <w:trPr>
          <w:trHeight w:val="608" w:hRule="atLeast"/>
        </w:trPr>
        <w:tc>
          <w:tcPr>
            <w:tcW w:w="649" w:type="dxa"/>
            <w:tcBorders>
              <w:top w:val="single" w:color="auto" w:sz="4" w:space="0"/>
              <w:left w:val="single" w:color="auto" w:sz="4" w:space="0"/>
              <w:bottom w:val="single" w:color="auto" w:sz="4" w:space="0"/>
              <w:right w:val="single" w:color="auto" w:sz="4" w:space="0"/>
            </w:tcBorders>
            <w:vAlign w:val="center"/>
          </w:tcPr>
          <w:p w14:paraId="3174A8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ABDD8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E6A7A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1E29A6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2、外径：φ7mm～φ8mm；</w:t>
            </w:r>
            <w:r>
              <w:rPr>
                <w:rFonts w:hint="eastAsia" w:asciiTheme="minorEastAsia" w:hAnsiTheme="minorEastAsia" w:eastAsiaTheme="minorEastAsia" w:cstheme="minorEastAsia"/>
                <w:color w:val="auto"/>
                <w:kern w:val="0"/>
                <w:sz w:val="21"/>
                <w:szCs w:val="21"/>
                <w:highlight w:val="none"/>
                <w:lang w:bidi="ar"/>
              </w:rPr>
              <w:tab/>
            </w:r>
          </w:p>
          <w:p w14:paraId="6ED6C1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3、理化性能：耐水等级：4级，耐碱等级：1～3级，耐酸等级：2～3级；</w:t>
            </w:r>
            <w:r>
              <w:rPr>
                <w:rFonts w:hint="eastAsia" w:asciiTheme="minorEastAsia" w:hAnsiTheme="minorEastAsia" w:eastAsiaTheme="minorEastAsia" w:cstheme="minorEastAsia"/>
                <w:color w:val="auto"/>
                <w:kern w:val="0"/>
                <w:sz w:val="21"/>
                <w:szCs w:val="21"/>
                <w:highlight w:val="none"/>
                <w:lang w:bidi="ar"/>
              </w:rPr>
              <w:tab/>
            </w:r>
          </w:p>
          <w:p w14:paraId="3CE6F8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4、应力：紫红色或扩散状淡蓝；</w:t>
            </w:r>
            <w:r>
              <w:rPr>
                <w:rFonts w:hint="eastAsia" w:asciiTheme="minorEastAsia" w:hAnsiTheme="minorEastAsia" w:eastAsiaTheme="minorEastAsia" w:cstheme="minorEastAsia"/>
                <w:color w:val="auto"/>
                <w:kern w:val="0"/>
                <w:sz w:val="21"/>
                <w:szCs w:val="21"/>
                <w:highlight w:val="none"/>
                <w:lang w:bidi="ar"/>
              </w:rPr>
              <w:tab/>
            </w:r>
          </w:p>
          <w:p w14:paraId="1BE7B2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5、色泽：无色透明，允许微带黄绿色；</w:t>
            </w:r>
            <w:r>
              <w:rPr>
                <w:rFonts w:hint="eastAsia" w:asciiTheme="minorEastAsia" w:hAnsiTheme="minorEastAsia" w:eastAsiaTheme="minorEastAsia" w:cstheme="minorEastAsia"/>
                <w:color w:val="auto"/>
                <w:kern w:val="0"/>
                <w:sz w:val="21"/>
                <w:szCs w:val="21"/>
                <w:highlight w:val="none"/>
                <w:lang w:bidi="ar"/>
              </w:rPr>
              <w:tab/>
            </w:r>
          </w:p>
          <w:p w14:paraId="123EF8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6、玻管厚薄均匀，不能出现大小头。</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83BE8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EEBFB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千克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466F5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33.80 </w:t>
            </w:r>
          </w:p>
        </w:tc>
      </w:tr>
      <w:tr w14:paraId="6CBB34D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F04F8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5A369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CCD56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06CBAD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2、规格：φ3mm～φ4mm；</w:t>
            </w:r>
            <w:r>
              <w:rPr>
                <w:rFonts w:hint="eastAsia" w:asciiTheme="minorEastAsia" w:hAnsiTheme="minorEastAsia" w:eastAsiaTheme="minorEastAsia" w:cstheme="minorEastAsia"/>
                <w:color w:val="auto"/>
                <w:kern w:val="0"/>
                <w:sz w:val="21"/>
                <w:szCs w:val="21"/>
                <w:highlight w:val="none"/>
                <w:lang w:bidi="ar"/>
              </w:rPr>
              <w:tab/>
            </w:r>
          </w:p>
          <w:p w14:paraId="61CCC5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3、理化性能：耐水等级：1级，耐碱等级：1级，耐酸等级：2级；</w:t>
            </w:r>
          </w:p>
          <w:p w14:paraId="1A65BD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4、应力：在偏光仪中呈蓝色；</w:t>
            </w:r>
            <w:r>
              <w:rPr>
                <w:rFonts w:hint="eastAsia" w:asciiTheme="minorEastAsia" w:hAnsiTheme="minorEastAsia" w:eastAsiaTheme="minorEastAsia" w:cstheme="minorEastAsia"/>
                <w:color w:val="auto"/>
                <w:kern w:val="0"/>
                <w:sz w:val="21"/>
                <w:szCs w:val="21"/>
                <w:highlight w:val="none"/>
                <w:lang w:bidi="ar"/>
              </w:rPr>
              <w:tab/>
            </w:r>
          </w:p>
          <w:p w14:paraId="5074CB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5、色泽：无色透明，允许微带黄绿色；</w:t>
            </w:r>
            <w:r>
              <w:rPr>
                <w:rFonts w:hint="eastAsia" w:asciiTheme="minorEastAsia" w:hAnsiTheme="minorEastAsia" w:eastAsiaTheme="minorEastAsia" w:cstheme="minorEastAsia"/>
                <w:color w:val="auto"/>
                <w:kern w:val="0"/>
                <w:sz w:val="21"/>
                <w:szCs w:val="21"/>
                <w:highlight w:val="none"/>
                <w:lang w:bidi="ar"/>
              </w:rPr>
              <w:tab/>
            </w:r>
          </w:p>
          <w:p w14:paraId="746009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6、玻璃棒要圆、直径均匀、不能粗细不匀，无气泡、无节瘤、无结石。</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BF591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7CAA1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千克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19F91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47.32 </w:t>
            </w:r>
          </w:p>
        </w:tc>
      </w:tr>
      <w:tr w14:paraId="42EA73D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D9FBB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B57A2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0312E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3B2101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2、规格：φ5mm～φ6mm；</w:t>
            </w:r>
            <w:r>
              <w:rPr>
                <w:rFonts w:hint="eastAsia" w:asciiTheme="minorEastAsia" w:hAnsiTheme="minorEastAsia" w:eastAsiaTheme="minorEastAsia" w:cstheme="minorEastAsia"/>
                <w:color w:val="auto"/>
                <w:kern w:val="0"/>
                <w:sz w:val="21"/>
                <w:szCs w:val="21"/>
                <w:highlight w:val="none"/>
                <w:lang w:bidi="ar"/>
              </w:rPr>
              <w:tab/>
            </w:r>
          </w:p>
          <w:p w14:paraId="625E87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3、理化性能：耐水等级：1级，耐碱等级：1级，耐酸等级：2级；</w:t>
            </w:r>
          </w:p>
          <w:p w14:paraId="2AA287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4、应力：在偏光仪中呈蓝色；</w:t>
            </w:r>
            <w:r>
              <w:rPr>
                <w:rFonts w:hint="eastAsia" w:asciiTheme="minorEastAsia" w:hAnsiTheme="minorEastAsia" w:eastAsiaTheme="minorEastAsia" w:cstheme="minorEastAsia"/>
                <w:color w:val="auto"/>
                <w:kern w:val="0"/>
                <w:sz w:val="21"/>
                <w:szCs w:val="21"/>
                <w:highlight w:val="none"/>
                <w:lang w:bidi="ar"/>
              </w:rPr>
              <w:tab/>
            </w:r>
          </w:p>
          <w:p w14:paraId="51B22D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5、色泽：无色透明，允许微带黄绿色；</w:t>
            </w:r>
            <w:r>
              <w:rPr>
                <w:rFonts w:hint="eastAsia" w:asciiTheme="minorEastAsia" w:hAnsiTheme="minorEastAsia" w:eastAsiaTheme="minorEastAsia" w:cstheme="minorEastAsia"/>
                <w:color w:val="auto"/>
                <w:kern w:val="0"/>
                <w:sz w:val="21"/>
                <w:szCs w:val="21"/>
                <w:highlight w:val="none"/>
                <w:lang w:bidi="ar"/>
              </w:rPr>
              <w:tab/>
            </w:r>
          </w:p>
          <w:p w14:paraId="004E0B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6、玻璃棒要圆、直径均匀、不能粗细不匀，无气泡、无节瘤、无结石。</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41B20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DA43F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千克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26F1F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40.56 </w:t>
            </w:r>
          </w:p>
        </w:tc>
      </w:tr>
      <w:tr w14:paraId="41CE6FF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CCA5C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7B43B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软胶塞</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1642B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1.产品用天然橡胶制造，白色；</w:t>
            </w:r>
            <w:r>
              <w:rPr>
                <w:rFonts w:hint="eastAsia" w:asciiTheme="minorEastAsia" w:hAnsiTheme="minorEastAsia" w:eastAsiaTheme="minorEastAsia" w:cstheme="minorEastAsia"/>
                <w:color w:val="auto"/>
                <w:kern w:val="0"/>
                <w:sz w:val="21"/>
                <w:szCs w:val="21"/>
                <w:highlight w:val="none"/>
                <w:lang w:bidi="ar"/>
              </w:rPr>
              <w:tab/>
            </w:r>
          </w:p>
          <w:p w14:paraId="5D9FEC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2、每包软胶塞由0～10号的胶塞组成，要求搭配合理。</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66B1D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EDBCE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千克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983EF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45.63 </w:t>
            </w:r>
          </w:p>
        </w:tc>
      </w:tr>
      <w:tr w14:paraId="44FDF38D">
        <w:tblPrEx>
          <w:tblCellMar>
            <w:top w:w="0" w:type="dxa"/>
            <w:left w:w="108" w:type="dxa"/>
            <w:bottom w:w="0" w:type="dxa"/>
            <w:right w:w="108" w:type="dxa"/>
          </w:tblCellMar>
        </w:tblPrEx>
        <w:trPr>
          <w:trHeight w:val="631" w:hRule="atLeast"/>
        </w:trPr>
        <w:tc>
          <w:tcPr>
            <w:tcW w:w="649" w:type="dxa"/>
            <w:tcBorders>
              <w:top w:val="single" w:color="auto" w:sz="4" w:space="0"/>
              <w:left w:val="single" w:color="auto" w:sz="4" w:space="0"/>
              <w:bottom w:val="single" w:color="auto" w:sz="4" w:space="0"/>
              <w:right w:val="single" w:color="auto" w:sz="4" w:space="0"/>
            </w:tcBorders>
            <w:vAlign w:val="center"/>
          </w:tcPr>
          <w:p w14:paraId="6ADF65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E5E8C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橡胶管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1EE095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1.产品用优质天然橡胶制造；</w:t>
            </w:r>
            <w:r>
              <w:rPr>
                <w:rFonts w:hint="eastAsia" w:asciiTheme="minorEastAsia" w:hAnsiTheme="minorEastAsia" w:eastAsiaTheme="minorEastAsia" w:cstheme="minorEastAsia"/>
                <w:color w:val="auto"/>
                <w:kern w:val="0"/>
                <w:sz w:val="21"/>
                <w:szCs w:val="21"/>
                <w:highlight w:val="none"/>
                <w:lang w:bidi="ar"/>
              </w:rPr>
              <w:tab/>
            </w:r>
          </w:p>
          <w:p w14:paraId="69B34D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2、产品内径为7～8mm，壁厚1mm。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D7708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A14B2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千克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DFB38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45.63 </w:t>
            </w:r>
          </w:p>
        </w:tc>
      </w:tr>
      <w:tr w14:paraId="67FD5233">
        <w:tblPrEx>
          <w:tblCellMar>
            <w:top w:w="0" w:type="dxa"/>
            <w:left w:w="108" w:type="dxa"/>
            <w:bottom w:w="0" w:type="dxa"/>
            <w:right w:w="108" w:type="dxa"/>
          </w:tblCellMar>
        </w:tblPrEx>
        <w:trPr>
          <w:trHeight w:val="605" w:hRule="atLeast"/>
        </w:trPr>
        <w:tc>
          <w:tcPr>
            <w:tcW w:w="649" w:type="dxa"/>
            <w:tcBorders>
              <w:top w:val="single" w:color="auto" w:sz="4" w:space="0"/>
              <w:left w:val="single" w:color="auto" w:sz="4" w:space="0"/>
              <w:bottom w:val="single" w:color="auto" w:sz="4" w:space="0"/>
              <w:right w:val="single" w:color="auto" w:sz="4" w:space="0"/>
            </w:tcBorders>
            <w:vAlign w:val="center"/>
          </w:tcPr>
          <w:p w14:paraId="64577E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9A71F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乳胶管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E9C1B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1.产品用优质乳胶制造；</w:t>
            </w:r>
            <w:r>
              <w:rPr>
                <w:rFonts w:hint="eastAsia" w:asciiTheme="minorEastAsia" w:hAnsiTheme="minorEastAsia" w:eastAsiaTheme="minorEastAsia" w:cstheme="minorEastAsia"/>
                <w:color w:val="auto"/>
                <w:kern w:val="0"/>
                <w:sz w:val="21"/>
                <w:szCs w:val="21"/>
                <w:highlight w:val="none"/>
                <w:lang w:bidi="ar"/>
              </w:rPr>
              <w:tab/>
            </w:r>
          </w:p>
          <w:p w14:paraId="158AAF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2、产品内径为5～6mm，壁厚1mm。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467DE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0E55C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米</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E9CF2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4.06 </w:t>
            </w:r>
          </w:p>
        </w:tc>
      </w:tr>
      <w:tr w14:paraId="21C3D9C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09F29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D16CD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洗耳球</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2D1C3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橡胶材质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0E246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BD8CA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D2748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5.41 </w:t>
            </w:r>
          </w:p>
        </w:tc>
      </w:tr>
      <w:tr w14:paraId="3A2627D8">
        <w:tblPrEx>
          <w:tblCellMar>
            <w:top w:w="0" w:type="dxa"/>
            <w:left w:w="108" w:type="dxa"/>
            <w:bottom w:w="0" w:type="dxa"/>
            <w:right w:w="108" w:type="dxa"/>
          </w:tblCellMar>
        </w:tblPrEx>
        <w:trPr>
          <w:trHeight w:val="537" w:hRule="atLeast"/>
        </w:trPr>
        <w:tc>
          <w:tcPr>
            <w:tcW w:w="649" w:type="dxa"/>
            <w:tcBorders>
              <w:top w:val="single" w:color="auto" w:sz="4" w:space="0"/>
              <w:left w:val="single" w:color="auto" w:sz="4" w:space="0"/>
              <w:bottom w:val="single" w:color="auto" w:sz="4" w:space="0"/>
              <w:right w:val="single" w:color="auto" w:sz="4" w:space="0"/>
            </w:tcBorders>
            <w:vAlign w:val="center"/>
          </w:tcPr>
          <w:p w14:paraId="16462A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6FE75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试管刷</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A9EC0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总长23cm，Φ23mm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ED029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718AB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1BE1C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 </w:t>
            </w:r>
          </w:p>
        </w:tc>
      </w:tr>
      <w:tr w14:paraId="2870906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3293A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6E804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烧瓶刷</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E3ADA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1.供中学化学实验和小学教学实验用；</w:t>
            </w:r>
            <w:r>
              <w:rPr>
                <w:rFonts w:hint="eastAsia" w:asciiTheme="minorEastAsia" w:hAnsiTheme="minorEastAsia" w:eastAsiaTheme="minorEastAsia" w:cstheme="minorEastAsia"/>
                <w:color w:val="auto"/>
                <w:kern w:val="0"/>
                <w:sz w:val="21"/>
                <w:szCs w:val="21"/>
                <w:highlight w:val="none"/>
                <w:lang w:bidi="ar"/>
              </w:rPr>
              <w:tab/>
            </w:r>
          </w:p>
          <w:p w14:paraId="7B7260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2、本品由猪鬃及铁丝两部分组成，猪鬃被铁丝牢牢地夹紧在上面。</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C9209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0D10B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41B7B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8.50 </w:t>
            </w:r>
          </w:p>
        </w:tc>
      </w:tr>
      <w:tr w14:paraId="5291001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19D30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12D7E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滴定管刷</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D8DB1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产品由金属丝和绞合在其上的猪鬃毛制成。</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5767B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DEED2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C5E2A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5.07 </w:t>
            </w:r>
          </w:p>
        </w:tc>
      </w:tr>
      <w:tr w14:paraId="5F6D3EA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9A573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EB2E4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结晶皿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AF41E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0F83CB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2、规格：80mm。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60805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EF9C3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97A26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 </w:t>
            </w:r>
          </w:p>
        </w:tc>
      </w:tr>
      <w:tr w14:paraId="4B410AC7">
        <w:tblPrEx>
          <w:tblCellMar>
            <w:top w:w="0" w:type="dxa"/>
            <w:left w:w="108" w:type="dxa"/>
            <w:bottom w:w="0" w:type="dxa"/>
            <w:right w:w="108" w:type="dxa"/>
          </w:tblCellMar>
        </w:tblPrEx>
        <w:trPr>
          <w:trHeight w:val="516" w:hRule="atLeast"/>
        </w:trPr>
        <w:tc>
          <w:tcPr>
            <w:tcW w:w="649" w:type="dxa"/>
            <w:tcBorders>
              <w:top w:val="single" w:color="auto" w:sz="4" w:space="0"/>
              <w:left w:val="single" w:color="auto" w:sz="4" w:space="0"/>
              <w:bottom w:val="single" w:color="auto" w:sz="4" w:space="0"/>
              <w:right w:val="single" w:color="auto" w:sz="4" w:space="0"/>
            </w:tcBorders>
            <w:vAlign w:val="center"/>
          </w:tcPr>
          <w:p w14:paraId="162F53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F1066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表面皿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C3048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261C5F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2、规格：60mm。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225AA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3693E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D1A3B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2.54 </w:t>
            </w:r>
          </w:p>
        </w:tc>
      </w:tr>
      <w:tr w14:paraId="4D19EB1A">
        <w:tblPrEx>
          <w:tblCellMar>
            <w:top w:w="0" w:type="dxa"/>
            <w:left w:w="108" w:type="dxa"/>
            <w:bottom w:w="0" w:type="dxa"/>
            <w:right w:w="108" w:type="dxa"/>
          </w:tblCellMar>
        </w:tblPrEx>
        <w:trPr>
          <w:trHeight w:val="550" w:hRule="atLeast"/>
        </w:trPr>
        <w:tc>
          <w:tcPr>
            <w:tcW w:w="649" w:type="dxa"/>
            <w:tcBorders>
              <w:top w:val="single" w:color="auto" w:sz="4" w:space="0"/>
              <w:left w:val="single" w:color="auto" w:sz="4" w:space="0"/>
              <w:bottom w:val="single" w:color="auto" w:sz="4" w:space="0"/>
              <w:right w:val="single" w:color="auto" w:sz="4" w:space="0"/>
            </w:tcBorders>
            <w:vAlign w:val="center"/>
          </w:tcPr>
          <w:p w14:paraId="221040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41BE8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表面皿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86EC8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341E0F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2、规格：100mm。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43B31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8E999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AD331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4.73 </w:t>
            </w:r>
          </w:p>
        </w:tc>
      </w:tr>
      <w:tr w14:paraId="0286A7E8">
        <w:tblPrEx>
          <w:tblCellMar>
            <w:top w:w="0" w:type="dxa"/>
            <w:left w:w="108" w:type="dxa"/>
            <w:bottom w:w="0" w:type="dxa"/>
            <w:right w:w="108" w:type="dxa"/>
          </w:tblCellMar>
        </w:tblPrEx>
        <w:trPr>
          <w:trHeight w:val="430" w:hRule="atLeast"/>
        </w:trPr>
        <w:tc>
          <w:tcPr>
            <w:tcW w:w="649" w:type="dxa"/>
            <w:tcBorders>
              <w:top w:val="single" w:color="auto" w:sz="4" w:space="0"/>
              <w:left w:val="single" w:color="auto" w:sz="4" w:space="0"/>
              <w:bottom w:val="single" w:color="auto" w:sz="4" w:space="0"/>
              <w:right w:val="single" w:color="auto" w:sz="4" w:space="0"/>
            </w:tcBorders>
            <w:vAlign w:val="center"/>
          </w:tcPr>
          <w:p w14:paraId="267480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69349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研钵</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49871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瓷，60mm。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F0508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33F69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5B27F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6.42 </w:t>
            </w:r>
          </w:p>
        </w:tc>
      </w:tr>
      <w:tr w14:paraId="4DDE17EA">
        <w:tblPrEx>
          <w:tblCellMar>
            <w:top w:w="0" w:type="dxa"/>
            <w:left w:w="108" w:type="dxa"/>
            <w:bottom w:w="0" w:type="dxa"/>
            <w:right w:w="108" w:type="dxa"/>
          </w:tblCellMar>
        </w:tblPrEx>
        <w:trPr>
          <w:trHeight w:val="398" w:hRule="atLeast"/>
        </w:trPr>
        <w:tc>
          <w:tcPr>
            <w:tcW w:w="649" w:type="dxa"/>
            <w:tcBorders>
              <w:top w:val="single" w:color="auto" w:sz="4" w:space="0"/>
              <w:left w:val="single" w:color="auto" w:sz="4" w:space="0"/>
              <w:bottom w:val="single" w:color="auto" w:sz="4" w:space="0"/>
              <w:right w:val="single" w:color="auto" w:sz="4" w:space="0"/>
            </w:tcBorders>
            <w:vAlign w:val="center"/>
          </w:tcPr>
          <w:p w14:paraId="2ED186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613A4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研钵</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7FF84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瓷，90mm。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E7A85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94EC8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1325A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10.82 </w:t>
            </w:r>
          </w:p>
        </w:tc>
      </w:tr>
      <w:tr w14:paraId="34B96E12">
        <w:tblPrEx>
          <w:tblCellMar>
            <w:top w:w="0" w:type="dxa"/>
            <w:left w:w="108" w:type="dxa"/>
            <w:bottom w:w="0" w:type="dxa"/>
            <w:right w:w="108" w:type="dxa"/>
          </w:tblCellMar>
        </w:tblPrEx>
        <w:trPr>
          <w:trHeight w:val="687" w:hRule="atLeast"/>
        </w:trPr>
        <w:tc>
          <w:tcPr>
            <w:tcW w:w="649" w:type="dxa"/>
            <w:tcBorders>
              <w:top w:val="single" w:color="auto" w:sz="4" w:space="0"/>
              <w:left w:val="single" w:color="auto" w:sz="4" w:space="0"/>
              <w:bottom w:val="single" w:color="auto" w:sz="4" w:space="0"/>
              <w:right w:val="single" w:color="auto" w:sz="4" w:space="0"/>
            </w:tcBorders>
            <w:vAlign w:val="center"/>
          </w:tcPr>
          <w:p w14:paraId="3C3241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50754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蒸发皿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9329E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1.实验用加热仪器60mm，陶瓷制造；</w:t>
            </w:r>
            <w:r>
              <w:rPr>
                <w:rFonts w:hint="eastAsia" w:asciiTheme="minorEastAsia" w:hAnsiTheme="minorEastAsia" w:eastAsiaTheme="minorEastAsia" w:cstheme="minorEastAsia"/>
                <w:color w:val="auto"/>
                <w:kern w:val="0"/>
                <w:sz w:val="21"/>
                <w:szCs w:val="21"/>
                <w:highlight w:val="none"/>
                <w:lang w:bidi="ar"/>
              </w:rPr>
              <w:tab/>
            </w:r>
          </w:p>
          <w:p w14:paraId="66C240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2、口圆整、光滑，不得有缺口，厚薄均匀，底部平整，不凸凹，放置平面不摇晃，器身不扁瘪；</w:t>
            </w:r>
            <w:r>
              <w:rPr>
                <w:rFonts w:hint="eastAsia" w:asciiTheme="minorEastAsia" w:hAnsiTheme="minorEastAsia" w:eastAsiaTheme="minorEastAsia" w:cstheme="minorEastAsia"/>
                <w:color w:val="auto"/>
                <w:kern w:val="0"/>
                <w:sz w:val="21"/>
                <w:szCs w:val="21"/>
                <w:highlight w:val="none"/>
                <w:lang w:bidi="ar"/>
              </w:rPr>
              <w:tab/>
            </w:r>
          </w:p>
          <w:p w14:paraId="47D4DC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3、蒸发皿的形状应规整，不得有裂纹和妨碍使用的熔洞、斑点、缺釉等缺陷；</w:t>
            </w:r>
            <w:r>
              <w:rPr>
                <w:rFonts w:hint="eastAsia" w:asciiTheme="minorEastAsia" w:hAnsiTheme="minorEastAsia" w:eastAsiaTheme="minorEastAsia" w:cstheme="minorEastAsia"/>
                <w:color w:val="auto"/>
                <w:kern w:val="0"/>
                <w:sz w:val="21"/>
                <w:szCs w:val="21"/>
                <w:highlight w:val="none"/>
                <w:lang w:bidi="ar"/>
              </w:rPr>
              <w:tab/>
            </w:r>
          </w:p>
          <w:p w14:paraId="501A7E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4、吸水率：不大于0.3%；</w:t>
            </w:r>
            <w:r>
              <w:rPr>
                <w:rFonts w:hint="eastAsia" w:asciiTheme="minorEastAsia" w:hAnsiTheme="minorEastAsia" w:eastAsiaTheme="minorEastAsia" w:cstheme="minorEastAsia"/>
                <w:color w:val="auto"/>
                <w:kern w:val="0"/>
                <w:sz w:val="21"/>
                <w:szCs w:val="21"/>
                <w:highlight w:val="none"/>
                <w:lang w:bidi="ar"/>
              </w:rPr>
              <w:tab/>
            </w:r>
          </w:p>
          <w:p w14:paraId="1A3240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5、釉的耐酸性：带釉蒸发皿内表面釉的损失量不大于0.01mg/cm²；6、釉的高温黏结性：将带釉蒸发皿加热至900℃时，不出现釉黏结现象；</w:t>
            </w:r>
            <w:r>
              <w:rPr>
                <w:rFonts w:hint="eastAsia" w:asciiTheme="minorEastAsia" w:hAnsiTheme="minorEastAsia" w:eastAsiaTheme="minorEastAsia" w:cstheme="minorEastAsia"/>
                <w:color w:val="auto"/>
                <w:kern w:val="0"/>
                <w:sz w:val="21"/>
                <w:szCs w:val="21"/>
                <w:highlight w:val="none"/>
                <w:lang w:bidi="ar"/>
              </w:rPr>
              <w:tab/>
            </w:r>
          </w:p>
          <w:p w14:paraId="26B188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7、热稳定性：产品在高于室温230℃至室温的水中热交换一次，不出现裂痕或色斑；</w:t>
            </w:r>
            <w:r>
              <w:rPr>
                <w:rFonts w:hint="eastAsia" w:asciiTheme="minorEastAsia" w:hAnsiTheme="minorEastAsia" w:eastAsiaTheme="minorEastAsia" w:cstheme="minorEastAsia"/>
                <w:color w:val="auto"/>
                <w:kern w:val="0"/>
                <w:sz w:val="21"/>
                <w:szCs w:val="21"/>
                <w:highlight w:val="none"/>
                <w:lang w:bidi="ar"/>
              </w:rPr>
              <w:tab/>
            </w:r>
          </w:p>
          <w:p w14:paraId="2CBAED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8、按使用温度可分为：带釉蒸发皿和无釉蒸发皿。带釉蒸发皿使用温度不高于1000℃，无釉蒸发皿使用温度不高于1250℃。</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12FF9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319CB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84BC0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4BAADF2E">
        <w:tblPrEx>
          <w:tblCellMar>
            <w:top w:w="0" w:type="dxa"/>
            <w:left w:w="108" w:type="dxa"/>
            <w:bottom w:w="0" w:type="dxa"/>
            <w:right w:w="108" w:type="dxa"/>
          </w:tblCellMar>
        </w:tblPrEx>
        <w:trPr>
          <w:trHeight w:val="526" w:hRule="atLeast"/>
        </w:trPr>
        <w:tc>
          <w:tcPr>
            <w:tcW w:w="649" w:type="dxa"/>
            <w:tcBorders>
              <w:top w:val="single" w:color="auto" w:sz="4" w:space="0"/>
              <w:left w:val="single" w:color="auto" w:sz="4" w:space="0"/>
              <w:bottom w:val="single" w:color="auto" w:sz="4" w:space="0"/>
              <w:right w:val="single" w:color="auto" w:sz="4" w:space="0"/>
            </w:tcBorders>
            <w:vAlign w:val="center"/>
          </w:tcPr>
          <w:p w14:paraId="2A0C30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AC6E9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蒸发皿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ADF8E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1.实验用加热仪器100mm，陶瓷制造；</w:t>
            </w:r>
            <w:r>
              <w:rPr>
                <w:rFonts w:hint="eastAsia" w:asciiTheme="minorEastAsia" w:hAnsiTheme="minorEastAsia" w:eastAsiaTheme="minorEastAsia" w:cstheme="minorEastAsia"/>
                <w:color w:val="auto"/>
                <w:kern w:val="0"/>
                <w:sz w:val="21"/>
                <w:szCs w:val="21"/>
                <w:highlight w:val="none"/>
                <w:lang w:bidi="ar"/>
              </w:rPr>
              <w:tab/>
            </w:r>
          </w:p>
          <w:p w14:paraId="5F1819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2、口圆整、光滑，不得有缺口，厚薄均匀，底部平整，不凸凹，放置平面不摇晃，器身不扁瘪；</w:t>
            </w:r>
            <w:r>
              <w:rPr>
                <w:rFonts w:hint="eastAsia" w:asciiTheme="minorEastAsia" w:hAnsiTheme="minorEastAsia" w:eastAsiaTheme="minorEastAsia" w:cstheme="minorEastAsia"/>
                <w:color w:val="auto"/>
                <w:kern w:val="0"/>
                <w:sz w:val="21"/>
                <w:szCs w:val="21"/>
                <w:highlight w:val="none"/>
                <w:lang w:bidi="ar"/>
              </w:rPr>
              <w:tab/>
            </w:r>
          </w:p>
          <w:p w14:paraId="026D30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3、蒸发皿的形状应规整，不得有裂纹和妨碍使用的熔洞、斑点、缺釉等缺陷；</w:t>
            </w:r>
            <w:r>
              <w:rPr>
                <w:rFonts w:hint="eastAsia" w:asciiTheme="minorEastAsia" w:hAnsiTheme="minorEastAsia" w:eastAsiaTheme="minorEastAsia" w:cstheme="minorEastAsia"/>
                <w:color w:val="auto"/>
                <w:kern w:val="0"/>
                <w:sz w:val="21"/>
                <w:szCs w:val="21"/>
                <w:highlight w:val="none"/>
                <w:lang w:bidi="ar"/>
              </w:rPr>
              <w:tab/>
            </w:r>
          </w:p>
          <w:p w14:paraId="484CE3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4、吸水率：不大于0.3%；</w:t>
            </w:r>
            <w:r>
              <w:rPr>
                <w:rFonts w:hint="eastAsia" w:asciiTheme="minorEastAsia" w:hAnsiTheme="minorEastAsia" w:eastAsiaTheme="minorEastAsia" w:cstheme="minorEastAsia"/>
                <w:color w:val="auto"/>
                <w:kern w:val="0"/>
                <w:sz w:val="21"/>
                <w:szCs w:val="21"/>
                <w:highlight w:val="none"/>
                <w:lang w:bidi="ar"/>
              </w:rPr>
              <w:tab/>
            </w:r>
          </w:p>
          <w:p w14:paraId="3B366A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5、釉的耐酸性：带釉蒸发皿内表面釉的损失量不大于0.01mg/cm²；6、釉的高温黏结性：将带釉蒸发皿加热至900℃时，不出现釉黏结现象；</w:t>
            </w:r>
            <w:r>
              <w:rPr>
                <w:rFonts w:hint="eastAsia" w:asciiTheme="minorEastAsia" w:hAnsiTheme="minorEastAsia" w:eastAsiaTheme="minorEastAsia" w:cstheme="minorEastAsia"/>
                <w:color w:val="auto"/>
                <w:kern w:val="0"/>
                <w:sz w:val="21"/>
                <w:szCs w:val="21"/>
                <w:highlight w:val="none"/>
                <w:lang w:bidi="ar"/>
              </w:rPr>
              <w:tab/>
            </w:r>
          </w:p>
          <w:p w14:paraId="58FA54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7、热稳定性：产品在高于室温230℃至室温的水中热交换一次，不出现裂痕或色斑；</w:t>
            </w:r>
            <w:r>
              <w:rPr>
                <w:rFonts w:hint="eastAsia" w:asciiTheme="minorEastAsia" w:hAnsiTheme="minorEastAsia" w:eastAsiaTheme="minorEastAsia" w:cstheme="minorEastAsia"/>
                <w:color w:val="auto"/>
                <w:kern w:val="0"/>
                <w:sz w:val="21"/>
                <w:szCs w:val="21"/>
                <w:highlight w:val="none"/>
                <w:lang w:bidi="ar"/>
              </w:rPr>
              <w:tab/>
            </w:r>
          </w:p>
          <w:p w14:paraId="7DB807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8、按使用温度可分为：带釉蒸发皿和无釉蒸发皿。带釉蒸发皿使用温度不高于1000℃，无釉蒸发皿使用温度不高于1250℃。</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A21A7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C728D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E7E97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5.07 </w:t>
            </w:r>
          </w:p>
        </w:tc>
      </w:tr>
      <w:tr w14:paraId="3DD5F65A">
        <w:tblPrEx>
          <w:tblCellMar>
            <w:top w:w="0" w:type="dxa"/>
            <w:left w:w="108" w:type="dxa"/>
            <w:bottom w:w="0" w:type="dxa"/>
            <w:right w:w="108" w:type="dxa"/>
          </w:tblCellMar>
        </w:tblPrEx>
        <w:trPr>
          <w:trHeight w:val="687" w:hRule="atLeast"/>
        </w:trPr>
        <w:tc>
          <w:tcPr>
            <w:tcW w:w="649" w:type="dxa"/>
            <w:tcBorders>
              <w:top w:val="single" w:color="auto" w:sz="4" w:space="0"/>
              <w:left w:val="single" w:color="auto" w:sz="4" w:space="0"/>
              <w:bottom w:val="single" w:color="auto" w:sz="4" w:space="0"/>
              <w:right w:val="single" w:color="auto" w:sz="4" w:space="0"/>
            </w:tcBorders>
            <w:vAlign w:val="center"/>
          </w:tcPr>
          <w:p w14:paraId="4A4F04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BD4E9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反应板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727BE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规格：6穴</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621A6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C4132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773B6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3.72 </w:t>
            </w:r>
          </w:p>
        </w:tc>
      </w:tr>
      <w:tr w14:paraId="33F86B8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7D4E7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3AAC3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井穴板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34988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1.9孔，0.7mL×9，井穴的孔穴容积为0.7mL；</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b/>
            </w:r>
          </w:p>
          <w:p w14:paraId="0EF117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2、采用能耐酸、碱、盐的塑料制成。</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A3844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667F5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FF381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 </w:t>
            </w:r>
          </w:p>
        </w:tc>
      </w:tr>
      <w:tr w14:paraId="543411EB">
        <w:tblPrEx>
          <w:tblCellMar>
            <w:top w:w="0" w:type="dxa"/>
            <w:left w:w="108" w:type="dxa"/>
            <w:bottom w:w="0" w:type="dxa"/>
            <w:right w:w="108" w:type="dxa"/>
          </w:tblCellMar>
        </w:tblPrEx>
        <w:trPr>
          <w:trHeight w:val="532" w:hRule="atLeast"/>
        </w:trPr>
        <w:tc>
          <w:tcPr>
            <w:tcW w:w="649" w:type="dxa"/>
            <w:tcBorders>
              <w:top w:val="single" w:color="auto" w:sz="4" w:space="0"/>
              <w:left w:val="single" w:color="auto" w:sz="4" w:space="0"/>
              <w:bottom w:val="single" w:color="auto" w:sz="4" w:space="0"/>
              <w:right w:val="single" w:color="auto" w:sz="4" w:space="0"/>
            </w:tcBorders>
            <w:vAlign w:val="center"/>
          </w:tcPr>
          <w:p w14:paraId="7E54A4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93439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井穴板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9F922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6孔，5mL×6。</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CD14C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8268A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EAEE6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00F34A03">
        <w:tblPrEx>
          <w:tblCellMar>
            <w:top w:w="0" w:type="dxa"/>
            <w:left w:w="108" w:type="dxa"/>
            <w:bottom w:w="0" w:type="dxa"/>
            <w:right w:w="108" w:type="dxa"/>
          </w:tblCellMar>
        </w:tblPrEx>
        <w:trPr>
          <w:trHeight w:val="341" w:hRule="atLeast"/>
        </w:trPr>
        <w:tc>
          <w:tcPr>
            <w:tcW w:w="649" w:type="dxa"/>
            <w:tcBorders>
              <w:top w:val="single" w:color="auto" w:sz="4" w:space="0"/>
              <w:left w:val="single" w:color="auto" w:sz="4" w:space="0"/>
              <w:bottom w:val="single" w:color="auto" w:sz="4" w:space="0"/>
              <w:right w:val="single" w:color="auto" w:sz="4" w:space="0"/>
            </w:tcBorders>
            <w:vAlign w:val="center"/>
          </w:tcPr>
          <w:p w14:paraId="17FC4C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8D9B1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塑料多用滴管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9D114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31FDB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8A018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817C8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0.34 </w:t>
            </w:r>
          </w:p>
        </w:tc>
      </w:tr>
      <w:tr w14:paraId="6696F47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91128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01B34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白金丝</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63A5C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Φ0.5mm镍铬丝。长度9CM。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BFA63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9CED3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3ECF5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 </w:t>
            </w:r>
          </w:p>
        </w:tc>
      </w:tr>
      <w:tr w14:paraId="2BF18EB8">
        <w:tblPrEx>
          <w:tblCellMar>
            <w:top w:w="0" w:type="dxa"/>
            <w:left w:w="108" w:type="dxa"/>
            <w:bottom w:w="0" w:type="dxa"/>
            <w:right w:w="108" w:type="dxa"/>
          </w:tblCellMar>
        </w:tblPrEx>
        <w:trPr>
          <w:trHeight w:val="586" w:hRule="atLeast"/>
        </w:trPr>
        <w:tc>
          <w:tcPr>
            <w:tcW w:w="649" w:type="dxa"/>
            <w:tcBorders>
              <w:top w:val="single" w:color="auto" w:sz="4" w:space="0"/>
              <w:left w:val="single" w:color="auto" w:sz="4" w:space="0"/>
              <w:bottom w:val="single" w:color="auto" w:sz="4" w:space="0"/>
              <w:right w:val="single" w:color="auto" w:sz="4" w:space="0"/>
            </w:tcBorders>
            <w:vAlign w:val="center"/>
          </w:tcPr>
          <w:p w14:paraId="53FF65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675FD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铝（条）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AC59A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73894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14789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10A45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0.34 </w:t>
            </w:r>
          </w:p>
        </w:tc>
      </w:tr>
      <w:tr w14:paraId="0B0B4E0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F8D21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3C844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铝（片）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86F97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27167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D8EDD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1988E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0.29 </w:t>
            </w:r>
          </w:p>
        </w:tc>
      </w:tr>
      <w:tr w14:paraId="437024B8">
        <w:tblPrEx>
          <w:tblCellMar>
            <w:top w:w="0" w:type="dxa"/>
            <w:left w:w="108" w:type="dxa"/>
            <w:bottom w:w="0" w:type="dxa"/>
            <w:right w:w="108" w:type="dxa"/>
          </w:tblCellMar>
        </w:tblPrEx>
        <w:trPr>
          <w:trHeight w:val="541" w:hRule="atLeast"/>
        </w:trPr>
        <w:tc>
          <w:tcPr>
            <w:tcW w:w="649" w:type="dxa"/>
            <w:tcBorders>
              <w:top w:val="single" w:color="auto" w:sz="4" w:space="0"/>
              <w:left w:val="single" w:color="auto" w:sz="4" w:space="0"/>
              <w:bottom w:val="single" w:color="auto" w:sz="4" w:space="0"/>
              <w:right w:val="single" w:color="auto" w:sz="4" w:space="0"/>
            </w:tcBorders>
            <w:vAlign w:val="center"/>
          </w:tcPr>
          <w:p w14:paraId="4D90FE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C1540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铝（箔）</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B4260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40540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64FB1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77757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0.34 </w:t>
            </w:r>
          </w:p>
        </w:tc>
      </w:tr>
      <w:tr w14:paraId="3E7100AD">
        <w:tblPrEx>
          <w:tblCellMar>
            <w:top w:w="0" w:type="dxa"/>
            <w:left w:w="108" w:type="dxa"/>
            <w:bottom w:w="0" w:type="dxa"/>
            <w:right w:w="108" w:type="dxa"/>
          </w:tblCellMar>
        </w:tblPrEx>
        <w:trPr>
          <w:trHeight w:val="398" w:hRule="atLeast"/>
        </w:trPr>
        <w:tc>
          <w:tcPr>
            <w:tcW w:w="649" w:type="dxa"/>
            <w:tcBorders>
              <w:top w:val="single" w:color="auto" w:sz="4" w:space="0"/>
              <w:left w:val="single" w:color="auto" w:sz="4" w:space="0"/>
              <w:bottom w:val="single" w:color="auto" w:sz="4" w:space="0"/>
              <w:right w:val="single" w:color="auto" w:sz="4" w:space="0"/>
            </w:tcBorders>
            <w:vAlign w:val="center"/>
          </w:tcPr>
          <w:p w14:paraId="087F2D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00466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锌（粒）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D1029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6F149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1C596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1911B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0.24 </w:t>
            </w:r>
          </w:p>
        </w:tc>
      </w:tr>
      <w:tr w14:paraId="16051051">
        <w:tblPrEx>
          <w:tblCellMar>
            <w:top w:w="0" w:type="dxa"/>
            <w:left w:w="108" w:type="dxa"/>
            <w:bottom w:w="0" w:type="dxa"/>
            <w:right w:w="108" w:type="dxa"/>
          </w:tblCellMar>
        </w:tblPrEx>
        <w:trPr>
          <w:trHeight w:val="314" w:hRule="atLeast"/>
        </w:trPr>
        <w:tc>
          <w:tcPr>
            <w:tcW w:w="649" w:type="dxa"/>
            <w:tcBorders>
              <w:top w:val="single" w:color="auto" w:sz="4" w:space="0"/>
              <w:left w:val="single" w:color="auto" w:sz="4" w:space="0"/>
              <w:bottom w:val="single" w:color="auto" w:sz="4" w:space="0"/>
              <w:right w:val="single" w:color="auto" w:sz="4" w:space="0"/>
            </w:tcBorders>
            <w:vAlign w:val="center"/>
          </w:tcPr>
          <w:p w14:paraId="0788CC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AA398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铁（片）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6DC81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F4A26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B39B1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555E7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0.10 </w:t>
            </w:r>
          </w:p>
        </w:tc>
      </w:tr>
      <w:tr w14:paraId="50ADF838">
        <w:tblPrEx>
          <w:tblCellMar>
            <w:top w:w="0" w:type="dxa"/>
            <w:left w:w="108" w:type="dxa"/>
            <w:bottom w:w="0" w:type="dxa"/>
            <w:right w:w="108" w:type="dxa"/>
          </w:tblCellMar>
        </w:tblPrEx>
        <w:trPr>
          <w:trHeight w:val="281" w:hRule="atLeast"/>
        </w:trPr>
        <w:tc>
          <w:tcPr>
            <w:tcW w:w="649" w:type="dxa"/>
            <w:tcBorders>
              <w:top w:val="single" w:color="auto" w:sz="4" w:space="0"/>
              <w:left w:val="single" w:color="auto" w:sz="4" w:space="0"/>
              <w:bottom w:val="single" w:color="auto" w:sz="4" w:space="0"/>
              <w:right w:val="single" w:color="auto" w:sz="4" w:space="0"/>
            </w:tcBorders>
            <w:vAlign w:val="center"/>
          </w:tcPr>
          <w:p w14:paraId="0A64AA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AE861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铁（丝）</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33EA1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52E15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1BA3A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C0FCD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0.10 </w:t>
            </w:r>
          </w:p>
        </w:tc>
      </w:tr>
      <w:tr w14:paraId="5662574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11485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63085A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铜（紫铜片）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E3BD2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37ED5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B2553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06A08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0.68 </w:t>
            </w:r>
          </w:p>
        </w:tc>
      </w:tr>
      <w:tr w14:paraId="1741E2F9">
        <w:tblPrEx>
          <w:tblCellMar>
            <w:top w:w="0" w:type="dxa"/>
            <w:left w:w="108" w:type="dxa"/>
            <w:bottom w:w="0" w:type="dxa"/>
            <w:right w:w="108" w:type="dxa"/>
          </w:tblCellMar>
        </w:tblPrEx>
        <w:trPr>
          <w:trHeight w:val="410" w:hRule="atLeast"/>
        </w:trPr>
        <w:tc>
          <w:tcPr>
            <w:tcW w:w="649" w:type="dxa"/>
            <w:tcBorders>
              <w:top w:val="single" w:color="auto" w:sz="4" w:space="0"/>
              <w:left w:val="single" w:color="auto" w:sz="4" w:space="0"/>
              <w:bottom w:val="single" w:color="auto" w:sz="4" w:space="0"/>
              <w:right w:val="single" w:color="auto" w:sz="4" w:space="0"/>
            </w:tcBorders>
            <w:vAlign w:val="center"/>
          </w:tcPr>
          <w:p w14:paraId="5B46A1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56013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铜（丝）</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11D0D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16613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429E2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A1346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0.68 </w:t>
            </w:r>
          </w:p>
        </w:tc>
      </w:tr>
      <w:tr w14:paraId="25205659">
        <w:tblPrEx>
          <w:tblCellMar>
            <w:top w:w="0" w:type="dxa"/>
            <w:left w:w="108" w:type="dxa"/>
            <w:bottom w:w="0" w:type="dxa"/>
            <w:right w:w="108" w:type="dxa"/>
          </w:tblCellMar>
        </w:tblPrEx>
        <w:trPr>
          <w:trHeight w:val="418" w:hRule="atLeast"/>
        </w:trPr>
        <w:tc>
          <w:tcPr>
            <w:tcW w:w="649" w:type="dxa"/>
            <w:tcBorders>
              <w:top w:val="single" w:color="auto" w:sz="4" w:space="0"/>
              <w:left w:val="single" w:color="auto" w:sz="4" w:space="0"/>
              <w:bottom w:val="single" w:color="auto" w:sz="4" w:space="0"/>
              <w:right w:val="single" w:color="auto" w:sz="4" w:space="0"/>
            </w:tcBorders>
            <w:vAlign w:val="center"/>
          </w:tcPr>
          <w:p w14:paraId="17CDF3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A294E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活性炭</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FE51E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符合教学实验要求，500g/瓶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E4694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92A85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0EE51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0.05 </w:t>
            </w:r>
          </w:p>
        </w:tc>
      </w:tr>
      <w:tr w14:paraId="6486BB43">
        <w:tblPrEx>
          <w:tblCellMar>
            <w:top w:w="0" w:type="dxa"/>
            <w:left w:w="108" w:type="dxa"/>
            <w:bottom w:w="0" w:type="dxa"/>
            <w:right w:w="108" w:type="dxa"/>
          </w:tblCellMar>
        </w:tblPrEx>
        <w:trPr>
          <w:trHeight w:val="374" w:hRule="atLeast"/>
        </w:trPr>
        <w:tc>
          <w:tcPr>
            <w:tcW w:w="649" w:type="dxa"/>
            <w:tcBorders>
              <w:top w:val="single" w:color="auto" w:sz="4" w:space="0"/>
              <w:left w:val="single" w:color="auto" w:sz="4" w:space="0"/>
              <w:bottom w:val="single" w:color="auto" w:sz="4" w:space="0"/>
              <w:right w:val="single" w:color="auto" w:sz="4" w:space="0"/>
            </w:tcBorders>
            <w:vAlign w:val="center"/>
          </w:tcPr>
          <w:p w14:paraId="6F7361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5E399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氧化铜</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B4080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D893E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2ABBF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2A86D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0.34 </w:t>
            </w:r>
          </w:p>
        </w:tc>
      </w:tr>
      <w:tr w14:paraId="1151E751">
        <w:tblPrEx>
          <w:tblCellMar>
            <w:top w:w="0" w:type="dxa"/>
            <w:left w:w="108" w:type="dxa"/>
            <w:bottom w:w="0" w:type="dxa"/>
            <w:right w:w="108" w:type="dxa"/>
          </w:tblCellMar>
        </w:tblPrEx>
        <w:trPr>
          <w:trHeight w:val="481" w:hRule="atLeast"/>
        </w:trPr>
        <w:tc>
          <w:tcPr>
            <w:tcW w:w="649" w:type="dxa"/>
            <w:tcBorders>
              <w:top w:val="single" w:color="auto" w:sz="4" w:space="0"/>
              <w:left w:val="single" w:color="auto" w:sz="4" w:space="0"/>
              <w:bottom w:val="single" w:color="auto" w:sz="4" w:space="0"/>
              <w:right w:val="single" w:color="auto" w:sz="4" w:space="0"/>
            </w:tcBorders>
            <w:vAlign w:val="center"/>
          </w:tcPr>
          <w:p w14:paraId="39E617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85BA1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氯化钠</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A5E3B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ECF77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F8425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E7DF4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0.03 </w:t>
            </w:r>
          </w:p>
        </w:tc>
      </w:tr>
      <w:tr w14:paraId="7C026D86">
        <w:tblPrEx>
          <w:tblCellMar>
            <w:top w:w="0" w:type="dxa"/>
            <w:left w:w="108" w:type="dxa"/>
            <w:bottom w:w="0" w:type="dxa"/>
            <w:right w:w="108" w:type="dxa"/>
          </w:tblCellMar>
        </w:tblPrEx>
        <w:trPr>
          <w:trHeight w:val="608" w:hRule="atLeast"/>
        </w:trPr>
        <w:tc>
          <w:tcPr>
            <w:tcW w:w="649" w:type="dxa"/>
            <w:tcBorders>
              <w:top w:val="single" w:color="auto" w:sz="4" w:space="0"/>
              <w:left w:val="single" w:color="auto" w:sz="4" w:space="0"/>
              <w:bottom w:val="single" w:color="auto" w:sz="4" w:space="0"/>
              <w:right w:val="single" w:color="auto" w:sz="4" w:space="0"/>
            </w:tcBorders>
            <w:vAlign w:val="center"/>
          </w:tcPr>
          <w:p w14:paraId="46F065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2454E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氯化钙（无水）</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5E81C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6570A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450DA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5B9DF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0.03 </w:t>
            </w:r>
          </w:p>
        </w:tc>
      </w:tr>
      <w:tr w14:paraId="7C5BF4EE">
        <w:tblPrEx>
          <w:tblCellMar>
            <w:top w:w="0" w:type="dxa"/>
            <w:left w:w="108" w:type="dxa"/>
            <w:bottom w:w="0" w:type="dxa"/>
            <w:right w:w="108" w:type="dxa"/>
          </w:tblCellMar>
        </w:tblPrEx>
        <w:trPr>
          <w:trHeight w:val="480" w:hRule="atLeast"/>
        </w:trPr>
        <w:tc>
          <w:tcPr>
            <w:tcW w:w="649" w:type="dxa"/>
            <w:tcBorders>
              <w:top w:val="single" w:color="auto" w:sz="4" w:space="0"/>
              <w:left w:val="single" w:color="auto" w:sz="4" w:space="0"/>
              <w:bottom w:val="single" w:color="auto" w:sz="4" w:space="0"/>
              <w:right w:val="single" w:color="auto" w:sz="4" w:space="0"/>
            </w:tcBorders>
            <w:vAlign w:val="center"/>
          </w:tcPr>
          <w:p w14:paraId="621ED4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4F01E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硫酸铵</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341E9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2D6FF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076FE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28A3C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0.05 </w:t>
            </w:r>
          </w:p>
        </w:tc>
      </w:tr>
      <w:tr w14:paraId="41EA8642">
        <w:tblPrEx>
          <w:tblCellMar>
            <w:top w:w="0" w:type="dxa"/>
            <w:left w:w="108" w:type="dxa"/>
            <w:bottom w:w="0" w:type="dxa"/>
            <w:right w:w="108" w:type="dxa"/>
          </w:tblCellMar>
        </w:tblPrEx>
        <w:trPr>
          <w:trHeight w:val="474" w:hRule="atLeast"/>
        </w:trPr>
        <w:tc>
          <w:tcPr>
            <w:tcW w:w="649" w:type="dxa"/>
            <w:tcBorders>
              <w:top w:val="single" w:color="auto" w:sz="4" w:space="0"/>
              <w:left w:val="single" w:color="auto" w:sz="4" w:space="0"/>
              <w:bottom w:val="single" w:color="auto" w:sz="4" w:space="0"/>
              <w:right w:val="single" w:color="auto" w:sz="4" w:space="0"/>
            </w:tcBorders>
            <w:vAlign w:val="center"/>
          </w:tcPr>
          <w:p w14:paraId="15C413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76B10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碳酸钠</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906B4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FCF08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3169C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58D8E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0.03 </w:t>
            </w:r>
          </w:p>
        </w:tc>
      </w:tr>
      <w:tr w14:paraId="0D0D6B80">
        <w:tblPrEx>
          <w:tblCellMar>
            <w:top w:w="0" w:type="dxa"/>
            <w:left w:w="108" w:type="dxa"/>
            <w:bottom w:w="0" w:type="dxa"/>
            <w:right w:w="108" w:type="dxa"/>
          </w:tblCellMar>
        </w:tblPrEx>
        <w:trPr>
          <w:trHeight w:val="441" w:hRule="atLeast"/>
        </w:trPr>
        <w:tc>
          <w:tcPr>
            <w:tcW w:w="649" w:type="dxa"/>
            <w:tcBorders>
              <w:top w:val="single" w:color="auto" w:sz="4" w:space="0"/>
              <w:left w:val="single" w:color="auto" w:sz="4" w:space="0"/>
              <w:bottom w:val="single" w:color="auto" w:sz="4" w:space="0"/>
              <w:right w:val="single" w:color="auto" w:sz="4" w:space="0"/>
            </w:tcBorders>
            <w:vAlign w:val="center"/>
          </w:tcPr>
          <w:p w14:paraId="48D6B3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2FFF8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碳酸氢钠</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739A2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9FE99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BD6BA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FC4A2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0.03 </w:t>
            </w:r>
          </w:p>
        </w:tc>
      </w:tr>
      <w:tr w14:paraId="7F62988A">
        <w:tblPrEx>
          <w:tblCellMar>
            <w:top w:w="0" w:type="dxa"/>
            <w:left w:w="108" w:type="dxa"/>
            <w:bottom w:w="0" w:type="dxa"/>
            <w:right w:w="108" w:type="dxa"/>
          </w:tblCellMar>
        </w:tblPrEx>
        <w:trPr>
          <w:trHeight w:val="420" w:hRule="atLeast"/>
        </w:trPr>
        <w:tc>
          <w:tcPr>
            <w:tcW w:w="649" w:type="dxa"/>
            <w:tcBorders>
              <w:top w:val="single" w:color="auto" w:sz="4" w:space="0"/>
              <w:left w:val="single" w:color="auto" w:sz="4" w:space="0"/>
              <w:bottom w:val="single" w:color="auto" w:sz="4" w:space="0"/>
              <w:right w:val="single" w:color="auto" w:sz="4" w:space="0"/>
            </w:tcBorders>
            <w:vAlign w:val="center"/>
          </w:tcPr>
          <w:p w14:paraId="2B12C3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4001B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碳酸氢铵</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1BADF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BC697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D8542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D7CE5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0.05 </w:t>
            </w:r>
          </w:p>
        </w:tc>
      </w:tr>
      <w:tr w14:paraId="7530CB77">
        <w:tblPrEx>
          <w:tblCellMar>
            <w:top w:w="0" w:type="dxa"/>
            <w:left w:w="108" w:type="dxa"/>
            <w:bottom w:w="0" w:type="dxa"/>
            <w:right w:w="108" w:type="dxa"/>
          </w:tblCellMar>
        </w:tblPrEx>
        <w:trPr>
          <w:trHeight w:val="494" w:hRule="atLeast"/>
        </w:trPr>
        <w:tc>
          <w:tcPr>
            <w:tcW w:w="649" w:type="dxa"/>
            <w:tcBorders>
              <w:top w:val="single" w:color="auto" w:sz="4" w:space="0"/>
              <w:left w:val="single" w:color="auto" w:sz="4" w:space="0"/>
              <w:bottom w:val="single" w:color="auto" w:sz="4" w:space="0"/>
              <w:right w:val="single" w:color="auto" w:sz="4" w:space="0"/>
            </w:tcBorders>
            <w:vAlign w:val="center"/>
          </w:tcPr>
          <w:p w14:paraId="55A56B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69B1B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植物油</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E6D15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食用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78F27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EC094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毫升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EE754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0.07 </w:t>
            </w:r>
          </w:p>
        </w:tc>
      </w:tr>
      <w:tr w14:paraId="2FFB9473">
        <w:tblPrEx>
          <w:tblCellMar>
            <w:top w:w="0" w:type="dxa"/>
            <w:left w:w="108" w:type="dxa"/>
            <w:bottom w:w="0" w:type="dxa"/>
            <w:right w:w="108" w:type="dxa"/>
          </w:tblCellMar>
        </w:tblPrEx>
        <w:trPr>
          <w:trHeight w:val="432" w:hRule="atLeast"/>
        </w:trPr>
        <w:tc>
          <w:tcPr>
            <w:tcW w:w="649" w:type="dxa"/>
            <w:tcBorders>
              <w:top w:val="single" w:color="auto" w:sz="4" w:space="0"/>
              <w:left w:val="single" w:color="auto" w:sz="4" w:space="0"/>
              <w:bottom w:val="single" w:color="auto" w:sz="4" w:space="0"/>
              <w:right w:val="single" w:color="auto" w:sz="4" w:space="0"/>
            </w:tcBorders>
            <w:vAlign w:val="center"/>
          </w:tcPr>
          <w:p w14:paraId="6F287F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4FD77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石蜡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0D1C7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6E61E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20921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DE68F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0.07 </w:t>
            </w:r>
          </w:p>
        </w:tc>
      </w:tr>
      <w:tr w14:paraId="631C465D">
        <w:tblPrEx>
          <w:tblCellMar>
            <w:top w:w="0" w:type="dxa"/>
            <w:left w:w="108" w:type="dxa"/>
            <w:bottom w:w="0" w:type="dxa"/>
            <w:right w:w="108" w:type="dxa"/>
          </w:tblCellMar>
        </w:tblPrEx>
        <w:trPr>
          <w:trHeight w:val="460" w:hRule="atLeast"/>
        </w:trPr>
        <w:tc>
          <w:tcPr>
            <w:tcW w:w="649" w:type="dxa"/>
            <w:tcBorders>
              <w:top w:val="single" w:color="auto" w:sz="4" w:space="0"/>
              <w:left w:val="single" w:color="auto" w:sz="4" w:space="0"/>
              <w:bottom w:val="single" w:color="auto" w:sz="4" w:space="0"/>
              <w:right w:val="single" w:color="auto" w:sz="4" w:space="0"/>
            </w:tcBorders>
            <w:vAlign w:val="center"/>
          </w:tcPr>
          <w:p w14:paraId="1F074F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1E38D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石蜡（油）</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F02A8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83439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F2244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毫升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88CDF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0.07 </w:t>
            </w:r>
          </w:p>
        </w:tc>
      </w:tr>
      <w:tr w14:paraId="3C022E05">
        <w:tblPrEx>
          <w:tblCellMar>
            <w:top w:w="0" w:type="dxa"/>
            <w:left w:w="108" w:type="dxa"/>
            <w:bottom w:w="0" w:type="dxa"/>
            <w:right w:w="108" w:type="dxa"/>
          </w:tblCellMar>
        </w:tblPrEx>
        <w:trPr>
          <w:trHeight w:val="462" w:hRule="atLeast"/>
        </w:trPr>
        <w:tc>
          <w:tcPr>
            <w:tcW w:w="649" w:type="dxa"/>
            <w:tcBorders>
              <w:top w:val="single" w:color="auto" w:sz="4" w:space="0"/>
              <w:left w:val="single" w:color="auto" w:sz="4" w:space="0"/>
              <w:bottom w:val="single" w:color="auto" w:sz="4" w:space="0"/>
              <w:right w:val="single" w:color="auto" w:sz="4" w:space="0"/>
            </w:tcBorders>
            <w:vAlign w:val="center"/>
          </w:tcPr>
          <w:p w14:paraId="1FF826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6DF83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苯甲酸</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922BD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6FACD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45D71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7B5E4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0.11 </w:t>
            </w:r>
          </w:p>
        </w:tc>
      </w:tr>
      <w:tr w14:paraId="38C3E5DD">
        <w:tblPrEx>
          <w:tblCellMar>
            <w:top w:w="0" w:type="dxa"/>
            <w:left w:w="108" w:type="dxa"/>
            <w:bottom w:w="0" w:type="dxa"/>
            <w:right w:w="108" w:type="dxa"/>
          </w:tblCellMar>
        </w:tblPrEx>
        <w:trPr>
          <w:trHeight w:val="678" w:hRule="atLeast"/>
        </w:trPr>
        <w:tc>
          <w:tcPr>
            <w:tcW w:w="649" w:type="dxa"/>
            <w:tcBorders>
              <w:top w:val="single" w:color="auto" w:sz="4" w:space="0"/>
              <w:left w:val="single" w:color="auto" w:sz="4" w:space="0"/>
              <w:bottom w:val="single" w:color="auto" w:sz="4" w:space="0"/>
              <w:right w:val="single" w:color="auto" w:sz="4" w:space="0"/>
            </w:tcBorders>
            <w:vAlign w:val="center"/>
          </w:tcPr>
          <w:p w14:paraId="077B5A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ED82F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实验室用品</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1C781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满足教学实验用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6C3F62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9C815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批</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E7CEE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3441.75</w:t>
            </w:r>
          </w:p>
        </w:tc>
      </w:tr>
      <w:tr w14:paraId="05522327">
        <w:tblPrEx>
          <w:tblCellMar>
            <w:top w:w="0" w:type="dxa"/>
            <w:left w:w="108" w:type="dxa"/>
            <w:bottom w:w="0" w:type="dxa"/>
            <w:right w:w="108" w:type="dxa"/>
          </w:tblCellMar>
        </w:tblPrEx>
        <w:trPr>
          <w:trHeight w:val="417" w:hRule="atLeast"/>
        </w:trPr>
        <w:tc>
          <w:tcPr>
            <w:tcW w:w="649" w:type="dxa"/>
            <w:tcBorders>
              <w:top w:val="single" w:color="auto" w:sz="4" w:space="0"/>
              <w:left w:val="single" w:color="auto" w:sz="4" w:space="0"/>
              <w:bottom w:val="single" w:color="auto" w:sz="4" w:space="0"/>
              <w:right w:val="single" w:color="auto" w:sz="4" w:space="0"/>
            </w:tcBorders>
            <w:vAlign w:val="center"/>
          </w:tcPr>
          <w:p w14:paraId="3FD6BF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58B09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石蕊</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2A053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指示剂</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033DB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B8A6A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14BC6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5.41 </w:t>
            </w:r>
          </w:p>
        </w:tc>
      </w:tr>
      <w:tr w14:paraId="6274AB49">
        <w:tblPrEx>
          <w:tblCellMar>
            <w:top w:w="0" w:type="dxa"/>
            <w:left w:w="108" w:type="dxa"/>
            <w:bottom w:w="0" w:type="dxa"/>
            <w:right w:w="108" w:type="dxa"/>
          </w:tblCellMar>
        </w:tblPrEx>
        <w:trPr>
          <w:trHeight w:val="541" w:hRule="atLeast"/>
        </w:trPr>
        <w:tc>
          <w:tcPr>
            <w:tcW w:w="649" w:type="dxa"/>
            <w:tcBorders>
              <w:top w:val="single" w:color="auto" w:sz="4" w:space="0"/>
              <w:left w:val="single" w:color="auto" w:sz="4" w:space="0"/>
              <w:bottom w:val="single" w:color="auto" w:sz="4" w:space="0"/>
              <w:right w:val="single" w:color="auto" w:sz="4" w:space="0"/>
            </w:tcBorders>
            <w:vAlign w:val="center"/>
          </w:tcPr>
          <w:p w14:paraId="1257EC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2745E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酚酞</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75168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指示剂</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C50B9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A1B82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E52AF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0.81 </w:t>
            </w:r>
          </w:p>
        </w:tc>
      </w:tr>
      <w:tr w14:paraId="1C12FD8A">
        <w:tblPrEx>
          <w:tblCellMar>
            <w:top w:w="0" w:type="dxa"/>
            <w:left w:w="108" w:type="dxa"/>
            <w:bottom w:w="0" w:type="dxa"/>
            <w:right w:w="108" w:type="dxa"/>
          </w:tblCellMar>
        </w:tblPrEx>
        <w:trPr>
          <w:trHeight w:val="490" w:hRule="atLeast"/>
        </w:trPr>
        <w:tc>
          <w:tcPr>
            <w:tcW w:w="649" w:type="dxa"/>
            <w:tcBorders>
              <w:top w:val="single" w:color="auto" w:sz="4" w:space="0"/>
              <w:left w:val="single" w:color="auto" w:sz="4" w:space="0"/>
              <w:bottom w:val="single" w:color="auto" w:sz="4" w:space="0"/>
              <w:right w:val="single" w:color="auto" w:sz="4" w:space="0"/>
            </w:tcBorders>
            <w:vAlign w:val="center"/>
          </w:tcPr>
          <w:p w14:paraId="37A1BF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D6340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品红</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388A5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染料</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0308D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30B72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E8914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 </w:t>
            </w:r>
          </w:p>
        </w:tc>
      </w:tr>
      <w:tr w14:paraId="3AB97D01">
        <w:tblPrEx>
          <w:tblCellMar>
            <w:top w:w="0" w:type="dxa"/>
            <w:left w:w="108" w:type="dxa"/>
            <w:bottom w:w="0" w:type="dxa"/>
            <w:right w:w="108" w:type="dxa"/>
          </w:tblCellMar>
        </w:tblPrEx>
        <w:trPr>
          <w:trHeight w:val="550" w:hRule="atLeast"/>
        </w:trPr>
        <w:tc>
          <w:tcPr>
            <w:tcW w:w="649" w:type="dxa"/>
            <w:tcBorders>
              <w:top w:val="single" w:color="auto" w:sz="4" w:space="0"/>
              <w:left w:val="single" w:color="auto" w:sz="4" w:space="0"/>
              <w:bottom w:val="single" w:color="auto" w:sz="4" w:space="0"/>
              <w:right w:val="single" w:color="auto" w:sz="4" w:space="0"/>
            </w:tcBorders>
            <w:vAlign w:val="center"/>
          </w:tcPr>
          <w:p w14:paraId="46D19D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1E55B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甲基橙</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3FE55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指示剂</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46FB6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D3C2B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C4963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1.08 </w:t>
            </w:r>
          </w:p>
        </w:tc>
      </w:tr>
      <w:tr w14:paraId="3E2AEB13">
        <w:tblPrEx>
          <w:tblCellMar>
            <w:top w:w="0" w:type="dxa"/>
            <w:left w:w="108" w:type="dxa"/>
            <w:bottom w:w="0" w:type="dxa"/>
            <w:right w:w="108" w:type="dxa"/>
          </w:tblCellMar>
        </w:tblPrEx>
        <w:trPr>
          <w:trHeight w:val="734" w:hRule="atLeast"/>
        </w:trPr>
        <w:tc>
          <w:tcPr>
            <w:tcW w:w="649" w:type="dxa"/>
            <w:tcBorders>
              <w:top w:val="single" w:color="auto" w:sz="4" w:space="0"/>
              <w:left w:val="single" w:color="auto" w:sz="4" w:space="0"/>
              <w:bottom w:val="single" w:color="auto" w:sz="4" w:space="0"/>
              <w:right w:val="single" w:color="auto" w:sz="4" w:space="0"/>
            </w:tcBorders>
            <w:vAlign w:val="center"/>
          </w:tcPr>
          <w:p w14:paraId="438E6D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A7098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pH广范围试纸</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861C3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1～14，条状，每本80张，每张尺寸不小于1*20mm。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64E64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95A2E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本</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7F732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3BCB5195">
        <w:tblPrEx>
          <w:tblCellMar>
            <w:top w:w="0" w:type="dxa"/>
            <w:left w:w="108" w:type="dxa"/>
            <w:bottom w:w="0" w:type="dxa"/>
            <w:right w:w="108" w:type="dxa"/>
          </w:tblCellMar>
        </w:tblPrEx>
        <w:trPr>
          <w:trHeight w:val="698" w:hRule="atLeast"/>
        </w:trPr>
        <w:tc>
          <w:tcPr>
            <w:tcW w:w="649" w:type="dxa"/>
            <w:tcBorders>
              <w:top w:val="single" w:color="auto" w:sz="4" w:space="0"/>
              <w:left w:val="single" w:color="auto" w:sz="4" w:space="0"/>
              <w:bottom w:val="single" w:color="auto" w:sz="4" w:space="0"/>
              <w:right w:val="single" w:color="auto" w:sz="4" w:space="0"/>
            </w:tcBorders>
            <w:vAlign w:val="center"/>
          </w:tcPr>
          <w:p w14:paraId="6CC1FB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6C444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蓝石蕊试纸</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8E7C1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条状，每本100张，每张尺寸48mm*8mm。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2B641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9049E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本</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CBFE8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5506590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C99F3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6B6E7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红石蕊试纸</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6A72C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条状，每本100张，每张尺寸48mm*8mm。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DBA27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9C1BA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本</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5F894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79C263DA">
        <w:tblPrEx>
          <w:tblCellMar>
            <w:top w:w="0" w:type="dxa"/>
            <w:left w:w="108" w:type="dxa"/>
            <w:bottom w:w="0" w:type="dxa"/>
            <w:right w:w="108" w:type="dxa"/>
          </w:tblCellMar>
        </w:tblPrEx>
        <w:trPr>
          <w:trHeight w:val="691" w:hRule="atLeast"/>
        </w:trPr>
        <w:tc>
          <w:tcPr>
            <w:tcW w:w="649" w:type="dxa"/>
            <w:tcBorders>
              <w:top w:val="single" w:color="auto" w:sz="4" w:space="0"/>
              <w:left w:val="single" w:color="auto" w:sz="4" w:space="0"/>
              <w:bottom w:val="single" w:color="auto" w:sz="4" w:space="0"/>
              <w:right w:val="single" w:color="auto" w:sz="4" w:space="0"/>
            </w:tcBorders>
            <w:vAlign w:val="center"/>
          </w:tcPr>
          <w:p w14:paraId="2A4C5D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CB95E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淀粉碘化钾试纸</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330C0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条状，每本不少于100张，每张尺寸不小于8.5mm*45mm。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27655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ECBBD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本</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43D9D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6EA4DB0D">
        <w:tblPrEx>
          <w:tblCellMar>
            <w:top w:w="0" w:type="dxa"/>
            <w:left w:w="108" w:type="dxa"/>
            <w:bottom w:w="0" w:type="dxa"/>
            <w:right w:w="108" w:type="dxa"/>
          </w:tblCellMar>
        </w:tblPrEx>
        <w:trPr>
          <w:trHeight w:val="508" w:hRule="atLeast"/>
        </w:trPr>
        <w:tc>
          <w:tcPr>
            <w:tcW w:w="649" w:type="dxa"/>
            <w:tcBorders>
              <w:top w:val="single" w:color="auto" w:sz="4" w:space="0"/>
              <w:left w:val="single" w:color="auto" w:sz="4" w:space="0"/>
              <w:bottom w:val="single" w:color="auto" w:sz="4" w:space="0"/>
              <w:right w:val="single" w:color="auto" w:sz="4" w:space="0"/>
            </w:tcBorders>
            <w:vAlign w:val="center"/>
          </w:tcPr>
          <w:p w14:paraId="121B0D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58D45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定性滤纸</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00CCA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直径70mm，100张/盒</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0FE11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77EDE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盒</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A8B94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10.82 </w:t>
            </w:r>
          </w:p>
        </w:tc>
      </w:tr>
      <w:tr w14:paraId="2728AA1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B22CE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7593A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高中化学实验材料</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D20F4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小刀、棉花、木炭、火柴、剪刀、焊锡、炭棒、导线、电灯泡、木板、电池、电珠、砂纸。</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B04CC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E3A86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份</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561C9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50.70 </w:t>
            </w:r>
          </w:p>
        </w:tc>
      </w:tr>
      <w:tr w14:paraId="187C056B">
        <w:tblPrEx>
          <w:tblCellMar>
            <w:top w:w="0" w:type="dxa"/>
            <w:left w:w="108" w:type="dxa"/>
            <w:bottom w:w="0" w:type="dxa"/>
            <w:right w:w="108" w:type="dxa"/>
          </w:tblCellMar>
        </w:tblPrEx>
        <w:trPr>
          <w:trHeight w:val="508" w:hRule="atLeast"/>
        </w:trPr>
        <w:tc>
          <w:tcPr>
            <w:tcW w:w="649" w:type="dxa"/>
            <w:tcBorders>
              <w:top w:val="single" w:color="auto" w:sz="4" w:space="0"/>
              <w:left w:val="single" w:color="auto" w:sz="4" w:space="0"/>
              <w:bottom w:val="single" w:color="auto" w:sz="4" w:space="0"/>
              <w:right w:val="single" w:color="auto" w:sz="4" w:space="0"/>
            </w:tcBorders>
            <w:vAlign w:val="center"/>
          </w:tcPr>
          <w:p w14:paraId="383F07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EC395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电极材料</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52942A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石墨、铜、锌、铁、焊锡电极。</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FDEA9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42BF8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8DCF1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40.56 </w:t>
            </w:r>
          </w:p>
        </w:tc>
      </w:tr>
      <w:tr w14:paraId="4DEDA31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F84F3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92490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一字螺丝刀</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2357D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1.规格210mm；</w:t>
            </w:r>
            <w:r>
              <w:rPr>
                <w:rFonts w:hint="eastAsia" w:asciiTheme="minorEastAsia" w:hAnsiTheme="minorEastAsia" w:eastAsiaTheme="minorEastAsia" w:cstheme="minorEastAsia"/>
                <w:color w:val="auto"/>
                <w:kern w:val="0"/>
                <w:sz w:val="21"/>
                <w:szCs w:val="21"/>
                <w:highlight w:val="none"/>
                <w:lang w:bidi="ar"/>
              </w:rPr>
              <w:tab/>
            </w:r>
          </w:p>
          <w:p w14:paraId="5E12E9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2、旋杆采用45#钢，工作部硬度不低于HRC48；</w:t>
            </w:r>
            <w:r>
              <w:rPr>
                <w:rFonts w:hint="eastAsia" w:asciiTheme="minorEastAsia" w:hAnsiTheme="minorEastAsia" w:eastAsiaTheme="minorEastAsia" w:cstheme="minorEastAsia"/>
                <w:color w:val="auto"/>
                <w:kern w:val="0"/>
                <w:sz w:val="21"/>
                <w:szCs w:val="21"/>
                <w:highlight w:val="none"/>
                <w:lang w:bidi="ar"/>
              </w:rPr>
              <w:tab/>
            </w:r>
          </w:p>
          <w:p w14:paraId="3DBBF4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3、手柄采用绝缘材质，外形根据人体工程学设计，手感舒适；</w:t>
            </w:r>
            <w:r>
              <w:rPr>
                <w:rFonts w:hint="eastAsia" w:asciiTheme="minorEastAsia" w:hAnsiTheme="minorEastAsia" w:eastAsiaTheme="minorEastAsia" w:cstheme="minorEastAsia"/>
                <w:color w:val="auto"/>
                <w:kern w:val="0"/>
                <w:sz w:val="21"/>
                <w:szCs w:val="21"/>
                <w:highlight w:val="none"/>
                <w:lang w:bidi="ar"/>
              </w:rPr>
              <w:tab/>
            </w:r>
          </w:p>
          <w:p w14:paraId="490DF4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4、旋杆应经镀铬防锈处理；</w:t>
            </w:r>
            <w:r>
              <w:rPr>
                <w:rFonts w:hint="eastAsia" w:asciiTheme="minorEastAsia" w:hAnsiTheme="minorEastAsia" w:eastAsiaTheme="minorEastAsia" w:cstheme="minorEastAsia"/>
                <w:color w:val="auto"/>
                <w:kern w:val="0"/>
                <w:sz w:val="21"/>
                <w:szCs w:val="21"/>
                <w:highlight w:val="none"/>
                <w:lang w:bidi="ar"/>
              </w:rPr>
              <w:tab/>
            </w:r>
          </w:p>
          <w:p w14:paraId="39F0B0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5、旋柄为硬质塑料制成，表面光洁、无毛刺，无缩迹。</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55284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EC158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0F9CE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3.38 </w:t>
            </w:r>
          </w:p>
        </w:tc>
      </w:tr>
      <w:tr w14:paraId="5188F17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8583A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2C836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十字螺丝刀</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AB13B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1.规格210mm；</w:t>
            </w:r>
            <w:r>
              <w:rPr>
                <w:rFonts w:hint="eastAsia" w:asciiTheme="minorEastAsia" w:hAnsiTheme="minorEastAsia" w:eastAsiaTheme="minorEastAsia" w:cstheme="minorEastAsia"/>
                <w:color w:val="auto"/>
                <w:kern w:val="0"/>
                <w:sz w:val="21"/>
                <w:szCs w:val="21"/>
                <w:highlight w:val="none"/>
                <w:lang w:bidi="ar"/>
              </w:rPr>
              <w:tab/>
            </w:r>
          </w:p>
          <w:p w14:paraId="0D7E81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2、旋杆材料采用45#钢，工作部长度内硬度HRC48～54；手柄采用绝缘材质，外形根据人体工程学设计，手感舒适；</w:t>
            </w:r>
          </w:p>
          <w:p w14:paraId="18E66A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3、旋杆应经镀铬防锈处理；</w:t>
            </w:r>
            <w:r>
              <w:rPr>
                <w:rFonts w:hint="eastAsia" w:asciiTheme="minorEastAsia" w:hAnsiTheme="minorEastAsia" w:eastAsiaTheme="minorEastAsia" w:cstheme="minorEastAsia"/>
                <w:color w:val="auto"/>
                <w:kern w:val="0"/>
                <w:sz w:val="21"/>
                <w:szCs w:val="21"/>
                <w:highlight w:val="none"/>
                <w:lang w:bidi="ar"/>
              </w:rPr>
              <w:tab/>
            </w:r>
          </w:p>
          <w:p w14:paraId="3E0772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4、旋柄为硬质塑料制成，表面光洁无毛刺，无缩迹，与旋杆接合牢固。</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C5F73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9F320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D719A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3.38 </w:t>
            </w:r>
          </w:p>
        </w:tc>
      </w:tr>
      <w:tr w14:paraId="7CD48EE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2E56F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CED46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尖嘴钳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E6126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1.型号规格：长160mm；</w:t>
            </w:r>
            <w:r>
              <w:rPr>
                <w:rFonts w:hint="eastAsia" w:asciiTheme="minorEastAsia" w:hAnsiTheme="minorEastAsia" w:eastAsiaTheme="minorEastAsia" w:cstheme="minorEastAsia"/>
                <w:color w:val="auto"/>
                <w:kern w:val="0"/>
                <w:sz w:val="21"/>
                <w:szCs w:val="21"/>
                <w:highlight w:val="none"/>
                <w:lang w:bidi="ar"/>
              </w:rPr>
              <w:tab/>
            </w:r>
          </w:p>
          <w:p w14:paraId="2C92AC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2、采用45号高碳钢精工铸造，整体精抛光、热处理，钳口高频淬火，硬度45～48HRC，PVC全新材料，环保手柄。</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1A396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D7BFA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920CB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13.52 </w:t>
            </w:r>
          </w:p>
        </w:tc>
      </w:tr>
      <w:tr w14:paraId="468FE902">
        <w:tblPrEx>
          <w:tblCellMar>
            <w:top w:w="0" w:type="dxa"/>
            <w:left w:w="108" w:type="dxa"/>
            <w:bottom w:w="0" w:type="dxa"/>
            <w:right w:w="108" w:type="dxa"/>
          </w:tblCellMar>
        </w:tblPrEx>
        <w:trPr>
          <w:trHeight w:val="594" w:hRule="atLeast"/>
        </w:trPr>
        <w:tc>
          <w:tcPr>
            <w:tcW w:w="649" w:type="dxa"/>
            <w:tcBorders>
              <w:top w:val="single" w:color="auto" w:sz="4" w:space="0"/>
              <w:left w:val="single" w:color="auto" w:sz="4" w:space="0"/>
              <w:bottom w:val="single" w:color="auto" w:sz="4" w:space="0"/>
              <w:right w:val="single" w:color="auto" w:sz="4" w:space="0"/>
            </w:tcBorders>
            <w:vAlign w:val="center"/>
          </w:tcPr>
          <w:p w14:paraId="4CE3A1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D183D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手锤（杠锤）</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6734FE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0.5kg木柄，总长285mm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5245D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9B8EF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1FFFB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15.55 </w:t>
            </w:r>
          </w:p>
        </w:tc>
      </w:tr>
      <w:tr w14:paraId="134BAFB9">
        <w:tblPrEx>
          <w:tblCellMar>
            <w:top w:w="0" w:type="dxa"/>
            <w:left w:w="108" w:type="dxa"/>
            <w:bottom w:w="0" w:type="dxa"/>
            <w:right w:w="108" w:type="dxa"/>
          </w:tblCellMar>
        </w:tblPrEx>
        <w:trPr>
          <w:trHeight w:val="475" w:hRule="atLeast"/>
        </w:trPr>
        <w:tc>
          <w:tcPr>
            <w:tcW w:w="649" w:type="dxa"/>
            <w:tcBorders>
              <w:top w:val="single" w:color="auto" w:sz="4" w:space="0"/>
              <w:left w:val="single" w:color="auto" w:sz="4" w:space="0"/>
              <w:bottom w:val="single" w:color="auto" w:sz="4" w:space="0"/>
              <w:right w:val="single" w:color="auto" w:sz="4" w:space="0"/>
            </w:tcBorders>
            <w:vAlign w:val="center"/>
          </w:tcPr>
          <w:p w14:paraId="24270C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901F6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三角锉</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DD480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工作范围长175mm；注塑手柄。</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7BF42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05A97A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7AAE3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11.83 </w:t>
            </w:r>
          </w:p>
        </w:tc>
      </w:tr>
      <w:tr w14:paraId="612FE31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9EF2E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9912E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剪刀</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6D128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1.产品表面处理为电镀剪；</w:t>
            </w:r>
            <w:r>
              <w:rPr>
                <w:rFonts w:hint="eastAsia" w:asciiTheme="minorEastAsia" w:hAnsiTheme="minorEastAsia" w:eastAsiaTheme="minorEastAsia" w:cstheme="minorEastAsia"/>
                <w:color w:val="auto"/>
                <w:kern w:val="0"/>
                <w:sz w:val="21"/>
                <w:szCs w:val="21"/>
                <w:highlight w:val="none"/>
                <w:lang w:bidi="ar"/>
              </w:rPr>
              <w:tab/>
            </w:r>
          </w:p>
          <w:p w14:paraId="003F12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2、剪刀刃口硬度不低于HRC52；</w:t>
            </w:r>
            <w:r>
              <w:rPr>
                <w:rFonts w:hint="eastAsia" w:asciiTheme="minorEastAsia" w:hAnsiTheme="minorEastAsia" w:eastAsiaTheme="minorEastAsia" w:cstheme="minorEastAsia"/>
                <w:color w:val="auto"/>
                <w:kern w:val="0"/>
                <w:sz w:val="21"/>
                <w:szCs w:val="21"/>
                <w:highlight w:val="none"/>
                <w:lang w:bidi="ar"/>
              </w:rPr>
              <w:tab/>
            </w:r>
          </w:p>
          <w:p w14:paraId="434732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3、两片刃口对应点硬度差不大于HRC4；</w:t>
            </w:r>
            <w:r>
              <w:rPr>
                <w:rFonts w:hint="eastAsia" w:asciiTheme="minorEastAsia" w:hAnsiTheme="minorEastAsia" w:eastAsiaTheme="minorEastAsia" w:cstheme="minorEastAsia"/>
                <w:color w:val="auto"/>
                <w:kern w:val="0"/>
                <w:sz w:val="21"/>
                <w:szCs w:val="21"/>
                <w:highlight w:val="none"/>
                <w:lang w:bidi="ar"/>
              </w:rPr>
              <w:tab/>
            </w:r>
          </w:p>
          <w:p w14:paraId="58C086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4、全长150mm；剪刀性能应手感轻松、均匀、剪布锋利、不咬口、不崩口、不变形。</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3465F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C2346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71105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 </w:t>
            </w:r>
          </w:p>
        </w:tc>
      </w:tr>
      <w:tr w14:paraId="2ECD37A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395ED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7F7A6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玻璃瓶盖开启器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0E2AE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可开启实验室所有瓶盖。</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6FF1B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82E34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79A37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1E8FC81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70ADA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4ED20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玻璃管切割器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E50B0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适应于细小玻璃管（可切20mm以内的玻璃试管）的切割。</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8A798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4581B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E4CC7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24360667">
        <w:tblPrEx>
          <w:tblCellMar>
            <w:top w:w="0" w:type="dxa"/>
            <w:left w:w="108" w:type="dxa"/>
            <w:bottom w:w="0" w:type="dxa"/>
            <w:right w:w="108" w:type="dxa"/>
          </w:tblCellMar>
        </w:tblPrEx>
        <w:trPr>
          <w:trHeight w:val="314" w:hRule="atLeast"/>
        </w:trPr>
        <w:tc>
          <w:tcPr>
            <w:tcW w:w="649" w:type="dxa"/>
            <w:tcBorders>
              <w:top w:val="single" w:color="auto" w:sz="4" w:space="0"/>
              <w:left w:val="single" w:color="auto" w:sz="4" w:space="0"/>
              <w:bottom w:val="single" w:color="auto" w:sz="4" w:space="0"/>
              <w:right w:val="single" w:color="auto" w:sz="4" w:space="0"/>
            </w:tcBorders>
            <w:vAlign w:val="center"/>
          </w:tcPr>
          <w:p w14:paraId="6CB759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BB793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工作服</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5031F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1.材质：涤卡；颜色为白色；</w:t>
            </w:r>
            <w:r>
              <w:rPr>
                <w:rFonts w:hint="eastAsia" w:asciiTheme="minorEastAsia" w:hAnsiTheme="minorEastAsia" w:eastAsiaTheme="minorEastAsia" w:cstheme="minorEastAsia"/>
                <w:color w:val="auto"/>
                <w:kern w:val="0"/>
                <w:sz w:val="21"/>
                <w:szCs w:val="21"/>
                <w:highlight w:val="none"/>
                <w:lang w:bidi="ar"/>
              </w:rPr>
              <w:tab/>
            </w:r>
          </w:p>
          <w:p w14:paraId="1EAF9C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2、工作服具有一定的防静电，及防酸、碱及其他化学腐蚀的能力；</w:t>
            </w:r>
          </w:p>
          <w:p w14:paraId="073B7E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3、产品应做工精细，产品外观无破损、斑点、污物等缺陷；</w:t>
            </w:r>
            <w:r>
              <w:rPr>
                <w:rFonts w:hint="eastAsia" w:asciiTheme="minorEastAsia" w:hAnsiTheme="minorEastAsia" w:eastAsiaTheme="minorEastAsia" w:cstheme="minorEastAsia"/>
                <w:color w:val="auto"/>
                <w:kern w:val="0"/>
                <w:sz w:val="21"/>
                <w:szCs w:val="21"/>
                <w:highlight w:val="none"/>
                <w:lang w:bidi="ar"/>
              </w:rPr>
              <w:tab/>
            </w:r>
          </w:p>
          <w:p w14:paraId="2B1EBF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4、产品所用材料应能满足日常穿用和中学实验室日常使用要求，具有一定耐穿性、牢固性和舒适感。</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F0B6A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F72C0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5DC92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40.56 </w:t>
            </w:r>
          </w:p>
        </w:tc>
      </w:tr>
      <w:tr w14:paraId="51DD1CC3">
        <w:tblPrEx>
          <w:tblCellMar>
            <w:top w:w="0" w:type="dxa"/>
            <w:left w:w="108" w:type="dxa"/>
            <w:bottom w:w="0" w:type="dxa"/>
            <w:right w:w="108" w:type="dxa"/>
          </w:tblCellMar>
        </w:tblPrEx>
        <w:trPr>
          <w:trHeight w:val="574" w:hRule="atLeast"/>
        </w:trPr>
        <w:tc>
          <w:tcPr>
            <w:tcW w:w="649" w:type="dxa"/>
            <w:tcBorders>
              <w:top w:val="single" w:color="auto" w:sz="4" w:space="0"/>
              <w:left w:val="single" w:color="auto" w:sz="4" w:space="0"/>
              <w:bottom w:val="single" w:color="auto" w:sz="4" w:space="0"/>
              <w:right w:val="single" w:color="auto" w:sz="4" w:space="0"/>
            </w:tcBorders>
            <w:vAlign w:val="center"/>
          </w:tcPr>
          <w:p w14:paraId="02435E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4E886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护目镜</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5E57E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1.用于实验教师防强光、眩光、紫外、激光，或是机械性伤害（机加工）；</w:t>
            </w:r>
            <w:r>
              <w:rPr>
                <w:rFonts w:hint="eastAsia" w:asciiTheme="minorEastAsia" w:hAnsiTheme="minorEastAsia" w:eastAsiaTheme="minorEastAsia" w:cstheme="minorEastAsia"/>
                <w:color w:val="auto"/>
                <w:kern w:val="0"/>
                <w:sz w:val="21"/>
                <w:szCs w:val="21"/>
                <w:highlight w:val="none"/>
                <w:lang w:bidi="ar"/>
              </w:rPr>
              <w:tab/>
            </w:r>
          </w:p>
          <w:p w14:paraId="2233D6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2、护目镜镜片由高级光学树脂（聚碳酸酯）制成，透光率高，应达到97％，强度好，防摔，能遮挡各种强光、射线等辐射，且耐腐蚀，无屈光度；</w:t>
            </w:r>
            <w:r>
              <w:rPr>
                <w:rFonts w:hint="eastAsia" w:asciiTheme="minorEastAsia" w:hAnsiTheme="minorEastAsia" w:eastAsiaTheme="minorEastAsia" w:cstheme="minorEastAsia"/>
                <w:color w:val="auto"/>
                <w:kern w:val="0"/>
                <w:sz w:val="21"/>
                <w:szCs w:val="21"/>
                <w:highlight w:val="none"/>
                <w:lang w:bidi="ar"/>
              </w:rPr>
              <w:tab/>
            </w:r>
          </w:p>
          <w:p w14:paraId="0EC3D1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3、镜片无波纹、无结瘤、疵点、无划伤等缺陷。</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B9E95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4A22C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DCBD6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8.45 </w:t>
            </w:r>
          </w:p>
        </w:tc>
      </w:tr>
      <w:tr w14:paraId="6C6517A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BE6CB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3E1DE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防护面罩</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5387F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1.产品由透明有机玻璃制成；</w:t>
            </w:r>
            <w:r>
              <w:rPr>
                <w:rFonts w:hint="eastAsia" w:asciiTheme="minorEastAsia" w:hAnsiTheme="minorEastAsia" w:eastAsiaTheme="minorEastAsia" w:cstheme="minorEastAsia"/>
                <w:color w:val="auto"/>
                <w:kern w:val="0"/>
                <w:sz w:val="21"/>
                <w:szCs w:val="21"/>
                <w:highlight w:val="none"/>
                <w:lang w:bidi="ar"/>
              </w:rPr>
              <w:tab/>
            </w:r>
          </w:p>
          <w:p w14:paraId="7765C0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2、面罩应清洁透明，应无波纹、无划伤、裂纹。</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46CC9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4AB13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55ED6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30.42 </w:t>
            </w:r>
          </w:p>
        </w:tc>
      </w:tr>
      <w:tr w14:paraId="4A474FC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0ABBB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17B92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防毒口罩</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9B448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1.直接式防毒口罩；</w:t>
            </w:r>
            <w:r>
              <w:rPr>
                <w:rFonts w:hint="eastAsia" w:asciiTheme="minorEastAsia" w:hAnsiTheme="minorEastAsia" w:eastAsiaTheme="minorEastAsia" w:cstheme="minorEastAsia"/>
                <w:color w:val="auto"/>
                <w:kern w:val="0"/>
                <w:sz w:val="21"/>
                <w:szCs w:val="21"/>
                <w:highlight w:val="none"/>
                <w:lang w:bidi="ar"/>
              </w:rPr>
              <w:tab/>
            </w:r>
          </w:p>
          <w:p w14:paraId="74BD9B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2、口罩能完全罩住口、鼻不漏气；</w:t>
            </w:r>
            <w:r>
              <w:rPr>
                <w:rFonts w:hint="eastAsia" w:asciiTheme="minorEastAsia" w:hAnsiTheme="minorEastAsia" w:eastAsiaTheme="minorEastAsia" w:cstheme="minorEastAsia"/>
                <w:color w:val="auto"/>
                <w:kern w:val="0"/>
                <w:sz w:val="21"/>
                <w:szCs w:val="21"/>
                <w:highlight w:val="none"/>
                <w:lang w:bidi="ar"/>
              </w:rPr>
              <w:tab/>
            </w:r>
          </w:p>
          <w:p w14:paraId="6FBB09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3、防毒时间不小于1小时；</w:t>
            </w:r>
            <w:r>
              <w:rPr>
                <w:rFonts w:hint="eastAsia" w:asciiTheme="minorEastAsia" w:hAnsiTheme="minorEastAsia" w:eastAsiaTheme="minorEastAsia" w:cstheme="minorEastAsia"/>
                <w:color w:val="auto"/>
                <w:kern w:val="0"/>
                <w:sz w:val="21"/>
                <w:szCs w:val="21"/>
                <w:highlight w:val="none"/>
                <w:lang w:bidi="ar"/>
              </w:rPr>
              <w:tab/>
            </w:r>
          </w:p>
          <w:p w14:paraId="317350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4、口罩应卫生清洁，不得有灰尘。不得用有毒材料制作。</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A24AC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B9517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7BF14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50.70 </w:t>
            </w:r>
          </w:p>
        </w:tc>
      </w:tr>
      <w:tr w14:paraId="6C173987">
        <w:tblPrEx>
          <w:tblCellMar>
            <w:top w:w="0" w:type="dxa"/>
            <w:left w:w="108" w:type="dxa"/>
            <w:bottom w:w="0" w:type="dxa"/>
            <w:right w:w="108" w:type="dxa"/>
          </w:tblCellMar>
        </w:tblPrEx>
        <w:trPr>
          <w:trHeight w:val="607" w:hRule="atLeast"/>
        </w:trPr>
        <w:tc>
          <w:tcPr>
            <w:tcW w:w="649" w:type="dxa"/>
            <w:tcBorders>
              <w:top w:val="single" w:color="auto" w:sz="4" w:space="0"/>
              <w:left w:val="single" w:color="auto" w:sz="4" w:space="0"/>
              <w:bottom w:val="single" w:color="auto" w:sz="4" w:space="0"/>
              <w:right w:val="single" w:color="auto" w:sz="4" w:space="0"/>
            </w:tcBorders>
            <w:vAlign w:val="center"/>
          </w:tcPr>
          <w:p w14:paraId="041FB4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40DAC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耐酸手套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06C17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1.产品为橡胶制品，长袖口带五指套；</w:t>
            </w:r>
            <w:r>
              <w:rPr>
                <w:rFonts w:hint="eastAsia" w:asciiTheme="minorEastAsia" w:hAnsiTheme="minorEastAsia" w:eastAsiaTheme="minorEastAsia" w:cstheme="minorEastAsia"/>
                <w:color w:val="auto"/>
                <w:kern w:val="0"/>
                <w:sz w:val="21"/>
                <w:szCs w:val="21"/>
                <w:highlight w:val="none"/>
                <w:lang w:bidi="ar"/>
              </w:rPr>
              <w:tab/>
            </w:r>
          </w:p>
          <w:p w14:paraId="14C25C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2、应耐强酸、强碱及氧化剂、还原剂等化学药品试剂的腐蚀，并结实耐用；</w:t>
            </w:r>
            <w:r>
              <w:rPr>
                <w:rFonts w:hint="eastAsia" w:asciiTheme="minorEastAsia" w:hAnsiTheme="minorEastAsia" w:eastAsiaTheme="minorEastAsia" w:cstheme="minorEastAsia"/>
                <w:color w:val="auto"/>
                <w:kern w:val="0"/>
                <w:sz w:val="21"/>
                <w:szCs w:val="21"/>
                <w:highlight w:val="none"/>
                <w:lang w:bidi="ar"/>
              </w:rPr>
              <w:tab/>
            </w:r>
          </w:p>
          <w:p w14:paraId="6EBF0C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3、冬季不得发硬，夏季不得粘连，各部位应完整严密，无开裂和小孔。</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3126E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06921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双</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08C91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10.14 </w:t>
            </w:r>
          </w:p>
        </w:tc>
      </w:tr>
      <w:tr w14:paraId="38F63C0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1A4F8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42B0D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耐酸手套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84806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1.产品为橡胶制品，长袖口带五指套；</w:t>
            </w:r>
            <w:r>
              <w:rPr>
                <w:rFonts w:hint="eastAsia" w:asciiTheme="minorEastAsia" w:hAnsiTheme="minorEastAsia" w:eastAsiaTheme="minorEastAsia" w:cstheme="minorEastAsia"/>
                <w:color w:val="auto"/>
                <w:kern w:val="0"/>
                <w:sz w:val="21"/>
                <w:szCs w:val="21"/>
                <w:highlight w:val="none"/>
                <w:lang w:bidi="ar"/>
              </w:rPr>
              <w:tab/>
            </w:r>
          </w:p>
          <w:p w14:paraId="67B8BC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2、应耐强酸、强碱及氧化剂、还原剂等化学药品试剂的腐蚀，并结实耐用；</w:t>
            </w:r>
            <w:r>
              <w:rPr>
                <w:rFonts w:hint="eastAsia" w:asciiTheme="minorEastAsia" w:hAnsiTheme="minorEastAsia" w:eastAsiaTheme="minorEastAsia" w:cstheme="minorEastAsia"/>
                <w:color w:val="auto"/>
                <w:kern w:val="0"/>
                <w:sz w:val="21"/>
                <w:szCs w:val="21"/>
                <w:highlight w:val="none"/>
                <w:lang w:bidi="ar"/>
              </w:rPr>
              <w:tab/>
            </w:r>
          </w:p>
          <w:p w14:paraId="18B543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3、冬季不得发硬，夏季不得粘连，各部位应完整严密，无开裂和小孔。</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FBD01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25421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双</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5827F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10.14 </w:t>
            </w:r>
          </w:p>
        </w:tc>
      </w:tr>
      <w:tr w14:paraId="5FCDFF7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7EC7D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1390C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洗眼器（洗眼壶）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25BC9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壶式，冲洗型，玻璃。</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52CD3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685CB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618B1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27.84 </w:t>
            </w:r>
          </w:p>
        </w:tc>
      </w:tr>
      <w:tr w14:paraId="05FA0A0E">
        <w:tblPrEx>
          <w:tblCellMar>
            <w:top w:w="0" w:type="dxa"/>
            <w:left w:w="108" w:type="dxa"/>
            <w:bottom w:w="0" w:type="dxa"/>
            <w:right w:w="108" w:type="dxa"/>
          </w:tblCellMar>
        </w:tblPrEx>
        <w:trPr>
          <w:trHeight w:val="583" w:hRule="atLeast"/>
        </w:trPr>
        <w:tc>
          <w:tcPr>
            <w:tcW w:w="649" w:type="dxa"/>
            <w:tcBorders>
              <w:top w:val="single" w:color="auto" w:sz="4" w:space="0"/>
              <w:left w:val="single" w:color="auto" w:sz="4" w:space="0"/>
              <w:bottom w:val="single" w:color="auto" w:sz="4" w:space="0"/>
              <w:right w:val="single" w:color="auto" w:sz="4" w:space="0"/>
            </w:tcBorders>
            <w:vAlign w:val="center"/>
          </w:tcPr>
          <w:p w14:paraId="519AED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BC5CC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实验防护屏</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B674D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三片折叠式结构，有机玻璃制。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1ABFE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420F9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4F3EA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50.89 </w:t>
            </w:r>
          </w:p>
        </w:tc>
      </w:tr>
      <w:tr w14:paraId="5A4AD444">
        <w:tblPrEx>
          <w:tblCellMar>
            <w:top w:w="0" w:type="dxa"/>
            <w:left w:w="108" w:type="dxa"/>
            <w:bottom w:w="0" w:type="dxa"/>
            <w:right w:w="108" w:type="dxa"/>
          </w:tblCellMar>
        </w:tblPrEx>
        <w:trPr>
          <w:trHeight w:val="528" w:hRule="atLeast"/>
        </w:trPr>
        <w:tc>
          <w:tcPr>
            <w:tcW w:w="10546" w:type="dxa"/>
            <w:gridSpan w:val="6"/>
            <w:tcBorders>
              <w:top w:val="single" w:color="auto" w:sz="4" w:space="0"/>
              <w:left w:val="single" w:color="auto" w:sz="4" w:space="0"/>
              <w:bottom w:val="single" w:color="auto" w:sz="4" w:space="0"/>
              <w:right w:val="single" w:color="auto" w:sz="4" w:space="0"/>
            </w:tcBorders>
            <w:vAlign w:val="center"/>
          </w:tcPr>
          <w:p w14:paraId="33732B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b/>
                <w:bCs/>
                <w:color w:val="auto"/>
                <w:kern w:val="0"/>
                <w:sz w:val="21"/>
                <w:szCs w:val="21"/>
                <w:highlight w:val="none"/>
                <w:lang w:val="en-US" w:eastAsia="zh-CN" w:bidi="ar"/>
              </w:rPr>
              <w:t>化学通风实验室</w:t>
            </w:r>
          </w:p>
        </w:tc>
      </w:tr>
      <w:tr w14:paraId="4C04E005">
        <w:tblPrEx>
          <w:tblCellMar>
            <w:top w:w="0" w:type="dxa"/>
            <w:left w:w="108" w:type="dxa"/>
            <w:bottom w:w="0" w:type="dxa"/>
            <w:right w:w="108" w:type="dxa"/>
          </w:tblCellMar>
        </w:tblPrEx>
        <w:trPr>
          <w:trHeight w:val="525" w:hRule="atLeast"/>
        </w:trPr>
        <w:tc>
          <w:tcPr>
            <w:tcW w:w="649" w:type="dxa"/>
            <w:tcBorders>
              <w:top w:val="single" w:color="auto" w:sz="4" w:space="0"/>
              <w:left w:val="single" w:color="auto" w:sz="4" w:space="0"/>
              <w:bottom w:val="single" w:color="auto" w:sz="4" w:space="0"/>
              <w:right w:val="single" w:color="auto" w:sz="4" w:space="0"/>
            </w:tcBorders>
            <w:vAlign w:val="center"/>
          </w:tcPr>
          <w:p w14:paraId="1C8A10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B540C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智慧黑板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B46A0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、嵌入式系统</w:t>
            </w:r>
          </w:p>
          <w:p w14:paraId="4F7959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1、整机嵌入式系统版本≥Android </w:t>
            </w:r>
            <w:r>
              <w:rPr>
                <w:rFonts w:hint="eastAsia" w:ascii="宋体" w:hAnsi="宋体" w:eastAsia="宋体" w:cs="宋体"/>
                <w:color w:val="auto"/>
                <w:kern w:val="0"/>
                <w:sz w:val="21"/>
                <w:szCs w:val="21"/>
                <w:highlight w:val="none"/>
                <w:lang w:val="en-US" w:eastAsia="zh-CN" w:bidi="ar"/>
              </w:rPr>
              <w:t>13</w:t>
            </w:r>
            <w:r>
              <w:rPr>
                <w:rFonts w:hint="eastAsia" w:ascii="宋体" w:hAnsi="宋体" w:eastAsia="宋体" w:cs="宋体"/>
                <w:color w:val="auto"/>
                <w:kern w:val="0"/>
                <w:sz w:val="21"/>
                <w:szCs w:val="21"/>
                <w:highlight w:val="none"/>
                <w:lang w:bidi="ar"/>
              </w:rPr>
              <w:t>，主频≥1.6GHz</w:t>
            </w:r>
            <w:r>
              <w:rPr>
                <w:rFonts w:hint="eastAsia" w:ascii="宋体" w:hAnsi="宋体" w:cs="宋体"/>
                <w:color w:val="auto"/>
                <w:kern w:val="0"/>
                <w:sz w:val="21"/>
                <w:szCs w:val="21"/>
                <w:highlight w:val="none"/>
                <w:lang w:val="en-US" w:eastAsia="zh-CN" w:bidi="ar"/>
              </w:rPr>
              <w:t>；系统支持后续在线升级</w:t>
            </w:r>
            <w:r>
              <w:rPr>
                <w:rFonts w:hint="eastAsia" w:ascii="宋体" w:hAnsi="宋体" w:eastAsia="宋体" w:cs="宋体"/>
                <w:color w:val="auto"/>
                <w:kern w:val="0"/>
                <w:sz w:val="21"/>
                <w:szCs w:val="21"/>
                <w:highlight w:val="none"/>
                <w:lang w:bidi="ar"/>
              </w:rPr>
              <w:t>。</w:t>
            </w:r>
          </w:p>
          <w:p w14:paraId="2DB811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2、嵌入式Android操作系统下，白板支持对已经书写的笔迹和形状和颜色进行更换。</w:t>
            </w:r>
          </w:p>
          <w:p w14:paraId="088BF1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3、在嵌入式系统下使用白板软件时，整机可自行调节屏幕亮度。</w:t>
            </w:r>
          </w:p>
          <w:p w14:paraId="500ACB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4、白板内置元素周期表工具，支持元素分类色彩区分、分类查看；支持多种展示模式切换。</w:t>
            </w:r>
          </w:p>
          <w:p w14:paraId="6BCA84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5、整机内置交互式白板软件支持汉字语音测评功能，通过整机拾音麦进行用户声音采集分析，判断用户发音是否标准。</w:t>
            </w:r>
          </w:p>
          <w:p w14:paraId="2E160D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6、无PC状态下，嵌入式系统内置互动白板支持全局漫游，并能在工具栏中对全局内容进行预览和移动。</w:t>
            </w:r>
          </w:p>
          <w:p w14:paraId="4E3EC8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7、无PC状态下，嵌入式Android 操作系统下可使用白板书写、WPS 软件和网页浏览</w:t>
            </w:r>
            <w:r>
              <w:rPr>
                <w:rFonts w:hint="eastAsia" w:ascii="宋体" w:hAnsi="宋体" w:eastAsia="宋体" w:cs="宋体"/>
                <w:color w:val="auto"/>
                <w:kern w:val="0"/>
                <w:sz w:val="21"/>
                <w:szCs w:val="21"/>
                <w:highlight w:val="none"/>
                <w:lang w:eastAsia="zh-CN" w:bidi="ar"/>
              </w:rPr>
              <w:t>。</w:t>
            </w:r>
          </w:p>
          <w:p w14:paraId="5923ED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8、在嵌入式Android操作系统下，能对TV多媒体USB所读取到的文件进行自动归类，可分类查找文档、板书、图片、音视频，检索后可直接在界面中打开。</w:t>
            </w:r>
          </w:p>
          <w:p w14:paraId="6FFA0D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二、电脑模块</w:t>
            </w:r>
          </w:p>
          <w:p w14:paraId="1FD5D5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1、CPU：搭载Intel  酷睿系列≥ i5 CPU；内存：8GB DDR4笔记本内存或以上配置；硬盘：256GB或以上</w:t>
            </w:r>
            <w:r>
              <w:rPr>
                <w:rFonts w:hint="eastAsia" w:ascii="宋体" w:hAnsi="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bidi="ar"/>
              </w:rPr>
              <w:t>SSD固态硬盘。</w:t>
            </w:r>
          </w:p>
          <w:p w14:paraId="26395A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2、采用按压式卡扣，无需工具即可快速拆卸电脑模块。</w:t>
            </w:r>
          </w:p>
          <w:p w14:paraId="0D4343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3、PC模块可抽拉式插入整机，可实现无单独接线的拔插。</w:t>
            </w:r>
          </w:p>
          <w:p w14:paraId="464AF6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4、具有独立非外拓展的视频输出接口：≥1 路 HDMI。</w:t>
            </w:r>
          </w:p>
          <w:p w14:paraId="5679B2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5、具有独立非外拓展的电脑 USB 接口：至少具备 4个USB3.0 接口。</w:t>
            </w:r>
          </w:p>
          <w:p w14:paraId="75EC16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6、具有标准 PC 防盗锁孔，确保电脑模块安全防盗。</w:t>
            </w:r>
          </w:p>
          <w:p w14:paraId="34D821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7、模块与整机内部互联接口带宽≥10Gbps；或采用标准OPS‑C接口，可满足整机高清图像、触控、大数据量交互传输需求。</w:t>
            </w:r>
          </w:p>
          <w:p w14:paraId="5F0850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8、模块与整机连接接口支持稳定高速信号传输，兼容行业主流 OPS/OPS‑C 接口规范。</w:t>
            </w:r>
          </w:p>
          <w:p w14:paraId="7B596A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三、硬件外观设计</w:t>
            </w:r>
          </w:p>
          <w:p w14:paraId="060086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▲1、单一物理电源按键可统一完成Android系统和Windows系统的开机、屏幕休眠、整机关机操作；</w:t>
            </w:r>
          </w:p>
          <w:p w14:paraId="10EFE4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2、整机为适配教学场景的便捷使用，设备按键采用简洁化设计，前置接口与按键在设备同一侧。前置物理按键，可实现开关机、音量＋－、护眼、录屏、设置功能。</w:t>
            </w:r>
          </w:p>
          <w:p w14:paraId="0166D4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3、支持硬件低蓝光护眼模式，可通过前置面板物理功能按键一键开启护眼模式，降低屏幕蓝光输出，实现柔和显示效果。</w:t>
            </w:r>
          </w:p>
          <w:p w14:paraId="6FB082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4、设备支持通过前置面板物理按键一键启动录屏功能，可将屏幕中显示的课件、音频内容与人声同时录制。</w:t>
            </w:r>
          </w:p>
          <w:p w14:paraId="663641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5、整机前置 USB 接口配备可翻转防护挡板。</w:t>
            </w:r>
          </w:p>
          <w:p w14:paraId="41D56B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6、整机屏幕采用≥86英寸液晶显示器。</w:t>
            </w:r>
          </w:p>
          <w:p w14:paraId="420566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7、整机采用超高清LED液晶显示屏，显示比例16:9，分辨率3840×2160或以上。</w:t>
            </w:r>
          </w:p>
          <w:p w14:paraId="214DE9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前置按键支持自定义设置，可通过自定义设置实现前置面板功能按键一键启用任一全局小工具（批注、截屏、计时、降半屏、放大镜、倒数日、日历）、快捷开关（节能模式、纸质护眼模式、经典护眼模式、自动亮度模式）。</w:t>
            </w:r>
          </w:p>
          <w:p w14:paraId="2B782E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9、整机左、右、下三边框皆具备磁吸功能，边框任意位置可吸附具备磁吸功能的书写笔。</w:t>
            </w:r>
          </w:p>
          <w:p w14:paraId="101A40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10、整机采用一体设计，外部无任何可见内部功能模块连接线。边角采用弧形设计，表面无尖锐边缘或凸起。</w:t>
            </w:r>
          </w:p>
          <w:p w14:paraId="1487D4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11、整机采用全金属外壳设计，边框为金属一体成型。</w:t>
            </w:r>
          </w:p>
          <w:p w14:paraId="3AA01D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12、整机屏幕边缘采用金属圆角包边防护，整机背板采用金属材质，有效屏蔽内部电路器件辐射；防潮耐盐雾蚀锈，适应多种教学环境。</w:t>
            </w:r>
          </w:p>
          <w:p w14:paraId="6333D4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13、侧置输入接口具备2路HDMI、1路RS232、1路USB接口或以上。</w:t>
            </w:r>
          </w:p>
          <w:p w14:paraId="1C6813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14、侧置输出接口具备1路音频输出、1路触控USB输出或以上。</w:t>
            </w:r>
          </w:p>
          <w:p w14:paraId="052301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15、前置输入接口3路USB接口（包含1路Type-C、2路USB）或以上。</w:t>
            </w:r>
          </w:p>
          <w:p w14:paraId="25F827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▲16、支持通过Type-C接口U盘进行文件传输，兼容Type-C接口手机充电。</w:t>
            </w:r>
          </w:p>
          <w:p w14:paraId="1479E0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四、音视频采集</w:t>
            </w:r>
          </w:p>
          <w:p w14:paraId="578C6B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▲1、整机设备内置扬声器，前朝向发声，12W高音扬声器，上朝向30W中低音扬声器，最大功率≥84W。</w:t>
            </w:r>
          </w:p>
          <w:p w14:paraId="77C743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▲2、整机配备专业音效调节功能，支持左右声道平衡调节；可分中低频、高频独立调校，音量调节区间覆盖±12dB，适配不同教室声场环境。</w:t>
            </w:r>
          </w:p>
          <w:p w14:paraId="21097D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▲3、整机内置非独立外扩展的4阵列麦克风，可用于对教室环境音频进行采集，麦克风拾音距离≥10米。</w:t>
            </w:r>
          </w:p>
          <w:p w14:paraId="5029DB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▲4、整机内置扬声器采用槽型开口，可降低扬声器振动对显示面板的影响，保证清晰音质效果。</w:t>
            </w:r>
          </w:p>
          <w:p w14:paraId="0A1721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5、内置摄像头、麦克风无需外接线材连接，无任何可见外接线材及模块化拼接痕迹，未占用整机设备端口。</w:t>
            </w:r>
          </w:p>
          <w:p w14:paraId="61B003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6、整机具备多组预设音效，至少包含标准、人声增强、影院音效、环境自适应音效；环境自适应音效可借助本机内置拾音设备采集教室环境声音信息，依据教室实际声学条件自动优化输出声音效果。</w:t>
            </w:r>
          </w:p>
          <w:p w14:paraId="06CFF4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7、整机内置摄像头（非外扩），PC通道下支持通过视频展台软件调用摄像头进行二维码扫码识别。</w:t>
            </w:r>
          </w:p>
          <w:p w14:paraId="1610A0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8、具备摄像头工作指示灯，摄像头运行时，有指示灯提示。</w:t>
            </w:r>
          </w:p>
          <w:p w14:paraId="217D3D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9、整机上边框内置非独立摄像头，采用一体化集成设计，⽀持输出4:3、16:9⽐例的图⽚和视频，支持拍摄≥1600 万像素数的照片和视频，支持输出 4k分辨率的视频。</w:t>
            </w:r>
          </w:p>
          <w:p w14:paraId="7BEE87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▲10、整机摄像头对角线视场角≥120度</w:t>
            </w:r>
            <w:r>
              <w:rPr>
                <w:rFonts w:hint="eastAsia" w:ascii="宋体" w:hAnsi="宋体" w:eastAsia="宋体" w:cs="宋体"/>
                <w:color w:val="auto"/>
                <w:kern w:val="0"/>
                <w:sz w:val="21"/>
                <w:szCs w:val="21"/>
                <w:highlight w:val="none"/>
                <w:lang w:eastAsia="zh-CN" w:bidi="ar"/>
              </w:rPr>
              <w:t>。</w:t>
            </w:r>
          </w:p>
          <w:p w14:paraId="42C8CE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五、显示与护眼功能</w:t>
            </w:r>
          </w:p>
          <w:p w14:paraId="229DA8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1、整机色域覆盖率（NTSC）≥72%</w:t>
            </w:r>
            <w:r>
              <w:rPr>
                <w:rFonts w:hint="eastAsia" w:ascii="宋体" w:hAnsi="宋体" w:eastAsia="宋体" w:cs="宋体"/>
                <w:color w:val="auto"/>
                <w:kern w:val="0"/>
                <w:sz w:val="21"/>
                <w:szCs w:val="21"/>
                <w:highlight w:val="none"/>
                <w:lang w:eastAsia="zh-CN" w:bidi="ar"/>
              </w:rPr>
              <w:t>。</w:t>
            </w:r>
          </w:p>
          <w:p w14:paraId="71C358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2、整机背光系统支持DC调光方式，多级亮度调节，支持白颜色背景下最暗亮度≤100nit，用于提升显示对比度。</w:t>
            </w:r>
          </w:p>
          <w:p w14:paraId="21649B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3、灰阶等级≥256级。</w:t>
            </w:r>
          </w:p>
          <w:p w14:paraId="3C2C83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4、整机屏幕蓝光占比（有害蓝光415～455nm能量综合）/（整体蓝光400～500能量综合）＜50%</w:t>
            </w:r>
            <w:r>
              <w:rPr>
                <w:rFonts w:hint="eastAsia" w:ascii="宋体" w:hAnsi="宋体" w:eastAsia="宋体" w:cs="宋体"/>
                <w:color w:val="auto"/>
                <w:kern w:val="0"/>
                <w:sz w:val="21"/>
                <w:szCs w:val="21"/>
                <w:highlight w:val="none"/>
                <w:lang w:eastAsia="zh-CN" w:bidi="ar"/>
              </w:rPr>
              <w:t>。</w:t>
            </w:r>
          </w:p>
          <w:p w14:paraId="0759AE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5、支持标准、多媒体和节能三种图像模式调节。</w:t>
            </w:r>
          </w:p>
          <w:p w14:paraId="63AD8D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6、支持自定义图像设置，可对对比度、屏幕色温、图像亮度、亮度范围、色彩空间调节设置。</w:t>
            </w:r>
          </w:p>
          <w:p w14:paraId="0E4F4D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7、整机支持手势快捷唤起 AI 画质智能调节功能；安卓系统下可识别屏幕画面内容，针对画面中的人物、建筑、夜景等场景，自动对对比度、饱和度、锐利度、色调色相、高光、阴影参数进行自适应优化。</w:t>
            </w:r>
          </w:p>
          <w:p w14:paraId="157458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8、整机视网膜蓝光危害（蓝光加权辐射亮度LB）满足IEC TR 62778:2014蓝光危害RG0级别</w:t>
            </w:r>
            <w:r>
              <w:rPr>
                <w:rFonts w:hint="eastAsia" w:ascii="宋体" w:hAnsi="宋体" w:eastAsia="宋体" w:cs="宋体"/>
                <w:color w:val="auto"/>
                <w:kern w:val="0"/>
                <w:sz w:val="21"/>
                <w:szCs w:val="21"/>
                <w:highlight w:val="none"/>
                <w:lang w:eastAsia="zh-CN" w:bidi="ar"/>
              </w:rPr>
              <w:t>。</w:t>
            </w:r>
          </w:p>
          <w:p w14:paraId="706724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9、整机全通道支持纸质护眼模式，可实现画面纹理的实时调整；支持纸质纹理：牛皮纸、素描纸、宣纸、水彩纸、水纹纸；支持透明度调节；支持色温调节。</w:t>
            </w:r>
          </w:p>
          <w:p w14:paraId="4794E5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10、纸质护眼模式下，显示画面各像素点灰度不规则，减少背景干扰。</w:t>
            </w:r>
          </w:p>
          <w:p w14:paraId="51B58A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六、无线交互功能</w:t>
            </w:r>
          </w:p>
          <w:p w14:paraId="5FD26D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1、整机无需外接无线网卡，在Windows系统下可实现Wi-Fi无线上网连接、AP无线热点发射和BT蓝牙连接功能。</w:t>
            </w:r>
          </w:p>
          <w:p w14:paraId="724BE1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2、Wi-Fi和AP热点工作距离≥12m。</w:t>
            </w:r>
          </w:p>
          <w:p w14:paraId="3CAA70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3、整机支持蓝牙Bluetooth 5.4标准。</w:t>
            </w:r>
          </w:p>
          <w:p w14:paraId="1FB5E2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4、整机PC端支持主动发现蓝牙外设从而连接（无需整机进入发现模式），支持连接外部蓝牙音箱播放音频。</w:t>
            </w:r>
          </w:p>
          <w:p w14:paraId="1B4E3D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▲5、整机支持发出频率为超声波信号，智能手机和笔记本电脑接收超声波信号后可以自动识别附近投屏设备，点击对应设备即可完成投屏操作。</w:t>
            </w:r>
          </w:p>
          <w:p w14:paraId="4E4A14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在进行传屏；投屏时可以选择过滤特定应用窗口，如邮件应用窗口。</w:t>
            </w:r>
          </w:p>
          <w:p w14:paraId="2EDEE8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7、整机内置双WiFi6无线网卡（不接受外接），在Android和Windows系统下，可实现Wi-Fi无线上网连接、AP无线热点发射。</w:t>
            </w:r>
          </w:p>
          <w:p w14:paraId="6F24C8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8、设备支持双路 Wi</w:t>
            </w:r>
            <w:r>
              <w:rPr>
                <w:rFonts w:hint="eastAsia" w:ascii="宋体" w:hAnsi="宋体" w:cs="宋体"/>
                <w:color w:val="auto"/>
                <w:kern w:val="0"/>
                <w:sz w:val="21"/>
                <w:szCs w:val="21"/>
                <w:highlight w:val="none"/>
                <w:lang w:eastAsia="zh-CN" w:bidi="ar"/>
              </w:rPr>
              <w:noBreakHyphen/>
            </w:r>
            <w:r>
              <w:rPr>
                <w:rFonts w:hint="eastAsia" w:ascii="宋体" w:hAnsi="宋体" w:cs="宋体"/>
                <w:color w:val="auto"/>
                <w:kern w:val="0"/>
                <w:sz w:val="21"/>
                <w:szCs w:val="21"/>
                <w:highlight w:val="none"/>
                <w:lang w:eastAsia="zh-CN" w:bidi="ar"/>
              </w:rPr>
              <w:t>Fi6 无线网络能力；Android 系统下支持无线设备同时连接数量≥30 个，Windows 系统下支持无线设备同时连接≥6 个。</w:t>
            </w:r>
          </w:p>
          <w:p w14:paraId="6A479E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9、设备实现双系统网络配置记忆功能：Windows 系统完成无线网络配置后，切换至嵌入式 Android 系统可直接无线上网，无需重复手动配置网络参数。</w:t>
            </w:r>
          </w:p>
          <w:p w14:paraId="1F3482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10、Wi-Fi及AP热点支持频段2.4GHz/5GHz </w:t>
            </w:r>
          </w:p>
          <w:p w14:paraId="31679F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11、Wi-Fi制式支持IEEE 802.11 a/b/g/n/ac/ax；支持版本Wi-Fi6。</w:t>
            </w:r>
          </w:p>
          <w:p w14:paraId="64562A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七、触控功能</w:t>
            </w:r>
          </w:p>
          <w:p w14:paraId="1B1B8A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1、支持Windows 7、Windows 8、Windows 10、Windows11、Linux、Mac Os、UOS和麒麟系统外置电脑操作系统接入时，无需安装触摸驱动。</w:t>
            </w:r>
          </w:p>
          <w:p w14:paraId="532181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2、触摸分辨率32768×32768。</w:t>
            </w:r>
          </w:p>
          <w:p w14:paraId="4FB7D1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3、书写触控延迟≤25ms</w:t>
            </w:r>
            <w:r>
              <w:rPr>
                <w:rFonts w:hint="eastAsia" w:ascii="宋体" w:hAnsi="宋体" w:eastAsia="宋体" w:cs="宋体"/>
                <w:color w:val="auto"/>
                <w:kern w:val="0"/>
                <w:sz w:val="21"/>
                <w:szCs w:val="21"/>
                <w:highlight w:val="none"/>
                <w:lang w:eastAsia="zh-CN" w:bidi="ar"/>
              </w:rPr>
              <w:t>。</w:t>
            </w:r>
          </w:p>
          <w:p w14:paraId="32C47E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4、整机触控书写功能集成预测算法，在书写速度≥50cm/s，支持笔迹距离笔的距离小于20mm。</w:t>
            </w:r>
          </w:p>
          <w:p w14:paraId="7D8AAD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5、触摸响应≤4ms。</w:t>
            </w:r>
          </w:p>
          <w:p w14:paraId="55DA6C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6、触摸最小识别物≤3mm。</w:t>
            </w:r>
          </w:p>
          <w:p w14:paraId="2F074B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▲7、整机屏幕触摸有效识别高度不超过3mm，即触摸物体距离玻璃外表面高度不超过3mm时，触摸屏识别为点击操作。</w:t>
            </w:r>
          </w:p>
          <w:p w14:paraId="3F3C56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8、整机支持提笔书写，在Windows系统下可实现无需点击任意功能入口，当检测到红外笔笔尖接触屏幕时，自动进入书写模式。</w:t>
            </w:r>
          </w:p>
          <w:p w14:paraId="655BDC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9、整机支持手笔分离，通过提笔即写唤醒批注功能后，可进行手笔分离功能，使用笔正常书写，使用手指可以操作应用，进行点击操作。</w:t>
            </w:r>
          </w:p>
          <w:p w14:paraId="63FDC6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10、整机触摸支持动态压力感应，支持无任何电子功能的普通书写笔在整机上书写或点压时，整机能感应压力变化，书写或点压过程笔迹呈现不同粗细。</w:t>
            </w:r>
          </w:p>
          <w:p w14:paraId="3B0897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八、侧边栏教学功能</w:t>
            </w:r>
          </w:p>
          <w:p w14:paraId="358C83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1、整机全通道侧边栏快捷菜单包含如下小工具：批注、降半屏、截屏、放大镜、倒计时、日历、聚光灯、秒表、冻屏、倒数日、答题、节拍器</w:t>
            </w:r>
            <w:r>
              <w:rPr>
                <w:rFonts w:hint="eastAsia" w:ascii="宋体" w:hAnsi="宋体" w:eastAsia="宋体" w:cs="宋体"/>
                <w:color w:val="auto"/>
                <w:kern w:val="0"/>
                <w:sz w:val="21"/>
                <w:szCs w:val="21"/>
                <w:highlight w:val="none"/>
                <w:lang w:eastAsia="zh-CN" w:bidi="ar"/>
              </w:rPr>
              <w:t>。</w:t>
            </w:r>
          </w:p>
          <w:p w14:paraId="608B3B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2、整机全通道侧边栏快捷菜单小工具支持自定义，支持设置对应小工具的显示/隐藏。</w:t>
            </w:r>
          </w:p>
          <w:p w14:paraId="1A2C65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3、整机全通道侧边栏支持使用批注小工具进行批注讲解，可切换书写笔颜色、截屏保存批注内容、清屏，可根据手与屏幕的接触面积自动调整板擦工具的大小。</w:t>
            </w:r>
          </w:p>
          <w:p w14:paraId="683B3E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4、整机全通道侧边栏支持将设备屏幕降低为半屏幕状态，点击上半屏幕可以返回全屏状态。</w:t>
            </w:r>
          </w:p>
          <w:p w14:paraId="36FDD1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5、整机全通道侧边栏支持自行选择所需截取屏幕范围，点击截屏即可成功截取屏幕，并自动保存。</w:t>
            </w:r>
          </w:p>
          <w:p w14:paraId="3F1704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6、整机全通道侧边栏支持放大选中区域内容，并可支持对未选中区域关灯处理，实现聚光灯效果。</w:t>
            </w:r>
          </w:p>
          <w:p w14:paraId="3FEC15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▲7、整机支持在无任何外部设备的情况下，实时录制用户朗读内容，识别用户声纹并进行统一身份登录，登录后自动获取个人云端教学课件列表，打开教学白板软件时可跳过软件自带登录步骤。</w:t>
            </w:r>
          </w:p>
          <w:p w14:paraId="72398D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8、整机全通道侧边栏支持打开日历，查看日期。</w:t>
            </w:r>
          </w:p>
          <w:p w14:paraId="0319FB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9、整机全通道侧边栏支持聚光灯，支持聚光灯高亮区域大小调节、区域移动。</w:t>
            </w:r>
          </w:p>
          <w:p w14:paraId="3BCDE8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10、整机全通道侧边栏支持冻屏，将屏幕画面进行缩放。</w:t>
            </w:r>
          </w:p>
          <w:p w14:paraId="7E0B13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11、整机安卓和外接通道下侧边栏支持设置倒数日。</w:t>
            </w:r>
          </w:p>
          <w:p w14:paraId="70965E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12、整机安卓和外接通道 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p>
          <w:p w14:paraId="188251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13、整机侧边栏内置智能语音转文字工具，将整机内置麦克风拾取的语音进行文字转译，以悬浮字幕形式将转译文字显示在屏幕上。</w:t>
            </w:r>
          </w:p>
          <w:p w14:paraId="2D0372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九、教学交互功能</w:t>
            </w:r>
          </w:p>
          <w:p w14:paraId="4E0E5D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1、整机内置学生日历功能，支持全屏查看日历、显示法定节日；用户可以添加日历事件，设定特定时间并关联本机安卓应用，事件到期后，可以通过事件提醒打开关联的应用，如欢迎词、白板应用。</w:t>
            </w:r>
          </w:p>
          <w:p w14:paraId="2848B5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▲2、整机内置AR授课工具，支持对视频展台所采集的画面中叠加动态的3D 模型。3D模型包括：动物、微生物、人体骨骼。</w:t>
            </w:r>
          </w:p>
          <w:p w14:paraId="4F5D34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3、整机内置 AI 授课工具，支持对整机页面显示的题目或视频展台所采集的题目内容进行识别，支持手动框选题目范围，能够对题目进行详细的讲解，讲解内容包括解题步骤和注意事项。</w:t>
            </w:r>
          </w:p>
          <w:p w14:paraId="171FF8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4、整机内置AI授课工具，可根据题目所涉及的知识点和难度级别，可推荐相似题目，推荐题目数量可根据用户需求进行设置。</w:t>
            </w:r>
          </w:p>
          <w:p w14:paraId="4B946A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5、整机内置AI作文批改工具，支持对视频展台所采集的内容进行识别，识别到英文作文类型后，支持作文内容进行批改。可根据作文的整体表现给出一个综合评分，并提供详细的评分依据。</w:t>
            </w:r>
          </w:p>
          <w:p w14:paraId="09374B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6、整机内置AI作文批改工具，能够从作文的词汇词组、语法句子、内容连贯性多个维度进行分析和评价。对于存在的语法错误和错别字，能够指出并提供修改建议。</w:t>
            </w:r>
          </w:p>
          <w:p w14:paraId="2087D3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▲7、设备配套AI 教学助手，根据教学和学习需求快速生成虚拟教学角色，支持个性化设定角色信息包括角色性格、技能与头像信息，支持语音和文字两种方式进行对话交互。</w:t>
            </w:r>
          </w:p>
          <w:p w14:paraId="324D5E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w:t>
            </w:r>
          </w:p>
          <w:p w14:paraId="73D9A1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9、整机具备班级视力检测功能，学⽣站在距离屏幕前5m处，可通过⼿势识别方式来标识方向进行视力测试，测试完成后可直接⽣成视⼒检测结果，并建⽴学⽣视⼒档案，对学⽣视⼒情况进⾏管理。</w:t>
            </w:r>
          </w:p>
          <w:p w14:paraId="7F2637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p>
          <w:p w14:paraId="7A5966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十、教学备授课软件设计</w:t>
            </w:r>
          </w:p>
          <w:p w14:paraId="41008F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（一）白板教学PC端应用</w:t>
            </w:r>
          </w:p>
          <w:p w14:paraId="678AEC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▲1、教学系统为全校教师提供可灵活扩展、便于学校管理的云存储空间；教师个人云存储空间支持扩容，单用户存储空间可扩展至 100G 及以上。</w:t>
            </w:r>
          </w:p>
          <w:p w14:paraId="5FAC3C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p>
          <w:p w14:paraId="2C7135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3、互动教学课件支持定向精准分享：分享者可将互动课件、课件组精准推送至指定接收方账号云空间，接收方可在云空间接收并打开分享课件。</w:t>
            </w:r>
          </w:p>
          <w:p w14:paraId="33A291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p>
          <w:p w14:paraId="219449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5、语文工具：具备汉字生字卡，直观展示汉字部首、笔画数量，笔画书写支持分步展示和连续展示，教师可一次性生成多个汉字生字卡，同步生成数量不少于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p>
          <w:p w14:paraId="6A4E47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6、支持软件联网自动静默升级，无需用户手动更新。</w:t>
            </w:r>
          </w:p>
          <w:p w14:paraId="24E75A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7、课件背景：提供不少于8种以上背景模板供老师选择，持自定义背景。</w:t>
            </w:r>
          </w:p>
          <w:p w14:paraId="2E67C2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8种游戏模板，直接选择并输入相应内容即可轻松生成互动分类游戏，提升课堂趣味性。</w:t>
            </w:r>
          </w:p>
          <w:p w14:paraId="1650A0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9、智能选词填空：支持创建智能选词填空游戏，教师可随意编辑填空题题干以及相应的答案选项，将选项拖到对应题干空白处，系统将自动判别答案是否正确。系统需提供不少于 8 种游戏模板供老师选择，且模板样式支持自定义修改。</w:t>
            </w:r>
          </w:p>
          <w:p w14:paraId="299FD9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10、智能配对游戏：支持创建配对游戏，教师可随意将知识点进行配对。当开始配对游戏时，拖动知识点进行配对，系统将自动判断是否正确。系统至少提供7种游戏模版，且模版样式支持自定义修改。</w:t>
            </w:r>
          </w:p>
          <w:p w14:paraId="7F8464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11、分组竞争游戏：支持创建分组竞争游戏，教师可设置正确项／干扰项，让两组学生开展竞争游戏。系统提供不少于 3 种难度、10种游戏模版选择，且模版样式支持自定义修改。</w:t>
            </w:r>
          </w:p>
          <w:p w14:paraId="02D730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▲12、数学公式编辑器：支持复杂数学公式输入，提供不少于 20 个数学符号及模板，输出的公式内容支持不同颜色标记及二次编辑。</w:t>
            </w:r>
          </w:p>
          <w:p w14:paraId="4F7D45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13、数学画板功能：</w:t>
            </w:r>
          </w:p>
          <w:p w14:paraId="207290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a)能在白板中插入在线画板，授课时可以一键打开,方便老师配合课件内容进行讲解。</w:t>
            </w:r>
          </w:p>
          <w:p w14:paraId="440CE0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b)提供不少于 500 个数学画板资源，覆盖小学、初中、高中学段数学学科主要知识点，并按照知识点分类，便于老师查找。</w:t>
            </w:r>
          </w:p>
          <w:p w14:paraId="77CA04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14:paraId="43D125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老师创建个人画板，除了点、线、面等基础元素以外，画板还可提供线段中点、椭圆焦点、极坐标方程等数十种数学常用工具，保证老师日常备授课所需。创建完成后，老师可一键将画板插入白板，与课件无缝连接。</w:t>
            </w:r>
          </w:p>
          <w:p w14:paraId="67B2E1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14:paraId="5D13DE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15、表格：</w:t>
            </w:r>
          </w:p>
          <w:p w14:paraId="1B54B4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a)具有表格插入功能，并提供5种以上表格样式供老师选择。</w:t>
            </w:r>
          </w:p>
          <w:p w14:paraId="71709E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b)表格能自适应，可一键将表格的行、列调整到最合适的大小。</w:t>
            </w:r>
          </w:p>
          <w:p w14:paraId="1F8B19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c)具有表格遮罩功能，可对表格中任意一格添加遮罩，在授课模式下通过点击可消除遮罩，方便老师设置互动活动。</w:t>
            </w:r>
          </w:p>
          <w:p w14:paraId="75F9B2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d)在授课模式下，支持表格克隆功能，可克隆出多个相同表格，</w:t>
            </w:r>
          </w:p>
          <w:p w14:paraId="297F08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方便老师请多位同学进行答题互动。</w:t>
            </w:r>
          </w:p>
          <w:p w14:paraId="349204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16、图表：</w:t>
            </w:r>
          </w:p>
          <w:p w14:paraId="0BB3A2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a)具有图表插入功能，并提供柱状图、扇形图、折线图 3 种图表形式，且每种形式提供不少于5种样式供选择。</w:t>
            </w:r>
          </w:p>
          <w:p w14:paraId="45C3EA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b)具有图表二维及三维展示形式任意切换，且三维图表支持旋转，方便多角度展示数据变化。</w:t>
            </w:r>
          </w:p>
          <w:p w14:paraId="74C1DB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c)具有图表添加超链接，可连接至课件其他页面、网页、软件自带小工具等地方。</w:t>
            </w:r>
          </w:p>
          <w:p w14:paraId="197482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d)在授课模式下，支持图表克隆功能，可克隆出多个相同图表，</w:t>
            </w:r>
          </w:p>
          <w:p w14:paraId="5625EE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方便老师进行对比观察。</w:t>
            </w:r>
          </w:p>
          <w:p w14:paraId="478AE9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17、古诗词资源：</w:t>
            </w:r>
          </w:p>
          <w:p w14:paraId="6CC518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a)提供覆盖多学段的古诗词、古文资源，包含原文、翻译、背景介绍、作者介绍、朗诵音频等。</w:t>
            </w:r>
          </w:p>
          <w:p w14:paraId="2CAC7C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b)支持用户根据年级、朝代、诗人等进行分类查找，也可直接搜索诗词、古文名称或作者名查找。</w:t>
            </w:r>
          </w:p>
          <w:p w14:paraId="00E2D7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c)提供不少于9种古诗词专用背景模板，老师可贴合古诗词意境选择合适背景进行教学。</w:t>
            </w:r>
          </w:p>
          <w:p w14:paraId="0E74B3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d)每篇古诗词、古文均提供原文及翻译、背景介绍、作者介绍等，同时支持一键跳转打开网页，展示对应的背景或作者介绍。</w:t>
            </w:r>
          </w:p>
          <w:p w14:paraId="7B3AC5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e)支持老师备课时对原文进行注释、标重点等操作，方便老师讲解重点字词。</w:t>
            </w:r>
          </w:p>
          <w:p w14:paraId="255656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f)提供原文朗读功能，全部诗词、古文均配备专业朗读配音，且支持老师在备课时对朗读音频进行打点操作，上课时可播放提前选择好的片段。</w:t>
            </w:r>
          </w:p>
          <w:p w14:paraId="20380A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w:t>
            </w:r>
          </w:p>
          <w:p w14:paraId="48EF76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19、美术画板：具有美术画板工具，提供铅笔、毛笔、油画笔，可实现模拟调色盘功能，老师可自由选择不同颜色进行混合调色，搭配出任意色彩。</w:t>
            </w:r>
          </w:p>
          <w:p w14:paraId="585255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20、美术工具：具备图形自由创作工具，教师可自由绘制复杂的任意多边图形及曲边图形；教师自主创作的图形可存储至个人云空间便于后续使用。</w:t>
            </w:r>
          </w:p>
          <w:p w14:paraId="5CDBB4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（二）白板软件移动端应用</w:t>
            </w:r>
          </w:p>
          <w:p w14:paraId="49DA79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1、课件预览保留课件对象拖拽移动、克隆复制、置顶、删除等互动功能，并可通过移动端进行思维导图、课堂互动游戏的触控交互操作，并支持显示课件备注内容。</w:t>
            </w:r>
          </w:p>
          <w:p w14:paraId="413444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2、可在移动平台选择是否接收获取的分享课件，接收后课件储存至个人云空间，可在移动平台的互动课件列表预览。</w:t>
            </w:r>
          </w:p>
          <w:p w14:paraId="118457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3、移动平台可对云空间互动课件和课件组移动、删除和重命名，课件及课件组支持批量移动、删除。</w:t>
            </w:r>
          </w:p>
          <w:p w14:paraId="26508C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4、移动平台可将课件通过微信、朋友圈、云空间帐号、二维码、公开链接、加密链接等方式进行分享，分享有效期支持自定义。</w:t>
            </w:r>
          </w:p>
          <w:p w14:paraId="79F24B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5、移动平台可查看教师个人云空间里所有互动课件列表，并可打开互动课件进行预览，预览时支持上下翻页、页面缩略图预览、页面跳转。</w:t>
            </w:r>
          </w:p>
          <w:p w14:paraId="6586CC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6、移动平台可以上传手机相册中的照片和视频到资料夹，且能调用系统相机拍摄照片并直接上传。教师可以在备课端选择资源插入课件。</w:t>
            </w:r>
          </w:p>
          <w:p w14:paraId="631A6D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十一、智能桌面管理系统</w:t>
            </w:r>
          </w:p>
          <w:p w14:paraId="1159A9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1、支持批量部署，教室内任意一台设备，可为机房内其他没有系统的设备批量安装云桌面管理软件和操作系统。</w:t>
            </w:r>
          </w:p>
          <w:p w14:paraId="4F9E1A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2、支持开机Logo自定义，减弱教育商业化。</w:t>
            </w:r>
          </w:p>
          <w:p w14:paraId="03E5B4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★3、支持一次向多个接收端设备发送文件。接收设备离线时文件能够保存在云端，接收端设备在线后，文件能够自动下载接收端设备。（提供相关证明材料</w:t>
            </w:r>
            <w:r>
              <w:rPr>
                <w:rFonts w:hint="eastAsia" w:ascii="宋体" w:hAnsi="宋体" w:cs="宋体"/>
                <w:b/>
                <w:bCs/>
                <w:color w:val="auto"/>
                <w:kern w:val="0"/>
                <w:sz w:val="21"/>
                <w:szCs w:val="21"/>
                <w:highlight w:val="none"/>
                <w:lang w:eastAsia="zh-CN" w:bidi="ar"/>
              </w:rPr>
              <w:t>（包括但不限于产品彩页、官网公示信息、功能截图、第三方检测报告等能够佐证产品性能的证明材料））</w:t>
            </w:r>
          </w:p>
          <w:p w14:paraId="0178E8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★4、用户可在资源目录中多选各类格式文件，批量发送至接收端软件中，接收端软件自动下载该文件。</w:t>
            </w:r>
            <w:r>
              <w:rPr>
                <w:rFonts w:hint="eastAsia" w:ascii="宋体" w:hAnsi="宋体" w:cs="宋体"/>
                <w:b/>
                <w:bCs/>
                <w:color w:val="auto"/>
                <w:kern w:val="0"/>
                <w:sz w:val="21"/>
                <w:szCs w:val="21"/>
                <w:highlight w:val="none"/>
                <w:lang w:eastAsia="zh-CN" w:bidi="ar"/>
              </w:rPr>
              <w:t>（提供相关证明材料（包括但不限于产品彩页、官网公示信息、功能截图、第三方检测报告等能够佐证产品性能的证明材料））</w:t>
            </w:r>
          </w:p>
          <w:p w14:paraId="3BC38C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5、支持对主流操作系统的还原属性进行设置，可分别为系统盘与数据盘配置不同的还原策略，包括每次还原、每日还原、每周还原、每月还原及不还原。</w:t>
            </w:r>
          </w:p>
          <w:p w14:paraId="1594DB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bidi="ar"/>
              </w:rPr>
              <w:t>、提供云终端检测功能，可对操作系统环境进行批量巡检，检测结果以列表形式展示，并对USB键鼠未连接、未知盘符等异常状态进行告警提示。</w:t>
            </w:r>
          </w:p>
          <w:p w14:paraId="74BACE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bidi="ar"/>
              </w:rPr>
              <w:t>、管理软件支持对操作系统提供网络修复功能，可自动检测网络服务状态并对异常问题进行修复。</w:t>
            </w:r>
          </w:p>
          <w:p w14:paraId="4C1E3C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bidi="ar"/>
              </w:rPr>
              <w:t>、管理软件支持在考试结束后，提供文件加密功能，可对指定文件进行密码保护，并完整记录加密操作日志。</w:t>
            </w:r>
          </w:p>
          <w:p w14:paraId="744409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bidi="ar"/>
              </w:rPr>
              <w:t>、管理软件支持开启内置DHCP服务，可在无外网环境下为局域网内设备自动分配IP地址，保障机房临时教学活动正常进行。</w:t>
            </w:r>
          </w:p>
          <w:p w14:paraId="28BBAF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10</w:t>
            </w:r>
            <w:r>
              <w:rPr>
                <w:rFonts w:hint="eastAsia" w:ascii="宋体" w:hAnsi="宋体" w:eastAsia="宋体" w:cs="宋体"/>
                <w:color w:val="auto"/>
                <w:kern w:val="0"/>
                <w:sz w:val="21"/>
                <w:szCs w:val="21"/>
                <w:highlight w:val="none"/>
                <w:lang w:bidi="ar"/>
              </w:rPr>
              <w:t>、支持无服务器部署模式，机房内任意一台学生机均可设置为管理端，统一管理维护所有终端设备。</w:t>
            </w:r>
          </w:p>
          <w:p w14:paraId="1CBFD3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bidi="ar"/>
              </w:rPr>
              <w:t>、管理软件内置U盘管控功能，开启后可禁止所有终端使用U盘设备，保障数据安全与系统稳定。</w:t>
            </w:r>
          </w:p>
          <w:p w14:paraId="250EE3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bidi="ar"/>
              </w:rPr>
              <w:t>、管理软件内置广告弹窗拦截功能，开启后可自动拦截终端桌面广告弹窗，净化教学办公环境。</w:t>
            </w:r>
          </w:p>
          <w:p w14:paraId="45C337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十二、产品售后保障服务</w:t>
            </w:r>
          </w:p>
          <w:p w14:paraId="4BCA4F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1、微信售后报修服务：快速输入相关问题及所在区域进行在线保修，贴心服务人员实时在线提供客服专线报修，更好更快的解决售后故障问题带来的使用不便。</w:t>
            </w:r>
          </w:p>
          <w:p w14:paraId="431331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2、微信问题查询服务：提供八大模块的问题查询及解决方案，现场完成简单故障的快速修复指导。</w:t>
            </w:r>
          </w:p>
          <w:p w14:paraId="0E6F5E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十三、其他要求</w:t>
            </w:r>
          </w:p>
          <w:p w14:paraId="04530F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为确保货物质量及原厂品质，中标供应商在正式供货时需提供生产厂家针对此项目的售后服务保证原件、供货证明原件。</w:t>
            </w:r>
          </w:p>
          <w:p w14:paraId="3F89CF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注：本产品须提供节能证书。</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2B07A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2661F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606D6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rPr>
              <w:t xml:space="preserve">13780.00  </w:t>
            </w:r>
          </w:p>
        </w:tc>
      </w:tr>
      <w:tr w14:paraId="1E4DD48A">
        <w:tblPrEx>
          <w:tblCellMar>
            <w:top w:w="0" w:type="dxa"/>
            <w:left w:w="108" w:type="dxa"/>
            <w:bottom w:w="0" w:type="dxa"/>
            <w:right w:w="108" w:type="dxa"/>
          </w:tblCellMar>
        </w:tblPrEx>
        <w:trPr>
          <w:trHeight w:val="657" w:hRule="atLeast"/>
        </w:trPr>
        <w:tc>
          <w:tcPr>
            <w:tcW w:w="649" w:type="dxa"/>
            <w:tcBorders>
              <w:top w:val="single" w:color="auto" w:sz="4" w:space="0"/>
              <w:left w:val="single" w:color="auto" w:sz="4" w:space="0"/>
              <w:bottom w:val="single" w:color="auto" w:sz="4" w:space="0"/>
              <w:right w:val="single" w:color="auto" w:sz="4" w:space="0"/>
            </w:tcBorders>
            <w:vAlign w:val="center"/>
          </w:tcPr>
          <w:p w14:paraId="60C87B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2B449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视频展台</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C16F3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（一）硬件部分：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1.整机采用圆弧式设计，无锐角；同时托板采用磁吸吸附式机构，防止托板打落，方便打开及固定，避免机械式锁具故障率高的问题。</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2.采用≥800万像素摄像头；采用USB五伏电源直接供电，无需额外配置电源适配器，环保无辐射；箱内USB连线采用隐藏式设计，箱内无可见连线且USB口下出，有效防止积尘，且方便布线和返修。</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3.A4大小拍摄幅面，1080P动态视频预览达到30帧/秒；托板及挂墙部分采用金属加强，托板可承重3kg，整机壁挂式安装。</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4.支持展台成像画面实时批注，预设多种笔画粗细及颜色供选择，且支持对展台成像画面连同批注内容进行同步缩放、移动。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5.展示托板正上方具备LED补光灯，保证展示区域的亮度及展示效果，补光灯开关采用触摸按键设计，同时可通过交互智能平板中的软件直接控制开关。</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6.带自动对焦摄像头；外壳在摄像头部分带保护镜片密封，防止灰尘沾染摄像头，防护等级达到IP4X级别。</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7.具有故障自动检测功能：在调用展台却无法出现镜头采集画面信号时，可自动出现检测链接，并给出导致性原因（如硬件连接、摄像头占用、配套软件版本等问题）。</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（二）软件部分：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1.支持对展台实时画面进行放大、缩小、旋转、自适应、冻结画面等操作。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2.支持展台画面实时批注，预设多种笔画粗细及颜色供选择，且支持对展台画面连同批注内容进行同步缩放、移动。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3.支持展台画面拍照截图并进行多图预览，可对任一图片进行全屏显示。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4.老师可在一体机或电脑上选择延时拍照功能，支持5秒或10秒延时模式，预留充足时间以便调整拍摄内容。</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5.可选择图像、文本或动态三种情景模式，适应不同展示内容。</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6.具备图像增强功能，可自动裁剪背景并增强文字显示，使文档画面更清晰。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7.支持故障自动检测，在软件无法出现展台拍摄画面时，自动出现检测链接，帮助用户检测“无画面”的原因，并给出引导性解决方案。可判断硬件连接、显卡驱动、摄像头占用、软件版本等问题。</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8.支持二维码扫码功能：打开扫一扫功能后，将书本上的二维码放入扫描框内即可自动扫描，并进入系统浏览器获取二维码的链接内容，帮助老师快速获取电子教学资源。</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CF615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32E8D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5FE7D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1000.00 </w:t>
            </w:r>
          </w:p>
        </w:tc>
      </w:tr>
      <w:tr w14:paraId="6052DC65">
        <w:tblPrEx>
          <w:tblCellMar>
            <w:top w:w="0" w:type="dxa"/>
            <w:left w:w="108" w:type="dxa"/>
            <w:bottom w:w="0" w:type="dxa"/>
            <w:right w:w="108" w:type="dxa"/>
          </w:tblCellMar>
        </w:tblPrEx>
        <w:trPr>
          <w:trHeight w:val="608" w:hRule="atLeast"/>
        </w:trPr>
        <w:tc>
          <w:tcPr>
            <w:tcW w:w="649" w:type="dxa"/>
            <w:tcBorders>
              <w:top w:val="single" w:color="auto" w:sz="4" w:space="0"/>
              <w:left w:val="single" w:color="auto" w:sz="4" w:space="0"/>
              <w:bottom w:val="single" w:color="auto" w:sz="4" w:space="0"/>
              <w:right w:val="single" w:color="auto" w:sz="4" w:space="0"/>
            </w:tcBorders>
            <w:vAlign w:val="center"/>
          </w:tcPr>
          <w:p w14:paraId="5A6517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39C4E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教师演示台</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693D8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规格：2400*700*850mm，台面颜色浅豆绿色；</w:t>
            </w:r>
          </w:p>
          <w:p w14:paraId="10148D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展示台参数</w:t>
            </w:r>
          </w:p>
          <w:p w14:paraId="29B87D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1、尺寸：2400*700*850mm，全钢结构</w:t>
            </w:r>
            <w:r>
              <w:rPr>
                <w:rFonts w:hint="eastAsia" w:ascii="宋体" w:hAnsi="宋体" w:cs="宋体"/>
                <w:i w:val="0"/>
                <w:iCs w:val="0"/>
                <w:color w:val="auto"/>
                <w:kern w:val="0"/>
                <w:sz w:val="21"/>
                <w:szCs w:val="21"/>
                <w:highlight w:val="none"/>
                <w:u w:val="none"/>
                <w:lang w:val="en-US" w:eastAsia="zh-CN" w:bidi="ar"/>
              </w:rPr>
              <w:t>；</w:t>
            </w:r>
          </w:p>
          <w:p w14:paraId="1F237B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2、台面：采用12.7mm厚双面膜实芯理化板，且满足如下参数要求：</w:t>
            </w:r>
          </w:p>
          <w:p w14:paraId="434EE2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2-1化学性能检测：台面依据GB/T 17657-2022 《人造板及饰面人造板理化性能试验方法》标准，耐污染性能不少于130项试验污染物的检测</w:t>
            </w:r>
            <w:r>
              <w:rPr>
                <w:rFonts w:hint="eastAsia" w:ascii="宋体" w:hAnsi="宋体" w:cs="宋体"/>
                <w:i w:val="0"/>
                <w:iCs w:val="0"/>
                <w:color w:val="auto"/>
                <w:kern w:val="0"/>
                <w:sz w:val="21"/>
                <w:szCs w:val="21"/>
                <w:highlight w:val="none"/>
                <w:u w:val="none"/>
                <w:lang w:val="en-US" w:eastAsia="zh-CN" w:bidi="ar"/>
              </w:rPr>
              <w:t>。</w:t>
            </w:r>
          </w:p>
          <w:p w14:paraId="4652FD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2-2且包含：65%硝酸、98%硫酸、37%盐酸、40%氢氧化钠、氯甲苯、乙二醇等试剂，覆盖玻璃盖板和未覆盖玻璃盖板检验结果均为5级：无明显变化。</w:t>
            </w:r>
          </w:p>
          <w:p w14:paraId="557234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2-3物理性能检测：台面依据GB/T 17657-2022 《人造板及饰面人造板理化性能试验方法》标准</w:t>
            </w:r>
            <w:r>
              <w:rPr>
                <w:rFonts w:hint="eastAsia" w:ascii="宋体" w:hAnsi="宋体" w:cs="宋体"/>
                <w:i w:val="0"/>
                <w:iCs w:val="0"/>
                <w:color w:val="auto"/>
                <w:kern w:val="0"/>
                <w:sz w:val="21"/>
                <w:szCs w:val="21"/>
                <w:highlight w:val="none"/>
                <w:u w:val="none"/>
                <w:lang w:val="en-US" w:eastAsia="zh-CN" w:bidi="ar"/>
              </w:rPr>
              <w:t>。</w:t>
            </w:r>
          </w:p>
          <w:p w14:paraId="3DD103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2-4满足： 含水率：≤0.9%；吸水厚度膨胀率≤0.1%；</w:t>
            </w:r>
          </w:p>
          <w:p w14:paraId="4D8935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2-5尺寸稳定性：横向≤0.07%、纵向≤0.04%；板面握螺钉力≥3490N；表面耐冷热循环性能：表面无裂纹及鼓泡；浸渍剥离性能：贴面层与基材之间的胶层无剥离和分层现象</w:t>
            </w:r>
            <w:r>
              <w:rPr>
                <w:rFonts w:hint="eastAsia" w:ascii="宋体" w:hAnsi="宋体" w:cs="宋体"/>
                <w:i w:val="0"/>
                <w:iCs w:val="0"/>
                <w:color w:val="auto"/>
                <w:kern w:val="0"/>
                <w:sz w:val="21"/>
                <w:szCs w:val="21"/>
                <w:highlight w:val="none"/>
                <w:u w:val="none"/>
                <w:lang w:val="en-US" w:eastAsia="zh-CN" w:bidi="ar"/>
              </w:rPr>
              <w:t>。</w:t>
            </w:r>
          </w:p>
          <w:p w14:paraId="761969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2-6表面耐划痕性能：4.5N作用下试件表面无大于90%的连续划痕，表面装饰花纹无破坏现象</w:t>
            </w:r>
            <w:r>
              <w:rPr>
                <w:rFonts w:hint="eastAsia" w:ascii="宋体" w:hAnsi="宋体" w:cs="宋体"/>
                <w:i w:val="0"/>
                <w:iCs w:val="0"/>
                <w:color w:val="auto"/>
                <w:kern w:val="0"/>
                <w:sz w:val="21"/>
                <w:szCs w:val="21"/>
                <w:highlight w:val="none"/>
                <w:u w:val="none"/>
                <w:lang w:val="en-US" w:eastAsia="zh-CN" w:bidi="ar"/>
              </w:rPr>
              <w:t>。</w:t>
            </w:r>
          </w:p>
          <w:p w14:paraId="4B1F39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2-7耐沸水性能：质量增加百分率≤0.01%、厚度增加百分率≤0.08%，表面质量等级：5级：无变化，边缘质量等级：5级：无明显变化</w:t>
            </w:r>
            <w:r>
              <w:rPr>
                <w:rFonts w:hint="eastAsia" w:ascii="宋体" w:hAnsi="宋体" w:cs="宋体"/>
                <w:i w:val="0"/>
                <w:iCs w:val="0"/>
                <w:color w:val="auto"/>
                <w:kern w:val="0"/>
                <w:sz w:val="21"/>
                <w:szCs w:val="21"/>
                <w:highlight w:val="none"/>
                <w:u w:val="none"/>
                <w:lang w:val="en-US" w:eastAsia="zh-CN" w:bidi="ar"/>
              </w:rPr>
              <w:t>。</w:t>
            </w:r>
          </w:p>
          <w:p w14:paraId="5CDCF1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2-8耐开裂性能：5级：无细微裂纹；表面耐磨性能：≥1100r,未出现磨损点等不低于27项检测。</w:t>
            </w:r>
          </w:p>
          <w:p w14:paraId="0F41AF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★2-9台面参照GB 18584-2024《家具中有害物质限量》标准，可迁移有害元素:铬（Cr）≤10mg/kg、铅(Pb)≤10mg/kg、镉（Cd）≤12mg/kg、汞（Hg）≤12mg/kg。</w:t>
            </w:r>
            <w:r>
              <w:rPr>
                <w:rFonts w:hint="eastAsia" w:ascii="宋体" w:hAnsi="宋体" w:cs="宋体"/>
                <w:b/>
                <w:bCs/>
                <w:i w:val="0"/>
                <w:iCs w:val="0"/>
                <w:color w:val="auto"/>
                <w:kern w:val="0"/>
                <w:sz w:val="21"/>
                <w:szCs w:val="21"/>
                <w:highlight w:val="none"/>
                <w:u w:val="none"/>
                <w:lang w:val="en-US" w:eastAsia="zh-CN" w:bidi="ar"/>
              </w:rPr>
              <w:t>（投标人需提供国家认可的第三方出具带CMA或CNAS标志或带二维码防伪的检测报告复印件，并加盖投标人公章。）</w:t>
            </w:r>
          </w:p>
          <w:p w14:paraId="0FEA0F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2-10抗菌性能检测：台面依据JC/T2039-2010标准，满足不少于 13 种的菌种检测，且抗菌率≥95%。</w:t>
            </w:r>
          </w:p>
          <w:p w14:paraId="32679B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2-11防霉性能检测：台面依据JC/T2039-2010标准，满足：黑曲霉、土曲霉、球毛壳霉、宛氏拟青霉、绳状青霉、出芽短梗霉等不少于10种的霉菌检测</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防霉等级为0级。</w:t>
            </w:r>
          </w:p>
          <w:p w14:paraId="32ABF0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2-12燃烧性能检测：台面依据GB/T 2408-2021《塑料 燃烧性能的测定水平法和垂直法》标准，满足：水平燃烧符合HB级</w:t>
            </w:r>
            <w:r>
              <w:rPr>
                <w:rFonts w:hint="eastAsia" w:ascii="宋体" w:hAnsi="宋体" w:cs="宋体"/>
                <w:i w:val="0"/>
                <w:iCs w:val="0"/>
                <w:color w:val="auto"/>
                <w:kern w:val="0"/>
                <w:sz w:val="21"/>
                <w:szCs w:val="21"/>
                <w:highlight w:val="none"/>
                <w:u w:val="none"/>
                <w:lang w:val="en-US" w:eastAsia="zh-CN" w:bidi="ar"/>
              </w:rPr>
              <w:t>或</w:t>
            </w:r>
            <w:r>
              <w:rPr>
                <w:rFonts w:hint="eastAsia" w:ascii="宋体" w:hAnsi="宋体" w:eastAsia="宋体" w:cs="宋体"/>
                <w:i w:val="0"/>
                <w:iCs w:val="0"/>
                <w:color w:val="auto"/>
                <w:kern w:val="0"/>
                <w:sz w:val="21"/>
                <w:szCs w:val="21"/>
                <w:highlight w:val="none"/>
                <w:u w:val="none"/>
                <w:lang w:val="en-US" w:eastAsia="zh-CN" w:bidi="ar"/>
              </w:rPr>
              <w:t>垂直燃烧符合V-0级</w:t>
            </w:r>
            <w:r>
              <w:rPr>
                <w:rFonts w:hint="eastAsia" w:ascii="宋体" w:hAnsi="宋体" w:cs="宋体"/>
                <w:i w:val="0"/>
                <w:iCs w:val="0"/>
                <w:color w:val="auto"/>
                <w:kern w:val="0"/>
                <w:sz w:val="21"/>
                <w:szCs w:val="21"/>
                <w:highlight w:val="none"/>
                <w:u w:val="none"/>
                <w:lang w:val="en-US" w:eastAsia="zh-CN" w:bidi="ar"/>
              </w:rPr>
              <w:t>。</w:t>
            </w:r>
          </w:p>
          <w:p w14:paraId="63FBBB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2-13台面参照GB8624-2012《建筑材料及制品燃烧性能分级》标准，满足：燃烧性能等级B1级；产烟特性等级S1级；燃烧滴落物/微粒等级d0级。</w:t>
            </w:r>
          </w:p>
          <w:p w14:paraId="6B5511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2-14烟气毒性检测：台面依据GB 8624-2012《建筑材料及制品燃烧性能分级》标准，烟气毒性等级 t1 级：ZA3（达到准安全三级ZA3）。</w:t>
            </w:r>
          </w:p>
          <w:p w14:paraId="650398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2-15抗老化性检测：台面依据GB/T24508-2020标准：48小时无开裂、无鼓泡、无粉化。</w:t>
            </w:r>
          </w:p>
          <w:p w14:paraId="7F139B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柜身：按照多媒体讲台,设计了电脑主机、显示器等设备的摆放空间，同时设计了电源盒、网络接口、电脑专用插座.中间部分是讲课演示部分，并设抽屉式结构，抽屉装有教师演示安全电源及控制装置。台身主体背板、吊板及所有板材均采用高品质1.0mm +/- 0.07mm的镀锌钢板，拉力強度&gt;270N/mm2,表面均经静电及磷化处理，环氧树脂喷涂厚度≥75um。</w:t>
            </w:r>
          </w:p>
          <w:p w14:paraId="4B92F9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门铰：采用优质175度阻尼铰链。自闭式，与柜体面水平角度&lt;15度时，柜门即可自行关闭，弹性好，外形美观，使用过程中无噪音，可开关十万次，达到国际五金行业标准，使用寿命长。</w:t>
            </w:r>
          </w:p>
          <w:p w14:paraId="7682E1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手抽：C字型不锈钢，表面有光滑防腐涂层。外形美观、经久耐用。组装接缝严密，连接牢固，无松动现象。</w:t>
            </w:r>
          </w:p>
          <w:p w14:paraId="2E65F54A">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门板及抽面：采用双层钢板，必须两层组装是设计，内置防撞胶垫，装于抽屉及门板内侧，减缓碰撞，保护柜体，保证关门减少噪音；</w:t>
            </w:r>
          </w:p>
          <w:p w14:paraId="68AEA930">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五、固定脚：采用ABS工程塑料模具成型制作而成，具有耐磨、防潮、耐腐蚀等特点。</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E2F43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C571E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CAA58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5200.00 </w:t>
            </w:r>
          </w:p>
        </w:tc>
      </w:tr>
      <w:tr w14:paraId="54793DBC">
        <w:tblPrEx>
          <w:tblCellMar>
            <w:top w:w="0" w:type="dxa"/>
            <w:left w:w="108" w:type="dxa"/>
            <w:bottom w:w="0" w:type="dxa"/>
            <w:right w:w="108" w:type="dxa"/>
          </w:tblCellMar>
        </w:tblPrEx>
        <w:trPr>
          <w:trHeight w:val="344" w:hRule="atLeast"/>
        </w:trPr>
        <w:tc>
          <w:tcPr>
            <w:tcW w:w="649" w:type="dxa"/>
            <w:tcBorders>
              <w:top w:val="single" w:color="auto" w:sz="4" w:space="0"/>
              <w:left w:val="single" w:color="auto" w:sz="4" w:space="0"/>
              <w:bottom w:val="single" w:color="auto" w:sz="4" w:space="0"/>
              <w:right w:val="single" w:color="auto" w:sz="4" w:space="0"/>
            </w:tcBorders>
            <w:vAlign w:val="center"/>
          </w:tcPr>
          <w:p w14:paraId="41A0EE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CF71C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教师总控电源</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F8D13A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教师主控电源采用微电脑控制，轻触摸操作、PVC贴膜，数字化控制、数码显示，密码或刷卡开机功能，主要功能为：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1、采用数码管显示教师和学生交直流电压、电流。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2、分4组向学生实验桌输出安全的220V交流电源，具备漏电及过载保护功能。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3、教师自用低压交流电压为0V-18V/5A.19V—30V/3A，分辨率为1V。具备自动过载保护功能，功能模块有语音提示。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4、教师自用低压直流电压为0V-18V/5A.19V—30V/3A，分辨率为0.1V。具备自动过载保护功能，功能模块有语音提示。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5、教师的直流电源过载方式：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关于直流电流设置，在直流模式下有分恒流和恒压两种模式。直流输出模式下，按“CV/CC”按键可以在恒压和恒流模式之间进行切换。</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CV指示灯亮是恒压模式。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CC指示灯亮是恒流模式，在恒流模式下按“电流调节”按键恒流电流可以在1A.2A.3A之间循环切换，相应的数码管会有相应的输出指示。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A：恒压模式：CV指示灯亮是恒压模式，在恒压模式下电流过载保护说明</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恒压模式，由教师设置电流保护值，（当电压小于18V时，过载保护电流可以设置1A,2A,3A,4A,5A输出保护，当电压大于等于18V时，过载保护电流可以设置1A,2A,3A输出保护）设定1A保护，超过1A就截止输出，数码管有输出提示过载；设定3A保护，超过3A就截止输出，数码管有输出提示过载。当电压重新设置过后，过载电流默认在中间值过载，比如小于18时是3A，大于等于18V时是2A，若要改变过载电流时需要按电流设定键调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B：恒流模式：CC指示灯亮是恒流模式，在恒流模式下输出可以短接</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恒流模式，由教师设置输出电流值，（1A,2A,3A）设定1，零欧负载（短路输出测试），可接电流表查看输出电流值。</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6、大电流输出值为9秒40A，9秒自动断开，当输出电流大于45A时即使时间没到输出也会过载保护断开。</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7、有150V240V300V、100mA，高压直流电源，有过载保护，教师可用选择按键任意选择所需高压直流电源。</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8、教师电源可控制和锁定学生的低压交流电压和直流电压。控制交流电压为0V-30V，分辨率为1V；控制直流电压为0V-30V，分辨率为0.1V。功能模块及按键都有语音提示。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9、在教师电源锁定学生电源的状态下，教师电源可控制学生电源的过载电流值，分别是（1A、1.8A、2.5A）三个档位。</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8ED6C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E11C3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F6F1C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1430.00 </w:t>
            </w:r>
          </w:p>
        </w:tc>
      </w:tr>
      <w:tr w14:paraId="3A7B46A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D8265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A7A51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教师转椅</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97662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1.五轮气动升降转椅，椅面及靠背为高回弹高密度海绵，黑色优质网面；</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2、铝合金五星脚，带扶手。</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A65AC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B3F6C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A77A0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312.00 </w:t>
            </w:r>
          </w:p>
        </w:tc>
      </w:tr>
      <w:tr w14:paraId="799F1B4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9DE27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BA5AC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洗眼器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B6281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1.洗眼喷头要求：采用不助燃PC材质模铸一体成型制作；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2、具有过滤泡棉及防尘功能，上面防尘盖平常可防尘，使用时可随时被水冲开，并降低突然打开时短暂的高水压，避免冲伤眼睛。</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C685B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4A44D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DA5A8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338.00 </w:t>
            </w:r>
          </w:p>
        </w:tc>
      </w:tr>
      <w:tr w14:paraId="03EAEFF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E899E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500BD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学生实验桌</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9B6F1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规格：1200*600*780mm，台面颜色浅豆绿色。</w:t>
            </w:r>
          </w:p>
          <w:p w14:paraId="6ECFF2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2、台面：采用12.7mm厚双面膜实芯理化板，且满足如下参数要求</w:t>
            </w:r>
            <w:r>
              <w:rPr>
                <w:rFonts w:hint="eastAsia" w:ascii="宋体" w:hAnsi="宋体" w:cs="宋体"/>
                <w:i w:val="0"/>
                <w:iCs w:val="0"/>
                <w:color w:val="auto"/>
                <w:kern w:val="0"/>
                <w:sz w:val="21"/>
                <w:szCs w:val="21"/>
                <w:highlight w:val="none"/>
                <w:u w:val="none"/>
                <w:lang w:val="en-US" w:eastAsia="zh-CN" w:bidi="ar"/>
              </w:rPr>
              <w:t>：</w:t>
            </w:r>
          </w:p>
          <w:p w14:paraId="6414C2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2-1化学性能检测：台面依据GB/T 17657-2022 《人造板及饰面人造板理化性能试验方法》标准，耐污染性能不少于130项试验污染物的检测。</w:t>
            </w:r>
          </w:p>
          <w:p w14:paraId="07F7DD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2-2且包含：65%硝酸、98%硫酸、37%盐酸、40%氢氧化钠、氯甲苯、乙二醇等试剂，覆盖玻璃盖板和未覆盖玻璃盖板检验结果均为5级：无明显变化。</w:t>
            </w:r>
          </w:p>
          <w:p w14:paraId="5C4E38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2-3物理性能检测：台面依据GB/T 17657-2022 《人造板及饰面人造板理化性能试验方法》标准。</w:t>
            </w:r>
          </w:p>
          <w:p w14:paraId="79DA44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2-4满足： 含水率：≤0.9%；吸水厚度膨胀率≤0.1%；</w:t>
            </w:r>
          </w:p>
          <w:p w14:paraId="38A946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2-5尺寸稳定性：横向≤0.07%、纵向≤0.04%；板面握螺钉力≥3490N；表面耐冷热循环性能：表面无裂纹及鼓泡；浸渍剥离性能：贴面层与基材之间的胶层无剥离和分层现象。</w:t>
            </w:r>
          </w:p>
          <w:p w14:paraId="5F4CBA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2-6表面耐划痕性能：4.5N作用下试件表面无大于90%的连续划痕，表面装饰花纹无破坏现象。</w:t>
            </w:r>
          </w:p>
          <w:p w14:paraId="1154E7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2-7耐沸水性能：质量增加百分率≤0.01%、厚度增加百分率≤0.08%，表面质量等级：5级：无变化，边缘质量等级：5级：无明显变化。</w:t>
            </w:r>
          </w:p>
          <w:p w14:paraId="73E172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2-8耐开裂性能：5级：无细微裂纹；表面耐磨性能：≥1100r,未出现磨损点等不低于27项检测。</w:t>
            </w:r>
          </w:p>
          <w:p w14:paraId="0CCCD5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★2-9台面参照GB 18584-2024《家具中有害物质限量》标准，可迁移有害元素:铬（Cr）≤10mg/kg、铅(Pb)≤10mg/kg、镉（Cd）≤12mg/kg、汞（Hg）≤12mg/kg。（投标人需提供国家认可的第三方出具带CMA或CNAS标志或带二维码防伪的检测报告复印件，并加盖投标人公章。）</w:t>
            </w:r>
          </w:p>
          <w:p w14:paraId="48BCC4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2-10抗菌性能检测：台面依据JC/T2039-2010标准，满足等不少 13 种的菌种检测，且抗菌率≥95%。</w:t>
            </w:r>
          </w:p>
          <w:p w14:paraId="239485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2-11防霉性能检测：台面依据JC/T2039-2010标准，满足：黑曲霉、土曲霉、球毛壳霉、宛氏拟青霉、绳状青霉、出芽短梗霉等不少于10种的霉菌检测，且防霉等级为0级。</w:t>
            </w:r>
          </w:p>
          <w:p w14:paraId="5DE805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2-12燃烧性能检测：台面依据GB/T 2408-2021《塑料 燃烧性能的测定 水平法和垂直法》标准，满足：水平燃烧符合HB级</w:t>
            </w:r>
            <w:r>
              <w:rPr>
                <w:rFonts w:hint="eastAsia" w:ascii="宋体" w:hAnsi="宋体" w:cs="宋体"/>
                <w:i w:val="0"/>
                <w:iCs w:val="0"/>
                <w:color w:val="auto"/>
                <w:kern w:val="0"/>
                <w:sz w:val="21"/>
                <w:szCs w:val="21"/>
                <w:highlight w:val="none"/>
                <w:u w:val="none"/>
                <w:lang w:val="en-US" w:eastAsia="zh-CN" w:bidi="ar"/>
              </w:rPr>
              <w:t>或</w:t>
            </w:r>
            <w:r>
              <w:rPr>
                <w:rFonts w:hint="eastAsia" w:ascii="宋体" w:hAnsi="宋体" w:eastAsia="宋体" w:cs="宋体"/>
                <w:i w:val="0"/>
                <w:iCs w:val="0"/>
                <w:color w:val="auto"/>
                <w:kern w:val="0"/>
                <w:sz w:val="21"/>
                <w:szCs w:val="21"/>
                <w:highlight w:val="none"/>
                <w:u w:val="none"/>
                <w:lang w:val="en-US" w:eastAsia="zh-CN" w:bidi="ar"/>
              </w:rPr>
              <w:t>垂直燃烧符合V-0级；</w:t>
            </w:r>
          </w:p>
          <w:p w14:paraId="281240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2-13台面参照GB8624-2012《建筑材料及制品燃烧性能分级》标准，满足：燃烧性能等级B1级；产烟特性等级S1级；燃烧滴落物/微粒等级d0级。</w:t>
            </w:r>
          </w:p>
          <w:p w14:paraId="1AEC19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2-14烟气毒性检测：台面依据GB 8624-2012《建筑材料及制品燃烧性能分级》标准，烟气毒性等级 t1 级：ZA3（达到准安全三级ZA3）。</w:t>
            </w:r>
          </w:p>
          <w:p w14:paraId="6D1FAE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2-15抗老化性检测：台面依据GB/T24508-2020标准：48小时无开裂、无鼓泡、无粉化。</w:t>
            </w:r>
          </w:p>
          <w:p w14:paraId="0AACAC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3、采用优质五金配件连接</w:t>
            </w:r>
            <w:r>
              <w:rPr>
                <w:rFonts w:hint="eastAsia" w:ascii="宋体" w:hAnsi="宋体" w:cs="宋体"/>
                <w:i w:val="0"/>
                <w:iCs w:val="0"/>
                <w:color w:val="auto"/>
                <w:kern w:val="0"/>
                <w:sz w:val="21"/>
                <w:szCs w:val="21"/>
                <w:highlight w:val="none"/>
                <w:u w:val="none"/>
                <w:lang w:val="en-US" w:eastAsia="zh-CN" w:bidi="ar"/>
              </w:rPr>
              <w:t>。</w:t>
            </w:r>
          </w:p>
          <w:p w14:paraId="211315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4、台身结构：新型塑铝结构，整体1180x570x760mm；</w:t>
            </w:r>
          </w:p>
          <w:p w14:paraId="52222A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5、桌腿：采用工字型压铸铝一次成型，三段连接</w:t>
            </w:r>
            <w:r>
              <w:rPr>
                <w:rFonts w:hint="eastAsia" w:ascii="宋体" w:hAnsi="宋体" w:cs="宋体"/>
                <w:i w:val="0"/>
                <w:iCs w:val="0"/>
                <w:color w:val="auto"/>
                <w:kern w:val="0"/>
                <w:sz w:val="21"/>
                <w:szCs w:val="21"/>
                <w:highlight w:val="none"/>
                <w:u w:val="none"/>
                <w:lang w:val="en-US" w:eastAsia="zh-CN" w:bidi="ar"/>
              </w:rPr>
              <w:t>。</w:t>
            </w:r>
          </w:p>
          <w:p w14:paraId="6BD036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6、上腿规格：565x58x110mm，壁厚不小于2mm内部设有加强筋</w:t>
            </w:r>
            <w:r>
              <w:rPr>
                <w:rFonts w:hint="eastAsia" w:ascii="宋体" w:hAnsi="宋体" w:cs="宋体"/>
                <w:i w:val="0"/>
                <w:iCs w:val="0"/>
                <w:color w:val="auto"/>
                <w:kern w:val="0"/>
                <w:sz w:val="21"/>
                <w:szCs w:val="21"/>
                <w:highlight w:val="none"/>
                <w:u w:val="none"/>
                <w:lang w:val="en-US" w:eastAsia="zh-CN" w:bidi="ar"/>
              </w:rPr>
              <w:t>。</w:t>
            </w:r>
          </w:p>
          <w:p w14:paraId="7421CA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7、下腿规格：545x72x125mm，壁厚不小于2mm，配有M8*60mm的升降调节脚垫</w:t>
            </w:r>
            <w:r>
              <w:rPr>
                <w:rFonts w:hint="eastAsia" w:ascii="宋体" w:hAnsi="宋体" w:cs="宋体"/>
                <w:i w:val="0"/>
                <w:iCs w:val="0"/>
                <w:color w:val="auto"/>
                <w:kern w:val="0"/>
                <w:sz w:val="21"/>
                <w:szCs w:val="21"/>
                <w:highlight w:val="none"/>
                <w:u w:val="none"/>
                <w:lang w:val="en-US" w:eastAsia="zh-CN" w:bidi="ar"/>
              </w:rPr>
              <w:t>。</w:t>
            </w:r>
          </w:p>
          <w:p w14:paraId="5DACF4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立柱：采用110×55mm，壁厚1.3mm，立柱两端内部有2个铸铝成型的螺丝连接位；内侧设有12x5mm的凹槽，使用锁拉扣连接桌体下横梁，调节方便，外侧设有装饰条。下横梁采用80x14.5mm目型铝型材制作壁厚1.2mm。前横梁采用30*30mm优质金属型材制作壁厚1mm。中横梁采用30*30mm优质金属型材制作壁厚1mm。后横梁：采用100x27mm，L型铝型材制作壁厚1mm。后横梁上侧设有挡水条。</w:t>
            </w:r>
          </w:p>
          <w:p w14:paraId="168402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9、学生位设书包斗；书包斗：采用环保型ABS工程塑料一次性注塑成型。两个书包斗中间设有电源盒，方便使用。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A9C52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8191F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4D760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1196.00 </w:t>
            </w:r>
          </w:p>
        </w:tc>
      </w:tr>
      <w:tr w14:paraId="665DCD9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E172D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C43CD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功能柱</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08374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1.功能柱：由底座、立柱、两端装饰条组成，米黄色；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2、规格：长390mm宽220mm高720mm，采用环保型ABS工程塑料注塑成型；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3、底座尺寸：390*220*30mm，壁厚3mm，内部设有加强筋；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底座上设有6个螺丝口用于连接立柱和固定地面。立柱主体尺寸：340*195*690mm，上下口尺寸：300*145mm，立柱两端各设有两个螺丝固定口，装饰条用于掩盖螺丝口使其更加美观。主要功能是保护学生通风管道及电线电缆作用，配套于学生桌，美观大方。</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8AF15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38D98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70A03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124.80 </w:t>
            </w:r>
          </w:p>
        </w:tc>
      </w:tr>
      <w:tr w14:paraId="12048CDE">
        <w:tblPrEx>
          <w:tblCellMar>
            <w:top w:w="0" w:type="dxa"/>
            <w:left w:w="108" w:type="dxa"/>
            <w:bottom w:w="0" w:type="dxa"/>
            <w:right w:w="108" w:type="dxa"/>
          </w:tblCellMar>
        </w:tblPrEx>
        <w:trPr>
          <w:trHeight w:val="607" w:hRule="atLeast"/>
        </w:trPr>
        <w:tc>
          <w:tcPr>
            <w:tcW w:w="649" w:type="dxa"/>
            <w:tcBorders>
              <w:top w:val="single" w:color="auto" w:sz="4" w:space="0"/>
              <w:left w:val="single" w:color="auto" w:sz="4" w:space="0"/>
              <w:bottom w:val="single" w:color="auto" w:sz="4" w:space="0"/>
              <w:right w:val="single" w:color="auto" w:sz="4" w:space="0"/>
            </w:tcBorders>
            <w:vAlign w:val="center"/>
          </w:tcPr>
          <w:p w14:paraId="1E7845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4C004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水槽柜</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79971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1.柜体规格：595×400×790mm；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2、榫卯连接结构并合理布局加强筋，安装时不用胶水黏结，使用产品自身力量相互连接，产品不变形，不扭曲，用M6螺丝固定；</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3、前门规格：510*365mm，主体壁厚不小于2mm背面设有厚2mm、高度不低于4.5mm的加强筋横6根竖6根；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4、前门带内凹式塑料扣手，门与整体水柜不用铰链连接，直接采用内嵌式组装。柜子整体采用环保型ABS工程塑料注塑成型；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5、水槽规格：595*380*300mm，水槽采用环保型PP材料一次性注塑成型，耐强酸碱&lt;80度有机溶剂并耐150度以下高温，壁厚3.5mm（含上水软管）；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6、侧板规格495*550*30mm，左右侧板一致，主体壁厚不小于2.5mm，背面设有厚2mm、高度不低于5.5mm的加强筋横4根竖4根；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水槽上设有滴水架，滴水架矩形结构上窄下宽，规格400*180*300mm，斜面上设有10个滴水管，滴水管呈35度角倾斜，直径不小于8.5mm，长不小于65mm；8、（1）滴水架两侧设有电源面板，面板采用阻燃ABS制作，选用优质PC贴膜，美观耐用。面板上设有新国标五孔插座，输出受教师主控的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（2）通过上下键步进调节直流输出，保证输出的连续性。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（3）低压及220V高压分开控制均分4组。学生桌的220V市电断开时，低压可正常使用；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（4）教师控制及锁定后，不能自主操作。</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07F2B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6E169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67CD6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624.00 </w:t>
            </w:r>
          </w:p>
        </w:tc>
      </w:tr>
      <w:tr w14:paraId="40207000">
        <w:tblPrEx>
          <w:tblCellMar>
            <w:top w:w="0" w:type="dxa"/>
            <w:left w:w="108" w:type="dxa"/>
            <w:bottom w:w="0" w:type="dxa"/>
            <w:right w:w="108" w:type="dxa"/>
          </w:tblCellMar>
        </w:tblPrEx>
        <w:trPr>
          <w:trHeight w:val="560" w:hRule="atLeast"/>
        </w:trPr>
        <w:tc>
          <w:tcPr>
            <w:tcW w:w="649" w:type="dxa"/>
            <w:tcBorders>
              <w:top w:val="single" w:color="auto" w:sz="4" w:space="0"/>
              <w:left w:val="single" w:color="auto" w:sz="4" w:space="0"/>
              <w:bottom w:val="single" w:color="auto" w:sz="4" w:space="0"/>
              <w:right w:val="single" w:color="auto" w:sz="4" w:space="0"/>
            </w:tcBorders>
            <w:vAlign w:val="center"/>
          </w:tcPr>
          <w:p w14:paraId="29DFD1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60982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三联水嘴</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43B03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1.鹅颈式实验室专用优质化验水嘴：要求防酸碱、防锈、防虹吸、防阻塞，表面环氧树脂喷涂；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2、出水嘴为铜质瓷芯，高头，便于多用途使用，可拆卸清洗阻塞。出水嘴可拆卸，内有成型螺纹，可方便连接循环等特殊用水水管。</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E82CC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ABC0C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4984B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169.00 </w:t>
            </w:r>
          </w:p>
        </w:tc>
      </w:tr>
      <w:tr w14:paraId="1455408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E3DD7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1AE5F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实验凳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7F8EA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一、凳面：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1、材质：采用米黄色环保型ABS改性塑料一次性注塑成型；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2、尺寸：直径300mm；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3、表面防滑不发光。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二、脚钢架：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1、材质及形状：椭圆形无缝钢管；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2、尺寸：20×40×1.2mm；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3、全圆满焊接完成，结构牢固，经高温粉体烤漆处理，长时间使用也不会产生表面烤漆剥落现象；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4、脚垫材质：采用PP加耐磨纤维质塑料，实心倒钩式一体射出成型；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5、凳面可通过旋转螺杆来升降凳子高度，可调高度5cm。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DB88E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79557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F7539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109.20 </w:t>
            </w:r>
          </w:p>
        </w:tc>
      </w:tr>
      <w:tr w14:paraId="256596F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DA728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6C975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风机</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EEBEF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5kW变频调速，含风机软连接和消声器。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3F5A0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D5DB6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9835E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9620.00 </w:t>
            </w:r>
          </w:p>
        </w:tc>
      </w:tr>
      <w:tr w14:paraId="1722A2C1">
        <w:tblPrEx>
          <w:tblCellMar>
            <w:top w:w="0" w:type="dxa"/>
            <w:left w:w="108" w:type="dxa"/>
            <w:bottom w:w="0" w:type="dxa"/>
            <w:right w:w="108" w:type="dxa"/>
          </w:tblCellMar>
        </w:tblPrEx>
        <w:trPr>
          <w:trHeight w:val="557" w:hRule="atLeast"/>
        </w:trPr>
        <w:tc>
          <w:tcPr>
            <w:tcW w:w="649" w:type="dxa"/>
            <w:tcBorders>
              <w:top w:val="single" w:color="auto" w:sz="4" w:space="0"/>
              <w:left w:val="single" w:color="auto" w:sz="4" w:space="0"/>
              <w:bottom w:val="single" w:color="auto" w:sz="4" w:space="0"/>
              <w:right w:val="single" w:color="auto" w:sz="4" w:space="0"/>
            </w:tcBorders>
            <w:vAlign w:val="center"/>
          </w:tcPr>
          <w:p w14:paraId="5B2CB7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14F42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万向抽风罩</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29E40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1.喇叭款式多角度任意定向，其伸缩阻力小，吸风面积大；</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2、具有阻燃及耐腐蚀性能，可伸缩500mm—1050mm。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F58E4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26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1EFE2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D0CE0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566.00  </w:t>
            </w:r>
          </w:p>
        </w:tc>
      </w:tr>
      <w:tr w14:paraId="206B21DD">
        <w:tblPrEx>
          <w:tblCellMar>
            <w:top w:w="0" w:type="dxa"/>
            <w:left w:w="108" w:type="dxa"/>
            <w:bottom w:w="0" w:type="dxa"/>
            <w:right w:w="108" w:type="dxa"/>
          </w:tblCellMar>
        </w:tblPrEx>
        <w:trPr>
          <w:trHeight w:val="574" w:hRule="atLeast"/>
        </w:trPr>
        <w:tc>
          <w:tcPr>
            <w:tcW w:w="649" w:type="dxa"/>
            <w:tcBorders>
              <w:top w:val="single" w:color="auto" w:sz="4" w:space="0"/>
              <w:left w:val="single" w:color="auto" w:sz="4" w:space="0"/>
              <w:bottom w:val="single" w:color="auto" w:sz="4" w:space="0"/>
              <w:right w:val="single" w:color="auto" w:sz="4" w:space="0"/>
            </w:tcBorders>
            <w:vAlign w:val="center"/>
          </w:tcPr>
          <w:p w14:paraId="465A38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68516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通风管道</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2B112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Ф315mm、Ф200mm、Ф110mm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97C6D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D0447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A5C25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11700.00 </w:t>
            </w:r>
          </w:p>
        </w:tc>
      </w:tr>
      <w:tr w14:paraId="6BCEE878">
        <w:tblPrEx>
          <w:tblCellMar>
            <w:top w:w="0" w:type="dxa"/>
            <w:left w:w="108" w:type="dxa"/>
            <w:bottom w:w="0" w:type="dxa"/>
            <w:right w:w="108" w:type="dxa"/>
          </w:tblCellMar>
        </w:tblPrEx>
        <w:trPr>
          <w:trHeight w:val="725" w:hRule="atLeast"/>
        </w:trPr>
        <w:tc>
          <w:tcPr>
            <w:tcW w:w="649" w:type="dxa"/>
            <w:tcBorders>
              <w:top w:val="single" w:color="auto" w:sz="4" w:space="0"/>
              <w:left w:val="single" w:color="auto" w:sz="4" w:space="0"/>
              <w:bottom w:val="single" w:color="auto" w:sz="4" w:space="0"/>
              <w:right w:val="single" w:color="auto" w:sz="4" w:space="0"/>
            </w:tcBorders>
            <w:vAlign w:val="center"/>
          </w:tcPr>
          <w:p w14:paraId="7D56BF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C859E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风机电缆线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ACE0A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电源线采用6mm²线材</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71C70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FF4C9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0C177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1560.00 </w:t>
            </w:r>
          </w:p>
        </w:tc>
      </w:tr>
      <w:tr w14:paraId="1BAA77CE">
        <w:tblPrEx>
          <w:tblCellMar>
            <w:top w:w="0" w:type="dxa"/>
            <w:left w:w="108" w:type="dxa"/>
            <w:bottom w:w="0" w:type="dxa"/>
            <w:right w:w="108" w:type="dxa"/>
          </w:tblCellMar>
        </w:tblPrEx>
        <w:trPr>
          <w:trHeight w:val="574" w:hRule="atLeast"/>
        </w:trPr>
        <w:tc>
          <w:tcPr>
            <w:tcW w:w="649" w:type="dxa"/>
            <w:tcBorders>
              <w:top w:val="single" w:color="auto" w:sz="4" w:space="0"/>
              <w:left w:val="single" w:color="auto" w:sz="4" w:space="0"/>
              <w:bottom w:val="single" w:color="auto" w:sz="4" w:space="0"/>
              <w:right w:val="single" w:color="auto" w:sz="4" w:space="0"/>
            </w:tcBorders>
            <w:vAlign w:val="center"/>
          </w:tcPr>
          <w:p w14:paraId="0D8B48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65009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电气布线（地面以上部分）</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3FE11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1.DN25mm阻燃线管；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2、2.5mm²、4mm²国标线材，符合国家标准。</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2E4E7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6DAA1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30A92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2080.00 </w:t>
            </w:r>
          </w:p>
        </w:tc>
      </w:tr>
      <w:tr w14:paraId="1695CA0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89C26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E2E25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给排水系统（地面以上部分）</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1C6B5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1.给水管采用优质PPR管，直径20mm；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2、排水管采用优质PVC耐蚀管，直径50mm。水槽下水管采用直径50mm优质PVC管。</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4A28E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50AEB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0CFC4E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2080.00 </w:t>
            </w:r>
          </w:p>
        </w:tc>
      </w:tr>
      <w:tr w14:paraId="11DD1F4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16A6A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450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53057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化学通风实验室氛围改造</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2B78C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面积：根据现场实际情况进行装修（90平方米左右）</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室内装修内容：</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1.墙面处理（腻子粉刮平、环保乳胶墙面处理，调制温馨色彩）；</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2.隔墙：区域划分；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3.地面：PVC地胶；符合国家环保、消防标准。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4.吊顶：部分区域吊顶；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5.电路改造：强电、空</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C06DB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9D960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项</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7768F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40000.00 </w:t>
            </w:r>
          </w:p>
        </w:tc>
      </w:tr>
      <w:tr w14:paraId="235FD24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99A03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451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4120A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准备台</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AE285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1.规格：2400*1200*770mm，台面颜色米黄色；</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2、台面：12.7mm厚实芯理化板。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3、桌体采用流线型设计，支撑受力点合理布局，采用优质五金配件连接。</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4、台身结构：整体1180x565mm四张框架对拼，新型塑铝结构，整体1180*565*755mm。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5、桌腿：采用工字型压铸铝一次成型，三段连接。</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6、上腿规格：565x58x110mm，壁厚不小于2mm内部设有加强筋。</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7、下腿规格：545x72x125mm，壁厚不小于2mm，配有M8x60mm的升降调节脚垫。</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立柱：采用110×55mm，壁厚1.3mm，立柱两端内部有2个铸铝成型的螺丝链接位；内侧设有12*5mm的凹槽，使用锁拉扣链接桌体下横梁，调节方便，外侧设有装饰条。下横梁采用80*14.5mm目型铝型材制作壁厚1.2mm。前横梁采用30*30mm优质金属型材制作壁厚1mm。中横梁采用30*30mm优质金属型材制作壁厚1mm。后横梁：采用30*30mm优质金属型材制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9、学生位设书包斗；书包斗：采用环保型ABS工程塑料一次性注塑成型。两个书包斗中间设有电源盒，方便使用。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B7E8A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BA5E6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6B6B0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6708.00  </w:t>
            </w:r>
          </w:p>
        </w:tc>
      </w:tr>
      <w:tr w14:paraId="414C9904">
        <w:tblPrEx>
          <w:tblCellMar>
            <w:top w:w="0" w:type="dxa"/>
            <w:left w:w="108" w:type="dxa"/>
            <w:bottom w:w="0" w:type="dxa"/>
            <w:right w:w="108" w:type="dxa"/>
          </w:tblCellMar>
        </w:tblPrEx>
        <w:trPr>
          <w:trHeight w:val="6397" w:hRule="atLeast"/>
        </w:trPr>
        <w:tc>
          <w:tcPr>
            <w:tcW w:w="649" w:type="dxa"/>
            <w:tcBorders>
              <w:top w:val="single" w:color="auto" w:sz="4" w:space="0"/>
              <w:left w:val="single" w:color="auto" w:sz="4" w:space="0"/>
              <w:bottom w:val="single" w:color="auto" w:sz="4" w:space="0"/>
              <w:right w:val="single" w:color="auto" w:sz="4" w:space="0"/>
            </w:tcBorders>
            <w:vAlign w:val="center"/>
          </w:tcPr>
          <w:p w14:paraId="29F98D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452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3EA59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仪器柜</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31F8D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1.规格：1000×500×2000mm，米黄色；</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2、柜体：侧板、顶底板采用改性PP材料模具一次成型，表面沙面和光面相结合处理，底板、顶板预留模具成型排风孔。内部镶嵌15mm*30*1.2mm钢制横梁，承重力强；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3、下柜柜门：内框采用改性PP材质模具一次成型，外嵌5mm厚钢化烤漆玻璃。上下拉手及三角对称五点固定，防止玻璃的松动或开合。伸缩式PP旋转门轴，四角圆弧倒角，内侧弧形圆边，配锁；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层板：上柜配置两块活动层板，下柜配置一块活动层板，层板全部采用改性pp材料与挤出型高强度PVC板蜂窝型结构组成，四周有阻水边，承重力强。6、拉手：采用改性PP材料模具一次成型，直角梯形四周倒圆与柜门平行，开启方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7、门铰链：采用改性PP材料模具一次成型，伸缩式PP旋转门轴；</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8、螺丝：不锈钢材质。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95F5E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F27FA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59FD7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1820.00 </w:t>
            </w:r>
          </w:p>
        </w:tc>
      </w:tr>
      <w:tr w14:paraId="500DD360">
        <w:tblPrEx>
          <w:tblCellMar>
            <w:top w:w="0" w:type="dxa"/>
            <w:left w:w="108" w:type="dxa"/>
            <w:bottom w:w="0" w:type="dxa"/>
            <w:right w:w="108" w:type="dxa"/>
          </w:tblCellMar>
        </w:tblPrEx>
        <w:trPr>
          <w:trHeight w:val="469" w:hRule="atLeast"/>
        </w:trPr>
        <w:tc>
          <w:tcPr>
            <w:tcW w:w="10546" w:type="dxa"/>
            <w:gridSpan w:val="6"/>
            <w:tcBorders>
              <w:top w:val="single" w:color="000000" w:sz="4" w:space="0"/>
              <w:left w:val="single" w:color="000000" w:sz="4" w:space="0"/>
              <w:bottom w:val="single" w:color="000000" w:sz="4" w:space="0"/>
              <w:right w:val="single" w:color="000000" w:sz="4" w:space="0"/>
            </w:tcBorders>
            <w:vAlign w:val="center"/>
          </w:tcPr>
          <w:p w14:paraId="1DF160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b/>
                <w:color w:val="auto"/>
                <w:kern w:val="0"/>
                <w:sz w:val="21"/>
                <w:szCs w:val="21"/>
                <w:highlight w:val="none"/>
                <w:lang w:eastAsia="zh-CN"/>
              </w:rPr>
              <w:t>★二</w:t>
            </w:r>
            <w:r>
              <w:rPr>
                <w:rFonts w:hint="eastAsia" w:asciiTheme="minorEastAsia" w:hAnsiTheme="minorEastAsia" w:eastAsiaTheme="minorEastAsia" w:cstheme="minorEastAsia"/>
                <w:b/>
                <w:color w:val="auto"/>
                <w:kern w:val="0"/>
                <w:sz w:val="21"/>
                <w:szCs w:val="21"/>
                <w:highlight w:val="none"/>
              </w:rPr>
              <w:t>、商务要求</w:t>
            </w:r>
          </w:p>
        </w:tc>
      </w:tr>
      <w:tr w14:paraId="4D165F49">
        <w:tblPrEx>
          <w:tblCellMar>
            <w:top w:w="0" w:type="dxa"/>
            <w:left w:w="108" w:type="dxa"/>
            <w:bottom w:w="0" w:type="dxa"/>
            <w:right w:w="108" w:type="dxa"/>
          </w:tblCellMar>
        </w:tblPrEx>
        <w:trPr>
          <w:trHeight w:val="469" w:hRule="atLeast"/>
        </w:trPr>
        <w:tc>
          <w:tcPr>
            <w:tcW w:w="1884" w:type="dxa"/>
            <w:gridSpan w:val="2"/>
            <w:tcBorders>
              <w:top w:val="single" w:color="000000" w:sz="4" w:space="0"/>
              <w:left w:val="single" w:color="000000" w:sz="4" w:space="0"/>
              <w:bottom w:val="single" w:color="000000" w:sz="4" w:space="0"/>
              <w:right w:val="single" w:color="000000" w:sz="4" w:space="0"/>
            </w:tcBorders>
            <w:vAlign w:val="center"/>
          </w:tcPr>
          <w:p w14:paraId="3DBB3E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default" w:asciiTheme="minorEastAsia" w:hAnsiTheme="minorEastAsia" w:eastAsiaTheme="minorEastAsia" w:cstheme="minorEastAsia"/>
                <w:b/>
                <w:color w:val="auto"/>
                <w:kern w:val="0"/>
                <w:sz w:val="21"/>
                <w:szCs w:val="21"/>
                <w:highlight w:val="none"/>
                <w:lang w:val="en-US" w:eastAsia="zh-CN"/>
              </w:rPr>
            </w:pPr>
            <w:r>
              <w:rPr>
                <w:rFonts w:hint="eastAsia" w:ascii="宋体" w:hAnsi="宋体" w:eastAsia="宋体" w:cs="宋体"/>
                <w:b/>
                <w:bCs w:val="0"/>
                <w:color w:val="auto"/>
                <w:kern w:val="2"/>
                <w:sz w:val="21"/>
                <w:szCs w:val="21"/>
                <w:highlight w:val="none"/>
                <w:lang w:val="en-US" w:eastAsia="zh-CN" w:bidi="ar"/>
              </w:rPr>
              <w:t>（一）</w:t>
            </w:r>
            <w:r>
              <w:rPr>
                <w:rFonts w:hint="eastAsia" w:asciiTheme="minorEastAsia" w:hAnsiTheme="minorEastAsia" w:eastAsiaTheme="minorEastAsia" w:cstheme="minorEastAsia"/>
                <w:b/>
                <w:color w:val="auto"/>
                <w:kern w:val="0"/>
                <w:sz w:val="21"/>
                <w:szCs w:val="21"/>
                <w:highlight w:val="none"/>
                <w:lang w:val="en-US" w:eastAsia="zh-CN"/>
              </w:rPr>
              <w:t>核心产品</w:t>
            </w:r>
          </w:p>
        </w:tc>
        <w:tc>
          <w:tcPr>
            <w:tcW w:w="8662" w:type="dxa"/>
            <w:gridSpan w:val="4"/>
            <w:tcBorders>
              <w:top w:val="single" w:color="000000" w:sz="4" w:space="0"/>
              <w:left w:val="single" w:color="000000" w:sz="4" w:space="0"/>
              <w:bottom w:val="single" w:color="000000" w:sz="4" w:space="0"/>
              <w:right w:val="single" w:color="000000" w:sz="4" w:space="0"/>
            </w:tcBorders>
            <w:vAlign w:val="center"/>
          </w:tcPr>
          <w:p w14:paraId="61B0D1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本标项的核心产品为第1项号的“</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智慧黑板</w:t>
            </w:r>
            <w:r>
              <w:rPr>
                <w:rFonts w:hint="eastAsia" w:ascii="宋体" w:hAnsi="宋体" w:eastAsia="宋体" w:cs="宋体"/>
                <w:i w:val="0"/>
                <w:color w:val="auto"/>
                <w:kern w:val="0"/>
                <w:sz w:val="21"/>
                <w:szCs w:val="21"/>
                <w:highlight w:val="none"/>
                <w:u w:val="none"/>
                <w:lang w:val="en-US" w:eastAsia="zh-CN" w:bidi="ar"/>
              </w:rPr>
              <w:t>”。</w:t>
            </w:r>
          </w:p>
        </w:tc>
      </w:tr>
      <w:tr w14:paraId="1CC82A8E">
        <w:tblPrEx>
          <w:tblCellMar>
            <w:top w:w="0" w:type="dxa"/>
            <w:left w:w="108" w:type="dxa"/>
            <w:bottom w:w="0" w:type="dxa"/>
            <w:right w:w="108" w:type="dxa"/>
          </w:tblCellMar>
        </w:tblPrEx>
        <w:trPr>
          <w:trHeight w:val="1273" w:hRule="atLeast"/>
        </w:trPr>
        <w:tc>
          <w:tcPr>
            <w:tcW w:w="1884" w:type="dxa"/>
            <w:gridSpan w:val="2"/>
            <w:tcBorders>
              <w:top w:val="single" w:color="000000" w:sz="4" w:space="0"/>
              <w:left w:val="single" w:color="000000" w:sz="4" w:space="0"/>
              <w:bottom w:val="single" w:color="000000" w:sz="4" w:space="0"/>
              <w:right w:val="single" w:color="000000" w:sz="4" w:space="0"/>
            </w:tcBorders>
            <w:vAlign w:val="center"/>
          </w:tcPr>
          <w:p w14:paraId="3D72DB2C">
            <w:pPr>
              <w:keepNext w:val="0"/>
              <w:keepLines w:val="0"/>
              <w:pageBreakBefore w:val="0"/>
              <w:widowControl/>
              <w:suppressLineNumbers w:val="0"/>
              <w:tabs>
                <w:tab w:val="left" w:pos="180"/>
                <w:tab w:val="left" w:pos="1620"/>
              </w:tabs>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rPr>
                <w:rFonts w:hint="eastAsia" w:asciiTheme="minorEastAsia" w:hAnsiTheme="minorEastAsia" w:eastAsiaTheme="minorEastAsia" w:cstheme="minorEastAsia"/>
                <w:b/>
                <w:color w:val="auto"/>
                <w:sz w:val="21"/>
                <w:szCs w:val="21"/>
                <w:highlight w:val="none"/>
              </w:rPr>
            </w:pPr>
            <w:r>
              <w:rPr>
                <w:rFonts w:hint="eastAsia" w:ascii="宋体" w:hAnsi="宋体" w:eastAsia="宋体" w:cs="宋体"/>
                <w:b/>
                <w:bCs w:val="0"/>
                <w:color w:val="auto"/>
                <w:kern w:val="2"/>
                <w:sz w:val="21"/>
                <w:szCs w:val="21"/>
                <w:highlight w:val="none"/>
                <w:lang w:val="en-US" w:eastAsia="zh-CN" w:bidi="ar"/>
              </w:rPr>
              <w:t>（</w:t>
            </w:r>
            <w:r>
              <w:rPr>
                <w:rFonts w:hint="eastAsia" w:ascii="宋体" w:hAnsi="宋体" w:cs="宋体"/>
                <w:b/>
                <w:bCs w:val="0"/>
                <w:color w:val="auto"/>
                <w:kern w:val="2"/>
                <w:sz w:val="21"/>
                <w:szCs w:val="21"/>
                <w:highlight w:val="none"/>
                <w:lang w:val="en-US" w:eastAsia="zh-CN" w:bidi="ar"/>
              </w:rPr>
              <w:t>二</w:t>
            </w:r>
            <w:r>
              <w:rPr>
                <w:rFonts w:hint="eastAsia" w:ascii="宋体" w:hAnsi="宋体" w:eastAsia="宋体" w:cs="宋体"/>
                <w:b/>
                <w:bCs w:val="0"/>
                <w:color w:val="auto"/>
                <w:kern w:val="2"/>
                <w:sz w:val="21"/>
                <w:szCs w:val="21"/>
                <w:highlight w:val="none"/>
                <w:lang w:val="en-US" w:eastAsia="zh-CN" w:bidi="ar"/>
              </w:rPr>
              <w:t>）</w:t>
            </w:r>
            <w:r>
              <w:rPr>
                <w:rFonts w:hint="eastAsia" w:ascii="宋体" w:hAnsi="宋体" w:eastAsia="宋体" w:cs="宋体"/>
                <w:b/>
                <w:bCs w:val="0"/>
                <w:color w:val="auto"/>
                <w:kern w:val="0"/>
                <w:sz w:val="21"/>
                <w:szCs w:val="21"/>
                <w:highlight w:val="none"/>
                <w:lang w:val="en-US" w:eastAsia="zh-CN" w:bidi="ar"/>
              </w:rPr>
              <w:t>售后服务</w:t>
            </w:r>
          </w:p>
        </w:tc>
        <w:tc>
          <w:tcPr>
            <w:tcW w:w="8662" w:type="dxa"/>
            <w:gridSpan w:val="4"/>
            <w:tcBorders>
              <w:top w:val="single" w:color="000000" w:sz="4" w:space="0"/>
              <w:left w:val="single" w:color="000000" w:sz="4" w:space="0"/>
              <w:bottom w:val="single" w:color="000000" w:sz="4" w:space="0"/>
              <w:right w:val="single" w:color="000000" w:sz="4" w:space="0"/>
            </w:tcBorders>
            <w:vAlign w:val="top"/>
          </w:tcPr>
          <w:p w14:paraId="10FFC04A">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outlineLvl w:val="1"/>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
              </w:rPr>
              <w:t>供应商提供的以下售后服务均应包含在投标报价中，采购人不再就此另行支付任何费用：</w:t>
            </w:r>
          </w:p>
          <w:p w14:paraId="25F38017">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outlineLvl w:val="1"/>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
              </w:rPr>
              <w:t>1.按国家有关产品“三包”规定执行“三包”，采购需求中有要求的按要求执行，其余免费保修期不少于</w:t>
            </w:r>
            <w:r>
              <w:rPr>
                <w:rFonts w:hint="eastAsia" w:ascii="宋体" w:hAnsi="宋体" w:eastAsia="宋体" w:cs="宋体"/>
                <w:b w:val="0"/>
                <w:color w:val="auto"/>
                <w:kern w:val="2"/>
                <w:sz w:val="21"/>
                <w:szCs w:val="21"/>
                <w:highlight w:val="none"/>
                <w:u w:val="single"/>
                <w:lang w:val="en-US" w:eastAsia="zh-CN" w:bidi="ar"/>
              </w:rPr>
              <w:t>1</w:t>
            </w:r>
            <w:r>
              <w:rPr>
                <w:rFonts w:hint="eastAsia" w:ascii="宋体" w:hAnsi="宋体" w:eastAsia="宋体" w:cs="宋体"/>
                <w:b w:val="0"/>
                <w:color w:val="auto"/>
                <w:kern w:val="2"/>
                <w:sz w:val="21"/>
                <w:szCs w:val="21"/>
                <w:highlight w:val="none"/>
                <w:lang w:val="en-US" w:eastAsia="zh-CN" w:bidi="ar"/>
              </w:rPr>
              <w:t>年（厂家免费保修期承诺优于本条款要求的，按厂家承诺执行），自交货验收合格之日起计算。</w:t>
            </w:r>
          </w:p>
          <w:p w14:paraId="6473AD58">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outlineLvl w:val="1"/>
              <w:rPr>
                <w:rFonts w:hint="eastAsia" w:ascii="宋体" w:hAnsi="宋体" w:eastAsia="宋体" w:cs="宋体"/>
                <w:b w:val="0"/>
                <w:color w:val="auto"/>
                <w:kern w:val="2"/>
                <w:sz w:val="21"/>
                <w:szCs w:val="21"/>
                <w:highlight w:val="none"/>
              </w:rPr>
            </w:pPr>
            <w:r>
              <w:rPr>
                <w:rFonts w:hint="eastAsia" w:cs="宋体"/>
                <w:b w:val="0"/>
                <w:color w:val="auto"/>
                <w:kern w:val="2"/>
                <w:sz w:val="21"/>
                <w:szCs w:val="21"/>
                <w:highlight w:val="none"/>
                <w:lang w:val="en-US" w:eastAsia="zh-CN" w:bidi="ar"/>
              </w:rPr>
              <w:t>2.免费保修期内上门提供维修服务，出现故障时，2小时内响应，24小时内到达现场，维修需更备件的，常用备件24小时内更换解决故障，重要备件48小时内更换解决故障。如因产品故障影响工作，保修期将按产品因故障导致工作不能正常开展的时间加倍顺延，单台设备质保顺延累计最长不超过6个月。</w:t>
            </w:r>
          </w:p>
          <w:p w14:paraId="3F07074C">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b w:val="0"/>
                <w:color w:val="auto"/>
                <w:kern w:val="2"/>
                <w:sz w:val="21"/>
                <w:szCs w:val="21"/>
                <w:highlight w:val="none"/>
                <w:lang w:val="en-US" w:eastAsia="zh-CN" w:bidi="ar"/>
              </w:rPr>
              <w:t>3.安装调试要求：免费送货上门，免费现场安装调试至验收合格,免费对具体使用单位的操作人员进行技术培训，内容包括设备及软件系统操作、日常维护，确保熟练掌握全部功能为止。</w:t>
            </w:r>
          </w:p>
        </w:tc>
      </w:tr>
      <w:tr w14:paraId="36B1116E">
        <w:tblPrEx>
          <w:tblCellMar>
            <w:top w:w="0" w:type="dxa"/>
            <w:left w:w="108" w:type="dxa"/>
            <w:bottom w:w="0" w:type="dxa"/>
            <w:right w:w="108" w:type="dxa"/>
          </w:tblCellMar>
        </w:tblPrEx>
        <w:trPr>
          <w:trHeight w:val="744" w:hRule="atLeast"/>
        </w:trPr>
        <w:tc>
          <w:tcPr>
            <w:tcW w:w="1884" w:type="dxa"/>
            <w:gridSpan w:val="2"/>
            <w:tcBorders>
              <w:top w:val="single" w:color="000000" w:sz="4" w:space="0"/>
              <w:left w:val="single" w:color="000000" w:sz="4" w:space="0"/>
              <w:bottom w:val="single" w:color="000000" w:sz="4" w:space="0"/>
              <w:right w:val="single" w:color="000000" w:sz="4" w:space="0"/>
            </w:tcBorders>
            <w:vAlign w:val="center"/>
          </w:tcPr>
          <w:p w14:paraId="461550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rPr>
                <w:rFonts w:hint="eastAsia" w:asciiTheme="minorEastAsia" w:hAnsiTheme="minorEastAsia" w:eastAsiaTheme="minorEastAsia" w:cstheme="minorEastAsia"/>
                <w:b/>
                <w:color w:val="auto"/>
                <w:kern w:val="0"/>
                <w:sz w:val="21"/>
                <w:szCs w:val="21"/>
                <w:highlight w:val="none"/>
              </w:rPr>
            </w:pPr>
            <w:r>
              <w:rPr>
                <w:rFonts w:hint="eastAsia" w:ascii="宋体" w:hAnsi="宋体" w:eastAsia="宋体" w:cs="宋体"/>
                <w:b/>
                <w:bCs w:val="0"/>
                <w:color w:val="auto"/>
                <w:kern w:val="0"/>
                <w:sz w:val="21"/>
                <w:szCs w:val="21"/>
                <w:highlight w:val="none"/>
                <w:lang w:val="en-US" w:eastAsia="zh-CN" w:bidi="ar"/>
              </w:rPr>
              <w:t>（</w:t>
            </w:r>
            <w:r>
              <w:rPr>
                <w:rFonts w:hint="eastAsia" w:ascii="宋体" w:hAnsi="宋体" w:cs="宋体"/>
                <w:b/>
                <w:bCs w:val="0"/>
                <w:color w:val="auto"/>
                <w:kern w:val="0"/>
                <w:sz w:val="21"/>
                <w:szCs w:val="21"/>
                <w:highlight w:val="none"/>
                <w:lang w:val="en-US" w:eastAsia="zh-CN" w:bidi="ar"/>
              </w:rPr>
              <w:t>三</w:t>
            </w:r>
            <w:r>
              <w:rPr>
                <w:rFonts w:hint="eastAsia" w:ascii="宋体" w:hAnsi="宋体" w:eastAsia="宋体" w:cs="宋体"/>
                <w:b/>
                <w:bCs w:val="0"/>
                <w:color w:val="auto"/>
                <w:kern w:val="0"/>
                <w:sz w:val="21"/>
                <w:szCs w:val="21"/>
                <w:highlight w:val="none"/>
                <w:lang w:val="en-US" w:eastAsia="zh-CN" w:bidi="ar"/>
              </w:rPr>
              <w:t>）标的交付</w:t>
            </w:r>
          </w:p>
        </w:tc>
        <w:tc>
          <w:tcPr>
            <w:tcW w:w="8662" w:type="dxa"/>
            <w:gridSpan w:val="4"/>
            <w:tcBorders>
              <w:top w:val="single" w:color="000000" w:sz="4" w:space="0"/>
              <w:left w:val="single" w:color="000000" w:sz="4" w:space="0"/>
              <w:bottom w:val="single" w:color="000000" w:sz="4" w:space="0"/>
              <w:right w:val="single" w:color="000000" w:sz="4" w:space="0"/>
            </w:tcBorders>
            <w:vAlign w:val="center"/>
          </w:tcPr>
          <w:p w14:paraId="7DF6576A">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outlineLvl w:val="1"/>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
              </w:rPr>
              <w:t>1.交付使用期：自签订合同之日起</w:t>
            </w:r>
            <w:r>
              <w:rPr>
                <w:rFonts w:hint="eastAsia" w:ascii="宋体" w:hAnsi="宋体" w:eastAsia="宋体" w:cs="宋体"/>
                <w:b w:val="0"/>
                <w:color w:val="auto"/>
                <w:kern w:val="2"/>
                <w:sz w:val="21"/>
                <w:szCs w:val="21"/>
                <w:highlight w:val="none"/>
                <w:u w:val="single"/>
                <w:lang w:val="en-US" w:eastAsia="zh-CN" w:bidi="ar"/>
              </w:rPr>
              <w:t>30</w:t>
            </w:r>
            <w:r>
              <w:rPr>
                <w:rFonts w:hint="eastAsia" w:ascii="宋体" w:hAnsi="宋体" w:eastAsia="宋体" w:cs="宋体"/>
                <w:b w:val="0"/>
                <w:color w:val="auto"/>
                <w:kern w:val="2"/>
                <w:sz w:val="21"/>
                <w:szCs w:val="21"/>
                <w:highlight w:val="none"/>
                <w:lang w:val="en-US" w:eastAsia="zh-CN" w:bidi="ar"/>
              </w:rPr>
              <w:t>个日历日内全部安装调试合格并交付使用。</w:t>
            </w:r>
          </w:p>
          <w:p w14:paraId="0D13D98E">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b w:val="0"/>
                <w:color w:val="auto"/>
                <w:kern w:val="2"/>
                <w:sz w:val="21"/>
                <w:szCs w:val="21"/>
                <w:highlight w:val="none"/>
                <w:lang w:val="en-US" w:eastAsia="zh-CN" w:bidi="ar"/>
              </w:rPr>
              <w:t>2.交付地点：</w:t>
            </w:r>
            <w:r>
              <w:rPr>
                <w:rFonts w:hint="eastAsia" w:cs="宋体"/>
                <w:b w:val="0"/>
                <w:color w:val="auto"/>
                <w:kern w:val="2"/>
                <w:sz w:val="21"/>
                <w:szCs w:val="21"/>
                <w:highlight w:val="none"/>
                <w:lang w:val="en-US" w:eastAsia="zh-CN" w:bidi="ar"/>
              </w:rPr>
              <w:t>阳朔县中等职业学校</w:t>
            </w:r>
            <w:r>
              <w:rPr>
                <w:rFonts w:hint="eastAsia" w:ascii="宋体" w:hAnsi="宋体" w:eastAsia="宋体" w:cs="宋体"/>
                <w:b w:val="0"/>
                <w:color w:val="auto"/>
                <w:kern w:val="2"/>
                <w:sz w:val="21"/>
                <w:szCs w:val="21"/>
                <w:highlight w:val="none"/>
                <w:lang w:val="en-US" w:eastAsia="zh-CN" w:bidi="ar"/>
              </w:rPr>
              <w:t>。</w:t>
            </w:r>
          </w:p>
        </w:tc>
      </w:tr>
      <w:tr w14:paraId="33AE6302">
        <w:tblPrEx>
          <w:tblCellMar>
            <w:top w:w="0" w:type="dxa"/>
            <w:left w:w="108" w:type="dxa"/>
            <w:bottom w:w="0" w:type="dxa"/>
            <w:right w:w="108" w:type="dxa"/>
          </w:tblCellMar>
        </w:tblPrEx>
        <w:trPr>
          <w:trHeight w:val="693" w:hRule="atLeast"/>
        </w:trPr>
        <w:tc>
          <w:tcPr>
            <w:tcW w:w="1884" w:type="dxa"/>
            <w:gridSpan w:val="2"/>
            <w:tcBorders>
              <w:top w:val="single" w:color="000000" w:sz="4" w:space="0"/>
              <w:left w:val="single" w:color="000000" w:sz="4" w:space="0"/>
              <w:bottom w:val="single" w:color="000000" w:sz="4" w:space="0"/>
              <w:right w:val="single" w:color="000000" w:sz="4" w:space="0"/>
            </w:tcBorders>
            <w:vAlign w:val="center"/>
          </w:tcPr>
          <w:p w14:paraId="41F67D68">
            <w:pPr>
              <w:keepNext w:val="0"/>
              <w:keepLines w:val="0"/>
              <w:pageBreakBefore w:val="0"/>
              <w:widowControl/>
              <w:suppressLineNumbers w:val="0"/>
              <w:tabs>
                <w:tab w:val="left" w:pos="180"/>
                <w:tab w:val="left" w:pos="1620"/>
              </w:tabs>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rPr>
                <w:rFonts w:hint="eastAsia" w:asciiTheme="minorEastAsia" w:hAnsiTheme="minorEastAsia" w:eastAsiaTheme="minorEastAsia" w:cstheme="minorEastAsia"/>
                <w:b/>
                <w:color w:val="auto"/>
                <w:spacing w:val="-2"/>
                <w:sz w:val="21"/>
                <w:szCs w:val="21"/>
                <w:highlight w:val="none"/>
              </w:rPr>
            </w:pPr>
            <w:r>
              <w:rPr>
                <w:rFonts w:hint="eastAsia" w:ascii="宋体" w:hAnsi="宋体" w:eastAsia="宋体" w:cs="宋体"/>
                <w:b/>
                <w:bCs w:val="0"/>
                <w:color w:val="auto"/>
                <w:kern w:val="0"/>
                <w:sz w:val="21"/>
                <w:szCs w:val="21"/>
                <w:highlight w:val="none"/>
                <w:lang w:val="en-US" w:eastAsia="zh-CN" w:bidi="ar"/>
              </w:rPr>
              <w:t>（</w:t>
            </w:r>
            <w:r>
              <w:rPr>
                <w:rFonts w:hint="eastAsia" w:ascii="宋体" w:hAnsi="宋体" w:cs="宋体"/>
                <w:b/>
                <w:bCs w:val="0"/>
                <w:color w:val="auto"/>
                <w:kern w:val="0"/>
                <w:sz w:val="21"/>
                <w:szCs w:val="21"/>
                <w:highlight w:val="none"/>
                <w:lang w:val="en-US" w:eastAsia="zh-CN" w:bidi="ar"/>
              </w:rPr>
              <w:t>四</w:t>
            </w:r>
            <w:r>
              <w:rPr>
                <w:rFonts w:hint="eastAsia" w:ascii="宋体" w:hAnsi="宋体" w:eastAsia="宋体" w:cs="宋体"/>
                <w:b/>
                <w:bCs w:val="0"/>
                <w:color w:val="auto"/>
                <w:kern w:val="0"/>
                <w:sz w:val="21"/>
                <w:szCs w:val="21"/>
                <w:highlight w:val="none"/>
                <w:lang w:val="en-US" w:eastAsia="zh-CN" w:bidi="ar"/>
              </w:rPr>
              <w:t>）付款方式</w:t>
            </w:r>
          </w:p>
        </w:tc>
        <w:tc>
          <w:tcPr>
            <w:tcW w:w="8662" w:type="dxa"/>
            <w:gridSpan w:val="4"/>
            <w:tcBorders>
              <w:top w:val="single" w:color="000000" w:sz="4" w:space="0"/>
              <w:left w:val="single" w:color="000000" w:sz="4" w:space="0"/>
              <w:bottom w:val="single" w:color="000000" w:sz="4" w:space="0"/>
              <w:right w:val="single" w:color="000000" w:sz="4" w:space="0"/>
            </w:tcBorders>
            <w:vAlign w:val="center"/>
          </w:tcPr>
          <w:p w14:paraId="3317D0B4">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b w:val="0"/>
                <w:color w:val="auto"/>
                <w:kern w:val="2"/>
                <w:sz w:val="21"/>
                <w:szCs w:val="21"/>
                <w:highlight w:val="none"/>
                <w:lang w:val="en-US" w:eastAsia="zh-CN" w:bidi="ar"/>
              </w:rPr>
              <w:t>货物验收合格后10个工作日内支付合同金额的100%，付款前供应商必须提供等额合法有效发票给采购人，否则采购人有权顺延支付款项且不承担违约责任。</w:t>
            </w:r>
          </w:p>
        </w:tc>
      </w:tr>
      <w:tr w14:paraId="17315F5A">
        <w:tblPrEx>
          <w:tblCellMar>
            <w:top w:w="0" w:type="dxa"/>
            <w:left w:w="108" w:type="dxa"/>
            <w:bottom w:w="0" w:type="dxa"/>
            <w:right w:w="108" w:type="dxa"/>
          </w:tblCellMar>
        </w:tblPrEx>
        <w:trPr>
          <w:trHeight w:val="820" w:hRule="atLeast"/>
        </w:trPr>
        <w:tc>
          <w:tcPr>
            <w:tcW w:w="1884" w:type="dxa"/>
            <w:gridSpan w:val="2"/>
            <w:tcBorders>
              <w:top w:val="single" w:color="000000" w:sz="4" w:space="0"/>
              <w:left w:val="single" w:color="000000" w:sz="4" w:space="0"/>
              <w:bottom w:val="single" w:color="000000" w:sz="4" w:space="0"/>
              <w:right w:val="single" w:color="000000" w:sz="4" w:space="0"/>
            </w:tcBorders>
            <w:vAlign w:val="center"/>
          </w:tcPr>
          <w:p w14:paraId="441900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rPr>
                <w:rFonts w:hint="eastAsia" w:asciiTheme="minorEastAsia" w:hAnsiTheme="minorEastAsia" w:eastAsiaTheme="minorEastAsia" w:cstheme="minorEastAsia"/>
                <w:b/>
                <w:color w:val="auto"/>
                <w:kern w:val="0"/>
                <w:sz w:val="21"/>
                <w:szCs w:val="21"/>
                <w:highlight w:val="none"/>
              </w:rPr>
            </w:pPr>
            <w:r>
              <w:rPr>
                <w:rFonts w:hint="eastAsia" w:ascii="宋体" w:hAnsi="宋体" w:eastAsia="宋体" w:cs="宋体"/>
                <w:b/>
                <w:bCs w:val="0"/>
                <w:color w:val="auto"/>
                <w:kern w:val="0"/>
                <w:sz w:val="21"/>
                <w:szCs w:val="21"/>
                <w:highlight w:val="none"/>
                <w:lang w:val="en-US" w:eastAsia="zh-CN" w:bidi="ar"/>
              </w:rPr>
              <w:t>（</w:t>
            </w:r>
            <w:r>
              <w:rPr>
                <w:rFonts w:hint="eastAsia" w:ascii="宋体" w:hAnsi="宋体" w:cs="宋体"/>
                <w:b/>
                <w:bCs w:val="0"/>
                <w:color w:val="auto"/>
                <w:kern w:val="0"/>
                <w:sz w:val="21"/>
                <w:szCs w:val="21"/>
                <w:highlight w:val="none"/>
                <w:lang w:val="en-US" w:eastAsia="zh-CN" w:bidi="ar"/>
              </w:rPr>
              <w:t>五</w:t>
            </w:r>
            <w:r>
              <w:rPr>
                <w:rFonts w:hint="eastAsia" w:ascii="宋体" w:hAnsi="宋体" w:eastAsia="宋体" w:cs="宋体"/>
                <w:b/>
                <w:bCs w:val="0"/>
                <w:color w:val="auto"/>
                <w:kern w:val="0"/>
                <w:sz w:val="21"/>
                <w:szCs w:val="21"/>
                <w:highlight w:val="none"/>
                <w:lang w:val="en-US" w:eastAsia="zh-CN" w:bidi="ar"/>
              </w:rPr>
              <w:t>）质量标准及验收</w:t>
            </w:r>
          </w:p>
        </w:tc>
        <w:tc>
          <w:tcPr>
            <w:tcW w:w="8662" w:type="dxa"/>
            <w:gridSpan w:val="4"/>
            <w:tcBorders>
              <w:top w:val="single" w:color="000000" w:sz="4" w:space="0"/>
              <w:left w:val="single" w:color="000000" w:sz="4" w:space="0"/>
              <w:bottom w:val="single" w:color="000000" w:sz="4" w:space="0"/>
              <w:right w:val="single" w:color="000000" w:sz="4" w:space="0"/>
            </w:tcBorders>
            <w:vAlign w:val="top"/>
          </w:tcPr>
          <w:p w14:paraId="594FF227">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outlineLvl w:val="1"/>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
              </w:rPr>
              <w:t>1.供应商提供的产品必须符合国家强制执行的相关质量标准要求以及产品制造厂家合格产品的出厂质量标准。</w:t>
            </w:r>
          </w:p>
          <w:p w14:paraId="0C970F74">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outlineLvl w:val="1"/>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
              </w:rPr>
              <w:t>2.设备需全新、完好、无破损，产品到货后，采购人现场根据招标文件要求及响应文件承诺逐条对应进行核验，必要时，采购人有权邀请国家质量监督检验部门或国家认可的检测机构参与共同验收。如产品不满足招标文件要求、成交供应商响应承诺或国家强制执行的相关质量标准要求以及产品制造厂家合格产品的出厂质量标准，采购人有权不予验收，由此造成采购人的经济损失由成交供应商承担全部赔偿责任。</w:t>
            </w:r>
          </w:p>
          <w:p w14:paraId="511BB046">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b w:val="0"/>
                <w:color w:val="auto"/>
                <w:kern w:val="2"/>
                <w:sz w:val="21"/>
                <w:szCs w:val="21"/>
                <w:highlight w:val="none"/>
                <w:lang w:val="en-US" w:eastAsia="zh-CN" w:bidi="ar"/>
              </w:rPr>
              <w:t>3.验收要求：设备到货及验收时需提供的资料：①产品的中文操作、维修、保养手册；②产品出厂检验合格证书；③产品到货清单。</w:t>
            </w:r>
          </w:p>
        </w:tc>
      </w:tr>
      <w:tr w14:paraId="2523B66A">
        <w:tblPrEx>
          <w:tblCellMar>
            <w:top w:w="0" w:type="dxa"/>
            <w:left w:w="108" w:type="dxa"/>
            <w:bottom w:w="0" w:type="dxa"/>
            <w:right w:w="108" w:type="dxa"/>
          </w:tblCellMar>
        </w:tblPrEx>
        <w:trPr>
          <w:trHeight w:val="420" w:hRule="atLeast"/>
        </w:trPr>
        <w:tc>
          <w:tcPr>
            <w:tcW w:w="1884" w:type="dxa"/>
            <w:gridSpan w:val="2"/>
            <w:tcBorders>
              <w:top w:val="single" w:color="000000" w:sz="4" w:space="0"/>
              <w:left w:val="single" w:color="000000" w:sz="4" w:space="0"/>
              <w:bottom w:val="single" w:color="000000" w:sz="4" w:space="0"/>
              <w:right w:val="single" w:color="000000" w:sz="4" w:space="0"/>
            </w:tcBorders>
            <w:vAlign w:val="center"/>
          </w:tcPr>
          <w:p w14:paraId="5C23AD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rPr>
                <w:rFonts w:hint="eastAsia" w:asciiTheme="minorEastAsia" w:hAnsiTheme="minorEastAsia" w:eastAsiaTheme="minorEastAsia" w:cstheme="minorEastAsia"/>
                <w:b/>
                <w:color w:val="auto"/>
                <w:kern w:val="0"/>
                <w:sz w:val="21"/>
                <w:szCs w:val="21"/>
                <w:highlight w:val="none"/>
              </w:rPr>
            </w:pPr>
            <w:r>
              <w:rPr>
                <w:rFonts w:hint="eastAsia" w:ascii="宋体" w:hAnsi="宋体" w:eastAsia="宋体" w:cs="宋体"/>
                <w:b/>
                <w:bCs w:val="0"/>
                <w:color w:val="auto"/>
                <w:kern w:val="0"/>
                <w:sz w:val="21"/>
                <w:szCs w:val="21"/>
                <w:highlight w:val="none"/>
                <w:lang w:val="en-US" w:eastAsia="zh-CN" w:bidi="ar"/>
              </w:rPr>
              <w:t>（</w:t>
            </w:r>
            <w:r>
              <w:rPr>
                <w:rFonts w:hint="eastAsia" w:ascii="宋体" w:hAnsi="宋体" w:cs="宋体"/>
                <w:b/>
                <w:bCs w:val="0"/>
                <w:color w:val="auto"/>
                <w:kern w:val="0"/>
                <w:sz w:val="21"/>
                <w:szCs w:val="21"/>
                <w:highlight w:val="none"/>
                <w:lang w:val="en-US" w:eastAsia="zh-CN" w:bidi="ar"/>
              </w:rPr>
              <w:t>六</w:t>
            </w:r>
            <w:r>
              <w:rPr>
                <w:rFonts w:hint="eastAsia" w:ascii="宋体" w:hAnsi="宋体" w:eastAsia="宋体" w:cs="宋体"/>
                <w:b/>
                <w:bCs w:val="0"/>
                <w:color w:val="auto"/>
                <w:kern w:val="0"/>
                <w:sz w:val="21"/>
                <w:szCs w:val="21"/>
                <w:highlight w:val="none"/>
                <w:lang w:val="en-US" w:eastAsia="zh-CN" w:bidi="ar"/>
              </w:rPr>
              <w:t>）包装和运输</w:t>
            </w:r>
          </w:p>
        </w:tc>
        <w:tc>
          <w:tcPr>
            <w:tcW w:w="8662" w:type="dxa"/>
            <w:gridSpan w:val="4"/>
            <w:tcBorders>
              <w:top w:val="single" w:color="000000" w:sz="4" w:space="0"/>
              <w:left w:val="single" w:color="000000" w:sz="4" w:space="0"/>
              <w:bottom w:val="single" w:color="000000" w:sz="4" w:space="0"/>
              <w:right w:val="single" w:color="000000" w:sz="4" w:space="0"/>
            </w:tcBorders>
            <w:vAlign w:val="center"/>
          </w:tcPr>
          <w:p w14:paraId="559F3DB8">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outlineLvl w:val="1"/>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
              </w:rPr>
              <w:t>1.原厂原包装，包装完好、完整无破损、未开封。</w:t>
            </w:r>
          </w:p>
          <w:p w14:paraId="2E1A1726">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outlineLvl w:val="1"/>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
              </w:rPr>
              <w:t>2.包装及运输方式应综合考虑运输距离、防潮、防震、防锈和防破损装卸等要求。</w:t>
            </w:r>
          </w:p>
          <w:p w14:paraId="379CE996">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outlineLvl w:val="1"/>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
              </w:rPr>
              <w:t>3.国家对包装及运输有相关强制性标准或要求的，成交供应商应当执行。</w:t>
            </w:r>
          </w:p>
          <w:p w14:paraId="2B9F2628">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b w:val="0"/>
                <w:color w:val="auto"/>
                <w:kern w:val="2"/>
                <w:sz w:val="21"/>
                <w:szCs w:val="21"/>
                <w:highlight w:val="none"/>
                <w:lang w:val="en-US" w:eastAsia="zh-CN" w:bidi="ar"/>
              </w:rPr>
              <w:t>4.产品（含包装）运抵采购人指定交付地点前发生损坏的，相关损失由成交供应商自行承担。</w:t>
            </w:r>
          </w:p>
        </w:tc>
      </w:tr>
      <w:tr w14:paraId="5035F7AC">
        <w:tblPrEx>
          <w:tblCellMar>
            <w:top w:w="0" w:type="dxa"/>
            <w:left w:w="108" w:type="dxa"/>
            <w:bottom w:w="0" w:type="dxa"/>
            <w:right w:w="108" w:type="dxa"/>
          </w:tblCellMar>
        </w:tblPrEx>
        <w:trPr>
          <w:trHeight w:val="820" w:hRule="atLeast"/>
        </w:trPr>
        <w:tc>
          <w:tcPr>
            <w:tcW w:w="1884" w:type="dxa"/>
            <w:gridSpan w:val="2"/>
            <w:tcBorders>
              <w:top w:val="single" w:color="000000" w:sz="4" w:space="0"/>
              <w:left w:val="single" w:color="000000" w:sz="4" w:space="0"/>
              <w:bottom w:val="single" w:color="000000" w:sz="4" w:space="0"/>
              <w:right w:val="single" w:color="000000" w:sz="4" w:space="0"/>
            </w:tcBorders>
            <w:vAlign w:val="center"/>
          </w:tcPr>
          <w:p w14:paraId="6619BA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rPr>
                <w:rFonts w:hint="eastAsia" w:asciiTheme="minorEastAsia" w:hAnsiTheme="minorEastAsia" w:eastAsiaTheme="minorEastAsia" w:cstheme="minorEastAsia"/>
                <w:b/>
                <w:color w:val="auto"/>
                <w:kern w:val="0"/>
                <w:sz w:val="21"/>
                <w:szCs w:val="21"/>
                <w:highlight w:val="none"/>
              </w:rPr>
            </w:pPr>
            <w:r>
              <w:rPr>
                <w:rFonts w:hint="eastAsia" w:ascii="宋体" w:hAnsi="宋体" w:eastAsia="宋体" w:cs="宋体"/>
                <w:b/>
                <w:bCs w:val="0"/>
                <w:color w:val="auto"/>
                <w:kern w:val="0"/>
                <w:sz w:val="21"/>
                <w:szCs w:val="21"/>
                <w:highlight w:val="none"/>
                <w:lang w:val="en-US" w:eastAsia="zh-CN" w:bidi="ar"/>
              </w:rPr>
              <w:t>（</w:t>
            </w:r>
            <w:r>
              <w:rPr>
                <w:rFonts w:hint="eastAsia" w:ascii="宋体" w:hAnsi="宋体" w:cs="宋体"/>
                <w:b/>
                <w:bCs w:val="0"/>
                <w:color w:val="auto"/>
                <w:kern w:val="0"/>
                <w:sz w:val="21"/>
                <w:szCs w:val="21"/>
                <w:highlight w:val="none"/>
                <w:lang w:val="en-US" w:eastAsia="zh-CN" w:bidi="ar"/>
              </w:rPr>
              <w:t>七</w:t>
            </w:r>
            <w:r>
              <w:rPr>
                <w:rFonts w:hint="eastAsia" w:ascii="宋体" w:hAnsi="宋体" w:eastAsia="宋体" w:cs="宋体"/>
                <w:b/>
                <w:bCs w:val="0"/>
                <w:color w:val="auto"/>
                <w:kern w:val="0"/>
                <w:sz w:val="21"/>
                <w:szCs w:val="21"/>
                <w:highlight w:val="none"/>
                <w:lang w:val="en-US" w:eastAsia="zh-CN" w:bidi="ar"/>
              </w:rPr>
              <w:t>）保险</w:t>
            </w:r>
          </w:p>
        </w:tc>
        <w:tc>
          <w:tcPr>
            <w:tcW w:w="8662" w:type="dxa"/>
            <w:gridSpan w:val="4"/>
            <w:tcBorders>
              <w:top w:val="single" w:color="000000" w:sz="4" w:space="0"/>
              <w:left w:val="single" w:color="000000" w:sz="4" w:space="0"/>
              <w:bottom w:val="single" w:color="000000" w:sz="4" w:space="0"/>
              <w:right w:val="single" w:color="000000" w:sz="4" w:space="0"/>
            </w:tcBorders>
            <w:vAlign w:val="center"/>
          </w:tcPr>
          <w:p w14:paraId="1471EA4F">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宋体" w:hAnsi="宋体" w:eastAsia="宋体" w:cs="宋体"/>
                <w:b w:val="0"/>
                <w:color w:val="auto"/>
                <w:kern w:val="2"/>
                <w:sz w:val="21"/>
                <w:szCs w:val="21"/>
                <w:highlight w:val="none"/>
                <w:lang w:val="en-US" w:eastAsia="zh-CN" w:bidi="ar"/>
              </w:rPr>
              <w:t>若供应商为所投标的及标的涉及的相关材料、设备、人员、运输等投保的，保险相关费用由供应商自行承担。</w:t>
            </w:r>
          </w:p>
        </w:tc>
      </w:tr>
      <w:tr w14:paraId="52080961">
        <w:tblPrEx>
          <w:tblCellMar>
            <w:top w:w="0" w:type="dxa"/>
            <w:left w:w="108" w:type="dxa"/>
            <w:bottom w:w="0" w:type="dxa"/>
            <w:right w:w="108" w:type="dxa"/>
          </w:tblCellMar>
        </w:tblPrEx>
        <w:trPr>
          <w:trHeight w:val="446" w:hRule="atLeast"/>
        </w:trPr>
        <w:tc>
          <w:tcPr>
            <w:tcW w:w="10546" w:type="dxa"/>
            <w:gridSpan w:val="6"/>
            <w:tcBorders>
              <w:top w:val="single" w:color="000000" w:sz="4" w:space="0"/>
              <w:left w:val="single" w:color="000000" w:sz="4" w:space="0"/>
              <w:bottom w:val="single" w:color="000000" w:sz="4" w:space="0"/>
              <w:right w:val="single" w:color="000000" w:sz="4" w:space="0"/>
            </w:tcBorders>
            <w:vAlign w:val="center"/>
          </w:tcPr>
          <w:p w14:paraId="416B72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val="en-US" w:eastAsia="zh-CN"/>
              </w:rPr>
              <w:t>三</w:t>
            </w:r>
            <w:r>
              <w:rPr>
                <w:rFonts w:hint="eastAsia" w:asciiTheme="minorEastAsia" w:hAnsiTheme="minorEastAsia" w:eastAsiaTheme="minorEastAsia" w:cstheme="minorEastAsia"/>
                <w:b/>
                <w:bCs/>
                <w:color w:val="auto"/>
                <w:kern w:val="0"/>
                <w:sz w:val="21"/>
                <w:szCs w:val="21"/>
                <w:highlight w:val="none"/>
              </w:rPr>
              <w:t>、其他要求</w:t>
            </w:r>
          </w:p>
        </w:tc>
      </w:tr>
      <w:tr w14:paraId="2C102B4F">
        <w:tblPrEx>
          <w:tblCellMar>
            <w:top w:w="0" w:type="dxa"/>
            <w:left w:w="108" w:type="dxa"/>
            <w:bottom w:w="0" w:type="dxa"/>
            <w:right w:w="108" w:type="dxa"/>
          </w:tblCellMar>
        </w:tblPrEx>
        <w:trPr>
          <w:trHeight w:val="0" w:hRule="atLeast"/>
        </w:trPr>
        <w:tc>
          <w:tcPr>
            <w:tcW w:w="10546" w:type="dxa"/>
            <w:gridSpan w:val="6"/>
            <w:tcBorders>
              <w:top w:val="single" w:color="000000" w:sz="4" w:space="0"/>
              <w:left w:val="single" w:color="000000" w:sz="4" w:space="0"/>
              <w:bottom w:val="single" w:color="000000" w:sz="4" w:space="0"/>
              <w:right w:val="single" w:color="000000" w:sz="4" w:space="0"/>
            </w:tcBorders>
            <w:vAlign w:val="center"/>
          </w:tcPr>
          <w:p w14:paraId="195CB0B2">
            <w:pPr>
              <w:keepNext w:val="0"/>
              <w:keepLines w:val="0"/>
              <w:pageBreakBefore w:val="0"/>
              <w:widowControl/>
              <w:suppressLineNumbers w:val="0"/>
              <w:tabs>
                <w:tab w:val="left" w:pos="312"/>
              </w:tabs>
              <w:kinsoku/>
              <w:wordWrap/>
              <w:overflowPunct/>
              <w:topLinePunct w:val="0"/>
              <w:autoSpaceDE/>
              <w:autoSpaceDN/>
              <w:bidi w:val="0"/>
              <w:spacing w:before="0" w:beforeAutospacing="0" w:after="0" w:afterAutospacing="0" w:line="360" w:lineRule="exact"/>
              <w:ind w:left="0" w:right="0"/>
              <w:jc w:val="left"/>
              <w:textAlignment w:val="top"/>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1.本</w:t>
            </w:r>
            <w:r>
              <w:rPr>
                <w:rFonts w:hint="eastAsia" w:asciiTheme="minorEastAsia" w:hAnsiTheme="minorEastAsia" w:eastAsiaTheme="minorEastAsia" w:cstheme="minorEastAsia"/>
                <w:color w:val="auto"/>
                <w:kern w:val="0"/>
                <w:sz w:val="21"/>
                <w:szCs w:val="21"/>
                <w:highlight w:val="none"/>
                <w:lang w:val="en-US" w:eastAsia="zh-CN" w:bidi="ar"/>
              </w:rPr>
              <w:t>分标</w:t>
            </w:r>
            <w:r>
              <w:rPr>
                <w:rFonts w:hint="eastAsia" w:asciiTheme="minorEastAsia" w:hAnsiTheme="minorEastAsia" w:eastAsiaTheme="minorEastAsia" w:cstheme="minorEastAsia"/>
                <w:color w:val="auto"/>
                <w:kern w:val="0"/>
                <w:sz w:val="21"/>
                <w:szCs w:val="21"/>
                <w:highlight w:val="none"/>
                <w:lang w:bidi="ar"/>
              </w:rPr>
              <w:t>政府采购预算金额为人民币</w:t>
            </w:r>
            <w:r>
              <w:rPr>
                <w:rFonts w:hint="eastAsia" w:asciiTheme="minorEastAsia" w:hAnsiTheme="minorEastAsia" w:eastAsiaTheme="minorEastAsia" w:cstheme="minorEastAsia"/>
                <w:color w:val="auto"/>
                <w:kern w:val="0"/>
                <w:sz w:val="21"/>
                <w:szCs w:val="21"/>
                <w:highlight w:val="none"/>
                <w:lang w:val="en-US" w:eastAsia="zh-CN" w:bidi="ar"/>
              </w:rPr>
              <w:t>陆拾陆万元整</w:t>
            </w: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660000</w:t>
            </w:r>
            <w:r>
              <w:rPr>
                <w:rFonts w:hint="eastAsia" w:asciiTheme="minorEastAsia" w:hAnsiTheme="minorEastAsia" w:eastAsiaTheme="minorEastAsia" w:cstheme="minorEastAsia"/>
                <w:color w:val="auto"/>
                <w:kern w:val="0"/>
                <w:sz w:val="21"/>
                <w:szCs w:val="21"/>
                <w:highlight w:val="none"/>
                <w:lang w:bidi="ar"/>
              </w:rPr>
              <w:t>.00），报价超出采购预算金额的按</w:t>
            </w:r>
            <w:r>
              <w:rPr>
                <w:rFonts w:hint="eastAsia" w:asciiTheme="minorEastAsia" w:hAnsiTheme="minorEastAsia" w:eastAsiaTheme="minorEastAsia" w:cstheme="minorEastAsia"/>
                <w:color w:val="auto"/>
                <w:kern w:val="0"/>
                <w:sz w:val="21"/>
                <w:szCs w:val="21"/>
                <w:highlight w:val="none"/>
                <w:lang w:val="en-US" w:eastAsia="zh-CN" w:bidi="ar"/>
              </w:rPr>
              <w:t>投标</w:t>
            </w:r>
            <w:r>
              <w:rPr>
                <w:rFonts w:hint="eastAsia" w:asciiTheme="minorEastAsia" w:hAnsiTheme="minorEastAsia" w:eastAsiaTheme="minorEastAsia" w:cstheme="minorEastAsia"/>
                <w:color w:val="auto"/>
                <w:kern w:val="0"/>
                <w:sz w:val="21"/>
                <w:szCs w:val="21"/>
                <w:highlight w:val="none"/>
                <w:lang w:bidi="ar"/>
              </w:rPr>
              <w:t>无效处理。</w:t>
            </w:r>
          </w:p>
          <w:p w14:paraId="13F36A11">
            <w:pPr>
              <w:keepNext w:val="0"/>
              <w:keepLines w:val="0"/>
              <w:pageBreakBefore w:val="0"/>
              <w:widowControl/>
              <w:suppressLineNumbers w:val="0"/>
              <w:tabs>
                <w:tab w:val="left" w:pos="312"/>
              </w:tabs>
              <w:kinsoku/>
              <w:wordWrap/>
              <w:overflowPunct/>
              <w:topLinePunct w:val="0"/>
              <w:autoSpaceDE/>
              <w:autoSpaceDN/>
              <w:bidi w:val="0"/>
              <w:spacing w:before="0" w:beforeAutospacing="0" w:after="0" w:afterAutospacing="0" w:line="360" w:lineRule="exact"/>
              <w:ind w:left="0" w:right="0"/>
              <w:jc w:val="left"/>
              <w:textAlignment w:val="top"/>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2.本项目货物不接受进口产品（即通过中国海关报关验放进入中国境内且产自关境外的产品），如有此类产品参与投标的，按</w:t>
            </w:r>
            <w:r>
              <w:rPr>
                <w:rFonts w:hint="eastAsia" w:asciiTheme="minorEastAsia" w:hAnsiTheme="minorEastAsia" w:eastAsiaTheme="minorEastAsia" w:cstheme="minorEastAsia"/>
                <w:color w:val="auto"/>
                <w:kern w:val="0"/>
                <w:sz w:val="21"/>
                <w:szCs w:val="21"/>
                <w:highlight w:val="none"/>
                <w:lang w:val="en-US" w:eastAsia="zh-CN" w:bidi="ar"/>
              </w:rPr>
              <w:t>投标</w:t>
            </w:r>
            <w:r>
              <w:rPr>
                <w:rFonts w:hint="eastAsia" w:asciiTheme="minorEastAsia" w:hAnsiTheme="minorEastAsia" w:eastAsiaTheme="minorEastAsia" w:cstheme="minorEastAsia"/>
                <w:color w:val="auto"/>
                <w:kern w:val="0"/>
                <w:sz w:val="21"/>
                <w:szCs w:val="21"/>
                <w:highlight w:val="none"/>
                <w:lang w:bidi="ar"/>
              </w:rPr>
              <w:t>无效处理。</w:t>
            </w:r>
          </w:p>
          <w:p w14:paraId="7C38DA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top"/>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投标报价应包括本次采购范围内货物货款、货物标准附件、备品备件、专用工具、包装、运输、装卸、保险、税金、货到就位以及安装、安装所需辅材、调试、培训、保修和采购文件要求提供的所有伴随服务、工程等费用和税费。</w:t>
            </w:r>
          </w:p>
        </w:tc>
      </w:tr>
    </w:tbl>
    <w:p w14:paraId="62617804">
      <w:pPr>
        <w:rPr>
          <w:rFonts w:hint="eastAsia" w:ascii="宋体" w:hAnsi="宋体" w:cs="宋体"/>
          <w:b/>
          <w:bCs w:val="0"/>
          <w:color w:val="auto"/>
          <w:kern w:val="2"/>
          <w:sz w:val="28"/>
          <w:szCs w:val="28"/>
          <w:highlight w:val="none"/>
          <w:lang w:val="en-US" w:eastAsia="zh-CN" w:bidi="ar"/>
        </w:rPr>
      </w:pPr>
      <w:r>
        <w:rPr>
          <w:rFonts w:hint="eastAsia" w:ascii="宋体" w:hAnsi="宋体" w:cs="宋体"/>
          <w:b/>
          <w:bCs w:val="0"/>
          <w:color w:val="auto"/>
          <w:kern w:val="2"/>
          <w:sz w:val="28"/>
          <w:szCs w:val="28"/>
          <w:highlight w:val="none"/>
          <w:lang w:val="en-US" w:eastAsia="zh-CN" w:bidi="ar"/>
        </w:rPr>
        <w:br w:type="page"/>
      </w:r>
    </w:p>
    <w:p w14:paraId="01E6EDF2">
      <w:pPr>
        <w:keepNext w:val="0"/>
        <w:keepLines w:val="0"/>
        <w:widowControl w:val="0"/>
        <w:suppressLineNumbers w:val="0"/>
        <w:snapToGrid w:val="0"/>
        <w:spacing w:before="0" w:beforeAutospacing="0" w:after="0" w:afterAutospacing="0" w:line="360" w:lineRule="auto"/>
        <w:ind w:right="0"/>
        <w:jc w:val="left"/>
        <w:outlineLvl w:val="2"/>
        <w:rPr>
          <w:rFonts w:hint="default" w:ascii="宋体" w:hAnsi="宋体" w:eastAsia="宋体" w:cs="宋体"/>
          <w:b/>
          <w:bCs w:val="0"/>
          <w:color w:val="auto"/>
          <w:kern w:val="2"/>
          <w:sz w:val="28"/>
          <w:szCs w:val="28"/>
          <w:highlight w:val="none"/>
          <w:lang w:val="en-US"/>
        </w:rPr>
      </w:pPr>
      <w:r>
        <w:rPr>
          <w:rFonts w:hint="eastAsia" w:ascii="宋体" w:hAnsi="宋体" w:cs="宋体"/>
          <w:b/>
          <w:bCs w:val="0"/>
          <w:color w:val="auto"/>
          <w:kern w:val="2"/>
          <w:sz w:val="28"/>
          <w:szCs w:val="28"/>
          <w:highlight w:val="none"/>
          <w:lang w:val="en-US" w:eastAsia="zh-CN" w:bidi="ar"/>
        </w:rPr>
        <w:t>B分标</w:t>
      </w:r>
      <w:r>
        <w:rPr>
          <w:rFonts w:hint="eastAsia" w:ascii="宋体" w:hAnsi="宋体" w:eastAsia="宋体" w:cs="宋体"/>
          <w:b/>
          <w:bCs w:val="0"/>
          <w:color w:val="auto"/>
          <w:kern w:val="2"/>
          <w:sz w:val="28"/>
          <w:szCs w:val="28"/>
          <w:highlight w:val="none"/>
          <w:lang w:val="en-US" w:eastAsia="zh-CN" w:bidi="ar"/>
        </w:rPr>
        <w:t>：</w:t>
      </w:r>
    </w:p>
    <w:tbl>
      <w:tblPr>
        <w:tblStyle w:val="51"/>
        <w:tblW w:w="9871"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441"/>
        <w:gridCol w:w="336"/>
        <w:gridCol w:w="827"/>
        <w:gridCol w:w="6748"/>
        <w:gridCol w:w="336"/>
        <w:gridCol w:w="336"/>
        <w:gridCol w:w="847"/>
      </w:tblGrid>
      <w:tr w14:paraId="2239C45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987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2C88B5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
              </w:rPr>
              <w:t>一、采购需求</w:t>
            </w:r>
          </w:p>
        </w:tc>
      </w:tr>
      <w:tr w14:paraId="0BB66AD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77F693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
              </w:rPr>
              <w:t>项号</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726F77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
              </w:rPr>
              <w:t>货物名称</w:t>
            </w:r>
          </w:p>
        </w:tc>
        <w:tc>
          <w:tcPr>
            <w:tcW w:w="6748" w:type="dxa"/>
            <w:tcBorders>
              <w:top w:val="single" w:color="auto" w:sz="4" w:space="0"/>
              <w:left w:val="nil"/>
              <w:bottom w:val="single" w:color="auto" w:sz="4" w:space="0"/>
              <w:right w:val="single" w:color="auto" w:sz="4" w:space="0"/>
            </w:tcBorders>
            <w:shd w:val="clear" w:color="auto" w:fill="auto"/>
            <w:vAlign w:val="center"/>
          </w:tcPr>
          <w:p w14:paraId="0958CC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
              </w:rPr>
              <w:t>技术参数及其性能（配置）要求</w:t>
            </w:r>
          </w:p>
        </w:tc>
        <w:tc>
          <w:tcPr>
            <w:tcW w:w="336" w:type="dxa"/>
            <w:tcBorders>
              <w:top w:val="single" w:color="auto" w:sz="4" w:space="0"/>
              <w:left w:val="nil"/>
              <w:bottom w:val="single" w:color="auto" w:sz="4" w:space="0"/>
              <w:right w:val="single" w:color="auto" w:sz="4" w:space="0"/>
            </w:tcBorders>
            <w:shd w:val="clear" w:color="auto" w:fill="auto"/>
            <w:vAlign w:val="center"/>
          </w:tcPr>
          <w:p w14:paraId="4C4060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
              </w:rPr>
              <w:t>数量</w:t>
            </w:r>
          </w:p>
        </w:tc>
        <w:tc>
          <w:tcPr>
            <w:tcW w:w="336" w:type="dxa"/>
            <w:tcBorders>
              <w:top w:val="single" w:color="auto" w:sz="4" w:space="0"/>
              <w:left w:val="nil"/>
              <w:bottom w:val="single" w:color="auto" w:sz="4" w:space="0"/>
              <w:right w:val="single" w:color="auto" w:sz="4" w:space="0"/>
            </w:tcBorders>
            <w:shd w:val="clear" w:color="auto" w:fill="auto"/>
            <w:vAlign w:val="center"/>
          </w:tcPr>
          <w:p w14:paraId="63410E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
              </w:rPr>
              <w:t>单位</w:t>
            </w:r>
          </w:p>
        </w:tc>
        <w:tc>
          <w:tcPr>
            <w:tcW w:w="847" w:type="dxa"/>
            <w:tcBorders>
              <w:top w:val="single" w:color="auto" w:sz="4" w:space="0"/>
              <w:left w:val="nil"/>
              <w:bottom w:val="single" w:color="auto" w:sz="4" w:space="0"/>
              <w:right w:val="single" w:color="auto" w:sz="4" w:space="0"/>
            </w:tcBorders>
            <w:shd w:val="clear" w:color="auto" w:fill="auto"/>
            <w:vAlign w:val="center"/>
          </w:tcPr>
          <w:p w14:paraId="13B7F7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
              </w:rPr>
              <w:t>参考单价（元）</w:t>
            </w:r>
          </w:p>
        </w:tc>
      </w:tr>
      <w:tr w14:paraId="66FF233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25" w:hRule="atLeast"/>
          <w:jc w:val="center"/>
        </w:trPr>
        <w:tc>
          <w:tcPr>
            <w:tcW w:w="987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665263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精品录播教室建设</w:t>
            </w:r>
          </w:p>
        </w:tc>
      </w:tr>
      <w:tr w14:paraId="02A8C63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7073F7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1</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54EF205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互动录播主机</w:t>
            </w:r>
          </w:p>
        </w:tc>
        <w:tc>
          <w:tcPr>
            <w:tcW w:w="6748" w:type="dxa"/>
            <w:tcBorders>
              <w:top w:val="single" w:color="auto" w:sz="4" w:space="0"/>
              <w:left w:val="nil"/>
              <w:bottom w:val="single" w:color="auto" w:sz="4" w:space="0"/>
              <w:right w:val="single" w:color="auto" w:sz="4" w:space="0"/>
            </w:tcBorders>
            <w:shd w:val="clear" w:color="auto" w:fill="auto"/>
            <w:vAlign w:val="center"/>
          </w:tcPr>
          <w:p w14:paraId="4A92D17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▲1.为保证系统整体编解码性能及使用稳定性，主机采用 ARM 嵌入式架构，多路硬编码独立处理单元，支持 4K 多路并发编解码，满足多机位同步录制、直播稳定运行。</w:t>
            </w:r>
          </w:p>
          <w:p w14:paraId="527B8A5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★2</w:t>
            </w:r>
            <w:r>
              <w:rPr>
                <w:rFonts w:hint="eastAsia" w:asciiTheme="minorEastAsia" w:hAnsiTheme="minorEastAsia" w:eastAsiaTheme="minorEastAsia" w:cstheme="minorEastAsia"/>
                <w:color w:val="auto"/>
                <w:kern w:val="0"/>
                <w:sz w:val="21"/>
                <w:szCs w:val="21"/>
                <w:highlight w:val="none"/>
                <w:lang w:bidi="ar"/>
              </w:rPr>
              <w:t>.主机存储容量不低于1TB。</w:t>
            </w:r>
          </w:p>
          <w:p w14:paraId="68EDA62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3</w:t>
            </w:r>
            <w:r>
              <w:rPr>
                <w:rFonts w:hint="eastAsia" w:asciiTheme="minorEastAsia" w:hAnsiTheme="minorEastAsia" w:eastAsiaTheme="minorEastAsia" w:cstheme="minorEastAsia"/>
                <w:color w:val="auto"/>
                <w:kern w:val="0"/>
                <w:sz w:val="21"/>
                <w:szCs w:val="21"/>
                <w:highlight w:val="none"/>
                <w:lang w:bidi="ar"/>
              </w:rPr>
              <w:t>.主机采用高度集成化设计，能够独立完成视频采集、音频采集、音频编码、视频编码、音频处理、视频处理表、直播、录制、互动、专业导播、远程运维参数设置功能。</w:t>
            </w:r>
          </w:p>
          <w:p w14:paraId="61BC5E7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4</w:t>
            </w:r>
            <w:r>
              <w:rPr>
                <w:rFonts w:hint="eastAsia" w:asciiTheme="minorEastAsia" w:hAnsiTheme="minorEastAsia" w:eastAsiaTheme="minorEastAsia" w:cstheme="minorEastAsia"/>
                <w:color w:val="auto"/>
                <w:kern w:val="0"/>
                <w:sz w:val="21"/>
                <w:szCs w:val="21"/>
                <w:highlight w:val="none"/>
                <w:lang w:bidi="ar"/>
              </w:rPr>
              <w:t>.支持同时≥2个无线麦克风接入，且同时支持≥2种对频模式。</w:t>
            </w:r>
          </w:p>
          <w:p w14:paraId="6B44448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5</w:t>
            </w:r>
            <w:r>
              <w:rPr>
                <w:rFonts w:hint="eastAsia" w:asciiTheme="minorEastAsia" w:hAnsiTheme="minorEastAsia" w:eastAsiaTheme="minorEastAsia" w:cstheme="minorEastAsia"/>
                <w:color w:val="auto"/>
                <w:kern w:val="0"/>
                <w:sz w:val="21"/>
                <w:szCs w:val="21"/>
                <w:highlight w:val="none"/>
                <w:lang w:bidi="ar"/>
              </w:rPr>
              <w:t>.支持≥</w:t>
            </w:r>
            <w:r>
              <w:rPr>
                <w:rFonts w:hint="eastAsia" w:asciiTheme="minorEastAsia" w:hAnsiTheme="minorEastAsia" w:eastAsiaTheme="minorEastAsia" w:cstheme="minorEastAsia"/>
                <w:color w:val="auto"/>
                <w:kern w:val="0"/>
                <w:sz w:val="21"/>
                <w:szCs w:val="21"/>
                <w:highlight w:val="none"/>
                <w:lang w:val="en-US" w:eastAsia="zh-CN" w:bidi="ar"/>
              </w:rPr>
              <w:t>2</w:t>
            </w:r>
            <w:r>
              <w:rPr>
                <w:rFonts w:hint="eastAsia" w:asciiTheme="minorEastAsia" w:hAnsiTheme="minorEastAsia" w:eastAsiaTheme="minorEastAsia" w:cstheme="minorEastAsia"/>
                <w:color w:val="auto"/>
                <w:kern w:val="0"/>
                <w:sz w:val="21"/>
                <w:szCs w:val="21"/>
                <w:highlight w:val="none"/>
                <w:lang w:bidi="ar"/>
              </w:rPr>
              <w:t>路高清视频输出，且输出最大分辨率均可达到4K（即3840*2160），其中HDMI信号输出≥2路。</w:t>
            </w:r>
          </w:p>
          <w:p w14:paraId="0D0BF92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6</w:t>
            </w:r>
            <w:r>
              <w:rPr>
                <w:rFonts w:hint="eastAsia" w:asciiTheme="minorEastAsia" w:hAnsiTheme="minorEastAsia" w:eastAsiaTheme="minorEastAsia" w:cstheme="minorEastAsia"/>
                <w:color w:val="auto"/>
                <w:kern w:val="0"/>
                <w:sz w:val="21"/>
                <w:szCs w:val="21"/>
                <w:highlight w:val="none"/>
                <w:lang w:bidi="ar"/>
              </w:rPr>
              <w:t>.支持≥4个RJ45接口，其中≥</w:t>
            </w:r>
            <w:r>
              <w:rPr>
                <w:rFonts w:hint="eastAsia" w:asciiTheme="minorEastAsia" w:hAnsiTheme="minorEastAsia" w:eastAsiaTheme="minorEastAsia" w:cstheme="minorEastAsia"/>
                <w:color w:val="auto"/>
                <w:kern w:val="0"/>
                <w:sz w:val="21"/>
                <w:szCs w:val="21"/>
                <w:highlight w:val="none"/>
                <w:lang w:val="en-US" w:eastAsia="zh-CN" w:bidi="ar"/>
              </w:rPr>
              <w:t>2</w:t>
            </w:r>
            <w:r>
              <w:rPr>
                <w:rFonts w:hint="eastAsia" w:asciiTheme="minorEastAsia" w:hAnsiTheme="minorEastAsia" w:eastAsiaTheme="minorEastAsia" w:cstheme="minorEastAsia"/>
                <w:color w:val="auto"/>
                <w:kern w:val="0"/>
                <w:sz w:val="21"/>
                <w:szCs w:val="21"/>
                <w:highlight w:val="none"/>
                <w:lang w:bidi="ar"/>
              </w:rPr>
              <w:t>个支持POE。</w:t>
            </w:r>
          </w:p>
          <w:p w14:paraId="135B560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7</w:t>
            </w:r>
            <w:r>
              <w:rPr>
                <w:rFonts w:hint="eastAsia" w:asciiTheme="minorEastAsia" w:hAnsiTheme="minorEastAsia" w:eastAsiaTheme="minorEastAsia" w:cstheme="minorEastAsia"/>
                <w:color w:val="auto"/>
                <w:kern w:val="0"/>
                <w:sz w:val="21"/>
                <w:szCs w:val="21"/>
                <w:highlight w:val="none"/>
                <w:lang w:bidi="ar"/>
              </w:rPr>
              <w:t>.支持≥2个线路信号立体声输入，且输入接口采用不同的运放倍数设计，可满足不同类型的音频信号接入。</w:t>
            </w:r>
          </w:p>
          <w:p w14:paraId="605468A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8</w:t>
            </w:r>
            <w:r>
              <w:rPr>
                <w:rFonts w:hint="eastAsia" w:asciiTheme="minorEastAsia" w:hAnsiTheme="minorEastAsia" w:eastAsiaTheme="minorEastAsia" w:cstheme="minorEastAsia"/>
                <w:color w:val="auto"/>
                <w:kern w:val="0"/>
                <w:sz w:val="21"/>
                <w:szCs w:val="21"/>
                <w:highlight w:val="none"/>
                <w:lang w:bidi="ar"/>
              </w:rPr>
              <w:t>.支持≥1个线性立体声音频输出，可独立设置任意一个输出接口的混音模式。</w:t>
            </w:r>
          </w:p>
          <w:p w14:paraId="35855E0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9</w:t>
            </w:r>
            <w:r>
              <w:rPr>
                <w:rFonts w:hint="eastAsia" w:asciiTheme="minorEastAsia" w:hAnsiTheme="minorEastAsia" w:eastAsiaTheme="minorEastAsia" w:cstheme="minorEastAsia"/>
                <w:color w:val="auto"/>
                <w:kern w:val="0"/>
                <w:sz w:val="21"/>
                <w:szCs w:val="21"/>
                <w:highlight w:val="none"/>
                <w:lang w:bidi="ar"/>
              </w:rPr>
              <w:t>.支持≥1个阵列麦克风输入接口，可在不接入音频处理器的情况下，通过网线就可以完成≥</w:t>
            </w:r>
            <w:r>
              <w:rPr>
                <w:rFonts w:hint="eastAsia" w:asciiTheme="minorEastAsia" w:hAnsiTheme="minorEastAsia" w:eastAsiaTheme="minorEastAsia" w:cstheme="minorEastAsia"/>
                <w:color w:val="auto"/>
                <w:kern w:val="0"/>
                <w:sz w:val="21"/>
                <w:szCs w:val="21"/>
                <w:highlight w:val="none"/>
                <w:lang w:val="en-US" w:eastAsia="zh-CN" w:bidi="ar"/>
              </w:rPr>
              <w:t>4</w:t>
            </w:r>
            <w:r>
              <w:rPr>
                <w:rFonts w:hint="eastAsia" w:asciiTheme="minorEastAsia" w:hAnsiTheme="minorEastAsia" w:eastAsiaTheme="minorEastAsia" w:cstheme="minorEastAsia"/>
                <w:color w:val="auto"/>
                <w:kern w:val="0"/>
                <w:sz w:val="21"/>
                <w:szCs w:val="21"/>
                <w:highlight w:val="none"/>
                <w:lang w:bidi="ar"/>
              </w:rPr>
              <w:t>个阵列麦克风接入主机，通过网线可以实现≥</w:t>
            </w:r>
            <w:r>
              <w:rPr>
                <w:rFonts w:hint="eastAsia" w:asciiTheme="minorEastAsia" w:hAnsiTheme="minorEastAsia" w:eastAsiaTheme="minorEastAsia" w:cstheme="minorEastAsia"/>
                <w:color w:val="auto"/>
                <w:kern w:val="0"/>
                <w:sz w:val="21"/>
                <w:szCs w:val="21"/>
                <w:highlight w:val="none"/>
                <w:lang w:val="en-US" w:eastAsia="zh-CN" w:bidi="ar"/>
              </w:rPr>
              <w:t>4</w:t>
            </w:r>
            <w:r>
              <w:rPr>
                <w:rFonts w:hint="eastAsia" w:asciiTheme="minorEastAsia" w:hAnsiTheme="minorEastAsia" w:eastAsiaTheme="minorEastAsia" w:cstheme="minorEastAsia"/>
                <w:color w:val="auto"/>
                <w:kern w:val="0"/>
                <w:sz w:val="21"/>
                <w:szCs w:val="21"/>
                <w:highlight w:val="none"/>
                <w:lang w:bidi="ar"/>
              </w:rPr>
              <w:t>麦克风的供电、音频信号传输、音频参数设置，支持无损数字音频传输。</w:t>
            </w:r>
          </w:p>
          <w:p w14:paraId="24022D9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10</w:t>
            </w:r>
            <w:r>
              <w:rPr>
                <w:rFonts w:hint="eastAsia" w:asciiTheme="minorEastAsia" w:hAnsiTheme="minorEastAsia" w:eastAsiaTheme="minorEastAsia" w:cstheme="minorEastAsia"/>
                <w:color w:val="auto"/>
                <w:kern w:val="0"/>
                <w:sz w:val="21"/>
                <w:szCs w:val="21"/>
                <w:highlight w:val="none"/>
                <w:lang w:bidi="ar"/>
              </w:rPr>
              <w:t>.支持≥</w:t>
            </w:r>
            <w:r>
              <w:rPr>
                <w:rFonts w:hint="eastAsia" w:asciiTheme="minorEastAsia" w:hAnsiTheme="minorEastAsia" w:eastAsiaTheme="minorEastAsia" w:cstheme="minorEastAsia"/>
                <w:color w:val="auto"/>
                <w:kern w:val="0"/>
                <w:sz w:val="21"/>
                <w:szCs w:val="21"/>
                <w:highlight w:val="none"/>
                <w:lang w:val="en-US" w:eastAsia="zh-CN" w:bidi="ar"/>
              </w:rPr>
              <w:t>3</w:t>
            </w:r>
            <w:r>
              <w:rPr>
                <w:rFonts w:hint="eastAsia" w:asciiTheme="minorEastAsia" w:hAnsiTheme="minorEastAsia" w:eastAsiaTheme="minorEastAsia" w:cstheme="minorEastAsia"/>
                <w:color w:val="auto"/>
                <w:kern w:val="0"/>
                <w:sz w:val="21"/>
                <w:szCs w:val="21"/>
                <w:highlight w:val="none"/>
                <w:lang w:bidi="ar"/>
              </w:rPr>
              <w:t>个USB类型接口，其中USB-A接口≥</w:t>
            </w:r>
            <w:r>
              <w:rPr>
                <w:rFonts w:hint="eastAsia" w:asciiTheme="minorEastAsia" w:hAnsiTheme="minorEastAsia" w:eastAsiaTheme="minorEastAsia" w:cstheme="minorEastAsia"/>
                <w:color w:val="auto"/>
                <w:kern w:val="0"/>
                <w:sz w:val="21"/>
                <w:szCs w:val="21"/>
                <w:highlight w:val="none"/>
                <w:lang w:val="en-US" w:eastAsia="zh-CN" w:bidi="ar"/>
              </w:rPr>
              <w:t>2</w:t>
            </w:r>
            <w:r>
              <w:rPr>
                <w:rFonts w:hint="eastAsia" w:asciiTheme="minorEastAsia" w:hAnsiTheme="minorEastAsia" w:eastAsiaTheme="minorEastAsia" w:cstheme="minorEastAsia"/>
                <w:color w:val="auto"/>
                <w:kern w:val="0"/>
                <w:sz w:val="21"/>
                <w:szCs w:val="21"/>
                <w:highlight w:val="none"/>
                <w:lang w:bidi="ar"/>
              </w:rPr>
              <w:t>个，Type-C接口≥</w:t>
            </w:r>
            <w:r>
              <w:rPr>
                <w:rFonts w:hint="eastAsia" w:asciiTheme="minorEastAsia" w:hAnsiTheme="minorEastAsia" w:eastAsiaTheme="minorEastAsia" w:cstheme="minorEastAsia"/>
                <w:color w:val="auto"/>
                <w:kern w:val="0"/>
                <w:sz w:val="21"/>
                <w:szCs w:val="21"/>
                <w:highlight w:val="none"/>
                <w:lang w:val="en-US" w:eastAsia="zh-CN" w:bidi="ar"/>
              </w:rPr>
              <w:t>1</w:t>
            </w:r>
            <w:r>
              <w:rPr>
                <w:rFonts w:hint="eastAsia" w:asciiTheme="minorEastAsia" w:hAnsiTheme="minorEastAsia" w:eastAsiaTheme="minorEastAsia" w:cstheme="minorEastAsia"/>
                <w:color w:val="auto"/>
                <w:kern w:val="0"/>
                <w:sz w:val="21"/>
                <w:szCs w:val="21"/>
                <w:highlight w:val="none"/>
                <w:lang w:bidi="ar"/>
              </w:rPr>
              <w:t>个。</w:t>
            </w:r>
          </w:p>
          <w:p w14:paraId="3059A79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11</w:t>
            </w:r>
            <w:r>
              <w:rPr>
                <w:rFonts w:hint="eastAsia" w:asciiTheme="minorEastAsia" w:hAnsiTheme="minorEastAsia" w:eastAsiaTheme="minorEastAsia" w:cstheme="minorEastAsia"/>
                <w:color w:val="auto"/>
                <w:kern w:val="0"/>
                <w:sz w:val="21"/>
                <w:szCs w:val="21"/>
                <w:highlight w:val="none"/>
                <w:lang w:bidi="ar"/>
              </w:rPr>
              <w:t>.支持HDMI通道检测，可通过主机屏幕显示HDMI信号接入状态。</w:t>
            </w:r>
          </w:p>
          <w:p w14:paraId="6357087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12</w:t>
            </w:r>
            <w:r>
              <w:rPr>
                <w:rFonts w:hint="eastAsia" w:asciiTheme="minorEastAsia" w:hAnsiTheme="minorEastAsia" w:eastAsiaTheme="minorEastAsia" w:cstheme="minorEastAsia"/>
                <w:color w:val="auto"/>
                <w:kern w:val="0"/>
                <w:sz w:val="21"/>
                <w:szCs w:val="21"/>
                <w:highlight w:val="none"/>
                <w:lang w:bidi="ar"/>
              </w:rPr>
              <w:t>.支持H.264（BP/MP/HP）视频编码与解码，可扩展支持H.265编码/解码。</w:t>
            </w:r>
          </w:p>
          <w:p w14:paraId="0C737BD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13</w:t>
            </w:r>
            <w:r>
              <w:rPr>
                <w:rFonts w:hint="eastAsia" w:asciiTheme="minorEastAsia" w:hAnsiTheme="minorEastAsia" w:eastAsiaTheme="minorEastAsia" w:cstheme="minorEastAsia"/>
                <w:color w:val="auto"/>
                <w:kern w:val="0"/>
                <w:sz w:val="21"/>
                <w:szCs w:val="21"/>
                <w:highlight w:val="none"/>
                <w:lang w:bidi="ar"/>
              </w:rPr>
              <w:t>.支持录制清晰度设定，支持可选择4K、1080p、720p、VGA、QVGA；支持录制帧率设定，可选择25fps/30fps/60fps；支持录制画质选择，可选择≥4种等级；录制编码码率≥16Mbps。</w:t>
            </w:r>
          </w:p>
          <w:p w14:paraId="6B0DC40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14</w:t>
            </w:r>
            <w:r>
              <w:rPr>
                <w:rFonts w:hint="eastAsia" w:asciiTheme="minorEastAsia" w:hAnsiTheme="minorEastAsia" w:eastAsiaTheme="minorEastAsia" w:cstheme="minorEastAsia"/>
                <w:color w:val="auto"/>
                <w:kern w:val="0"/>
                <w:sz w:val="21"/>
                <w:szCs w:val="21"/>
                <w:highlight w:val="none"/>
                <w:lang w:bidi="ar"/>
              </w:rPr>
              <w:t>.支持多通道同时录制，支持生成标准MP4格式视频文件，支持≥</w:t>
            </w:r>
            <w:r>
              <w:rPr>
                <w:rFonts w:hint="eastAsia" w:asciiTheme="minorEastAsia" w:hAnsiTheme="minorEastAsia" w:eastAsiaTheme="minorEastAsia" w:cstheme="minorEastAsia"/>
                <w:color w:val="auto"/>
                <w:kern w:val="0"/>
                <w:sz w:val="21"/>
                <w:szCs w:val="21"/>
                <w:highlight w:val="none"/>
                <w:lang w:val="en-US" w:eastAsia="zh-CN" w:bidi="ar"/>
              </w:rPr>
              <w:t>4</w:t>
            </w:r>
            <w:r>
              <w:rPr>
                <w:rFonts w:hint="eastAsia" w:asciiTheme="minorEastAsia" w:hAnsiTheme="minorEastAsia" w:eastAsiaTheme="minorEastAsia" w:cstheme="minorEastAsia"/>
                <w:color w:val="auto"/>
                <w:kern w:val="0"/>
                <w:sz w:val="21"/>
                <w:szCs w:val="21"/>
                <w:highlight w:val="none"/>
                <w:lang w:bidi="ar"/>
              </w:rPr>
              <w:t>路MP4文件同时录制。</w:t>
            </w:r>
          </w:p>
          <w:p w14:paraId="6843AC0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15</w:t>
            </w:r>
            <w:r>
              <w:rPr>
                <w:rFonts w:hint="eastAsia" w:asciiTheme="minorEastAsia" w:hAnsiTheme="minorEastAsia" w:eastAsiaTheme="minorEastAsia" w:cstheme="minorEastAsia"/>
                <w:color w:val="auto"/>
                <w:kern w:val="0"/>
                <w:sz w:val="21"/>
                <w:szCs w:val="21"/>
                <w:highlight w:val="none"/>
                <w:lang w:bidi="ar"/>
              </w:rPr>
              <w:t>.支持通过主机一体化触控屏实现开始、暂停、停止录制、发布直播。</w:t>
            </w:r>
          </w:p>
          <w:p w14:paraId="78C1B17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16</w:t>
            </w:r>
            <w:r>
              <w:rPr>
                <w:rFonts w:hint="eastAsia" w:asciiTheme="minorEastAsia" w:hAnsiTheme="minorEastAsia" w:eastAsiaTheme="minorEastAsia" w:cstheme="minorEastAsia"/>
                <w:color w:val="auto"/>
                <w:kern w:val="0"/>
                <w:sz w:val="21"/>
                <w:szCs w:val="21"/>
                <w:highlight w:val="none"/>
                <w:lang w:bidi="ar"/>
              </w:rPr>
              <w:t>.主机内置扬声器，支持音频检测，通过主机内置扬声器可以播放测试音频，通过主机一体化屏幕进行视频预览时能够同步播放音频，且可控制播放音频音量大小。</w:t>
            </w:r>
          </w:p>
          <w:p w14:paraId="7E7DABE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17</w:t>
            </w:r>
            <w:r>
              <w:rPr>
                <w:rFonts w:hint="eastAsia" w:asciiTheme="minorEastAsia" w:hAnsiTheme="minorEastAsia" w:eastAsiaTheme="minorEastAsia" w:cstheme="minorEastAsia"/>
                <w:color w:val="auto"/>
                <w:kern w:val="0"/>
                <w:sz w:val="21"/>
                <w:szCs w:val="21"/>
                <w:highlight w:val="none"/>
                <w:lang w:bidi="ar"/>
              </w:rPr>
              <w:t>.直播视频清晰度可设置，支持1080p@60fps，可选择1080p、720p、VGA、QVGA；支持帧率设定，可选择25fps/30fps/60fps；支持多种画质选择，可选择极佳、好、一般、流畅四个不同等级。</w:t>
            </w:r>
          </w:p>
          <w:p w14:paraId="33A138E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18</w:t>
            </w:r>
            <w:r>
              <w:rPr>
                <w:rFonts w:hint="eastAsia" w:asciiTheme="minorEastAsia" w:hAnsiTheme="minorEastAsia" w:eastAsiaTheme="minorEastAsia" w:cstheme="minorEastAsia"/>
                <w:color w:val="auto"/>
                <w:kern w:val="0"/>
                <w:sz w:val="21"/>
                <w:szCs w:val="21"/>
                <w:highlight w:val="none"/>
                <w:lang w:bidi="ar"/>
              </w:rPr>
              <w:t>.支持通过互联网，查看当前的主机总数、日活个数、当前在线数量，支持通过平台查看设备在线和离线状态，支持通过平台查看设备ID地址、IP地址、激活时间信息。</w:t>
            </w:r>
          </w:p>
          <w:p w14:paraId="7FF3BE1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19</w:t>
            </w:r>
            <w:r>
              <w:rPr>
                <w:rFonts w:hint="eastAsia" w:asciiTheme="minorEastAsia" w:hAnsiTheme="minorEastAsia" w:eastAsiaTheme="minorEastAsia" w:cstheme="minorEastAsia"/>
                <w:color w:val="auto"/>
                <w:kern w:val="0"/>
                <w:sz w:val="21"/>
                <w:szCs w:val="21"/>
                <w:highlight w:val="none"/>
                <w:lang w:bidi="ar"/>
              </w:rPr>
              <w:t>.支持通过互联网，按照版本号进行查询。可查看该版本的主机数量，支持通过IOT物联平台实现主机的远程升级，可查看不同版本的占比，可按照行政区域进行分区升级。</w:t>
            </w:r>
          </w:p>
          <w:p w14:paraId="2046EEB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20</w:t>
            </w:r>
            <w:r>
              <w:rPr>
                <w:rFonts w:hint="eastAsia" w:asciiTheme="minorEastAsia" w:hAnsiTheme="minorEastAsia" w:eastAsiaTheme="minorEastAsia" w:cstheme="minorEastAsia"/>
                <w:color w:val="auto"/>
                <w:kern w:val="0"/>
                <w:sz w:val="21"/>
                <w:szCs w:val="21"/>
                <w:highlight w:val="none"/>
                <w:lang w:bidi="ar"/>
              </w:rPr>
              <w:t>.主机采用≥1</w:t>
            </w:r>
            <w:r>
              <w:rPr>
                <w:rFonts w:hint="eastAsia" w:asciiTheme="minorEastAsia" w:hAnsiTheme="minorEastAsia" w:eastAsiaTheme="minorEastAsia" w:cstheme="minorEastAsia"/>
                <w:color w:val="auto"/>
                <w:kern w:val="0"/>
                <w:sz w:val="21"/>
                <w:szCs w:val="21"/>
                <w:highlight w:val="none"/>
                <w:lang w:val="en-US" w:eastAsia="zh-CN" w:bidi="ar"/>
              </w:rPr>
              <w:t>3</w:t>
            </w:r>
            <w:r>
              <w:rPr>
                <w:rFonts w:hint="eastAsia" w:asciiTheme="minorEastAsia" w:hAnsiTheme="minorEastAsia" w:eastAsiaTheme="minorEastAsia" w:cstheme="minorEastAsia"/>
                <w:color w:val="auto"/>
                <w:kern w:val="0"/>
                <w:sz w:val="21"/>
                <w:szCs w:val="21"/>
                <w:highlight w:val="none"/>
                <w:lang w:bidi="ar"/>
              </w:rPr>
              <w:t>英寸触控电容屏，屏幕色域≥72%NTSC，表面硬度≥7H，屏幕分辨率≥1920*1080。</w:t>
            </w:r>
          </w:p>
          <w:p w14:paraId="061D2A4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21</w:t>
            </w:r>
            <w:r>
              <w:rPr>
                <w:rFonts w:hint="eastAsia" w:asciiTheme="minorEastAsia" w:hAnsiTheme="minorEastAsia" w:eastAsiaTheme="minorEastAsia" w:cstheme="minorEastAsia"/>
                <w:color w:val="auto"/>
                <w:kern w:val="0"/>
                <w:sz w:val="21"/>
                <w:szCs w:val="21"/>
                <w:highlight w:val="none"/>
                <w:lang w:bidi="ar"/>
              </w:rPr>
              <w:t>.音画不同步时间差≤167ms。</w:t>
            </w:r>
          </w:p>
          <w:p w14:paraId="33F42C7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★22</w:t>
            </w:r>
            <w:r>
              <w:rPr>
                <w:rFonts w:hint="eastAsia" w:asciiTheme="minorEastAsia" w:hAnsiTheme="minorEastAsia" w:eastAsiaTheme="minorEastAsia" w:cstheme="minorEastAsia"/>
                <w:color w:val="auto"/>
                <w:kern w:val="0"/>
                <w:sz w:val="21"/>
                <w:szCs w:val="21"/>
                <w:highlight w:val="none"/>
                <w:lang w:bidi="ar"/>
              </w:rPr>
              <w:t>.主机供电采用安全电压，整机供电电压≤24V。</w:t>
            </w:r>
          </w:p>
          <w:p w14:paraId="09F2AD78">
            <w:pPr>
              <w:keepNext w:val="0"/>
              <w:keepLines w:val="0"/>
              <w:pageBreakBefore w:val="0"/>
              <w:widowControl/>
              <w:numPr>
                <w:ilvl w:val="0"/>
                <w:numId w:val="0"/>
              </w:numPr>
              <w:suppressLineNumbers w:val="0"/>
              <w:kinsoku/>
              <w:wordWrap/>
              <w:overflowPunct/>
              <w:topLinePunct w:val="0"/>
              <w:autoSpaceDE/>
              <w:autoSpaceDN/>
              <w:bidi w:val="0"/>
              <w:snapToGrid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23.主机内置跟踪功能，无需额外配置跟踪主机即可实现智能图像识别跟踪分析与处理功能。</w:t>
            </w:r>
          </w:p>
          <w:p w14:paraId="6F20438E">
            <w:pPr>
              <w:keepNext w:val="0"/>
              <w:keepLines w:val="0"/>
              <w:pageBreakBefore w:val="0"/>
              <w:widowControl/>
              <w:numPr>
                <w:ilvl w:val="0"/>
                <w:numId w:val="0"/>
              </w:numPr>
              <w:suppressLineNumbers w:val="0"/>
              <w:kinsoku/>
              <w:wordWrap/>
              <w:overflowPunct/>
              <w:topLinePunct w:val="0"/>
              <w:autoSpaceDE/>
              <w:autoSpaceDN/>
              <w:bidi w:val="0"/>
              <w:snapToGrid w:val="0"/>
              <w:spacing w:before="0" w:beforeAutospacing="0" w:after="0" w:afterAutospacing="0" w:line="360" w:lineRule="exact"/>
              <w:ind w:left="0" w:leftChars="0" w:right="0" w:rightChars="0"/>
              <w:jc w:val="left"/>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24.支持通过互联网查看主机的操作记录，可通过用户、手机号、日期进行多条件同时筛选搜索。可查看对应操作的时间和操作项，并查看操作的详细请示求数据。</w:t>
            </w:r>
          </w:p>
          <w:p w14:paraId="3403CAE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p>
          <w:p w14:paraId="41ACB40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主机导播系统</w:t>
            </w:r>
          </w:p>
          <w:p w14:paraId="4DF943C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1.自动导播默认画面支持自定义设定，支持选择自动导播画面，可设置自动导播画面的保护时间和保持时间。</w:t>
            </w:r>
          </w:p>
          <w:p w14:paraId="0F1F2E3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2.支持多种画面模式，支持单画面、画中画、左右等分、三画面、四画面多种画面合成模式，支持自动导播、手动导播，可通过互动录播电脑主机一体化触控屏实现模式选择。</w:t>
            </w:r>
          </w:p>
          <w:p w14:paraId="6A20933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3.导播优先级可自定义设定，支持定时切换设置，可自由选择切换时间和切换画面，支持根据学生、老师行为状态实现画面智能切换。</w:t>
            </w:r>
          </w:p>
          <w:p w14:paraId="1E86942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支持本地导播、远程导播，本地导播可通过互动录播电脑主机一体化触控屏实现本地导播控制；也可通过触控回传实现画面导播，无需外接键鼠设备，通过交互智能平板实现对互动录播电脑主机的导播控制，远程导播可通过网络实现远程导播控制。</w:t>
            </w:r>
          </w:p>
          <w:p w14:paraId="592E30A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p>
          <w:p w14:paraId="6DD42DB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主机互动系统</w:t>
            </w:r>
          </w:p>
          <w:p w14:paraId="19440A7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1</w:t>
            </w:r>
            <w:r>
              <w:rPr>
                <w:rFonts w:hint="eastAsia" w:asciiTheme="minorEastAsia" w:hAnsiTheme="minorEastAsia" w:eastAsiaTheme="minorEastAsia" w:cstheme="minorEastAsia"/>
                <w:color w:val="auto"/>
                <w:kern w:val="0"/>
                <w:sz w:val="21"/>
                <w:szCs w:val="21"/>
                <w:highlight w:val="none"/>
                <w:lang w:bidi="ar"/>
              </w:rPr>
              <w:t>.支持双流自动发送，设置自动发送后，建立呼叫，主讲教室自动发送双流。</w:t>
            </w:r>
          </w:p>
          <w:p w14:paraId="29E66B6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2</w:t>
            </w:r>
            <w:r>
              <w:rPr>
                <w:rFonts w:hint="eastAsia" w:asciiTheme="minorEastAsia" w:hAnsiTheme="minorEastAsia" w:eastAsiaTheme="minorEastAsia" w:cstheme="minorEastAsia"/>
                <w:color w:val="auto"/>
                <w:kern w:val="0"/>
                <w:sz w:val="21"/>
                <w:szCs w:val="21"/>
                <w:highlight w:val="none"/>
                <w:lang w:bidi="ar"/>
              </w:rPr>
              <w:t>.支持课程预约功能，互动录播电脑主机能接收平台下发的互动课表，并显示于互动电脑主机一体化触控屏上，用户点击课表即可立即加入课堂，进行实时互动。</w:t>
            </w:r>
          </w:p>
          <w:p w14:paraId="7448B08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3</w:t>
            </w:r>
            <w:r>
              <w:rPr>
                <w:rFonts w:hint="eastAsia" w:asciiTheme="minorEastAsia" w:hAnsiTheme="minorEastAsia" w:eastAsiaTheme="minorEastAsia" w:cstheme="minorEastAsia"/>
                <w:color w:val="auto"/>
                <w:kern w:val="0"/>
                <w:sz w:val="21"/>
                <w:szCs w:val="21"/>
                <w:highlight w:val="none"/>
                <w:lang w:bidi="ar"/>
              </w:rPr>
              <w:t>.支持微信扫码登录，无需单独输入账号，使用微信扫描互动录播电脑主机一体化触控屏上显示的二维码即可登录互动系统，登录后显示用户头像。</w:t>
            </w:r>
          </w:p>
          <w:p w14:paraId="5C5593A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4</w:t>
            </w:r>
            <w:r>
              <w:rPr>
                <w:rFonts w:hint="eastAsia" w:asciiTheme="minorEastAsia" w:hAnsiTheme="minorEastAsia" w:eastAsiaTheme="minorEastAsia" w:cstheme="minorEastAsia"/>
                <w:color w:val="auto"/>
                <w:kern w:val="0"/>
                <w:sz w:val="21"/>
                <w:szCs w:val="21"/>
                <w:highlight w:val="none"/>
                <w:lang w:bidi="ar"/>
              </w:rPr>
              <w:t>.支持手动切换发给远端的画面。支持通过互动录播电脑主机一体化触控屏实现音量大小调整、静音。支持互动过程中一键全屏，全屏放大主画面，隐藏所有图标。支持开启和关闭桌面共享功能。</w:t>
            </w:r>
          </w:p>
          <w:p w14:paraId="7942D53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5</w:t>
            </w:r>
            <w:r>
              <w:rPr>
                <w:rFonts w:hint="eastAsia" w:asciiTheme="minorEastAsia" w:hAnsiTheme="minorEastAsia" w:eastAsiaTheme="minorEastAsia" w:cstheme="minorEastAsia"/>
                <w:color w:val="auto"/>
                <w:kern w:val="0"/>
                <w:sz w:val="21"/>
                <w:szCs w:val="21"/>
                <w:highlight w:val="none"/>
                <w:lang w:bidi="ar"/>
              </w:rPr>
              <w:t>.互动过程中可随时邀请新的听课端加入，支持拨号呼叫，用户可通过互动录播电脑主机一体化触控屏上的拨号键盘实现拨号呼叫；支持互动通讯录功能，通讯录可显示最近呼叫的账号信息，可通过通讯录实现一键呼叫。</w:t>
            </w:r>
          </w:p>
          <w:p w14:paraId="262F913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p>
          <w:p w14:paraId="5113DF1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主机视频处理系统</w:t>
            </w:r>
          </w:p>
          <w:p w14:paraId="7181FD5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1.支持合成4K的PGM画面，包含导播画面、教师全景画面、教师特写画面、学生全景画面、学生特写画面。</w:t>
            </w:r>
          </w:p>
          <w:p w14:paraId="318FDBC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2.支持多种类型视频信号接入，支持标准网络视频信号接入、高速数字信号接入。</w:t>
            </w:r>
          </w:p>
          <w:p w14:paraId="3D26CD8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3.支持通过rtsp协议接入第三方摄像机视频流。</w:t>
            </w:r>
          </w:p>
          <w:p w14:paraId="5F3A0A5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Theme="minorEastAsia" w:hAnsiTheme="minorEastAsia" w:eastAsiaTheme="minorEastAsia" w:cstheme="minorEastAsia"/>
                <w:color w:val="auto"/>
                <w:kern w:val="0"/>
                <w:sz w:val="21"/>
                <w:szCs w:val="21"/>
                <w:highlight w:val="none"/>
                <w:lang w:bidi="ar"/>
              </w:rPr>
              <w:t>4.支持不少于3种编码复杂度，支持BaselineProfile、Mainprofile、Highprofile</w:t>
            </w:r>
          </w:p>
        </w:tc>
        <w:tc>
          <w:tcPr>
            <w:tcW w:w="336" w:type="dxa"/>
            <w:tcBorders>
              <w:top w:val="single" w:color="auto" w:sz="4" w:space="0"/>
              <w:left w:val="nil"/>
              <w:bottom w:val="single" w:color="auto" w:sz="4" w:space="0"/>
              <w:right w:val="single" w:color="auto" w:sz="4" w:space="0"/>
            </w:tcBorders>
            <w:shd w:val="clear" w:color="auto" w:fill="auto"/>
            <w:vAlign w:val="center"/>
          </w:tcPr>
          <w:p w14:paraId="0685997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277B385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台</w:t>
            </w:r>
          </w:p>
        </w:tc>
        <w:tc>
          <w:tcPr>
            <w:tcW w:w="847" w:type="dxa"/>
            <w:tcBorders>
              <w:top w:val="single" w:color="auto" w:sz="4" w:space="0"/>
              <w:left w:val="nil"/>
              <w:bottom w:val="single" w:color="auto" w:sz="4" w:space="0"/>
              <w:right w:val="single" w:color="auto" w:sz="4" w:space="0"/>
            </w:tcBorders>
            <w:shd w:val="clear" w:color="auto" w:fill="auto"/>
            <w:vAlign w:val="center"/>
          </w:tcPr>
          <w:p w14:paraId="22E7D25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default" w:ascii="宋体" w:eastAsia="宋体" w:hAnsiTheme="minorEastAsia" w:cstheme="minorEastAsia"/>
                <w:color w:val="auto"/>
                <w:kern w:val="0"/>
                <w:sz w:val="21"/>
                <w:szCs w:val="21"/>
                <w:highlight w:val="none"/>
                <w:lang w:val="en-US"/>
              </w:rPr>
            </w:pPr>
            <w:r>
              <w:rPr>
                <w:rFonts w:hint="eastAsia" w:ascii="宋体" w:eastAsia="宋体" w:hAnsiTheme="minorEastAsia" w:cstheme="minorEastAsia"/>
                <w:i w:val="0"/>
                <w:iCs w:val="0"/>
                <w:color w:val="auto"/>
                <w:kern w:val="0"/>
                <w:sz w:val="21"/>
                <w:szCs w:val="21"/>
                <w:highlight w:val="none"/>
                <w:u w:val="none"/>
                <w:lang w:val="en-US" w:eastAsia="zh-CN" w:bidi="ar"/>
              </w:rPr>
              <w:t>29360</w:t>
            </w:r>
            <w:r>
              <w:rPr>
                <w:rFonts w:hint="eastAsia" w:ascii="宋体" w:hAnsiTheme="minorEastAsia" w:cstheme="minorEastAsia"/>
                <w:i w:val="0"/>
                <w:iCs w:val="0"/>
                <w:color w:val="auto"/>
                <w:kern w:val="0"/>
                <w:sz w:val="21"/>
                <w:szCs w:val="21"/>
                <w:highlight w:val="none"/>
                <w:u w:val="none"/>
                <w:lang w:val="en-US" w:eastAsia="zh-CN" w:bidi="ar"/>
              </w:rPr>
              <w:t>.00</w:t>
            </w:r>
          </w:p>
        </w:tc>
      </w:tr>
      <w:tr w14:paraId="71B66BE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594166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2</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451E2C0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高清云台摄像机</w:t>
            </w:r>
          </w:p>
        </w:tc>
        <w:tc>
          <w:tcPr>
            <w:tcW w:w="6748" w:type="dxa"/>
            <w:tcBorders>
              <w:top w:val="single" w:color="auto" w:sz="4" w:space="0"/>
              <w:left w:val="nil"/>
              <w:bottom w:val="single" w:color="auto" w:sz="4" w:space="0"/>
              <w:right w:val="single" w:color="auto" w:sz="4" w:space="0"/>
            </w:tcBorders>
            <w:shd w:val="clear" w:color="auto" w:fill="auto"/>
            <w:vAlign w:val="center"/>
          </w:tcPr>
          <w:p w14:paraId="2B84B6B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1.传感器尺寸：≥CMOS1/1.8英寸</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kern w:val="0"/>
                <w:sz w:val="21"/>
                <w:szCs w:val="21"/>
                <w:highlight w:val="none"/>
                <w:lang w:bidi="ar"/>
              </w:rPr>
              <w:t>▲</w:t>
            </w:r>
            <w:r>
              <w:rPr>
                <w:rFonts w:hint="eastAsia" w:ascii="宋体" w:hAnsi="宋体" w:eastAsia="宋体" w:cs="宋体"/>
                <w:i w:val="0"/>
                <w:iCs w:val="0"/>
                <w:color w:val="auto"/>
                <w:kern w:val="0"/>
                <w:sz w:val="21"/>
                <w:szCs w:val="21"/>
                <w:highlight w:val="none"/>
                <w:u w:val="none"/>
                <w:lang w:val="en-US" w:eastAsia="zh-CN" w:bidi="ar"/>
              </w:rPr>
              <w:t>2.传感器有效像素≥800万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3.支持不少于40倍变焦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4.扫描方式：逐行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5.支持畸变矫正功能，畸变＜1.5%，校正后可实现视觉无畸变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6.最低照度：0.5Lux@(F1.8,AGCON)</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7.镜头：F1.58~F3.95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8.快门：1/30s~1/10000s</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9.支持自动白平衡功能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10.支持背光补偿功能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11.支持图像冻结功能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12.支持POE供电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13.支持2D&amp;3D数字降噪，信噪比≥55dB</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14.支持预置位个数≥255个，预置位精度≤0.1°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15.支持水平翻转、垂直翻转，水平转动范围：±170°，垂直转动范围：-30°~+90°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16.支持最大水平视场角≥60°，最大垂直视场角≥35°</w:t>
            </w:r>
          </w:p>
        </w:tc>
        <w:tc>
          <w:tcPr>
            <w:tcW w:w="336" w:type="dxa"/>
            <w:tcBorders>
              <w:top w:val="single" w:color="auto" w:sz="4" w:space="0"/>
              <w:left w:val="nil"/>
              <w:bottom w:val="single" w:color="auto" w:sz="4" w:space="0"/>
              <w:right w:val="single" w:color="auto" w:sz="4" w:space="0"/>
            </w:tcBorders>
            <w:shd w:val="clear" w:color="auto" w:fill="auto"/>
            <w:vAlign w:val="center"/>
          </w:tcPr>
          <w:p w14:paraId="5E12171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3</w:t>
            </w:r>
          </w:p>
        </w:tc>
        <w:tc>
          <w:tcPr>
            <w:tcW w:w="336" w:type="dxa"/>
            <w:tcBorders>
              <w:top w:val="single" w:color="auto" w:sz="4" w:space="0"/>
              <w:left w:val="nil"/>
              <w:bottom w:val="single" w:color="auto" w:sz="4" w:space="0"/>
              <w:right w:val="single" w:color="auto" w:sz="4" w:space="0"/>
            </w:tcBorders>
            <w:shd w:val="clear" w:color="auto" w:fill="auto"/>
            <w:vAlign w:val="center"/>
          </w:tcPr>
          <w:p w14:paraId="23D3417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台</w:t>
            </w:r>
          </w:p>
        </w:tc>
        <w:tc>
          <w:tcPr>
            <w:tcW w:w="847" w:type="dxa"/>
            <w:tcBorders>
              <w:top w:val="single" w:color="auto" w:sz="4" w:space="0"/>
              <w:left w:val="nil"/>
              <w:bottom w:val="single" w:color="auto" w:sz="4" w:space="0"/>
              <w:right w:val="single" w:color="auto" w:sz="4" w:space="0"/>
            </w:tcBorders>
            <w:shd w:val="clear" w:color="auto" w:fill="auto"/>
            <w:vAlign w:val="center"/>
          </w:tcPr>
          <w:p w14:paraId="6A0258D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8800</w:t>
            </w:r>
            <w:r>
              <w:rPr>
                <w:rFonts w:hint="eastAsia" w:ascii="宋体" w:hAnsiTheme="minorEastAsia" w:cstheme="minorEastAsia"/>
                <w:i w:val="0"/>
                <w:iCs w:val="0"/>
                <w:color w:val="auto"/>
                <w:kern w:val="0"/>
                <w:sz w:val="21"/>
                <w:szCs w:val="21"/>
                <w:highlight w:val="none"/>
                <w:u w:val="none"/>
                <w:lang w:val="en-US" w:eastAsia="zh-CN" w:bidi="ar"/>
              </w:rPr>
              <w:t>.00</w:t>
            </w:r>
          </w:p>
        </w:tc>
      </w:tr>
      <w:tr w14:paraId="0701300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625D46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3</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1F68CED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4K学生全景摄像机</w:t>
            </w:r>
          </w:p>
        </w:tc>
        <w:tc>
          <w:tcPr>
            <w:tcW w:w="6748" w:type="dxa"/>
            <w:tcBorders>
              <w:top w:val="single" w:color="auto" w:sz="4" w:space="0"/>
              <w:left w:val="nil"/>
              <w:bottom w:val="single" w:color="auto" w:sz="4" w:space="0"/>
              <w:right w:val="single" w:color="auto" w:sz="4" w:space="0"/>
            </w:tcBorders>
            <w:shd w:val="clear" w:color="auto" w:fill="auto"/>
            <w:vAlign w:val="center"/>
          </w:tcPr>
          <w:p w14:paraId="725E24A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1.镜头水平视场角≥90°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2.一体化集成设计，支持4K超高清，最大可提供4K图像编码输出，同时向下兼容1080p，720p等分辨率。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3.网络流传输协议：TCP,HTTP,UDP，RTSP,RTMP,ONVIF。</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4.全景画面支持畸变矫正功能。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5.全景画面与特写画面必须采用相同图像传感器和图像处理器，确保两者图像输出亮度、颜色、风格等保持一致。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6.整机接口：≥1路RJ45。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7.支持POE有线网络供电，只需要1路网线，即可实现供电及信号传输，支持同时输出特写和全景等多路画面。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8.传感器尺寸：≥CMOS1/2.8英寸。</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9.传感器有效像素≥840万。</w:t>
            </w:r>
          </w:p>
        </w:tc>
        <w:tc>
          <w:tcPr>
            <w:tcW w:w="336" w:type="dxa"/>
            <w:tcBorders>
              <w:top w:val="single" w:color="auto" w:sz="4" w:space="0"/>
              <w:left w:val="nil"/>
              <w:bottom w:val="single" w:color="auto" w:sz="4" w:space="0"/>
              <w:right w:val="single" w:color="auto" w:sz="4" w:space="0"/>
            </w:tcBorders>
            <w:shd w:val="clear" w:color="auto" w:fill="auto"/>
            <w:vAlign w:val="center"/>
          </w:tcPr>
          <w:p w14:paraId="47D04AA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400A749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台</w:t>
            </w:r>
          </w:p>
        </w:tc>
        <w:tc>
          <w:tcPr>
            <w:tcW w:w="847" w:type="dxa"/>
            <w:tcBorders>
              <w:top w:val="single" w:color="auto" w:sz="4" w:space="0"/>
              <w:left w:val="nil"/>
              <w:bottom w:val="single" w:color="auto" w:sz="4" w:space="0"/>
              <w:right w:val="single" w:color="auto" w:sz="4" w:space="0"/>
            </w:tcBorders>
            <w:shd w:val="clear" w:color="auto" w:fill="auto"/>
            <w:vAlign w:val="center"/>
          </w:tcPr>
          <w:p w14:paraId="34E6549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3600</w:t>
            </w:r>
          </w:p>
        </w:tc>
      </w:tr>
      <w:tr w14:paraId="2CD9E17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23D0F69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4</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6557BCD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阵列麦克风</w:t>
            </w:r>
          </w:p>
        </w:tc>
        <w:tc>
          <w:tcPr>
            <w:tcW w:w="6748" w:type="dxa"/>
            <w:tcBorders>
              <w:top w:val="single" w:color="auto" w:sz="4" w:space="0"/>
              <w:left w:val="nil"/>
              <w:bottom w:val="single" w:color="auto" w:sz="4" w:space="0"/>
              <w:right w:val="single" w:color="auto" w:sz="4" w:space="0"/>
            </w:tcBorders>
            <w:shd w:val="clear" w:color="auto" w:fill="auto"/>
            <w:vAlign w:val="center"/>
          </w:tcPr>
          <w:p w14:paraId="20B7A6D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1.麦克风采用≥4核的国产音频芯片。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2.麦克风频率响应范围不低于50Hz~16KHz。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3.麦克风拾音半径≥8m。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4.麦克风信噪比≥68dB。</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5.麦克风声压级≥130dBSPL，10%THD@1KHz。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6.麦克风无需额外适配器供电，能够通过网线实现麦克风供电、音频信号传输、参数调整。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7.麦克风具备≥1个状态指示灯，可显示麦克风工作状态。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8.麦克风采用标准1/4吋螺口，适配各种类型标准吊杆。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9.麦克风支持≥2个数字音频接口，每个接口都具备输入接口和输出接口能力，支持盲插。</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10.麦克风支持≥1个Type-C接口。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11.麦克风内置≥8个硅麦传感器单元。</w:t>
            </w:r>
          </w:p>
        </w:tc>
        <w:tc>
          <w:tcPr>
            <w:tcW w:w="336" w:type="dxa"/>
            <w:tcBorders>
              <w:top w:val="single" w:color="auto" w:sz="4" w:space="0"/>
              <w:left w:val="nil"/>
              <w:bottom w:val="single" w:color="auto" w:sz="4" w:space="0"/>
              <w:right w:val="single" w:color="auto" w:sz="4" w:space="0"/>
            </w:tcBorders>
            <w:shd w:val="clear" w:color="auto" w:fill="auto"/>
            <w:vAlign w:val="center"/>
          </w:tcPr>
          <w:p w14:paraId="494CE67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3</w:t>
            </w:r>
          </w:p>
        </w:tc>
        <w:tc>
          <w:tcPr>
            <w:tcW w:w="336" w:type="dxa"/>
            <w:tcBorders>
              <w:top w:val="single" w:color="auto" w:sz="4" w:space="0"/>
              <w:left w:val="nil"/>
              <w:bottom w:val="single" w:color="auto" w:sz="4" w:space="0"/>
              <w:right w:val="single" w:color="auto" w:sz="4" w:space="0"/>
            </w:tcBorders>
            <w:shd w:val="clear" w:color="auto" w:fill="auto"/>
            <w:vAlign w:val="center"/>
          </w:tcPr>
          <w:p w14:paraId="3DA2A2C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套</w:t>
            </w:r>
          </w:p>
        </w:tc>
        <w:tc>
          <w:tcPr>
            <w:tcW w:w="847" w:type="dxa"/>
            <w:tcBorders>
              <w:top w:val="single" w:color="auto" w:sz="4" w:space="0"/>
              <w:left w:val="nil"/>
              <w:bottom w:val="single" w:color="auto" w:sz="4" w:space="0"/>
              <w:right w:val="single" w:color="auto" w:sz="4" w:space="0"/>
            </w:tcBorders>
            <w:shd w:val="clear" w:color="auto" w:fill="auto"/>
            <w:vAlign w:val="center"/>
          </w:tcPr>
          <w:p w14:paraId="4CCC9BE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1920</w:t>
            </w:r>
            <w:r>
              <w:rPr>
                <w:rFonts w:hint="eastAsia" w:ascii="宋体" w:hAnsiTheme="minorEastAsia" w:cstheme="minorEastAsia"/>
                <w:i w:val="0"/>
                <w:iCs w:val="0"/>
                <w:color w:val="auto"/>
                <w:kern w:val="0"/>
                <w:sz w:val="21"/>
                <w:szCs w:val="21"/>
                <w:highlight w:val="none"/>
                <w:u w:val="none"/>
                <w:lang w:val="en-US" w:eastAsia="zh-CN" w:bidi="ar"/>
              </w:rPr>
              <w:t>.00</w:t>
            </w:r>
          </w:p>
        </w:tc>
      </w:tr>
      <w:tr w14:paraId="113FDA9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046030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5</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37C7964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无线麦克风</w:t>
            </w:r>
          </w:p>
        </w:tc>
        <w:tc>
          <w:tcPr>
            <w:tcW w:w="6748" w:type="dxa"/>
            <w:tcBorders>
              <w:top w:val="single" w:color="auto" w:sz="4" w:space="0"/>
              <w:left w:val="nil"/>
              <w:bottom w:val="single" w:color="auto" w:sz="4" w:space="0"/>
              <w:right w:val="single" w:color="auto" w:sz="4" w:space="0"/>
            </w:tcBorders>
            <w:shd w:val="clear" w:color="auto" w:fill="auto"/>
            <w:vAlign w:val="center"/>
          </w:tcPr>
          <w:p w14:paraId="5D75B5E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一、硬件部分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1.麦克风支持≥1个3.5mm音频接口，可输入头戴麦音频信号，输出幅值≥2V（RMS）。整机3.5mm音频接口≥2个。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2.麦克风整机≥1个USBType-C接口。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3.麦克风支持≥1个Pogopin接口，支持通过Pogopin接口进行充电。整机Pogopin接口≥2个。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4.麦克风支持≥1个三合一按键，可控制麦克风的开关机、静音和配对。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5.麦克风支持≥2个音量控制按钮，可通过音量“+”“—”按钮控制麦克风输出音量。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6.麦克风单体重量≤30g。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7.麦克风标配充电仓，方便快速充电及收纳。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8.麦克风充电仓支持电量指示，通过灯珠亮灭数量充电仓剩余电量及充电状态。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9.麦克风支持≥4种佩戴方式。</w:t>
            </w:r>
          </w:p>
        </w:tc>
        <w:tc>
          <w:tcPr>
            <w:tcW w:w="336" w:type="dxa"/>
            <w:tcBorders>
              <w:top w:val="single" w:color="auto" w:sz="4" w:space="0"/>
              <w:left w:val="nil"/>
              <w:bottom w:val="single" w:color="auto" w:sz="4" w:space="0"/>
              <w:right w:val="single" w:color="auto" w:sz="4" w:space="0"/>
            </w:tcBorders>
            <w:shd w:val="clear" w:color="auto" w:fill="auto"/>
            <w:vAlign w:val="center"/>
          </w:tcPr>
          <w:p w14:paraId="696A460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5622358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套</w:t>
            </w:r>
          </w:p>
        </w:tc>
        <w:tc>
          <w:tcPr>
            <w:tcW w:w="847" w:type="dxa"/>
            <w:tcBorders>
              <w:top w:val="single" w:color="auto" w:sz="4" w:space="0"/>
              <w:left w:val="nil"/>
              <w:bottom w:val="single" w:color="auto" w:sz="4" w:space="0"/>
              <w:right w:val="single" w:color="auto" w:sz="4" w:space="0"/>
            </w:tcBorders>
            <w:shd w:val="clear" w:color="auto" w:fill="auto"/>
            <w:vAlign w:val="center"/>
          </w:tcPr>
          <w:p w14:paraId="10029DB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1500</w:t>
            </w:r>
            <w:r>
              <w:rPr>
                <w:rFonts w:hint="eastAsia" w:ascii="宋体" w:hAnsiTheme="minorEastAsia" w:cstheme="minorEastAsia"/>
                <w:i w:val="0"/>
                <w:iCs w:val="0"/>
                <w:color w:val="auto"/>
                <w:kern w:val="0"/>
                <w:sz w:val="21"/>
                <w:szCs w:val="21"/>
                <w:highlight w:val="none"/>
                <w:u w:val="none"/>
                <w:lang w:val="en-US" w:eastAsia="zh-CN" w:bidi="ar"/>
              </w:rPr>
              <w:t>.00</w:t>
            </w:r>
          </w:p>
        </w:tc>
      </w:tr>
      <w:tr w14:paraId="68B0AED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4FBBD7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6</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27083FA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有源音箱</w:t>
            </w:r>
          </w:p>
        </w:tc>
        <w:tc>
          <w:tcPr>
            <w:tcW w:w="6748" w:type="dxa"/>
            <w:tcBorders>
              <w:top w:val="single" w:color="auto" w:sz="4" w:space="0"/>
              <w:left w:val="nil"/>
              <w:bottom w:val="single" w:color="auto" w:sz="4" w:space="0"/>
              <w:right w:val="single" w:color="auto" w:sz="4" w:space="0"/>
            </w:tcBorders>
            <w:shd w:val="clear" w:color="auto" w:fill="auto"/>
            <w:vAlign w:val="center"/>
          </w:tcPr>
          <w:p w14:paraId="4518C22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1采用功放及有源音箱一体化设计，输出额定功率：2*20W。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2.双音箱配对，采用木质材质，保证声音还原度。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3.支持扩音和输入音源叠加输出，方便与录播系统结合，或者通过串联功放支持更大环境扩音。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4.端口：电源*1、Linein*1、Lineout*1、U盘接口*1。</w:t>
            </w:r>
          </w:p>
        </w:tc>
        <w:tc>
          <w:tcPr>
            <w:tcW w:w="336" w:type="dxa"/>
            <w:tcBorders>
              <w:top w:val="single" w:color="auto" w:sz="4" w:space="0"/>
              <w:left w:val="nil"/>
              <w:bottom w:val="single" w:color="auto" w:sz="4" w:space="0"/>
              <w:right w:val="single" w:color="auto" w:sz="4" w:space="0"/>
            </w:tcBorders>
            <w:shd w:val="clear" w:color="auto" w:fill="auto"/>
            <w:vAlign w:val="center"/>
          </w:tcPr>
          <w:p w14:paraId="15658A8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70B2BB7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对</w:t>
            </w:r>
          </w:p>
        </w:tc>
        <w:tc>
          <w:tcPr>
            <w:tcW w:w="847" w:type="dxa"/>
            <w:tcBorders>
              <w:top w:val="single" w:color="auto" w:sz="4" w:space="0"/>
              <w:left w:val="nil"/>
              <w:bottom w:val="single" w:color="auto" w:sz="4" w:space="0"/>
              <w:right w:val="single" w:color="auto" w:sz="4" w:space="0"/>
            </w:tcBorders>
            <w:shd w:val="clear" w:color="auto" w:fill="auto"/>
            <w:vAlign w:val="center"/>
          </w:tcPr>
          <w:p w14:paraId="4B714E1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1500</w:t>
            </w:r>
            <w:r>
              <w:rPr>
                <w:rFonts w:hint="eastAsia" w:ascii="宋体" w:hAnsiTheme="minorEastAsia" w:cstheme="minorEastAsia"/>
                <w:i w:val="0"/>
                <w:iCs w:val="0"/>
                <w:color w:val="auto"/>
                <w:kern w:val="0"/>
                <w:sz w:val="21"/>
                <w:szCs w:val="21"/>
                <w:highlight w:val="none"/>
                <w:u w:val="none"/>
                <w:lang w:val="en-US" w:eastAsia="zh-CN" w:bidi="ar"/>
              </w:rPr>
              <w:t>.00</w:t>
            </w:r>
          </w:p>
        </w:tc>
      </w:tr>
      <w:tr w14:paraId="11271B3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39CE99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7</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219AE83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附件及线材</w:t>
            </w:r>
          </w:p>
        </w:tc>
        <w:tc>
          <w:tcPr>
            <w:tcW w:w="6748" w:type="dxa"/>
            <w:tcBorders>
              <w:top w:val="single" w:color="auto" w:sz="4" w:space="0"/>
              <w:left w:val="nil"/>
              <w:bottom w:val="single" w:color="auto" w:sz="4" w:space="0"/>
              <w:right w:val="single" w:color="auto" w:sz="4" w:space="0"/>
            </w:tcBorders>
            <w:shd w:val="clear" w:color="auto" w:fill="auto"/>
            <w:vAlign w:val="center"/>
          </w:tcPr>
          <w:p w14:paraId="3892485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HDMI高清音视频信号线、电源插座、超五类网络传输线、电视机挂架/吊架、POE交换机等网络综合布线等。</w:t>
            </w:r>
          </w:p>
        </w:tc>
        <w:tc>
          <w:tcPr>
            <w:tcW w:w="336" w:type="dxa"/>
            <w:tcBorders>
              <w:top w:val="single" w:color="auto" w:sz="4" w:space="0"/>
              <w:left w:val="nil"/>
              <w:bottom w:val="single" w:color="auto" w:sz="4" w:space="0"/>
              <w:right w:val="single" w:color="auto" w:sz="4" w:space="0"/>
            </w:tcBorders>
            <w:shd w:val="clear" w:color="auto" w:fill="auto"/>
            <w:vAlign w:val="center"/>
          </w:tcPr>
          <w:p w14:paraId="2E08D54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36DF818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批</w:t>
            </w:r>
          </w:p>
        </w:tc>
        <w:tc>
          <w:tcPr>
            <w:tcW w:w="847" w:type="dxa"/>
            <w:tcBorders>
              <w:top w:val="single" w:color="auto" w:sz="4" w:space="0"/>
              <w:left w:val="nil"/>
              <w:bottom w:val="single" w:color="auto" w:sz="4" w:space="0"/>
              <w:right w:val="single" w:color="auto" w:sz="4" w:space="0"/>
            </w:tcBorders>
            <w:shd w:val="clear" w:color="auto" w:fill="auto"/>
            <w:vAlign w:val="center"/>
          </w:tcPr>
          <w:p w14:paraId="4D5BF8E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5500</w:t>
            </w:r>
            <w:r>
              <w:rPr>
                <w:rFonts w:hint="eastAsia" w:ascii="宋体" w:hAnsiTheme="minorEastAsia" w:cstheme="minorEastAsia"/>
                <w:i w:val="0"/>
                <w:iCs w:val="0"/>
                <w:color w:val="auto"/>
                <w:kern w:val="0"/>
                <w:sz w:val="21"/>
                <w:szCs w:val="21"/>
                <w:highlight w:val="none"/>
                <w:u w:val="none"/>
                <w:lang w:val="en-US" w:eastAsia="zh-CN" w:bidi="ar"/>
              </w:rPr>
              <w:t>.00</w:t>
            </w:r>
          </w:p>
        </w:tc>
      </w:tr>
      <w:tr w14:paraId="17CBE0F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40D686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8</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5782326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智慧黑板</w:t>
            </w:r>
          </w:p>
        </w:tc>
        <w:tc>
          <w:tcPr>
            <w:tcW w:w="6748" w:type="dxa"/>
            <w:tcBorders>
              <w:top w:val="single" w:color="auto" w:sz="4" w:space="0"/>
              <w:left w:val="nil"/>
              <w:bottom w:val="single" w:color="auto" w:sz="4" w:space="0"/>
              <w:right w:val="single" w:color="auto" w:sz="4" w:space="0"/>
            </w:tcBorders>
            <w:shd w:val="clear" w:color="auto" w:fill="auto"/>
            <w:vAlign w:val="center"/>
          </w:tcPr>
          <w:p w14:paraId="1EE3D5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cs="宋体"/>
                <w:b/>
                <w:bCs/>
                <w:color w:val="auto"/>
                <w:kern w:val="0"/>
                <w:sz w:val="21"/>
                <w:szCs w:val="21"/>
                <w:highlight w:val="none"/>
                <w:lang w:val="en-US" w:eastAsia="zh-CN" w:bidi="ar"/>
              </w:rPr>
              <w:t>一</w:t>
            </w:r>
            <w:r>
              <w:rPr>
                <w:rFonts w:hint="eastAsia" w:ascii="宋体" w:hAnsi="宋体" w:eastAsia="宋体" w:cs="宋体"/>
                <w:b/>
                <w:bCs/>
                <w:color w:val="auto"/>
                <w:kern w:val="0"/>
                <w:sz w:val="21"/>
                <w:szCs w:val="21"/>
                <w:highlight w:val="none"/>
                <w:lang w:bidi="ar"/>
              </w:rPr>
              <w:t>、嵌入式系统</w:t>
            </w:r>
          </w:p>
          <w:p w14:paraId="332041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1、整机嵌入式系统版本≥Android </w:t>
            </w:r>
            <w:r>
              <w:rPr>
                <w:rFonts w:hint="eastAsia" w:ascii="宋体" w:hAnsi="宋体" w:eastAsia="宋体" w:cs="宋体"/>
                <w:color w:val="auto"/>
                <w:kern w:val="0"/>
                <w:sz w:val="21"/>
                <w:szCs w:val="21"/>
                <w:highlight w:val="none"/>
                <w:lang w:val="en-US" w:eastAsia="zh-CN" w:bidi="ar"/>
              </w:rPr>
              <w:t>13</w:t>
            </w:r>
            <w:r>
              <w:rPr>
                <w:rFonts w:hint="eastAsia" w:ascii="宋体" w:hAnsi="宋体" w:eastAsia="宋体" w:cs="宋体"/>
                <w:color w:val="auto"/>
                <w:kern w:val="0"/>
                <w:sz w:val="21"/>
                <w:szCs w:val="21"/>
                <w:highlight w:val="none"/>
                <w:lang w:bidi="ar"/>
              </w:rPr>
              <w:t>，主频≥1.6GHz</w:t>
            </w:r>
            <w:r>
              <w:rPr>
                <w:rFonts w:hint="eastAsia" w:ascii="宋体" w:hAnsi="宋体" w:cs="宋体"/>
                <w:color w:val="auto"/>
                <w:kern w:val="0"/>
                <w:sz w:val="21"/>
                <w:szCs w:val="21"/>
                <w:highlight w:val="none"/>
                <w:lang w:val="en-US" w:eastAsia="zh-CN" w:bidi="ar"/>
              </w:rPr>
              <w:t>；系统支持后续在线升级</w:t>
            </w:r>
            <w:r>
              <w:rPr>
                <w:rFonts w:hint="eastAsia" w:ascii="宋体" w:hAnsi="宋体" w:eastAsia="宋体" w:cs="宋体"/>
                <w:color w:val="auto"/>
                <w:kern w:val="0"/>
                <w:sz w:val="21"/>
                <w:szCs w:val="21"/>
                <w:highlight w:val="none"/>
                <w:lang w:bidi="ar"/>
              </w:rPr>
              <w:t>。</w:t>
            </w:r>
          </w:p>
          <w:p w14:paraId="770573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2、嵌入式Android操作系统下，白板支持对已经书写的笔迹和形状和颜色进行更换。</w:t>
            </w:r>
          </w:p>
          <w:p w14:paraId="751648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3、在嵌入式系统下使用白板软件时，整机可自行调节屏幕亮度。</w:t>
            </w:r>
          </w:p>
          <w:p w14:paraId="3FE0ED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4、白板内置元素周期表工具，支持元素分类色彩区分、分类查看；支持多种展示模式切换。</w:t>
            </w:r>
          </w:p>
          <w:p w14:paraId="1D2C57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5、整机内置交互式白板软件支持汉字语音测评功能，通过整机拾音麦进行用户声音采集分析，判断用户发音是否标准。</w:t>
            </w:r>
          </w:p>
          <w:p w14:paraId="381F39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6、无PC状态下，嵌入式系统内置互动白板支持全局漫游，并能在工具栏中对全局内容进行预览和移动。</w:t>
            </w:r>
          </w:p>
          <w:p w14:paraId="7920DE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7、无PC状态下，嵌入式Android 操作系统下可使用白板书写、WPS 软件和网页浏览</w:t>
            </w:r>
            <w:r>
              <w:rPr>
                <w:rFonts w:hint="eastAsia" w:ascii="宋体" w:hAnsi="宋体" w:eastAsia="宋体" w:cs="宋体"/>
                <w:color w:val="auto"/>
                <w:kern w:val="0"/>
                <w:sz w:val="21"/>
                <w:szCs w:val="21"/>
                <w:highlight w:val="none"/>
                <w:lang w:eastAsia="zh-CN" w:bidi="ar"/>
              </w:rPr>
              <w:t>。</w:t>
            </w:r>
          </w:p>
          <w:p w14:paraId="041B53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8、在嵌入式Android操作系统下，能对TV多媒体USB所读取到的文件进行自动归类，可分类查找文档、板书、图片、音视频，检索后可直接在界面中打开。</w:t>
            </w:r>
          </w:p>
          <w:p w14:paraId="035597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二、电脑模块</w:t>
            </w:r>
          </w:p>
          <w:p w14:paraId="7A366A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1、CPU：搭载Intel  酷睿系列≥ i5 CPU；内存：8GB DDR4笔记本内存或以上配置；硬盘：256GB或以上</w:t>
            </w:r>
            <w:r>
              <w:rPr>
                <w:rFonts w:hint="eastAsia" w:ascii="宋体" w:hAnsi="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bidi="ar"/>
              </w:rPr>
              <w:t>SSD固态硬盘。</w:t>
            </w:r>
          </w:p>
          <w:p w14:paraId="470BFF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2、采用按压式卡扣，无需工具即可快速拆卸电脑模块。</w:t>
            </w:r>
          </w:p>
          <w:p w14:paraId="14A1B2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3、PC模块可抽拉式插入整机，可实现无单独接线的拔插。</w:t>
            </w:r>
          </w:p>
          <w:p w14:paraId="752B8E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4、具有独立非外拓展的视频输出接口：≥1 路 HDMI。</w:t>
            </w:r>
          </w:p>
          <w:p w14:paraId="436196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5、具有独立非外拓展的电脑 USB 接口：至少具备 4个USB3.0 接口。</w:t>
            </w:r>
          </w:p>
          <w:p w14:paraId="7D1051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6、具有标准 PC 防盗锁孔，确保电脑模块安全防盗。</w:t>
            </w:r>
          </w:p>
          <w:p w14:paraId="6A6B67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7、模块与整机内部互联接口带宽≥10Gbps；或采用标准OPS‑C接口，可满足整机高清图像、触控、大数据量交互传输需求。</w:t>
            </w:r>
          </w:p>
          <w:p w14:paraId="1AAE3A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8、模块与整机连接接口支持稳定高速信号传输，兼容行业主流 OPS/OPS‑C 接口规范。</w:t>
            </w:r>
          </w:p>
          <w:p w14:paraId="030292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三、硬件外观设计</w:t>
            </w:r>
          </w:p>
          <w:p w14:paraId="2BEAB1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▲1、单一物理电源按键可统一完成Android系统和Windows系统的开机、屏幕休眠、整机关机操作；</w:t>
            </w:r>
          </w:p>
          <w:p w14:paraId="42EB1F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2、整机为适配教学场景的便捷使用，设备按键采用简洁化设计，前置接口与按键在设备同一侧。前置物理按键，可实现开关机、音量＋－、护眼、录屏、设置功能。</w:t>
            </w:r>
          </w:p>
          <w:p w14:paraId="506C53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3、支持硬件低蓝光护眼模式，可通过前置面板物理功能按键一键开启护眼模式，降低屏幕蓝光输出，实现柔和显示效果。</w:t>
            </w:r>
          </w:p>
          <w:p w14:paraId="5DDE63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4、设备支持通过前置面板物理按键一键启动录屏功能，可将屏幕中显示的课件、音频内容与人声同时录制。</w:t>
            </w:r>
          </w:p>
          <w:p w14:paraId="5ACED5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5、整机前置 USB 接口配备可翻转防护挡板。</w:t>
            </w:r>
          </w:p>
          <w:p w14:paraId="78BA62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6、整机屏幕采用≥86英寸液晶显示器。</w:t>
            </w:r>
          </w:p>
          <w:p w14:paraId="28F59B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7、整机采用超高清LED液晶显示屏，显示比例16:9，分辨率3840×2160或以上。</w:t>
            </w:r>
          </w:p>
          <w:p w14:paraId="30F37A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前置按键支持自定义设置，可通过自定义设置实现前置面板功能按键一键启用任一全局小工具（批注、截屏、计时、降半屏、放大镜、倒数日、日历）、快捷开关（节能模式、纸质护眼模式、经典护眼模式、自动亮度模式）。</w:t>
            </w:r>
          </w:p>
          <w:p w14:paraId="22C5AB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9、整机左、右、下三边框皆具备磁吸功能，边框任意位置可吸附具备磁吸功能的书写笔。</w:t>
            </w:r>
          </w:p>
          <w:p w14:paraId="2C3846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10、整机采用一体设计，外部无任何可见内部功能模块连接线。边角采用弧形设计，表面无尖锐边缘或凸起。</w:t>
            </w:r>
          </w:p>
          <w:p w14:paraId="6A6863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11、整机采用全金属外壳设计，边框为金属一体成型。</w:t>
            </w:r>
          </w:p>
          <w:p w14:paraId="575A68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12、整机屏幕边缘采用金属圆角包边防护，整机背板采用金属材质，有效屏蔽内部电路器件辐射；防潮耐盐雾蚀锈，适应多种教学环境。</w:t>
            </w:r>
          </w:p>
          <w:p w14:paraId="3C7CC3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13、侧置输入接口具备2路HDMI、1路RS232、1路USB接口或以上。</w:t>
            </w:r>
          </w:p>
          <w:p w14:paraId="260DF3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14、侧置输出接口具备1路音频输出、1路触控USB输出或以上。</w:t>
            </w:r>
          </w:p>
          <w:p w14:paraId="37CE54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15、前置输入接口3路USB接口（包含1路Type-C、2路USB）或以上。</w:t>
            </w:r>
          </w:p>
          <w:p w14:paraId="5BC109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▲16、支持通过Type-C接口U盘进行文件传输，兼容Type-C接口手机充电。</w:t>
            </w:r>
          </w:p>
          <w:p w14:paraId="6BBD18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四、音视频采集</w:t>
            </w:r>
          </w:p>
          <w:p w14:paraId="1A93D0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▲1、整机设备内置扬声器，前朝向发声，12W高音扬声器，上朝向30W中低音扬声器，最大功率≥84W。</w:t>
            </w:r>
          </w:p>
          <w:p w14:paraId="17E243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▲2、整机配备专业音效调节功能，支持左右声道平衡调节；可分中低频、高频独立调校，音量调节区间覆盖±12dB，适配不同教室声场环境。</w:t>
            </w:r>
          </w:p>
          <w:p w14:paraId="1C82F5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▲3、整机内置非独立外扩展的4阵列麦克风，可用于对教室环境音频进行采集，麦克风拾音距离≥10米。</w:t>
            </w:r>
          </w:p>
          <w:p w14:paraId="53C326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▲4、整机内置扬声器采用槽型开口，可降低扬声器振动对显示面板的影响，保证清晰音质效果。</w:t>
            </w:r>
          </w:p>
          <w:p w14:paraId="0BBDC42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5、内置摄像头、麦克风无需外接线材连接，无任何可见外接线材及模块化拼接痕迹，未占用整机设备端口。</w:t>
            </w:r>
          </w:p>
          <w:p w14:paraId="6B1462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6、整机具备多组预设音效，至少包含标准、人声增强、影院音效、环境自适应音效；环境自适应音效可借助本机内置拾音设备采集教室环境声音信息，依据教室实际声学条件自动优化输出声音效果。</w:t>
            </w:r>
          </w:p>
          <w:p w14:paraId="62A93C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7、整机内置摄像头（非外扩），PC通道下支持通过视频展台软件调用摄像头进行二维码扫码识别。</w:t>
            </w:r>
          </w:p>
          <w:p w14:paraId="1E498C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8、具备摄像头工作指示灯，摄像头运行时，有指示灯提示。</w:t>
            </w:r>
          </w:p>
          <w:p w14:paraId="267D09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9、整机上边框内置非独立摄像头，采用一体化集成设计，⽀持输出4:3、16:9⽐例的图⽚和视频，支持拍摄≥1600 万像素数的照片和视频，支持输出 4k分辨率的视频。</w:t>
            </w:r>
          </w:p>
          <w:p w14:paraId="70D2CD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▲10、整机摄像头对角线视场角≥120度</w:t>
            </w:r>
            <w:r>
              <w:rPr>
                <w:rFonts w:hint="eastAsia" w:ascii="宋体" w:hAnsi="宋体" w:eastAsia="宋体" w:cs="宋体"/>
                <w:color w:val="auto"/>
                <w:kern w:val="0"/>
                <w:sz w:val="21"/>
                <w:szCs w:val="21"/>
                <w:highlight w:val="none"/>
                <w:lang w:eastAsia="zh-CN" w:bidi="ar"/>
              </w:rPr>
              <w:t>。</w:t>
            </w:r>
          </w:p>
          <w:p w14:paraId="0EA061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五、显示与护眼功能</w:t>
            </w:r>
          </w:p>
          <w:p w14:paraId="1D9164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1、整机色域覆盖率（NTSC）≥72%</w:t>
            </w:r>
            <w:r>
              <w:rPr>
                <w:rFonts w:hint="eastAsia" w:ascii="宋体" w:hAnsi="宋体" w:eastAsia="宋体" w:cs="宋体"/>
                <w:color w:val="auto"/>
                <w:kern w:val="0"/>
                <w:sz w:val="21"/>
                <w:szCs w:val="21"/>
                <w:highlight w:val="none"/>
                <w:lang w:eastAsia="zh-CN" w:bidi="ar"/>
              </w:rPr>
              <w:t>。</w:t>
            </w:r>
          </w:p>
          <w:p w14:paraId="384719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2、整机背光系统支持DC调光方式，多级亮度调节，支持白颜色背景下最暗亮度≤100nit，用于提升显示对比度。</w:t>
            </w:r>
          </w:p>
          <w:p w14:paraId="3F5D51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3、灰阶等级≥256级。</w:t>
            </w:r>
          </w:p>
          <w:p w14:paraId="221B98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4、整机屏幕蓝光占比（有害蓝光415～455nm能量综合）/（整体蓝光400～500能量综合）＜50%</w:t>
            </w:r>
            <w:r>
              <w:rPr>
                <w:rFonts w:hint="eastAsia" w:ascii="宋体" w:hAnsi="宋体" w:eastAsia="宋体" w:cs="宋体"/>
                <w:color w:val="auto"/>
                <w:kern w:val="0"/>
                <w:sz w:val="21"/>
                <w:szCs w:val="21"/>
                <w:highlight w:val="none"/>
                <w:lang w:eastAsia="zh-CN" w:bidi="ar"/>
              </w:rPr>
              <w:t>。</w:t>
            </w:r>
          </w:p>
          <w:p w14:paraId="7764E1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5、支持标准、多媒体和节能三种图像模式调节。</w:t>
            </w:r>
          </w:p>
          <w:p w14:paraId="0A9807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6、支持自定义图像设置，可对对比度、屏幕色温、图像亮度、亮度范围、色彩空间调节设置。</w:t>
            </w:r>
          </w:p>
          <w:p w14:paraId="2BB3E5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7、整机支持手势快捷唤起 AI 画质智能调节功能；安卓系统下可识别屏幕画面内容，针对画面中的人物、建筑、夜景等场景，自动对对比度、饱和度、锐利度、色调色相、高光、阴影参数进行自适应优化。</w:t>
            </w:r>
          </w:p>
          <w:p w14:paraId="3413C04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8、整机视网膜蓝光危害（蓝光加权辐射亮度LB）满足IEC TR 62778:2014蓝光危害RG0级别</w:t>
            </w:r>
            <w:r>
              <w:rPr>
                <w:rFonts w:hint="eastAsia" w:ascii="宋体" w:hAnsi="宋体" w:eastAsia="宋体" w:cs="宋体"/>
                <w:color w:val="auto"/>
                <w:kern w:val="0"/>
                <w:sz w:val="21"/>
                <w:szCs w:val="21"/>
                <w:highlight w:val="none"/>
                <w:lang w:eastAsia="zh-CN" w:bidi="ar"/>
              </w:rPr>
              <w:t>。</w:t>
            </w:r>
          </w:p>
          <w:p w14:paraId="72D57F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9、整机全通道支持纸质护眼模式，可实现画面纹理的实时调整；支持纸质纹理：牛皮纸、素描纸、宣纸、水彩纸、水纹纸；支持透明度调节；支持色温调节。</w:t>
            </w:r>
          </w:p>
          <w:p w14:paraId="2AFFDE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10、纸质护眼模式下，显示画面各像素点灰度不规则，减少背景干扰。</w:t>
            </w:r>
          </w:p>
          <w:p w14:paraId="08AB6E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六、无线交互功能</w:t>
            </w:r>
          </w:p>
          <w:p w14:paraId="015296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1、整机无需外接无线网卡，在Windows系统下可实现Wi-Fi无线上网连接、AP无线热点发射和BT蓝牙连接功能。</w:t>
            </w:r>
          </w:p>
          <w:p w14:paraId="43CFB8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2、Wi-Fi和AP热点工作距离≥12m。</w:t>
            </w:r>
          </w:p>
          <w:p w14:paraId="3C3C7B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3、整机支持蓝牙Bluetooth 5.4标准。</w:t>
            </w:r>
          </w:p>
          <w:p w14:paraId="7AA823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4、整机PC端支持主动发现蓝牙外设从而连接（无需整机进入发现模式），支持连接外部蓝牙音箱播放音频。</w:t>
            </w:r>
          </w:p>
          <w:p w14:paraId="62AA60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▲5、整机支持发出频率为超声波信号，智能手机和笔记本电脑接收超声波信号后可以自动识别附近投屏设备，点击对应设备即可完成投屏操作。</w:t>
            </w:r>
          </w:p>
          <w:p w14:paraId="63EED9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在进行传屏；投屏时可以选择过滤特定应用窗口，如邮件应用窗口。</w:t>
            </w:r>
          </w:p>
          <w:p w14:paraId="379FEC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7、整机内置双WiFi6无线网卡（不接受外接），在Android和Windows系统下，可实现Wi-Fi无线上网连接、AP无线热点发射。</w:t>
            </w:r>
          </w:p>
          <w:p w14:paraId="779E00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8、设备支持双路 Wi</w:t>
            </w:r>
            <w:r>
              <w:rPr>
                <w:rFonts w:hint="eastAsia" w:ascii="宋体" w:hAnsi="宋体" w:cs="宋体"/>
                <w:color w:val="auto"/>
                <w:kern w:val="0"/>
                <w:sz w:val="21"/>
                <w:szCs w:val="21"/>
                <w:highlight w:val="none"/>
                <w:lang w:eastAsia="zh-CN" w:bidi="ar"/>
              </w:rPr>
              <w:noBreakHyphen/>
            </w:r>
            <w:r>
              <w:rPr>
                <w:rFonts w:hint="eastAsia" w:ascii="宋体" w:hAnsi="宋体" w:cs="宋体"/>
                <w:color w:val="auto"/>
                <w:kern w:val="0"/>
                <w:sz w:val="21"/>
                <w:szCs w:val="21"/>
                <w:highlight w:val="none"/>
                <w:lang w:eastAsia="zh-CN" w:bidi="ar"/>
              </w:rPr>
              <w:t>Fi6 无线网络能力；Android 系统下支持无线设备同时连接数量≥30 个，Windows 系统下支持无线设备同时连接≥6 个。</w:t>
            </w:r>
          </w:p>
          <w:p w14:paraId="48F796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9、设备实现双系统网络配置记忆功能：Windows 系统完成无线网络配置后，切换至嵌入式 Android 系统可直接无线上网，无需重复手动配置网络参数。</w:t>
            </w:r>
          </w:p>
          <w:p w14:paraId="4612CD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10、Wi-Fi及AP热点支持频段2.4GHz/5GHz </w:t>
            </w:r>
          </w:p>
          <w:p w14:paraId="5EE023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11、Wi-Fi制式支持IEEE 802.11 a/b/g/n/ac/ax；支持版本Wi-Fi6。</w:t>
            </w:r>
          </w:p>
          <w:p w14:paraId="2B571C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七、触控功能</w:t>
            </w:r>
          </w:p>
          <w:p w14:paraId="7E8F65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1、支持Windows 7、Windows 8、Windows 10、Windows11、Linux、Mac Os、UOS和麒麟系统外置电脑操作系统接入时，无需安装触摸驱动。</w:t>
            </w:r>
          </w:p>
          <w:p w14:paraId="20A862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2、触摸分辨率32768×32768。</w:t>
            </w:r>
          </w:p>
          <w:p w14:paraId="59627A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3、书写触控延迟≤25ms</w:t>
            </w:r>
            <w:r>
              <w:rPr>
                <w:rFonts w:hint="eastAsia" w:ascii="宋体" w:hAnsi="宋体" w:eastAsia="宋体" w:cs="宋体"/>
                <w:color w:val="auto"/>
                <w:kern w:val="0"/>
                <w:sz w:val="21"/>
                <w:szCs w:val="21"/>
                <w:highlight w:val="none"/>
                <w:lang w:eastAsia="zh-CN" w:bidi="ar"/>
              </w:rPr>
              <w:t>。</w:t>
            </w:r>
          </w:p>
          <w:p w14:paraId="1CB089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4、整机触控书写功能集成预测算法，在书写速度≥50cm/s，支持笔迹距离笔的距离小于20mm。</w:t>
            </w:r>
          </w:p>
          <w:p w14:paraId="3FB4C6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5、触摸响应≤4ms。</w:t>
            </w:r>
          </w:p>
          <w:p w14:paraId="1BBF21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6、触摸最小识别物≤3mm。</w:t>
            </w:r>
          </w:p>
          <w:p w14:paraId="02ACF2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▲7、整机屏幕触摸有效识别高度不超过3mm，即触摸物体距离玻璃外表面高度不超过3mm时，触摸屏识别为点击操作。</w:t>
            </w:r>
          </w:p>
          <w:p w14:paraId="4C7B35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8、整机支持提笔书写，在Windows系统下可实现无需点击任意功能入口，当检测到红外笔笔尖接触屏幕时，自动进入书写模式。</w:t>
            </w:r>
          </w:p>
          <w:p w14:paraId="427039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9、整机支持手笔分离，通过提笔即写唤醒批注功能后，可进行手笔分离功能，使用笔正常书写，使用手指可以操作应用，进行点击操作。</w:t>
            </w:r>
          </w:p>
          <w:p w14:paraId="0F0816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10、整机触摸支持动态压力感应，支持无任何电子功能的普通书写笔在整机上书写或点压时，整机能感应压力变化，书写或点压过程笔迹呈现不同粗细。</w:t>
            </w:r>
          </w:p>
          <w:p w14:paraId="1E10BD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八、侧边栏教学功能</w:t>
            </w:r>
          </w:p>
          <w:p w14:paraId="1153D7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1、整机全通道侧边栏快捷菜单包含如下小工具：批注、降半屏、截屏、放大镜、倒计时、日历、聚光灯、秒表、冻屏、倒数日、答题、节拍器</w:t>
            </w:r>
            <w:r>
              <w:rPr>
                <w:rFonts w:hint="eastAsia" w:ascii="宋体" w:hAnsi="宋体" w:eastAsia="宋体" w:cs="宋体"/>
                <w:color w:val="auto"/>
                <w:kern w:val="0"/>
                <w:sz w:val="21"/>
                <w:szCs w:val="21"/>
                <w:highlight w:val="none"/>
                <w:lang w:eastAsia="zh-CN" w:bidi="ar"/>
              </w:rPr>
              <w:t>。</w:t>
            </w:r>
          </w:p>
          <w:p w14:paraId="5E22EE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2、整机全通道侧边栏快捷菜单小工具支持自定义，支持设置对应小工具的显示/隐藏。</w:t>
            </w:r>
          </w:p>
          <w:p w14:paraId="0A2577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3、整机全通道侧边栏支持使用批注小工具进行批注讲解，可切换书写笔颜色、截屏保存批注内容、清屏，可根据手与屏幕的接触面积自动调整板擦工具的大小。</w:t>
            </w:r>
          </w:p>
          <w:p w14:paraId="41EE92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4、整机全通道侧边栏支持将设备屏幕降低为半屏幕状态，点击上半屏幕可以返回全屏状态。</w:t>
            </w:r>
          </w:p>
          <w:p w14:paraId="1E4F88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5、整机全通道侧边栏支持自行选择所需截取屏幕范围，点击截屏即可成功截取屏幕，并自动保存。</w:t>
            </w:r>
          </w:p>
          <w:p w14:paraId="1BEB89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6、整机全通道侧边栏支持放大选中区域内容，并可支持对未选中区域关灯处理，实现聚光灯效果。</w:t>
            </w:r>
          </w:p>
          <w:p w14:paraId="0A7F62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▲7、整机支持在无任何外部设备的情况下，实时录制用户朗读内容，识别用户声纹并进行统一身份登录，登录后自动获取个人云端教学课件列表，打开教学白板软件时可跳过软件自带登录步骤。</w:t>
            </w:r>
          </w:p>
          <w:p w14:paraId="3D1128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8、整机全通道侧边栏支持打开日历，查看日期。</w:t>
            </w:r>
          </w:p>
          <w:p w14:paraId="0F73E4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9、整机全通道侧边栏支持聚光灯，支持聚光灯高亮区域大小调节、区域移动。</w:t>
            </w:r>
          </w:p>
          <w:p w14:paraId="4904ED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10、整机全通道侧边栏支持冻屏，将屏幕画面进行缩放。</w:t>
            </w:r>
          </w:p>
          <w:p w14:paraId="7748B0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11、整机安卓和外接通道下侧边栏支持设置倒数日。</w:t>
            </w:r>
          </w:p>
          <w:p w14:paraId="433B5F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12、整机安卓和外接通道 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p>
          <w:p w14:paraId="263AC4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13、整机侧边栏内置智能语音转文字工具，将整机内置麦克风拾取的语音进行文字转译，以悬浮字幕形式将转译文字显示在屏幕上。</w:t>
            </w:r>
          </w:p>
          <w:p w14:paraId="27B915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九、教学交互功能</w:t>
            </w:r>
          </w:p>
          <w:p w14:paraId="7AA100A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1、整机内置学生日历功能，支持全屏查看日历、显示法定节日；用户可以添加日历事件，设定特定时间并关联本机安卓应用，事件到期后，可以通过事件提醒打开关联的应用，如欢迎词、白板应用。</w:t>
            </w:r>
          </w:p>
          <w:p w14:paraId="041B30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▲2、整机内置AR授课工具，支持对视频展台所采集的画面中叠加动态的3D 模型。3D模型包括：动物、微生物、人体骨骼。</w:t>
            </w:r>
          </w:p>
          <w:p w14:paraId="318D5C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3、整机内置 AI 授课工具，支持对整机页面显示的题目或视频展台所采集的题目内容进行识别，支持手动框选题目范围，能够对题目进行详细的讲解，讲解内容包括解题步骤和注意事项。</w:t>
            </w:r>
          </w:p>
          <w:p w14:paraId="0EB442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4、整机内置AI授课工具，可根据题目所涉及的知识点和难度级别，可推荐相似题目，推荐题目数量可根据用户需求进行设置。</w:t>
            </w:r>
          </w:p>
          <w:p w14:paraId="75A618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5、整机内置AI作文批改工具，支持对视频展台所采集的内容进行识别，识别到英文作文类型后，支持作文内容进行批改。可根据作文的整体表现给出一个综合评分，并提供详细的评分依据。</w:t>
            </w:r>
          </w:p>
          <w:p w14:paraId="615B46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6、整机内置AI作文批改工具，能够从作文的词汇词组、语法句子、内容连贯性多个维度进行分析和评价。对于存在的语法错误和错别字，能够指出并提供修改建议。</w:t>
            </w:r>
          </w:p>
          <w:p w14:paraId="2661D2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▲7、设备配套AI 教学助手，根据教学和学习需求快速生成虚拟教学角色，支持个性化设定角色信息包括角色性格、技能与头像信息，支持语音和文字两种方式进行对话交互。</w:t>
            </w:r>
          </w:p>
          <w:p w14:paraId="11E631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w:t>
            </w:r>
          </w:p>
          <w:p w14:paraId="6B210C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9、整机具备班级视力检测功能，学⽣站在距离屏幕前5m处，可通过⼿势识别方式来标识方向进行视力测试，测试完成后可直接⽣成视⼒检测结果，并建⽴学⽣视⼒档案，对学⽣视⼒情况进⾏管理。</w:t>
            </w:r>
          </w:p>
          <w:p w14:paraId="1C458A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p>
          <w:p w14:paraId="6B070B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十、教学备授课软件设计</w:t>
            </w:r>
          </w:p>
          <w:p w14:paraId="2AAC02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（一）白板教学PC端应用</w:t>
            </w:r>
          </w:p>
          <w:p w14:paraId="143530E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▲1、教学系统为全校教师提供可灵活扩展、便于学校管理的云存储空间；教师个人云存储空间支持扩容，单用户存储空间可扩展至 100G 及以上。</w:t>
            </w:r>
          </w:p>
          <w:p w14:paraId="2F3AF7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p>
          <w:p w14:paraId="4C2F8E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3、互动教学课件支持定向精准分享：分享者可将互动课件、课件组精准推送至指定接收方账号云空间，接收方可在云空间接收并打开分享课件。</w:t>
            </w:r>
          </w:p>
          <w:p w14:paraId="422CF2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p>
          <w:p w14:paraId="1A4742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5、语文工具：具备汉字生字卡，直观展示汉字部首、笔画数量，笔画书写支持分步展示和连续展示，教师可一次性生成多个汉字生字卡，同步生成数量不少于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p>
          <w:p w14:paraId="34D4C0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6、支持软件联网自动静默升级，无需用户手动更新。</w:t>
            </w:r>
          </w:p>
          <w:p w14:paraId="54802B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7、课件背景：提供不少于8种以上背景模板供老师选择，持自定义背景。</w:t>
            </w:r>
          </w:p>
          <w:p w14:paraId="741318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8种游戏模板，直接选择并输入相应内容即可轻松生成互动分类游戏，提升课堂趣味性。</w:t>
            </w:r>
          </w:p>
          <w:p w14:paraId="5C1C35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9、智能选词填空：支持创建智能选词填空游戏，教师可随意编辑填空题题干以及相应的答案选项，将选项拖到对应题干空白处，系统将自动判别答案是否正确。系统需提供不少于 8 种游戏模板供老师选择，且模板样式支持自定义修改。</w:t>
            </w:r>
          </w:p>
          <w:p w14:paraId="1EC03E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10、智能配对游戏：支持创建配对游戏，教师可随意将知识点进行配对。当开始配对游戏时，拖动知识点进行配对，系统将自动判断是否正确。系统至少提供7种游戏模版，且模版样式支持自定义修改。</w:t>
            </w:r>
          </w:p>
          <w:p w14:paraId="1954B1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11、分组竞争游戏：支持创建分组竞争游戏，教师可设置正确项／干扰项，让两组学生开展竞争游戏。系统提供不少于 3 种难度、10种游戏模版选择，且模版样式支持自定义修改。</w:t>
            </w:r>
          </w:p>
          <w:p w14:paraId="125E25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▲12、数学公式编辑器：支持复杂数学公式输入，提供不少于 20 个数学符号及模板，输出的公式内容支持不同颜色标记及二次编辑。</w:t>
            </w:r>
          </w:p>
          <w:p w14:paraId="26A6EA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13、数学画板功能：</w:t>
            </w:r>
          </w:p>
          <w:p w14:paraId="1391DE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a)能在白板中插入在线画板，授课时可以一键打开,方便老师配合课件内容进行讲解。</w:t>
            </w:r>
          </w:p>
          <w:p w14:paraId="353140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b)提供不少于 500 个数学画板资源，覆盖小学、初中、高中学段数学学科主要知识点，并按照知识点分类，便于老师查找。</w:t>
            </w:r>
          </w:p>
          <w:p w14:paraId="3E6446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14:paraId="2B909B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老师创建个人画板，除了点、线、面等基础元素以外，画板还可提供线段中点、椭圆焦点、极坐标方程等数十种数学常用工具，保证老师日常备授课所需。创建完成后，老师可一键将画板插入白板，与课件无缝连接。</w:t>
            </w:r>
          </w:p>
          <w:p w14:paraId="64E173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14:paraId="19EB04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15、表格：</w:t>
            </w:r>
          </w:p>
          <w:p w14:paraId="7881C6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a)具有表格插入功能，并提供5种以上表格样式供老师选择。</w:t>
            </w:r>
          </w:p>
          <w:p w14:paraId="7A8CEE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b)表格能自适应，可一键将表格的行、列调整到最合适的大小。</w:t>
            </w:r>
          </w:p>
          <w:p w14:paraId="24154D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c)具有表格遮罩功能，可对表格中任意一格添加遮罩，在授课模式下通过点击可消除遮罩，方便老师设置互动活动。</w:t>
            </w:r>
          </w:p>
          <w:p w14:paraId="1E2053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d)在授课模式下，支持表格克隆功能，可克隆出多个相同表格，</w:t>
            </w:r>
          </w:p>
          <w:p w14:paraId="6BA589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方便老师请多位同学进行答题互动。</w:t>
            </w:r>
          </w:p>
          <w:p w14:paraId="1F366C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16、图表：</w:t>
            </w:r>
          </w:p>
          <w:p w14:paraId="50546C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a)具有图表插入功能，并提供柱状图、扇形图、折线图 3 种图表形式，且每种形式提供不少于5种样式供选择。</w:t>
            </w:r>
          </w:p>
          <w:p w14:paraId="56856C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b)具有图表二维及三维展示形式任意切换，且三维图表支持旋转，方便多角度展示数据变化。</w:t>
            </w:r>
          </w:p>
          <w:p w14:paraId="37F612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c)具有图表添加超链接，可连接至课件其他页面、网页、软件自带小工具等地方。</w:t>
            </w:r>
          </w:p>
          <w:p w14:paraId="71F88F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d)在授课模式下，支持图表克隆功能，可克隆出多个相同图表，</w:t>
            </w:r>
          </w:p>
          <w:p w14:paraId="4A7F1C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方便老师进行对比观察。</w:t>
            </w:r>
          </w:p>
          <w:p w14:paraId="4F5602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17、古诗词资源：</w:t>
            </w:r>
          </w:p>
          <w:p w14:paraId="6FDE00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a)提供覆盖多学段的古诗词、古文资源，包含原文、翻译、背景介绍、作者介绍、朗诵音频等。</w:t>
            </w:r>
          </w:p>
          <w:p w14:paraId="4B84BB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b)支持用户根据年级、朝代、诗人等进行分类查找，也可直接搜索诗词、古文名称或作者名查找。</w:t>
            </w:r>
          </w:p>
          <w:p w14:paraId="3CDA8C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c)提供不少于9种古诗词专用背景模板，老师可贴合古诗词意境选择合适背景进行教学。</w:t>
            </w:r>
          </w:p>
          <w:p w14:paraId="44899A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d)每篇古诗词、古文均提供原文及翻译、背景介绍、作者介绍等，同时支持一键跳转打开网页，展示对应的背景或作者介绍。</w:t>
            </w:r>
          </w:p>
          <w:p w14:paraId="646870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e)支持老师备课时对原文进行注释、标重点等操作，方便老师讲解重点字词。</w:t>
            </w:r>
          </w:p>
          <w:p w14:paraId="1245C9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f)提供原文朗读功能，全部诗词、古文均配备专业朗读配音，且支持老师在备课时对朗读音频进行打点操作，上课时可播放提前选择好的片段。</w:t>
            </w:r>
          </w:p>
          <w:p w14:paraId="217BC2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w:t>
            </w:r>
          </w:p>
          <w:p w14:paraId="5BE7DC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19、美术画板：具有美术画板工具，提供铅笔、毛笔、油画笔，可实现模拟调色盘功能，老师可自由选择不同颜色进行混合调色，搭配出任意色彩。</w:t>
            </w:r>
          </w:p>
          <w:p w14:paraId="183489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20、美术工具：具备图形自由创作工具，教师可自由绘制复杂的任意多边图形及曲边图形；教师自主创作的图形可存储至个人云空间便于后续使用。</w:t>
            </w:r>
          </w:p>
          <w:p w14:paraId="6B674C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（二）白板软件移动端应用</w:t>
            </w:r>
          </w:p>
          <w:p w14:paraId="33C353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1、课件预览保留课件对象拖拽移动、克隆复制、置顶、删除等互动功能，并可通过移动端进行思维导图、课堂互动游戏的触控交互操作，并支持显示课件备注内容。</w:t>
            </w:r>
          </w:p>
          <w:p w14:paraId="40DCD0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2、可在移动平台选择是否接收获取的分享课件，接收后课件储存至个人云空间，可在移动平台的互动课件列表预览。</w:t>
            </w:r>
          </w:p>
          <w:p w14:paraId="781C78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3、移动平台可对云空间互动课件和课件组移动、删除和重命名，课件及课件组支持批量移动、删除。</w:t>
            </w:r>
          </w:p>
          <w:p w14:paraId="79F49B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4、移动平台可将课件通过微信、朋友圈、云空间帐号、二维码、公开链接、加密链接等方式进行分享，分享有效期支持自定义。</w:t>
            </w:r>
          </w:p>
          <w:p w14:paraId="727105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5、移动平台可查看教师个人云空间里所有互动课件列表，并可打开互动课件进行预览，预览时支持上下翻页、页面缩略图预览、页面跳转。</w:t>
            </w:r>
          </w:p>
          <w:p w14:paraId="21795AE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6、移动平台可以上传手机相册中的照片和视频到资料夹，且能调用系统相机拍摄照片并直接上传。教师可以在备课端选择资源插入课件。</w:t>
            </w:r>
          </w:p>
          <w:p w14:paraId="1F179C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十一、智能桌面管理系统</w:t>
            </w:r>
          </w:p>
          <w:p w14:paraId="3CDAC9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1、支持批量部署，教室内任意一台设备，可为机房内其他没有系统的设备批量安装云桌面管理软件和操作系统。</w:t>
            </w:r>
          </w:p>
          <w:p w14:paraId="7261B3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2、支持开机Logo自定义，减弱教育商业化。</w:t>
            </w:r>
          </w:p>
          <w:p w14:paraId="5B234F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★3、支持一次向多个接收端设备发送文件。接收设备离线时文件能够保存在云端，接收端设备在线后，文件能够自动下载接收端设备。（提供相关证明材料（</w:t>
            </w:r>
            <w:r>
              <w:rPr>
                <w:rFonts w:hint="eastAsia" w:ascii="宋体" w:hAnsi="宋体" w:cs="宋体"/>
                <w:b/>
                <w:bCs/>
                <w:color w:val="auto"/>
                <w:kern w:val="0"/>
                <w:sz w:val="21"/>
                <w:szCs w:val="21"/>
                <w:highlight w:val="none"/>
                <w:lang w:eastAsia="zh-CN" w:bidi="ar"/>
              </w:rPr>
              <w:t>包括但不限于产品彩页、官网公示信息、功能截图、第三方检测报告等能够佐证产品性能的证明材料））</w:t>
            </w:r>
          </w:p>
          <w:p w14:paraId="3CB5FB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★4、用户可在资源目录中多选各类格式文件，批量发送至接收端软件中，接收端软件自动下载该文件。</w:t>
            </w:r>
            <w:r>
              <w:rPr>
                <w:rFonts w:hint="eastAsia" w:ascii="宋体" w:hAnsi="宋体" w:cs="宋体"/>
                <w:b/>
                <w:bCs/>
                <w:color w:val="auto"/>
                <w:kern w:val="0"/>
                <w:sz w:val="21"/>
                <w:szCs w:val="21"/>
                <w:highlight w:val="none"/>
                <w:lang w:eastAsia="zh-CN" w:bidi="ar"/>
              </w:rPr>
              <w:t>（提供相关证明材料（包括但不限于产品彩页、官网公示信息、功能截图、第三方检测报告等能够佐证产品性能的证明材料））</w:t>
            </w:r>
          </w:p>
          <w:p w14:paraId="556FB8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5、支持对主流操作系统的还原属性进行设置，可分别为系统盘与数据盘配置不同的还原策略，包括每次还原、每日还原、每周还原、每月还原及不还原。</w:t>
            </w:r>
          </w:p>
          <w:p w14:paraId="3BEC53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bidi="ar"/>
              </w:rPr>
              <w:t>、提供云终端检测功能，可对操作系统环境进行批量巡检，检测结果以列表形式展示，并对USB键鼠未连接、未知盘符等异常状态进行告警提示。</w:t>
            </w:r>
          </w:p>
          <w:p w14:paraId="761E8B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bidi="ar"/>
              </w:rPr>
              <w:t>、管理软件支持对操作系统提供网络修复功能，可自动检测网络服务状态并对异常问题进行修复。</w:t>
            </w:r>
          </w:p>
          <w:p w14:paraId="133CD9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bidi="ar"/>
              </w:rPr>
              <w:t>、管理软件支持在考试结束后，提供文件加密功能，可对指定文件进行密码保护，并完整记录加密操作日志。</w:t>
            </w:r>
          </w:p>
          <w:p w14:paraId="6ACC9E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bidi="ar"/>
              </w:rPr>
              <w:t>、管理软件支持开启内置DHCP服务，可在无外网环境下为局域网内设备自动分配IP地址，保障机房临时教学活动正常进行。</w:t>
            </w:r>
          </w:p>
          <w:p w14:paraId="33ABB0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10</w:t>
            </w:r>
            <w:r>
              <w:rPr>
                <w:rFonts w:hint="eastAsia" w:ascii="宋体" w:hAnsi="宋体" w:eastAsia="宋体" w:cs="宋体"/>
                <w:color w:val="auto"/>
                <w:kern w:val="0"/>
                <w:sz w:val="21"/>
                <w:szCs w:val="21"/>
                <w:highlight w:val="none"/>
                <w:lang w:bidi="ar"/>
              </w:rPr>
              <w:t>、支持无服务器部署模式，机房内任意一台学生机均可设置为管理端，统一管理维护所有终端设备。</w:t>
            </w:r>
          </w:p>
          <w:p w14:paraId="2ECFC7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bidi="ar"/>
              </w:rPr>
              <w:t>、管理软件内置U盘管控功能，开启后可禁止所有终端使用U盘设备，保障数据安全与系统稳定。</w:t>
            </w:r>
          </w:p>
          <w:p w14:paraId="61303C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bidi="ar"/>
              </w:rPr>
              <w:t>、管理软件内置广告弹窗拦截功能，开启后可自动拦截终端桌面广告弹窗，净化教学办公环境。</w:t>
            </w:r>
          </w:p>
          <w:p w14:paraId="06BBB2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十二、产品售后保障服务</w:t>
            </w:r>
          </w:p>
          <w:p w14:paraId="66F0D9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1、微信售后报修服务：快速输入相关问题及所在区域进行在线保修，贴心服务人员实时在线提供客服专线报修，更好更快的解决售后故障问题带来的使用不便。</w:t>
            </w:r>
          </w:p>
          <w:p w14:paraId="0906E8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2、微信问题查询服务：提供八大模块的问题查询及解决方案，现场完成简单故障的快速修复指导。</w:t>
            </w:r>
          </w:p>
          <w:p w14:paraId="0614C7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十三、其他要求</w:t>
            </w:r>
          </w:p>
          <w:p w14:paraId="27A78E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为确保货物质量及原厂品质，中标供应商在正式供货时需提供生产厂家针对此项目的售后服务保证原件、供货证明原件。</w:t>
            </w:r>
          </w:p>
          <w:p w14:paraId="526F5F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注：本产品须提供节能证书。</w:t>
            </w:r>
          </w:p>
        </w:tc>
        <w:tc>
          <w:tcPr>
            <w:tcW w:w="336" w:type="dxa"/>
            <w:tcBorders>
              <w:top w:val="single" w:color="auto" w:sz="4" w:space="0"/>
              <w:left w:val="nil"/>
              <w:bottom w:val="single" w:color="auto" w:sz="4" w:space="0"/>
              <w:right w:val="single" w:color="auto" w:sz="4" w:space="0"/>
            </w:tcBorders>
            <w:shd w:val="clear" w:color="auto" w:fill="auto"/>
            <w:vAlign w:val="center"/>
          </w:tcPr>
          <w:p w14:paraId="24B41DA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30A9135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套</w:t>
            </w:r>
          </w:p>
        </w:tc>
        <w:tc>
          <w:tcPr>
            <w:tcW w:w="847" w:type="dxa"/>
            <w:tcBorders>
              <w:top w:val="single" w:color="auto" w:sz="4" w:space="0"/>
              <w:left w:val="nil"/>
              <w:bottom w:val="single" w:color="auto" w:sz="4" w:space="0"/>
              <w:right w:val="single" w:color="auto" w:sz="4" w:space="0"/>
            </w:tcBorders>
            <w:shd w:val="clear" w:color="auto" w:fill="auto"/>
            <w:vAlign w:val="center"/>
          </w:tcPr>
          <w:p w14:paraId="6344C5F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13780</w:t>
            </w:r>
            <w:r>
              <w:rPr>
                <w:rFonts w:hint="eastAsia" w:ascii="宋体" w:hAnsiTheme="minorEastAsia" w:cstheme="minorEastAsia"/>
                <w:i w:val="0"/>
                <w:iCs w:val="0"/>
                <w:color w:val="auto"/>
                <w:kern w:val="0"/>
                <w:sz w:val="21"/>
                <w:szCs w:val="21"/>
                <w:highlight w:val="none"/>
                <w:u w:val="none"/>
                <w:lang w:val="en-US" w:eastAsia="zh-CN" w:bidi="ar"/>
              </w:rPr>
              <w:t>.00</w:t>
            </w:r>
          </w:p>
        </w:tc>
      </w:tr>
      <w:tr w14:paraId="63B21B4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7DA746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9</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5FF7044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视频展台</w:t>
            </w:r>
          </w:p>
        </w:tc>
        <w:tc>
          <w:tcPr>
            <w:tcW w:w="6748" w:type="dxa"/>
            <w:tcBorders>
              <w:top w:val="single" w:color="auto" w:sz="4" w:space="0"/>
              <w:left w:val="nil"/>
              <w:bottom w:val="single" w:color="auto" w:sz="4" w:space="0"/>
              <w:right w:val="single" w:color="auto" w:sz="4" w:space="0"/>
            </w:tcBorders>
            <w:shd w:val="clear" w:color="auto" w:fill="auto"/>
            <w:vAlign w:val="center"/>
          </w:tcPr>
          <w:p w14:paraId="5E4AE80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（一）硬件部分：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1.整机采用圆弧式设计，无锐角；同时托板采用磁吸吸附式机构，防止托板打落，方便打开及固定，避免机械式锁具故障率高的问题。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2.采用≥800万像素摄像头；采用USB五伏电源直接供电，无需额外配置电源适配器，环保无辐射；箱内USB连线采用隐藏式设计，箱内无可见连线且USB口下出，有效防止积尘，且方便布线和返修。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3.A4大小拍摄幅面，1080P动态视频预览达到30帧/秒；托板及挂墙部分采用金属加强，托板可承重3kg，整机壁挂式安装。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4.支持展台成像画面实时批注，预设多种笔画粗细及颜色供选择，且支持对展台成像画面连同批注内容进行同步缩放、移动。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5.展示托板正上方具备LED补光灯，保证展示区域的亮度及展示效果，补光灯开关采用触摸按键设计，同时可通过交互智能平板中的软件直接控制开关。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6.带自动对焦摄像头；外壳在摄像头部分带保护镜片密封，防止灰尘沾染摄像头，防护等级达到IP4X级别。</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7.具有故障自动检测功能：在调用展台却无法出现镜头采集画面信号时，可自动出现检测链接，并给出导致性原因（如硬件连接、摄像头占用、配套软件版本等问题）。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（二）软件部分：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1.支持对展台实时画面进行放大、缩小、旋转、自适应、冻结画面等操作。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2.支持展台画面实时批注，预设多种笔画粗细及颜色供选择，且支持对展台画面连同批注内容进行同步缩放、移动。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3.支持展台画面拍照截图并进行多图预览，可对任一图片进行全屏显示。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4.老师可在一体机或电脑上选择延时拍照功能，支持5秒或10秒延时模式，预留充足时间以便调整拍摄内容。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5.可选择图像、文本或动态三种情景模式，适应不同展示内容。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6.具备图像增强功能，可自动裁剪背景并增强文字显示，使文档画面更清晰。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7.支持故障自动检测，在软件无法出现展台拍摄画面时，自动出现检测链接，帮助用户检测“无画面”的原因，并给出引导性解决方案。可判断硬件连接、显卡驱动、摄像头占用、软件版本等问题。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8.支持二维码扫码功能：打开扫一扫功能后，将书本上的二维码放入扫描框内即可自动扫描，并进入系统浏览器获取二维码的链接内容，帮助老师快速获取电子教学资源。</w:t>
            </w:r>
          </w:p>
        </w:tc>
        <w:tc>
          <w:tcPr>
            <w:tcW w:w="336" w:type="dxa"/>
            <w:tcBorders>
              <w:top w:val="single" w:color="auto" w:sz="4" w:space="0"/>
              <w:left w:val="nil"/>
              <w:bottom w:val="single" w:color="auto" w:sz="4" w:space="0"/>
              <w:right w:val="single" w:color="auto" w:sz="4" w:space="0"/>
            </w:tcBorders>
            <w:shd w:val="clear" w:color="auto" w:fill="auto"/>
            <w:vAlign w:val="center"/>
          </w:tcPr>
          <w:p w14:paraId="6A2EB3A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4160EDF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台</w:t>
            </w:r>
          </w:p>
        </w:tc>
        <w:tc>
          <w:tcPr>
            <w:tcW w:w="847" w:type="dxa"/>
            <w:tcBorders>
              <w:top w:val="single" w:color="auto" w:sz="4" w:space="0"/>
              <w:left w:val="nil"/>
              <w:bottom w:val="single" w:color="auto" w:sz="4" w:space="0"/>
              <w:right w:val="single" w:color="auto" w:sz="4" w:space="0"/>
            </w:tcBorders>
            <w:shd w:val="clear" w:color="auto" w:fill="auto"/>
            <w:vAlign w:val="center"/>
          </w:tcPr>
          <w:p w14:paraId="3940307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800</w:t>
            </w:r>
            <w:r>
              <w:rPr>
                <w:rFonts w:hint="eastAsia" w:ascii="宋体" w:hAnsiTheme="minorEastAsia" w:cstheme="minorEastAsia"/>
                <w:i w:val="0"/>
                <w:iCs w:val="0"/>
                <w:color w:val="auto"/>
                <w:kern w:val="0"/>
                <w:sz w:val="21"/>
                <w:szCs w:val="21"/>
                <w:highlight w:val="none"/>
                <w:u w:val="none"/>
                <w:lang w:val="en-US" w:eastAsia="zh-CN" w:bidi="ar"/>
              </w:rPr>
              <w:t>.00</w:t>
            </w:r>
          </w:p>
        </w:tc>
      </w:tr>
      <w:tr w14:paraId="1A89243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7CAEDF4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10</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0641A4E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智能笔</w:t>
            </w:r>
          </w:p>
        </w:tc>
        <w:tc>
          <w:tcPr>
            <w:tcW w:w="6748" w:type="dxa"/>
            <w:tcBorders>
              <w:top w:val="single" w:color="auto" w:sz="4" w:space="0"/>
              <w:left w:val="nil"/>
              <w:bottom w:val="single" w:color="auto" w:sz="4" w:space="0"/>
              <w:right w:val="single" w:color="auto" w:sz="4" w:space="0"/>
            </w:tcBorders>
            <w:shd w:val="clear" w:color="auto" w:fill="auto"/>
            <w:vAlign w:val="center"/>
          </w:tcPr>
          <w:p w14:paraId="70C2554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1.采用笔型设计，具有三个遥控按键（上下翻页和功能键），既可用于触摸书写，也可用于远程操控。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2.采用2.4G无线连接技术，无线接收距离最大可达15米。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3.无线接收器采用微型nano设计，并能收纳在笔上，整洁美观。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4.使用单节7号电池驱动，并带自动休眠节电设计。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5.单接收器设计，android、windows双系统同时响应。只需安装一个接收器，双系统都能响应智能笔的操作指令。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6.支持白板课件、PPT、PDF等多种格式的课件进行远程无线翻页。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7.功能按键可通过长按/短按实现两种快捷功能，方便教师操作。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8.支持自定义按键功能，可选功能包括：一键启动任意通道批注、一键启动/退出PPT播放、一键启动PPT批注、一键启动任意通道冻结与放大屏幕内容。</w:t>
            </w:r>
          </w:p>
        </w:tc>
        <w:tc>
          <w:tcPr>
            <w:tcW w:w="336" w:type="dxa"/>
            <w:tcBorders>
              <w:top w:val="single" w:color="auto" w:sz="4" w:space="0"/>
              <w:left w:val="nil"/>
              <w:bottom w:val="single" w:color="auto" w:sz="4" w:space="0"/>
              <w:right w:val="single" w:color="auto" w:sz="4" w:space="0"/>
            </w:tcBorders>
            <w:shd w:val="clear" w:color="auto" w:fill="auto"/>
            <w:vAlign w:val="center"/>
          </w:tcPr>
          <w:p w14:paraId="1D742FD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color w:val="auto"/>
                <w:kern w:val="2"/>
                <w:sz w:val="21"/>
                <w:szCs w:val="21"/>
                <w:highlight w:val="none"/>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003F474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color w:val="auto"/>
                <w:kern w:val="2"/>
                <w:sz w:val="21"/>
                <w:szCs w:val="21"/>
                <w:highlight w:val="none"/>
              </w:rPr>
              <w:t>支</w:t>
            </w:r>
          </w:p>
        </w:tc>
        <w:tc>
          <w:tcPr>
            <w:tcW w:w="847" w:type="dxa"/>
            <w:tcBorders>
              <w:top w:val="single" w:color="auto" w:sz="4" w:space="0"/>
              <w:left w:val="nil"/>
              <w:bottom w:val="single" w:color="auto" w:sz="4" w:space="0"/>
              <w:right w:val="single" w:color="auto" w:sz="4" w:space="0"/>
            </w:tcBorders>
            <w:shd w:val="clear" w:color="auto" w:fill="auto"/>
            <w:vAlign w:val="center"/>
          </w:tcPr>
          <w:p w14:paraId="54B6B0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400</w:t>
            </w:r>
            <w:r>
              <w:rPr>
                <w:rFonts w:hint="eastAsia" w:ascii="宋体" w:hAnsiTheme="minorEastAsia" w:cstheme="minorEastAsia"/>
                <w:i w:val="0"/>
                <w:iCs w:val="0"/>
                <w:color w:val="auto"/>
                <w:kern w:val="0"/>
                <w:sz w:val="21"/>
                <w:szCs w:val="21"/>
                <w:highlight w:val="none"/>
                <w:u w:val="none"/>
                <w:lang w:val="en-US" w:eastAsia="zh-CN" w:bidi="ar"/>
              </w:rPr>
              <w:t>.00</w:t>
            </w:r>
          </w:p>
        </w:tc>
      </w:tr>
      <w:tr w14:paraId="7E7E93D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6BEAFE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11</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4BEE6BD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录播室桌椅</w:t>
            </w:r>
          </w:p>
        </w:tc>
        <w:tc>
          <w:tcPr>
            <w:tcW w:w="6748" w:type="dxa"/>
            <w:tcBorders>
              <w:top w:val="single" w:color="auto" w:sz="4" w:space="0"/>
              <w:left w:val="nil"/>
              <w:bottom w:val="single" w:color="auto" w:sz="4" w:space="0"/>
              <w:right w:val="single" w:color="auto" w:sz="4" w:space="0"/>
            </w:tcBorders>
            <w:shd w:val="clear" w:color="auto" w:fill="auto"/>
            <w:vAlign w:val="center"/>
          </w:tcPr>
          <w:p w14:paraId="470D0A3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课桌椅尺寸：长600×宽400×高640—760mm，高度每档调节为20mm。（桌子高度64-67-70-73—76cm，共5个档位调节，椅子高度36-38-40—42cm共4个档位调节）2、桌面：尺寸600×400mm，采用15mm厚E1级环保高密度板四周采用一次成型注塑封边。3、单层桌斗，高度为140mm，长度为480mm，宽度为300mm。侧边板采用0.8mm冷轧钢板冲压成型，抽屉斗板采用0.6mm优质冷轧钢板冲压、折弯成型，前部经卷边处理，内有加强筋</w:t>
            </w:r>
          </w:p>
        </w:tc>
        <w:tc>
          <w:tcPr>
            <w:tcW w:w="336" w:type="dxa"/>
            <w:tcBorders>
              <w:top w:val="single" w:color="auto" w:sz="4" w:space="0"/>
              <w:left w:val="nil"/>
              <w:bottom w:val="single" w:color="auto" w:sz="4" w:space="0"/>
              <w:right w:val="single" w:color="auto" w:sz="4" w:space="0"/>
            </w:tcBorders>
            <w:shd w:val="clear" w:color="auto" w:fill="auto"/>
            <w:vAlign w:val="center"/>
          </w:tcPr>
          <w:p w14:paraId="3075490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50</w:t>
            </w:r>
          </w:p>
        </w:tc>
        <w:tc>
          <w:tcPr>
            <w:tcW w:w="336" w:type="dxa"/>
            <w:tcBorders>
              <w:top w:val="single" w:color="auto" w:sz="4" w:space="0"/>
              <w:left w:val="nil"/>
              <w:bottom w:val="single" w:color="auto" w:sz="4" w:space="0"/>
              <w:right w:val="single" w:color="auto" w:sz="4" w:space="0"/>
            </w:tcBorders>
            <w:shd w:val="clear" w:color="auto" w:fill="auto"/>
            <w:vAlign w:val="center"/>
          </w:tcPr>
          <w:p w14:paraId="12EA85B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套</w:t>
            </w:r>
          </w:p>
        </w:tc>
        <w:tc>
          <w:tcPr>
            <w:tcW w:w="847" w:type="dxa"/>
            <w:tcBorders>
              <w:top w:val="single" w:color="auto" w:sz="4" w:space="0"/>
              <w:left w:val="nil"/>
              <w:bottom w:val="single" w:color="auto" w:sz="4" w:space="0"/>
              <w:right w:val="single" w:color="auto" w:sz="4" w:space="0"/>
            </w:tcBorders>
            <w:shd w:val="clear" w:color="auto" w:fill="auto"/>
            <w:vAlign w:val="center"/>
          </w:tcPr>
          <w:p w14:paraId="28B0289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650</w:t>
            </w:r>
            <w:r>
              <w:rPr>
                <w:rFonts w:hint="eastAsia" w:ascii="宋体" w:hAnsiTheme="minorEastAsia" w:cstheme="minorEastAsia"/>
                <w:i w:val="0"/>
                <w:iCs w:val="0"/>
                <w:color w:val="auto"/>
                <w:kern w:val="0"/>
                <w:sz w:val="21"/>
                <w:szCs w:val="21"/>
                <w:highlight w:val="none"/>
                <w:u w:val="none"/>
                <w:lang w:val="en-US" w:eastAsia="zh-CN" w:bidi="ar"/>
              </w:rPr>
              <w:t>.00</w:t>
            </w:r>
          </w:p>
        </w:tc>
      </w:tr>
      <w:tr w14:paraId="1162909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0E5E16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12</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73442BE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教室柜式空调</w:t>
            </w:r>
          </w:p>
        </w:tc>
        <w:tc>
          <w:tcPr>
            <w:tcW w:w="6748" w:type="dxa"/>
            <w:tcBorders>
              <w:top w:val="single" w:color="auto" w:sz="4" w:space="0"/>
              <w:left w:val="nil"/>
              <w:bottom w:val="single" w:color="auto" w:sz="4" w:space="0"/>
              <w:right w:val="single" w:color="auto" w:sz="4" w:space="0"/>
            </w:tcBorders>
            <w:shd w:val="clear" w:color="auto" w:fill="auto"/>
            <w:vAlign w:val="center"/>
          </w:tcPr>
          <w:p w14:paraId="54C40DB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挂机/柜机：柜机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单冷/冷暖：冷暖</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匹数：≥3匹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定频/变频：变频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1.功能规格变频/定频：变频。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2.能效比:≥4.3</w:t>
            </w:r>
          </w:p>
          <w:p w14:paraId="4D85F68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3.制冷量：≥7330W</w:t>
            </w:r>
          </w:p>
          <w:p w14:paraId="7DB7391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4.制热量：≥10400W</w:t>
            </w:r>
          </w:p>
          <w:p w14:paraId="26FF24F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5.制冷功率：≥2070W</w:t>
            </w:r>
          </w:p>
          <w:p w14:paraId="3B0BEB4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6.制热功率：≥3050W</w:t>
            </w:r>
          </w:p>
          <w:p w14:paraId="7E87F38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7.循环风量:≥1420（m³/h）</w:t>
            </w:r>
          </w:p>
          <w:p w14:paraId="0F7F1C1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8.电源：单相电(220V)</w:t>
            </w:r>
          </w:p>
          <w:p w14:paraId="5737341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9.内机噪音：≤47dB(A)</w:t>
            </w:r>
          </w:p>
          <w:p w14:paraId="042082C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10.外机噪音:≤56dB(A)</w:t>
            </w:r>
          </w:p>
          <w:p w14:paraId="3FA38B9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11.内机≥24KG，外机≥39KG</w:t>
            </w:r>
          </w:p>
          <w:p w14:paraId="4EB5A96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12.适用面积：≥32㎡</w:t>
            </w:r>
          </w:p>
          <w:p w14:paraId="5B1BC5D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13.配原装内外机连接管≥4米。</w:t>
            </w:r>
          </w:p>
          <w:p w14:paraId="72F3926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14.保修：整机保修六年、遥控器一年</w:t>
            </w:r>
          </w:p>
          <w:p w14:paraId="792E2B1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15.能效等级：一级</w:t>
            </w:r>
          </w:p>
          <w:p w14:paraId="657B520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注：本产品须提供节能证书。</w:t>
            </w:r>
          </w:p>
        </w:tc>
        <w:tc>
          <w:tcPr>
            <w:tcW w:w="336" w:type="dxa"/>
            <w:tcBorders>
              <w:top w:val="single" w:color="auto" w:sz="4" w:space="0"/>
              <w:left w:val="nil"/>
              <w:bottom w:val="single" w:color="auto" w:sz="4" w:space="0"/>
              <w:right w:val="single" w:color="auto" w:sz="4" w:space="0"/>
            </w:tcBorders>
            <w:shd w:val="clear" w:color="auto" w:fill="auto"/>
            <w:vAlign w:val="center"/>
          </w:tcPr>
          <w:p w14:paraId="2DEDEBD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2</w:t>
            </w:r>
          </w:p>
        </w:tc>
        <w:tc>
          <w:tcPr>
            <w:tcW w:w="336" w:type="dxa"/>
            <w:tcBorders>
              <w:top w:val="single" w:color="auto" w:sz="4" w:space="0"/>
              <w:left w:val="nil"/>
              <w:bottom w:val="single" w:color="auto" w:sz="4" w:space="0"/>
              <w:right w:val="single" w:color="auto" w:sz="4" w:space="0"/>
            </w:tcBorders>
            <w:shd w:val="clear" w:color="auto" w:fill="auto"/>
            <w:vAlign w:val="center"/>
          </w:tcPr>
          <w:p w14:paraId="48BEFF3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台</w:t>
            </w:r>
          </w:p>
        </w:tc>
        <w:tc>
          <w:tcPr>
            <w:tcW w:w="847" w:type="dxa"/>
            <w:tcBorders>
              <w:top w:val="single" w:color="auto" w:sz="4" w:space="0"/>
              <w:left w:val="nil"/>
              <w:bottom w:val="single" w:color="auto" w:sz="4" w:space="0"/>
              <w:right w:val="single" w:color="auto" w:sz="4" w:space="0"/>
            </w:tcBorders>
            <w:shd w:val="clear" w:color="auto" w:fill="auto"/>
            <w:vAlign w:val="center"/>
          </w:tcPr>
          <w:p w14:paraId="341D995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5980.00</w:t>
            </w:r>
          </w:p>
        </w:tc>
      </w:tr>
      <w:tr w14:paraId="42490CC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58BF00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13</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71469EC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精品录播教室氛围</w:t>
            </w:r>
            <w:r>
              <w:rPr>
                <w:rFonts w:hint="eastAsia" w:ascii="宋体" w:hAnsiTheme="minorEastAsia" w:cstheme="minorEastAsia"/>
                <w:i w:val="0"/>
                <w:iCs w:val="0"/>
                <w:color w:val="auto"/>
                <w:kern w:val="0"/>
                <w:sz w:val="21"/>
                <w:szCs w:val="21"/>
                <w:highlight w:val="none"/>
                <w:u w:val="none"/>
                <w:lang w:val="en-US" w:eastAsia="zh-CN" w:bidi="ar"/>
              </w:rPr>
              <w:t>改</w:t>
            </w:r>
            <w:r>
              <w:rPr>
                <w:rFonts w:hint="eastAsia" w:ascii="宋体" w:eastAsia="宋体" w:hAnsiTheme="minorEastAsia" w:cstheme="minorEastAsia"/>
                <w:i w:val="0"/>
                <w:iCs w:val="0"/>
                <w:color w:val="auto"/>
                <w:kern w:val="0"/>
                <w:sz w:val="21"/>
                <w:szCs w:val="21"/>
                <w:highlight w:val="none"/>
                <w:u w:val="none"/>
                <w:lang w:val="en-US" w:eastAsia="zh-CN" w:bidi="ar"/>
              </w:rPr>
              <w:t>造</w:t>
            </w:r>
          </w:p>
        </w:tc>
        <w:tc>
          <w:tcPr>
            <w:tcW w:w="6748" w:type="dxa"/>
            <w:tcBorders>
              <w:top w:val="single" w:color="auto" w:sz="4" w:space="0"/>
              <w:left w:val="nil"/>
              <w:bottom w:val="single" w:color="auto" w:sz="4" w:space="0"/>
              <w:right w:val="single" w:color="auto" w:sz="4" w:space="0"/>
            </w:tcBorders>
            <w:shd w:val="clear" w:color="auto" w:fill="auto"/>
            <w:vAlign w:val="center"/>
          </w:tcPr>
          <w:p w14:paraId="7A9DD06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室内装修内容：（95平方左右）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1.墙面处理（腻子粉刮平、环保乳胶墙面处理，调制温馨色彩暖色调为主）</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2.安装AP</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3.声学吊顶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4.墙面吸音板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5.教室窗帘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6.踢脚线装饰条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7.录播灯光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8.专业隔音门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9.垃圾清理</w:t>
            </w:r>
          </w:p>
        </w:tc>
        <w:tc>
          <w:tcPr>
            <w:tcW w:w="336" w:type="dxa"/>
            <w:tcBorders>
              <w:top w:val="single" w:color="auto" w:sz="4" w:space="0"/>
              <w:left w:val="nil"/>
              <w:bottom w:val="single" w:color="auto" w:sz="4" w:space="0"/>
              <w:right w:val="single" w:color="auto" w:sz="4" w:space="0"/>
            </w:tcBorders>
            <w:shd w:val="clear" w:color="auto" w:fill="auto"/>
            <w:vAlign w:val="center"/>
          </w:tcPr>
          <w:p w14:paraId="1D7AAE8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5DD2CC4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项</w:t>
            </w:r>
          </w:p>
        </w:tc>
        <w:tc>
          <w:tcPr>
            <w:tcW w:w="847" w:type="dxa"/>
            <w:tcBorders>
              <w:top w:val="single" w:color="auto" w:sz="4" w:space="0"/>
              <w:left w:val="nil"/>
              <w:bottom w:val="single" w:color="auto" w:sz="4" w:space="0"/>
              <w:right w:val="single" w:color="auto" w:sz="4" w:space="0"/>
            </w:tcBorders>
            <w:shd w:val="clear" w:color="auto" w:fill="auto"/>
            <w:vAlign w:val="center"/>
          </w:tcPr>
          <w:p w14:paraId="2E50200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97280</w:t>
            </w:r>
            <w:r>
              <w:rPr>
                <w:rFonts w:hint="eastAsia" w:ascii="宋体" w:hAnsiTheme="minorEastAsia" w:cstheme="minorEastAsia"/>
                <w:i w:val="0"/>
                <w:iCs w:val="0"/>
                <w:color w:val="auto"/>
                <w:kern w:val="0"/>
                <w:sz w:val="21"/>
                <w:szCs w:val="21"/>
                <w:highlight w:val="none"/>
                <w:u w:val="none"/>
                <w:lang w:val="en-US" w:eastAsia="zh-CN" w:bidi="ar"/>
              </w:rPr>
              <w:t>.00</w:t>
            </w:r>
          </w:p>
        </w:tc>
      </w:tr>
      <w:tr w14:paraId="4E13D22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987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789BC8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数字化校园管理系统</w:t>
            </w:r>
          </w:p>
        </w:tc>
      </w:tr>
      <w:tr w14:paraId="2A83C4E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restart"/>
            <w:tcBorders>
              <w:top w:val="single" w:color="auto" w:sz="4" w:space="0"/>
              <w:left w:val="single" w:color="auto" w:sz="4" w:space="0"/>
              <w:right w:val="single" w:color="auto" w:sz="4" w:space="0"/>
            </w:tcBorders>
            <w:shd w:val="clear" w:color="auto" w:fill="auto"/>
            <w:vAlign w:val="center"/>
          </w:tcPr>
          <w:p w14:paraId="6A521B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14</w:t>
            </w:r>
          </w:p>
        </w:tc>
        <w:tc>
          <w:tcPr>
            <w:tcW w:w="336" w:type="dxa"/>
            <w:vMerge w:val="restart"/>
            <w:tcBorders>
              <w:top w:val="single" w:color="auto" w:sz="4" w:space="0"/>
              <w:left w:val="nil"/>
              <w:right w:val="single" w:color="auto" w:sz="4" w:space="0"/>
            </w:tcBorders>
            <w:shd w:val="clear" w:color="auto" w:fill="auto"/>
            <w:vAlign w:val="center"/>
          </w:tcPr>
          <w:p w14:paraId="4E5618B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基础数据管理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35870A3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系统基础数据管理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3D96A1D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1.城市行政编码</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2.数据字典管理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3.组织单位架构管理</w:t>
            </w:r>
          </w:p>
        </w:tc>
        <w:tc>
          <w:tcPr>
            <w:tcW w:w="336" w:type="dxa"/>
            <w:vMerge w:val="restart"/>
            <w:tcBorders>
              <w:top w:val="single" w:color="auto" w:sz="4" w:space="0"/>
              <w:left w:val="nil"/>
              <w:right w:val="single" w:color="auto" w:sz="4" w:space="0"/>
            </w:tcBorders>
            <w:shd w:val="clear" w:color="auto" w:fill="auto"/>
            <w:vAlign w:val="center"/>
          </w:tcPr>
          <w:p w14:paraId="1B0942A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vMerge w:val="restart"/>
            <w:tcBorders>
              <w:top w:val="single" w:color="auto" w:sz="4" w:space="0"/>
              <w:left w:val="nil"/>
              <w:right w:val="single" w:color="auto" w:sz="4" w:space="0"/>
            </w:tcBorders>
            <w:shd w:val="clear" w:color="auto" w:fill="auto"/>
            <w:vAlign w:val="center"/>
          </w:tcPr>
          <w:p w14:paraId="6E74D53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vMerge w:val="restart"/>
            <w:tcBorders>
              <w:top w:val="single" w:color="auto" w:sz="4" w:space="0"/>
              <w:left w:val="nil"/>
              <w:right w:val="single" w:color="auto" w:sz="4" w:space="0"/>
            </w:tcBorders>
            <w:shd w:val="clear" w:color="auto" w:fill="auto"/>
            <w:vAlign w:val="center"/>
          </w:tcPr>
          <w:p w14:paraId="1BFF4AD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sz w:val="21"/>
                <w:szCs w:val="21"/>
                <w:highlight w:val="none"/>
              </w:rPr>
            </w:pPr>
            <w:r>
              <w:rPr>
                <w:rFonts w:hint="eastAsia" w:ascii="宋体" w:eastAsia="宋体" w:hAnsiTheme="minorEastAsia" w:cstheme="minorEastAsia"/>
                <w:color w:val="auto"/>
                <w:sz w:val="21"/>
                <w:szCs w:val="21"/>
                <w:highlight w:val="none"/>
              </w:rPr>
              <w:t xml:space="preserve">30000.00 </w:t>
            </w:r>
          </w:p>
          <w:p w14:paraId="1E6D57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190100B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44DC8D3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656EDF1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250343D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学校基础数据</w:t>
            </w:r>
          </w:p>
        </w:tc>
        <w:tc>
          <w:tcPr>
            <w:tcW w:w="6748" w:type="dxa"/>
            <w:tcBorders>
              <w:top w:val="single" w:color="auto" w:sz="4" w:space="0"/>
              <w:left w:val="nil"/>
              <w:bottom w:val="single" w:color="auto" w:sz="4" w:space="0"/>
              <w:right w:val="single" w:color="auto" w:sz="4" w:space="0"/>
            </w:tcBorders>
            <w:shd w:val="clear" w:color="auto" w:fill="auto"/>
            <w:vAlign w:val="center"/>
          </w:tcPr>
          <w:p w14:paraId="137CDA3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1.院系管理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2.专业管理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3.教研组管理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4.班级管理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5.教师管理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6.年级管理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7.校区管理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8.奖惩等级管理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9.课程类型管理</w:t>
            </w:r>
          </w:p>
        </w:tc>
        <w:tc>
          <w:tcPr>
            <w:tcW w:w="336" w:type="dxa"/>
            <w:vMerge w:val="continue"/>
            <w:tcBorders>
              <w:left w:val="nil"/>
              <w:right w:val="single" w:color="auto" w:sz="4" w:space="0"/>
            </w:tcBorders>
            <w:shd w:val="clear" w:color="auto" w:fill="auto"/>
            <w:vAlign w:val="center"/>
          </w:tcPr>
          <w:p w14:paraId="5F14003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75946DD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76ED5F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4598AFE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6456DC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2355C94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053DB9C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师资团队管理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15E3A94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w:t>
            </w:r>
            <w:r>
              <w:rPr>
                <w:rFonts w:hint="eastAsia" w:ascii="宋体" w:hAnsiTheme="minorEastAsia" w:cstheme="minorEastAsia"/>
                <w:i w:val="0"/>
                <w:iCs w:val="0"/>
                <w:color w:val="auto"/>
                <w:kern w:val="0"/>
                <w:sz w:val="21"/>
                <w:szCs w:val="21"/>
                <w:highlight w:val="none"/>
                <w:u w:val="none"/>
                <w:lang w:val="en-US" w:eastAsia="zh-CN" w:bidi="ar"/>
              </w:rPr>
              <w:t>.</w:t>
            </w:r>
            <w:r>
              <w:rPr>
                <w:rFonts w:hint="eastAsia" w:ascii="宋体" w:eastAsia="宋体" w:hAnsiTheme="minorEastAsia" w:cstheme="minorEastAsia"/>
                <w:i w:val="0"/>
                <w:iCs w:val="0"/>
                <w:color w:val="auto"/>
                <w:kern w:val="0"/>
                <w:sz w:val="21"/>
                <w:szCs w:val="21"/>
                <w:highlight w:val="none"/>
                <w:u w:val="none"/>
                <w:lang w:val="en-US" w:eastAsia="zh-CN" w:bidi="ar"/>
              </w:rPr>
              <w:t>管理教师团队信息，支持增加、修改、删除、查询，导入等操作。</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w:t>
            </w:r>
            <w:r>
              <w:rPr>
                <w:rFonts w:hint="eastAsia" w:ascii="宋体" w:hAnsiTheme="minorEastAsia" w:cstheme="minorEastAsia"/>
                <w:i w:val="0"/>
                <w:iCs w:val="0"/>
                <w:color w:val="auto"/>
                <w:kern w:val="0"/>
                <w:sz w:val="21"/>
                <w:szCs w:val="21"/>
                <w:highlight w:val="none"/>
                <w:u w:val="none"/>
                <w:lang w:val="en-US" w:eastAsia="zh-CN" w:bidi="ar"/>
              </w:rPr>
              <w:t>.</w:t>
            </w:r>
            <w:r>
              <w:rPr>
                <w:rFonts w:hint="eastAsia" w:ascii="宋体" w:eastAsia="宋体" w:hAnsiTheme="minorEastAsia" w:cstheme="minorEastAsia"/>
                <w:i w:val="0"/>
                <w:iCs w:val="0"/>
                <w:color w:val="auto"/>
                <w:kern w:val="0"/>
                <w:sz w:val="21"/>
                <w:szCs w:val="21"/>
                <w:highlight w:val="none"/>
                <w:u w:val="none"/>
                <w:lang w:val="en-US" w:eastAsia="zh-CN" w:bidi="ar"/>
              </w:rPr>
              <w:t>能够根据教师职务授权不同功能</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实时与考勤管理系统中教师档案信息同步</w:t>
            </w:r>
          </w:p>
        </w:tc>
        <w:tc>
          <w:tcPr>
            <w:tcW w:w="336" w:type="dxa"/>
            <w:vMerge w:val="continue"/>
            <w:tcBorders>
              <w:left w:val="nil"/>
              <w:right w:val="single" w:color="auto" w:sz="4" w:space="0"/>
            </w:tcBorders>
            <w:shd w:val="clear" w:color="auto" w:fill="auto"/>
            <w:vAlign w:val="center"/>
          </w:tcPr>
          <w:p w14:paraId="167AA1F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37C52DA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6455B0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177A6FF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42FF19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6BFABF5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3AFE490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校历管理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10446E8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1.学期管理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2.校历管理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3.节次管理里：</w:t>
            </w:r>
          </w:p>
        </w:tc>
        <w:tc>
          <w:tcPr>
            <w:tcW w:w="336" w:type="dxa"/>
            <w:vMerge w:val="continue"/>
            <w:tcBorders>
              <w:left w:val="nil"/>
              <w:right w:val="single" w:color="auto" w:sz="4" w:space="0"/>
            </w:tcBorders>
            <w:shd w:val="clear" w:color="auto" w:fill="auto"/>
            <w:vAlign w:val="center"/>
          </w:tcPr>
          <w:p w14:paraId="062A27C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146CB78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69946C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6E8DD23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14E2CE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1942E2E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1458B7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课程池管理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379DB07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1.课程池信息维护：</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2.课程审核：</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3.其他课程：</w:t>
            </w:r>
          </w:p>
        </w:tc>
        <w:tc>
          <w:tcPr>
            <w:tcW w:w="336" w:type="dxa"/>
            <w:vMerge w:val="continue"/>
            <w:tcBorders>
              <w:left w:val="nil"/>
              <w:right w:val="single" w:color="auto" w:sz="4" w:space="0"/>
            </w:tcBorders>
            <w:shd w:val="clear" w:color="auto" w:fill="auto"/>
            <w:vAlign w:val="center"/>
          </w:tcPr>
          <w:p w14:paraId="6607284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3692BA7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1D35F9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514C66C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1C90AF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bottom w:val="single" w:color="auto" w:sz="4" w:space="0"/>
              <w:right w:val="single" w:color="auto" w:sz="4" w:space="0"/>
            </w:tcBorders>
            <w:shd w:val="clear" w:color="auto" w:fill="auto"/>
            <w:vAlign w:val="center"/>
          </w:tcPr>
          <w:p w14:paraId="065B3B1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7155AA7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系统基础数据管理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63DAC6B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1.城市行政编码</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2.数据字典管理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3.组织单位架构管理</w:t>
            </w:r>
          </w:p>
        </w:tc>
        <w:tc>
          <w:tcPr>
            <w:tcW w:w="336" w:type="dxa"/>
            <w:vMerge w:val="continue"/>
            <w:tcBorders>
              <w:left w:val="nil"/>
              <w:bottom w:val="single" w:color="auto" w:sz="4" w:space="0"/>
              <w:right w:val="single" w:color="auto" w:sz="4" w:space="0"/>
            </w:tcBorders>
            <w:shd w:val="clear" w:color="auto" w:fill="auto"/>
            <w:vAlign w:val="center"/>
          </w:tcPr>
          <w:p w14:paraId="513DB22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3EBFE51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6FE516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6A80362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restart"/>
            <w:tcBorders>
              <w:top w:val="single" w:color="auto" w:sz="4" w:space="0"/>
              <w:left w:val="single" w:color="auto" w:sz="4" w:space="0"/>
              <w:right w:val="single" w:color="auto" w:sz="4" w:space="0"/>
            </w:tcBorders>
            <w:shd w:val="clear" w:color="auto" w:fill="auto"/>
            <w:vAlign w:val="center"/>
          </w:tcPr>
          <w:p w14:paraId="32FF3E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15</w:t>
            </w:r>
          </w:p>
        </w:tc>
        <w:tc>
          <w:tcPr>
            <w:tcW w:w="336" w:type="dxa"/>
            <w:vMerge w:val="restart"/>
            <w:tcBorders>
              <w:top w:val="single" w:color="auto" w:sz="4" w:space="0"/>
              <w:left w:val="nil"/>
              <w:right w:val="single" w:color="auto" w:sz="4" w:space="0"/>
            </w:tcBorders>
            <w:shd w:val="clear" w:color="auto" w:fill="auto"/>
            <w:vAlign w:val="center"/>
          </w:tcPr>
          <w:p w14:paraId="7BBCE5B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系统管理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56E009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权限管理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4101983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1.菜单管理：管理系统功能菜单的命名规则，菜单的停用、启用等；</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2.用户管理：管理系统用户账号信息，用户访问权限设置等功能；</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3.功能角色：管理系统角色信息，角色授权等；</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4.资源管理：管理系统接口信息，接口访问量统计报表等；</w:t>
            </w:r>
          </w:p>
        </w:tc>
        <w:tc>
          <w:tcPr>
            <w:tcW w:w="336" w:type="dxa"/>
            <w:vMerge w:val="restart"/>
            <w:tcBorders>
              <w:top w:val="single" w:color="auto" w:sz="4" w:space="0"/>
              <w:left w:val="nil"/>
              <w:right w:val="single" w:color="auto" w:sz="4" w:space="0"/>
            </w:tcBorders>
            <w:shd w:val="clear" w:color="auto" w:fill="auto"/>
            <w:vAlign w:val="center"/>
          </w:tcPr>
          <w:p w14:paraId="7B2C28C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vMerge w:val="restart"/>
            <w:tcBorders>
              <w:top w:val="single" w:color="auto" w:sz="4" w:space="0"/>
              <w:left w:val="nil"/>
              <w:right w:val="single" w:color="auto" w:sz="4" w:space="0"/>
            </w:tcBorders>
            <w:shd w:val="clear" w:color="auto" w:fill="auto"/>
            <w:vAlign w:val="center"/>
          </w:tcPr>
          <w:p w14:paraId="16ED672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vMerge w:val="restart"/>
            <w:tcBorders>
              <w:top w:val="single" w:color="auto" w:sz="4" w:space="0"/>
              <w:left w:val="nil"/>
              <w:right w:val="single" w:color="auto" w:sz="4" w:space="0"/>
            </w:tcBorders>
            <w:shd w:val="clear" w:color="auto" w:fill="auto"/>
            <w:vAlign w:val="center"/>
          </w:tcPr>
          <w:p w14:paraId="040468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30000.00 </w:t>
            </w:r>
          </w:p>
        </w:tc>
      </w:tr>
      <w:tr w14:paraId="09F6C4C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4A154B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520FBBE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79CD12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系统监控</w:t>
            </w:r>
          </w:p>
        </w:tc>
        <w:tc>
          <w:tcPr>
            <w:tcW w:w="6748" w:type="dxa"/>
            <w:tcBorders>
              <w:top w:val="single" w:color="auto" w:sz="4" w:space="0"/>
              <w:left w:val="nil"/>
              <w:bottom w:val="single" w:color="auto" w:sz="4" w:space="0"/>
              <w:right w:val="single" w:color="auto" w:sz="4" w:space="0"/>
            </w:tcBorders>
            <w:shd w:val="clear" w:color="auto" w:fill="auto"/>
            <w:vAlign w:val="center"/>
          </w:tcPr>
          <w:p w14:paraId="171C4DB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1.访问量统计：以图表形式展示系统每个接口的访问量，支持按照时间段统计；</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2.IP黑名单管理：管理系统需要进行屏蔽的IP地址列表；</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3.服务器监控：实时统计服务器的CPU、内存、缓存等信息；</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4.数据库监控：监控数据库运行的指标、定时备份设置；</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5.访问日志：系统访问日志管理，支持按照账号查询用户的每一个操作的结果；</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6.在线用户：统计实时在线用户数据量，多种图形化大屏显示；</w:t>
            </w:r>
          </w:p>
        </w:tc>
        <w:tc>
          <w:tcPr>
            <w:tcW w:w="336" w:type="dxa"/>
            <w:vMerge w:val="continue"/>
            <w:tcBorders>
              <w:left w:val="nil"/>
              <w:right w:val="single" w:color="auto" w:sz="4" w:space="0"/>
            </w:tcBorders>
            <w:shd w:val="clear" w:color="auto" w:fill="auto"/>
            <w:vAlign w:val="center"/>
          </w:tcPr>
          <w:p w14:paraId="0EFF531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7872B74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01752D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48DBF95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697F86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27C7489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5C82C2F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通知公告</w:t>
            </w:r>
          </w:p>
        </w:tc>
        <w:tc>
          <w:tcPr>
            <w:tcW w:w="6748" w:type="dxa"/>
            <w:tcBorders>
              <w:top w:val="single" w:color="auto" w:sz="4" w:space="0"/>
              <w:left w:val="nil"/>
              <w:bottom w:val="single" w:color="auto" w:sz="4" w:space="0"/>
              <w:right w:val="single" w:color="auto" w:sz="4" w:space="0"/>
            </w:tcBorders>
            <w:shd w:val="clear" w:color="auto" w:fill="auto"/>
            <w:vAlign w:val="center"/>
          </w:tcPr>
          <w:p w14:paraId="58E4A6E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公告通知管理：主要用于管理系统公告、通知管理</w:t>
            </w:r>
          </w:p>
        </w:tc>
        <w:tc>
          <w:tcPr>
            <w:tcW w:w="336" w:type="dxa"/>
            <w:vMerge w:val="continue"/>
            <w:tcBorders>
              <w:left w:val="nil"/>
              <w:right w:val="single" w:color="auto" w:sz="4" w:space="0"/>
            </w:tcBorders>
            <w:shd w:val="clear" w:color="auto" w:fill="auto"/>
            <w:vAlign w:val="center"/>
          </w:tcPr>
          <w:p w14:paraId="73FC291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05FEA82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3C02DA5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4F1D5F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615171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4D20A16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51D1A84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移动端管理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108A53D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1.移动端菜单：管理移动端（H5、公众号）菜单，对移动菜单分类管理等；</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2.轮播图管理：管理移动端（H5、公众号）的首页轮播图的跳转信息等；</w:t>
            </w:r>
          </w:p>
        </w:tc>
        <w:tc>
          <w:tcPr>
            <w:tcW w:w="336" w:type="dxa"/>
            <w:vMerge w:val="continue"/>
            <w:tcBorders>
              <w:left w:val="nil"/>
              <w:right w:val="single" w:color="auto" w:sz="4" w:space="0"/>
            </w:tcBorders>
            <w:shd w:val="clear" w:color="auto" w:fill="auto"/>
            <w:vAlign w:val="center"/>
          </w:tcPr>
          <w:p w14:paraId="30A4E3A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74F321F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5BB57D5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462A89D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565E1D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3FED090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53035B3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配置管理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539EF25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1.参数配置：统一在后台管理系统的各类配置参数；</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2.数据字典：统一管理系统的业务字典，包括字典的新建、修改、删除、查询等；</w:t>
            </w:r>
          </w:p>
        </w:tc>
        <w:tc>
          <w:tcPr>
            <w:tcW w:w="336" w:type="dxa"/>
            <w:vMerge w:val="continue"/>
            <w:tcBorders>
              <w:left w:val="nil"/>
              <w:right w:val="single" w:color="auto" w:sz="4" w:space="0"/>
            </w:tcBorders>
            <w:shd w:val="clear" w:color="auto" w:fill="auto"/>
            <w:vAlign w:val="center"/>
          </w:tcPr>
          <w:p w14:paraId="79096A9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0AEA91A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0424E6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4BA9F49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04A174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75409D0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345AE3A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运维管理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2191D21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1.状态码：管理系统接口响应的状态码信息；</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2.表结构：管理系统数据表结构信息；</w:t>
            </w:r>
          </w:p>
        </w:tc>
        <w:tc>
          <w:tcPr>
            <w:tcW w:w="336" w:type="dxa"/>
            <w:vMerge w:val="continue"/>
            <w:tcBorders>
              <w:left w:val="nil"/>
              <w:right w:val="single" w:color="auto" w:sz="4" w:space="0"/>
            </w:tcBorders>
            <w:shd w:val="clear" w:color="auto" w:fill="auto"/>
            <w:vAlign w:val="center"/>
          </w:tcPr>
          <w:p w14:paraId="534C6EA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19D33C2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2DAA2E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186F289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47D763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bottom w:val="single" w:color="auto" w:sz="4" w:space="0"/>
              <w:right w:val="single" w:color="auto" w:sz="4" w:space="0"/>
            </w:tcBorders>
            <w:shd w:val="clear" w:color="auto" w:fill="auto"/>
            <w:vAlign w:val="center"/>
          </w:tcPr>
          <w:p w14:paraId="3320751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5DBECD8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执行任务</w:t>
            </w:r>
          </w:p>
        </w:tc>
        <w:tc>
          <w:tcPr>
            <w:tcW w:w="6748" w:type="dxa"/>
            <w:tcBorders>
              <w:top w:val="single" w:color="auto" w:sz="4" w:space="0"/>
              <w:left w:val="nil"/>
              <w:bottom w:val="single" w:color="auto" w:sz="4" w:space="0"/>
              <w:right w:val="single" w:color="auto" w:sz="4" w:space="0"/>
            </w:tcBorders>
            <w:shd w:val="clear" w:color="auto" w:fill="auto"/>
            <w:vAlign w:val="center"/>
          </w:tcPr>
          <w:p w14:paraId="14FBF1C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1.定时任务：管理系统的定时调度任务，支持暂停定时任务、启动定时任务；</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2.定时任务执行日志：管理定时任务运行的日志，包括调度成功、失败的记录。</w:t>
            </w:r>
          </w:p>
        </w:tc>
        <w:tc>
          <w:tcPr>
            <w:tcW w:w="336" w:type="dxa"/>
            <w:vMerge w:val="continue"/>
            <w:tcBorders>
              <w:left w:val="nil"/>
              <w:bottom w:val="single" w:color="auto" w:sz="4" w:space="0"/>
              <w:right w:val="single" w:color="auto" w:sz="4" w:space="0"/>
            </w:tcBorders>
            <w:shd w:val="clear" w:color="auto" w:fill="auto"/>
            <w:vAlign w:val="center"/>
          </w:tcPr>
          <w:p w14:paraId="6BC2C00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0D46214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35FA40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1F4417A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restart"/>
            <w:tcBorders>
              <w:top w:val="single" w:color="auto" w:sz="4" w:space="0"/>
              <w:left w:val="single" w:color="auto" w:sz="4" w:space="0"/>
              <w:right w:val="single" w:color="auto" w:sz="4" w:space="0"/>
            </w:tcBorders>
            <w:shd w:val="clear" w:color="auto" w:fill="auto"/>
            <w:vAlign w:val="center"/>
          </w:tcPr>
          <w:p w14:paraId="1FA9FE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16</w:t>
            </w:r>
          </w:p>
        </w:tc>
        <w:tc>
          <w:tcPr>
            <w:tcW w:w="336" w:type="dxa"/>
            <w:vMerge w:val="restart"/>
            <w:tcBorders>
              <w:top w:val="single" w:color="auto" w:sz="4" w:space="0"/>
              <w:left w:val="nil"/>
              <w:right w:val="single" w:color="auto" w:sz="4" w:space="0"/>
            </w:tcBorders>
            <w:shd w:val="clear" w:color="auto" w:fill="auto"/>
            <w:vAlign w:val="center"/>
          </w:tcPr>
          <w:p w14:paraId="7D4635B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right="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教师管理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51BF44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教职工信息</w:t>
            </w:r>
          </w:p>
        </w:tc>
        <w:tc>
          <w:tcPr>
            <w:tcW w:w="6748" w:type="dxa"/>
            <w:tcBorders>
              <w:top w:val="single" w:color="auto" w:sz="4" w:space="0"/>
              <w:left w:val="nil"/>
              <w:bottom w:val="single" w:color="auto" w:sz="4" w:space="0"/>
              <w:right w:val="single" w:color="auto" w:sz="4" w:space="0"/>
            </w:tcBorders>
            <w:shd w:val="clear" w:color="auto" w:fill="auto"/>
            <w:vAlign w:val="center"/>
          </w:tcPr>
          <w:p w14:paraId="3358CBE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1.教职工信息采集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录入/导入教师基本信息（姓名、工号、部门、联系方式等）</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2.教职工信息查询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支持按部门、姓名、工号等多条件查询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3.教职工通讯录</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生成校内通讯录，支持按部门分类查看</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4.部门成员管理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部门人员分配、调整与权限管理</w:t>
            </w:r>
          </w:p>
        </w:tc>
        <w:tc>
          <w:tcPr>
            <w:tcW w:w="336" w:type="dxa"/>
            <w:vMerge w:val="restart"/>
            <w:tcBorders>
              <w:top w:val="single" w:color="auto" w:sz="4" w:space="0"/>
              <w:left w:val="nil"/>
              <w:right w:val="single" w:color="auto" w:sz="4" w:space="0"/>
            </w:tcBorders>
            <w:shd w:val="clear" w:color="auto" w:fill="auto"/>
            <w:vAlign w:val="center"/>
          </w:tcPr>
          <w:p w14:paraId="747F201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vMerge w:val="restart"/>
            <w:tcBorders>
              <w:top w:val="single" w:color="auto" w:sz="4" w:space="0"/>
              <w:left w:val="nil"/>
              <w:right w:val="single" w:color="auto" w:sz="4" w:space="0"/>
            </w:tcBorders>
            <w:shd w:val="clear" w:color="auto" w:fill="auto"/>
            <w:vAlign w:val="center"/>
          </w:tcPr>
          <w:p w14:paraId="41CD3C4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vMerge w:val="restart"/>
            <w:tcBorders>
              <w:top w:val="single" w:color="auto" w:sz="4" w:space="0"/>
              <w:left w:val="nil"/>
              <w:right w:val="single" w:color="auto" w:sz="4" w:space="0"/>
            </w:tcBorders>
            <w:shd w:val="clear" w:color="auto" w:fill="auto"/>
            <w:vAlign w:val="center"/>
          </w:tcPr>
          <w:p w14:paraId="67F730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30000.00 </w:t>
            </w:r>
          </w:p>
        </w:tc>
      </w:tr>
      <w:tr w14:paraId="43485F4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223AB1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bottom w:val="single" w:color="auto" w:sz="4" w:space="0"/>
              <w:right w:val="single" w:color="auto" w:sz="4" w:space="0"/>
            </w:tcBorders>
            <w:shd w:val="clear" w:color="auto" w:fill="auto"/>
            <w:vAlign w:val="center"/>
          </w:tcPr>
          <w:p w14:paraId="7C574C4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4BF771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教师档案管理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519ED7A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1.培训经历管理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记录教师参加培训的项目、时间、证书等信息</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2.证书管理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教师资格证、职称证书等证件的归档与更新提醒</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3.获奖情况管理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记录教学、科研等各类获奖信息</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4.著作论文发表管理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登记教师发表的论文、著作、专利等成果</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5.教务研管</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教学研究项目、课题参与情况管理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6.教师请假管理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请假申请、审批、记录与统计</w:t>
            </w:r>
          </w:p>
        </w:tc>
        <w:tc>
          <w:tcPr>
            <w:tcW w:w="336" w:type="dxa"/>
            <w:vMerge w:val="continue"/>
            <w:tcBorders>
              <w:left w:val="nil"/>
              <w:bottom w:val="single" w:color="auto" w:sz="4" w:space="0"/>
              <w:right w:val="single" w:color="auto" w:sz="4" w:space="0"/>
            </w:tcBorders>
            <w:shd w:val="clear" w:color="auto" w:fill="auto"/>
            <w:vAlign w:val="center"/>
          </w:tcPr>
          <w:p w14:paraId="57FD8A6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4ED56AE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2FDB09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6DF652E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restart"/>
            <w:tcBorders>
              <w:top w:val="single" w:color="auto" w:sz="4" w:space="0"/>
              <w:left w:val="single" w:color="auto" w:sz="4" w:space="0"/>
              <w:right w:val="single" w:color="auto" w:sz="4" w:space="0"/>
            </w:tcBorders>
            <w:shd w:val="clear" w:color="auto" w:fill="auto"/>
            <w:vAlign w:val="center"/>
          </w:tcPr>
          <w:p w14:paraId="1170BC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17</w:t>
            </w:r>
          </w:p>
        </w:tc>
        <w:tc>
          <w:tcPr>
            <w:tcW w:w="336" w:type="dxa"/>
            <w:vMerge w:val="restart"/>
            <w:tcBorders>
              <w:top w:val="single" w:color="auto" w:sz="4" w:space="0"/>
              <w:left w:val="nil"/>
              <w:right w:val="single" w:color="auto" w:sz="4" w:space="0"/>
            </w:tcBorders>
            <w:shd w:val="clear" w:color="auto" w:fill="auto"/>
            <w:vAlign w:val="center"/>
          </w:tcPr>
          <w:p w14:paraId="4D5ADB1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学生管理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BD324B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学生学籍档案管理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74E631B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基础信息管理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信息采集与注册：新生批量导入、在线注册、关键信息（姓名、身份证号、学籍号、照片）核验。</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信息维护：个人基本信息（家庭住址、监护人及联系方式）、学籍信息（班级、学号、入学年份）、扩展信息（民族、政治面貌、健康状况）的增删改查。</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全周期档案：建立从入学到毕业的全程数字化档案，记录所有关键节点信息。</w:t>
            </w:r>
          </w:p>
        </w:tc>
        <w:tc>
          <w:tcPr>
            <w:tcW w:w="336" w:type="dxa"/>
            <w:vMerge w:val="restart"/>
            <w:tcBorders>
              <w:top w:val="single" w:color="auto" w:sz="4" w:space="0"/>
              <w:left w:val="nil"/>
              <w:right w:val="single" w:color="auto" w:sz="4" w:space="0"/>
            </w:tcBorders>
            <w:shd w:val="clear" w:color="auto" w:fill="auto"/>
            <w:vAlign w:val="center"/>
          </w:tcPr>
          <w:p w14:paraId="4792EE1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vMerge w:val="restart"/>
            <w:tcBorders>
              <w:top w:val="single" w:color="auto" w:sz="4" w:space="0"/>
              <w:left w:val="nil"/>
              <w:right w:val="single" w:color="auto" w:sz="4" w:space="0"/>
            </w:tcBorders>
            <w:shd w:val="clear" w:color="auto" w:fill="auto"/>
            <w:vAlign w:val="center"/>
          </w:tcPr>
          <w:p w14:paraId="0AF264E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vMerge w:val="restart"/>
            <w:tcBorders>
              <w:top w:val="single" w:color="auto" w:sz="4" w:space="0"/>
              <w:left w:val="nil"/>
              <w:right w:val="single" w:color="auto" w:sz="4" w:space="0"/>
            </w:tcBorders>
            <w:shd w:val="clear" w:color="auto" w:fill="auto"/>
            <w:vAlign w:val="center"/>
          </w:tcPr>
          <w:p w14:paraId="4559E0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30000.00 </w:t>
            </w:r>
          </w:p>
          <w:p w14:paraId="56E62D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0CC9126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241F3D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1BBD82F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7A83650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班级管理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522E119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班级创建与配置：按年级、专业（院系）创建班级，设置班主任、班级教室等属性。</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学生分班与调班：支持新生智能/手动分班，在校生跨班调整，并自动同步信息。</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班级信息门户：班级课表、班级成绩概览、班级活动公告的集中展示区。</w:t>
            </w:r>
          </w:p>
        </w:tc>
        <w:tc>
          <w:tcPr>
            <w:tcW w:w="336" w:type="dxa"/>
            <w:vMerge w:val="continue"/>
            <w:tcBorders>
              <w:left w:val="nil"/>
              <w:right w:val="single" w:color="auto" w:sz="4" w:space="0"/>
            </w:tcBorders>
            <w:shd w:val="clear" w:color="auto" w:fill="auto"/>
            <w:vAlign w:val="center"/>
          </w:tcPr>
          <w:p w14:paraId="71026E9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023D165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4F539D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2D2A437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21F443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1754447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7459C2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学籍异动信息</w:t>
            </w:r>
          </w:p>
        </w:tc>
        <w:tc>
          <w:tcPr>
            <w:tcW w:w="6748" w:type="dxa"/>
            <w:tcBorders>
              <w:top w:val="single" w:color="auto" w:sz="4" w:space="0"/>
              <w:left w:val="nil"/>
              <w:bottom w:val="single" w:color="auto" w:sz="4" w:space="0"/>
              <w:right w:val="single" w:color="auto" w:sz="4" w:space="0"/>
            </w:tcBorders>
            <w:shd w:val="clear" w:color="auto" w:fill="auto"/>
            <w:vAlign w:val="center"/>
          </w:tcPr>
          <w:p w14:paraId="182B578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异动类型全覆盖：转学（转入/转出）、休学、复学、退学、留级、跳级、保留学籍等。</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流程化管理：线上申请→班主任/系部审核→教务处审批→归档备案，全流程可追溯。</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状态监控：实时显示学生学籍状态（在读、休学、已毕业等），自动锁定异常状态账户的部分功能。</w:t>
            </w:r>
          </w:p>
        </w:tc>
        <w:tc>
          <w:tcPr>
            <w:tcW w:w="336" w:type="dxa"/>
            <w:vMerge w:val="continue"/>
            <w:tcBorders>
              <w:left w:val="nil"/>
              <w:right w:val="single" w:color="auto" w:sz="4" w:space="0"/>
            </w:tcBorders>
            <w:shd w:val="clear" w:color="auto" w:fill="auto"/>
            <w:vAlign w:val="center"/>
          </w:tcPr>
          <w:p w14:paraId="299C0ED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59FDFFD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0831BB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7CA00E8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1F9419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20C5B0C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22F2396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学生奖惩管理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2BB2624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学生奖惩管理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奖励管理：登记各级各类奖励（三好学生、竞赛获奖、精神文明奖等），支持证书图片上传，可按奖项级别分类统计。</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处分管理：记录警告、记过、留校察看等处分信息，包括事由、文件、撤销日期。实现分期提醒与到期复核流程。</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综合评价：与“学生成长档案”结合，形成学期/学年的综合性操行评语与等级。</w:t>
            </w:r>
          </w:p>
        </w:tc>
        <w:tc>
          <w:tcPr>
            <w:tcW w:w="336" w:type="dxa"/>
            <w:vMerge w:val="continue"/>
            <w:tcBorders>
              <w:left w:val="nil"/>
              <w:right w:val="single" w:color="auto" w:sz="4" w:space="0"/>
            </w:tcBorders>
            <w:shd w:val="clear" w:color="auto" w:fill="auto"/>
            <w:vAlign w:val="center"/>
          </w:tcPr>
          <w:p w14:paraId="3299767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53C8E7A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78AD5A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03E6F8D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36EBC18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bottom w:val="single" w:color="auto" w:sz="4" w:space="0"/>
              <w:right w:val="single" w:color="auto" w:sz="4" w:space="0"/>
            </w:tcBorders>
            <w:shd w:val="clear" w:color="auto" w:fill="auto"/>
            <w:vAlign w:val="center"/>
          </w:tcPr>
          <w:p w14:paraId="1B50C50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5937C12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学生成长档案</w:t>
            </w:r>
          </w:p>
        </w:tc>
        <w:tc>
          <w:tcPr>
            <w:tcW w:w="6748" w:type="dxa"/>
            <w:tcBorders>
              <w:top w:val="single" w:color="auto" w:sz="4" w:space="0"/>
              <w:left w:val="nil"/>
              <w:bottom w:val="single" w:color="auto" w:sz="4" w:space="0"/>
              <w:right w:val="single" w:color="auto" w:sz="4" w:space="0"/>
            </w:tcBorders>
            <w:shd w:val="clear" w:color="auto" w:fill="auto"/>
            <w:vAlign w:val="center"/>
          </w:tcPr>
          <w:p w14:paraId="7D7E166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综合素质发展记录</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学业成绩：（需与成绩管理系统对接）可查看历次考试、课程成绩趋势分析。</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体质健康：记录历年体检数据、体育测试成绩，生成健康状况报告。</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社会实践：记录参与志愿服务、社团活动、实习实践的经历与评价。</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心理健康：（可关联心理辅导系统）记录心理测评结果、辅导访谈摘要（加密权限管理）</w:t>
            </w:r>
          </w:p>
        </w:tc>
        <w:tc>
          <w:tcPr>
            <w:tcW w:w="336" w:type="dxa"/>
            <w:vMerge w:val="continue"/>
            <w:tcBorders>
              <w:left w:val="nil"/>
              <w:bottom w:val="single" w:color="auto" w:sz="4" w:space="0"/>
              <w:right w:val="single" w:color="auto" w:sz="4" w:space="0"/>
            </w:tcBorders>
            <w:shd w:val="clear" w:color="auto" w:fill="auto"/>
            <w:vAlign w:val="center"/>
          </w:tcPr>
          <w:p w14:paraId="4AFC6D0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234E451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638F02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2460C99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105CF3D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18</w:t>
            </w:r>
          </w:p>
        </w:tc>
        <w:tc>
          <w:tcPr>
            <w:tcW w:w="336" w:type="dxa"/>
            <w:tcBorders>
              <w:top w:val="single" w:color="auto" w:sz="4" w:space="0"/>
              <w:left w:val="nil"/>
              <w:bottom w:val="single" w:color="auto" w:sz="4" w:space="0"/>
              <w:right w:val="single" w:color="auto" w:sz="4" w:space="0"/>
            </w:tcBorders>
            <w:shd w:val="clear" w:color="auto" w:fill="auto"/>
            <w:vAlign w:val="center"/>
          </w:tcPr>
          <w:p w14:paraId="2DF48E3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报表统计管理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618FA56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统计与报表模块</w:t>
            </w:r>
          </w:p>
        </w:tc>
        <w:tc>
          <w:tcPr>
            <w:tcW w:w="6748" w:type="dxa"/>
            <w:tcBorders>
              <w:top w:val="single" w:color="auto" w:sz="4" w:space="0"/>
              <w:left w:val="nil"/>
              <w:bottom w:val="single" w:color="auto" w:sz="4" w:space="0"/>
              <w:right w:val="single" w:color="auto" w:sz="4" w:space="0"/>
            </w:tcBorders>
            <w:shd w:val="clear" w:color="auto" w:fill="auto"/>
            <w:vAlign w:val="center"/>
          </w:tcPr>
          <w:p w14:paraId="778D606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多维数据统计与报表</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在籍学生统计：按年级、班级、性别、民族等多维度统计人数。</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异动情况分析：统计学期/学年各类学籍异动的数量与比例，分析趋势。</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奖惩情况汇总：生成班级、年级的奖励与处分分布报表。</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毕业与校友管理：维护毕业生去向信息，初步建立校友数据库。</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一键报表生成：支持各类统计报表的导出（Excel,PDF），满足上级部门数据报送要求。</w:t>
            </w:r>
          </w:p>
        </w:tc>
        <w:tc>
          <w:tcPr>
            <w:tcW w:w="336" w:type="dxa"/>
            <w:tcBorders>
              <w:top w:val="single" w:color="auto" w:sz="4" w:space="0"/>
              <w:left w:val="nil"/>
              <w:bottom w:val="single" w:color="auto" w:sz="4" w:space="0"/>
              <w:right w:val="single" w:color="auto" w:sz="4" w:space="0"/>
            </w:tcBorders>
            <w:shd w:val="clear" w:color="auto" w:fill="auto"/>
            <w:vAlign w:val="center"/>
          </w:tcPr>
          <w:p w14:paraId="1FA93E3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1158C7F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tcBorders>
              <w:top w:val="single" w:color="auto" w:sz="4" w:space="0"/>
              <w:left w:val="nil"/>
              <w:bottom w:val="single" w:color="auto" w:sz="4" w:space="0"/>
              <w:right w:val="single" w:color="auto" w:sz="4" w:space="0"/>
            </w:tcBorders>
            <w:shd w:val="clear" w:color="auto" w:fill="auto"/>
            <w:vAlign w:val="center"/>
          </w:tcPr>
          <w:p w14:paraId="3C7FFC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10000.00 </w:t>
            </w:r>
          </w:p>
        </w:tc>
      </w:tr>
      <w:tr w14:paraId="3B4F0DA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1F4D97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19</w:t>
            </w:r>
          </w:p>
        </w:tc>
        <w:tc>
          <w:tcPr>
            <w:tcW w:w="336" w:type="dxa"/>
            <w:tcBorders>
              <w:top w:val="single" w:color="auto" w:sz="4" w:space="0"/>
              <w:left w:val="nil"/>
              <w:bottom w:val="single" w:color="auto" w:sz="4" w:space="0"/>
              <w:right w:val="single" w:color="auto" w:sz="4" w:space="0"/>
            </w:tcBorders>
            <w:shd w:val="clear" w:color="auto" w:fill="auto"/>
            <w:vAlign w:val="center"/>
          </w:tcPr>
          <w:p w14:paraId="7CF41C4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课程安排管理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3E53090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开课计划</w:t>
            </w:r>
          </w:p>
        </w:tc>
        <w:tc>
          <w:tcPr>
            <w:tcW w:w="6748" w:type="dxa"/>
            <w:tcBorders>
              <w:top w:val="single" w:color="auto" w:sz="4" w:space="0"/>
              <w:left w:val="nil"/>
              <w:bottom w:val="single" w:color="auto" w:sz="4" w:space="0"/>
              <w:right w:val="single" w:color="auto" w:sz="4" w:space="0"/>
            </w:tcBorders>
            <w:shd w:val="clear" w:color="auto" w:fill="auto"/>
            <w:vAlign w:val="center"/>
          </w:tcPr>
          <w:p w14:paraId="36C47CE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1.开课任务编制：支持授课教师在教师界面进行新开课程的申请，也可以由老师线下与学院沟通、由管理人员在线提交新开课程申请。</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开课任务审批：新开课程需要审核通过后才能加入课程库中。管理员界面应支持教务处、院系进行新开课程的审核，院系提交申请时默认院系审核通过。提交申请时不用填写课程代码信息，在教务处设置开课申请审核通过时，系统自动生成课程代码，也可以手动输入课程代码。系统需支持为所有审核通过的新开课程批量生成课程代码。</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3.开课任务查询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4.教学班任务查询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5.行政班任务查询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6.开课任务排课情况统计与课表锁定。</w:t>
            </w:r>
          </w:p>
        </w:tc>
        <w:tc>
          <w:tcPr>
            <w:tcW w:w="336" w:type="dxa"/>
            <w:tcBorders>
              <w:top w:val="single" w:color="auto" w:sz="4" w:space="0"/>
              <w:left w:val="nil"/>
              <w:bottom w:val="single" w:color="auto" w:sz="4" w:space="0"/>
              <w:right w:val="single" w:color="auto" w:sz="4" w:space="0"/>
            </w:tcBorders>
            <w:shd w:val="clear" w:color="auto" w:fill="auto"/>
            <w:vAlign w:val="center"/>
          </w:tcPr>
          <w:p w14:paraId="2CBD2F1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53BBF0E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tcBorders>
              <w:top w:val="single" w:color="auto" w:sz="4" w:space="0"/>
              <w:left w:val="nil"/>
              <w:bottom w:val="single" w:color="auto" w:sz="4" w:space="0"/>
              <w:right w:val="single" w:color="auto" w:sz="4" w:space="0"/>
            </w:tcBorders>
            <w:shd w:val="clear" w:color="auto" w:fill="auto"/>
            <w:vAlign w:val="center"/>
          </w:tcPr>
          <w:p w14:paraId="3FB2D0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rPr>
            </w:pPr>
            <w:r>
              <w:rPr>
                <w:rFonts w:hint="eastAsia" w:ascii="宋体" w:hAnsiTheme="minorEastAsia" w:cstheme="minorEastAsia"/>
                <w:color w:val="auto"/>
                <w:kern w:val="0"/>
                <w:sz w:val="21"/>
                <w:szCs w:val="21"/>
                <w:highlight w:val="none"/>
                <w:lang w:val="en-US" w:eastAsia="zh-CN"/>
              </w:rPr>
              <w:t>20000.00</w:t>
            </w:r>
          </w:p>
        </w:tc>
      </w:tr>
      <w:tr w14:paraId="698EA6C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restart"/>
            <w:tcBorders>
              <w:top w:val="single" w:color="auto" w:sz="4" w:space="0"/>
              <w:left w:val="single" w:color="auto" w:sz="4" w:space="0"/>
              <w:right w:val="single" w:color="auto" w:sz="4" w:space="0"/>
            </w:tcBorders>
            <w:shd w:val="clear" w:color="auto" w:fill="auto"/>
            <w:vAlign w:val="center"/>
          </w:tcPr>
          <w:p w14:paraId="265D7C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20</w:t>
            </w:r>
          </w:p>
        </w:tc>
        <w:tc>
          <w:tcPr>
            <w:tcW w:w="336" w:type="dxa"/>
            <w:vMerge w:val="restart"/>
            <w:tcBorders>
              <w:top w:val="single" w:color="auto" w:sz="4" w:space="0"/>
              <w:left w:val="nil"/>
              <w:right w:val="single" w:color="auto" w:sz="4" w:space="0"/>
            </w:tcBorders>
            <w:shd w:val="clear" w:color="auto" w:fill="auto"/>
            <w:vAlign w:val="center"/>
          </w:tcPr>
          <w:p w14:paraId="27D9445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排课调课管理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3D32F6D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基础配置与规则引擎</w:t>
            </w:r>
          </w:p>
        </w:tc>
        <w:tc>
          <w:tcPr>
            <w:tcW w:w="6748" w:type="dxa"/>
            <w:tcBorders>
              <w:top w:val="single" w:color="auto" w:sz="4" w:space="0"/>
              <w:left w:val="nil"/>
              <w:bottom w:val="single" w:color="auto" w:sz="4" w:space="0"/>
              <w:right w:val="single" w:color="auto" w:sz="4" w:space="0"/>
            </w:tcBorders>
            <w:shd w:val="clear" w:color="auto" w:fill="auto"/>
            <w:vAlign w:val="center"/>
          </w:tcPr>
          <w:p w14:paraId="010148D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教学资源管理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教室资源池：维护所有教室（多媒体、实验室、机房、体育场等）的属性（容量、设备、特殊用途）、可用状态及禁用时间。</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教师信息同步：与人事系统对接，同步教师基本信息、所属部门、不可用时间（如固定会议、进修）。</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课程/教学班管理：定义课程库（课程代码、名称、学分、类型），并针对学期创建具体的教学班（关联教师、学生范围、周课时、首选教室类型）。</w:t>
            </w:r>
          </w:p>
        </w:tc>
        <w:tc>
          <w:tcPr>
            <w:tcW w:w="336" w:type="dxa"/>
            <w:vMerge w:val="restart"/>
            <w:tcBorders>
              <w:top w:val="single" w:color="auto" w:sz="4" w:space="0"/>
              <w:left w:val="nil"/>
              <w:right w:val="single" w:color="auto" w:sz="4" w:space="0"/>
            </w:tcBorders>
            <w:shd w:val="clear" w:color="auto" w:fill="auto"/>
            <w:vAlign w:val="center"/>
          </w:tcPr>
          <w:p w14:paraId="325A801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vMerge w:val="restart"/>
            <w:tcBorders>
              <w:top w:val="single" w:color="auto" w:sz="4" w:space="0"/>
              <w:left w:val="nil"/>
              <w:right w:val="single" w:color="auto" w:sz="4" w:space="0"/>
            </w:tcBorders>
            <w:shd w:val="clear" w:color="auto" w:fill="auto"/>
            <w:vAlign w:val="center"/>
          </w:tcPr>
          <w:p w14:paraId="4879A22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vMerge w:val="restart"/>
            <w:tcBorders>
              <w:top w:val="single" w:color="auto" w:sz="4" w:space="0"/>
              <w:left w:val="nil"/>
              <w:right w:val="single" w:color="auto" w:sz="4" w:space="0"/>
            </w:tcBorders>
            <w:shd w:val="clear" w:color="auto" w:fill="auto"/>
            <w:vAlign w:val="center"/>
          </w:tcPr>
          <w:p w14:paraId="08694A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hAnsiTheme="minorEastAsia" w:cstheme="minorEastAsia"/>
                <w:color w:val="auto"/>
                <w:kern w:val="0"/>
                <w:sz w:val="21"/>
                <w:szCs w:val="21"/>
                <w:highlight w:val="none"/>
                <w:lang w:val="en-US" w:eastAsia="zh-CN"/>
              </w:rPr>
              <w:t>2</w:t>
            </w:r>
            <w:r>
              <w:rPr>
                <w:rFonts w:hint="eastAsia" w:ascii="宋体" w:eastAsia="宋体" w:hAnsiTheme="minorEastAsia" w:cstheme="minorEastAsia"/>
                <w:color w:val="auto"/>
                <w:kern w:val="0"/>
                <w:sz w:val="21"/>
                <w:szCs w:val="21"/>
                <w:highlight w:val="none"/>
              </w:rPr>
              <w:t xml:space="preserve">8000.00 </w:t>
            </w:r>
          </w:p>
          <w:p w14:paraId="6DFC9F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153D5F9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47C048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2B4FDF5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D42FB4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排课规则与约束设置（特征管理）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128FC16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硬性约束（必须遵守）</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教师时间冲突禁止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教室时间冲突禁止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合班课程时间同步</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指定课程的上课时段偏好（如体育课不安排在上午第一节）</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软性约束（优化目标）：</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班级课时均匀分布（避免某天过多或过少）</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教师课时连续性偏好</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特定课程对教师的优先级</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全校性公共活动时间避让</w:t>
            </w:r>
          </w:p>
        </w:tc>
        <w:tc>
          <w:tcPr>
            <w:tcW w:w="336" w:type="dxa"/>
            <w:vMerge w:val="continue"/>
            <w:tcBorders>
              <w:left w:val="nil"/>
              <w:right w:val="single" w:color="auto" w:sz="4" w:space="0"/>
            </w:tcBorders>
            <w:shd w:val="clear" w:color="auto" w:fill="auto"/>
            <w:vAlign w:val="center"/>
          </w:tcPr>
          <w:p w14:paraId="0266585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28BAC36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70935A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2231C9A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469B4B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197FFBB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73E0902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手动排课与微调</w:t>
            </w:r>
          </w:p>
        </w:tc>
        <w:tc>
          <w:tcPr>
            <w:tcW w:w="6748" w:type="dxa"/>
            <w:tcBorders>
              <w:top w:val="single" w:color="auto" w:sz="4" w:space="0"/>
              <w:left w:val="nil"/>
              <w:bottom w:val="single" w:color="auto" w:sz="4" w:space="0"/>
              <w:right w:val="single" w:color="auto" w:sz="4" w:space="0"/>
            </w:tcBorders>
            <w:shd w:val="clear" w:color="auto" w:fill="auto"/>
            <w:vAlign w:val="center"/>
          </w:tcPr>
          <w:p w14:paraId="0F962C2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可视化拖拽编排：在可视化的周课表视图上，直接拖拽课程块进行调整，系统实时检查并提示冲突。</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局部锁定与重排：支持锁定部分已排好的课程（如外聘教师时间），仅对未锁定部分进行重排或调整。</w:t>
            </w:r>
          </w:p>
        </w:tc>
        <w:tc>
          <w:tcPr>
            <w:tcW w:w="336" w:type="dxa"/>
            <w:vMerge w:val="continue"/>
            <w:tcBorders>
              <w:left w:val="nil"/>
              <w:right w:val="single" w:color="auto" w:sz="4" w:space="0"/>
            </w:tcBorders>
            <w:shd w:val="clear" w:color="auto" w:fill="auto"/>
            <w:vAlign w:val="center"/>
          </w:tcPr>
          <w:p w14:paraId="35EB19D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3303631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2D9E31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18598CE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0FFEB4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1FDBA62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DE74C8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自动排课</w:t>
            </w:r>
          </w:p>
        </w:tc>
        <w:tc>
          <w:tcPr>
            <w:tcW w:w="6748" w:type="dxa"/>
            <w:tcBorders>
              <w:top w:val="single" w:color="auto" w:sz="4" w:space="0"/>
              <w:left w:val="nil"/>
              <w:bottom w:val="single" w:color="auto" w:sz="4" w:space="0"/>
              <w:right w:val="single" w:color="auto" w:sz="4" w:space="0"/>
            </w:tcBorders>
            <w:shd w:val="clear" w:color="auto" w:fill="auto"/>
            <w:vAlign w:val="center"/>
          </w:tcPr>
          <w:p w14:paraId="70E8CE9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多模式排课：</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一键智能排课：基于预设规则，全自动生成初始课表。</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渐进式排课：先排定公共大课、实验课等约束强的课程，再排普通课程。</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冲突检测与高亮：实时显示排课过程中的冲突（教师、教室、班级），并给出解决建议。</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排课算法优化：支持基于遗传算法、约束满足等智能算法，在满足硬约束的前提下，最大程度优化软性目标。</w:t>
            </w:r>
          </w:p>
        </w:tc>
        <w:tc>
          <w:tcPr>
            <w:tcW w:w="336" w:type="dxa"/>
            <w:vMerge w:val="continue"/>
            <w:tcBorders>
              <w:left w:val="nil"/>
              <w:right w:val="single" w:color="auto" w:sz="4" w:space="0"/>
            </w:tcBorders>
            <w:shd w:val="clear" w:color="auto" w:fill="auto"/>
            <w:vAlign w:val="center"/>
          </w:tcPr>
          <w:p w14:paraId="0B1D70A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58C7D3B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2535EE1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617FB94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5E466E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3C348C3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6745A2A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课表查询与发布</w:t>
            </w:r>
          </w:p>
        </w:tc>
        <w:tc>
          <w:tcPr>
            <w:tcW w:w="6748" w:type="dxa"/>
            <w:tcBorders>
              <w:top w:val="single" w:color="auto" w:sz="4" w:space="0"/>
              <w:left w:val="nil"/>
              <w:bottom w:val="single" w:color="auto" w:sz="4" w:space="0"/>
              <w:right w:val="single" w:color="auto" w:sz="4" w:space="0"/>
            </w:tcBorders>
            <w:shd w:val="clear" w:color="auto" w:fill="auto"/>
            <w:vAlign w:val="center"/>
          </w:tcPr>
          <w:p w14:paraId="2BB92C7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多维度课表视图：</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班级课表：按班级查看周课表，显示课程、教师、教室。</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教师课表：教师个人课表，包含上课班级、地点。</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教室课表：查看任一教室的占用情况。</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全校总课表：管理员视图，全局监控资源使用</w:t>
            </w:r>
          </w:p>
        </w:tc>
        <w:tc>
          <w:tcPr>
            <w:tcW w:w="336" w:type="dxa"/>
            <w:vMerge w:val="continue"/>
            <w:tcBorders>
              <w:left w:val="nil"/>
              <w:right w:val="single" w:color="auto" w:sz="4" w:space="0"/>
            </w:tcBorders>
            <w:shd w:val="clear" w:color="auto" w:fill="auto"/>
            <w:vAlign w:val="center"/>
          </w:tcPr>
          <w:p w14:paraId="481C421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6BE5C95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30727B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41577A4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7274C82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060DF0D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7C772DA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调/代/停课管理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256A44A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线上申请流程：教师发起调课申请（需填写原因、建议时间），系统自动检查目标时间资源可用性。</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多级审批：根据规则，流程自动流转至教研室主任或教务处审批。</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结果同步：审批通过后，系统自动更新各方课表，并可通过消息通知受影响的学生班级。</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记录与统计：所有调课、代课、停课记录归档，用于教师工作量统计和教学秩序分析。</w:t>
            </w:r>
          </w:p>
        </w:tc>
        <w:tc>
          <w:tcPr>
            <w:tcW w:w="336" w:type="dxa"/>
            <w:vMerge w:val="continue"/>
            <w:tcBorders>
              <w:left w:val="nil"/>
              <w:right w:val="single" w:color="auto" w:sz="4" w:space="0"/>
            </w:tcBorders>
            <w:shd w:val="clear" w:color="auto" w:fill="auto"/>
            <w:vAlign w:val="center"/>
          </w:tcPr>
          <w:p w14:paraId="72F9454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34803E1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69157CA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10FB229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0DDC57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62CB83C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59605E2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选课管理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3BEB448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1、自动选课：对于必修课、专业必修课等已明确教学班名单的课程，教务人员可以在后台执行自动选课，快速帮学生选课；</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2、手动选课：为教务提供针对个别学生的零星选课，导入表格等多种形式选课；</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3、教学班名单查询：学生选课结束后，系统生成课程的上课名单，应支持教务处管理和维护上课名单信息，在线为学生进行加课、退课，导入、导出上课名单信息；系统应可以统计上课时间冲突的学生名单。</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已选课查询：要求管理员也可以手动调整上课学生名单，建立选课回收站机制，被筛选、删除的学生名单会进入选课回收站；管理员可以查看、并恢复回收站内学生的选课结果，被恢复的学生又重新选中了被筛选、删除的课程。也支持清空选课回收站内的被筛选学生记录功能。</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5、教师选课管理。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6.满足学校选课期间高并发。</w:t>
            </w:r>
          </w:p>
        </w:tc>
        <w:tc>
          <w:tcPr>
            <w:tcW w:w="336" w:type="dxa"/>
            <w:vMerge w:val="continue"/>
            <w:tcBorders>
              <w:left w:val="nil"/>
              <w:right w:val="single" w:color="auto" w:sz="4" w:space="0"/>
            </w:tcBorders>
            <w:shd w:val="clear" w:color="auto" w:fill="auto"/>
            <w:vAlign w:val="center"/>
          </w:tcPr>
          <w:p w14:paraId="433E767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516D948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6E8A8C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6B31DBD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386D8A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bottom w:val="single" w:color="auto" w:sz="4" w:space="0"/>
              <w:right w:val="single" w:color="auto" w:sz="4" w:space="0"/>
            </w:tcBorders>
            <w:shd w:val="clear" w:color="auto" w:fill="auto"/>
            <w:vAlign w:val="center"/>
          </w:tcPr>
          <w:p w14:paraId="713DC8F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6C91648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退课管理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7ABB0D7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后台退课管理：要求管理员也可以手动调整上课学生名单，建立选课回收站机制，被筛选、删除的学生名单会进入选课回收站；管理员可以查看、并恢复回收站内学生的选课结果，被恢复的学生又重新选中了被筛选、删除的课程。也支持清空选课回收站内的被筛选学生记录功能。</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2、选课回收站查询：对于已经被放入回收站的选课名单的基本维护，支持后台恢复已选课程等。</w:t>
            </w:r>
          </w:p>
        </w:tc>
        <w:tc>
          <w:tcPr>
            <w:tcW w:w="336" w:type="dxa"/>
            <w:vMerge w:val="continue"/>
            <w:tcBorders>
              <w:left w:val="nil"/>
              <w:bottom w:val="single" w:color="auto" w:sz="4" w:space="0"/>
              <w:right w:val="single" w:color="auto" w:sz="4" w:space="0"/>
            </w:tcBorders>
            <w:shd w:val="clear" w:color="auto" w:fill="auto"/>
            <w:vAlign w:val="center"/>
          </w:tcPr>
          <w:p w14:paraId="1256910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7998554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1B4579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084E703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416793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21</w:t>
            </w:r>
          </w:p>
        </w:tc>
        <w:tc>
          <w:tcPr>
            <w:tcW w:w="336" w:type="dxa"/>
            <w:tcBorders>
              <w:top w:val="single" w:color="auto" w:sz="4" w:space="0"/>
              <w:left w:val="nil"/>
              <w:bottom w:val="single" w:color="auto" w:sz="4" w:space="0"/>
              <w:right w:val="single" w:color="auto" w:sz="4" w:space="0"/>
            </w:tcBorders>
            <w:shd w:val="clear" w:color="auto" w:fill="auto"/>
            <w:vAlign w:val="center"/>
          </w:tcPr>
          <w:p w14:paraId="006FD80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统计分析管理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3D6CA3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统计分析与数据服务</w:t>
            </w:r>
          </w:p>
        </w:tc>
        <w:tc>
          <w:tcPr>
            <w:tcW w:w="6748" w:type="dxa"/>
            <w:tcBorders>
              <w:top w:val="single" w:color="auto" w:sz="4" w:space="0"/>
              <w:left w:val="nil"/>
              <w:bottom w:val="single" w:color="auto" w:sz="4" w:space="0"/>
              <w:right w:val="single" w:color="auto" w:sz="4" w:space="0"/>
            </w:tcBorders>
            <w:shd w:val="clear" w:color="auto" w:fill="auto"/>
            <w:vAlign w:val="center"/>
          </w:tcPr>
          <w:p w14:paraId="5EF36BD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统计与报表</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教室利用率报告：统计各教室在不同时段的占用率，为资源优化提供依据。</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教师课时统计：自动汇总教师学期理论课时、实验课时等，对接工作量核算系统。</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排课冲突报告：周期性分析调课原因，优化排课规则。</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课表数据导出：支持将各类课表导出为Excel、PDF或日历（iCal）格式，方便师生接入个人日历。</w:t>
            </w:r>
          </w:p>
        </w:tc>
        <w:tc>
          <w:tcPr>
            <w:tcW w:w="336" w:type="dxa"/>
            <w:tcBorders>
              <w:top w:val="single" w:color="auto" w:sz="4" w:space="0"/>
              <w:left w:val="nil"/>
              <w:bottom w:val="single" w:color="auto" w:sz="4" w:space="0"/>
              <w:right w:val="single" w:color="auto" w:sz="4" w:space="0"/>
            </w:tcBorders>
            <w:shd w:val="clear" w:color="auto" w:fill="auto"/>
            <w:vAlign w:val="center"/>
          </w:tcPr>
          <w:p w14:paraId="6F7866E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4FCAEF1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tcBorders>
              <w:top w:val="single" w:color="auto" w:sz="4" w:space="0"/>
              <w:left w:val="nil"/>
              <w:bottom w:val="single" w:color="auto" w:sz="4" w:space="0"/>
              <w:right w:val="single" w:color="auto" w:sz="4" w:space="0"/>
            </w:tcBorders>
            <w:shd w:val="clear" w:color="auto" w:fill="auto"/>
            <w:vAlign w:val="center"/>
          </w:tcPr>
          <w:p w14:paraId="5D261F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10000.00 </w:t>
            </w:r>
          </w:p>
        </w:tc>
      </w:tr>
      <w:tr w14:paraId="53F3336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restart"/>
            <w:tcBorders>
              <w:top w:val="single" w:color="auto" w:sz="4" w:space="0"/>
              <w:left w:val="single" w:color="auto" w:sz="4" w:space="0"/>
              <w:right w:val="single" w:color="auto" w:sz="4" w:space="0"/>
            </w:tcBorders>
            <w:shd w:val="clear" w:color="auto" w:fill="auto"/>
            <w:vAlign w:val="center"/>
          </w:tcPr>
          <w:p w14:paraId="6A7273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22</w:t>
            </w:r>
          </w:p>
        </w:tc>
        <w:tc>
          <w:tcPr>
            <w:tcW w:w="336" w:type="dxa"/>
            <w:vMerge w:val="restart"/>
            <w:tcBorders>
              <w:top w:val="single" w:color="auto" w:sz="4" w:space="0"/>
              <w:left w:val="nil"/>
              <w:right w:val="single" w:color="auto" w:sz="4" w:space="0"/>
            </w:tcBorders>
            <w:shd w:val="clear" w:color="auto" w:fill="auto"/>
            <w:vAlign w:val="center"/>
          </w:tcPr>
          <w:p w14:paraId="6B3F19F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成绩管理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092EEDE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基础设施</w:t>
            </w:r>
          </w:p>
        </w:tc>
        <w:tc>
          <w:tcPr>
            <w:tcW w:w="6748" w:type="dxa"/>
            <w:tcBorders>
              <w:top w:val="single" w:color="auto" w:sz="4" w:space="0"/>
              <w:left w:val="nil"/>
              <w:bottom w:val="single" w:color="auto" w:sz="4" w:space="0"/>
              <w:right w:val="single" w:color="auto" w:sz="4" w:space="0"/>
            </w:tcBorders>
            <w:shd w:val="clear" w:color="auto" w:fill="auto"/>
            <w:vAlign w:val="center"/>
          </w:tcPr>
          <w:p w14:paraId="48A6DBA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1.生成学生名单</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2.成绩单模板</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3.成绩分制管理</w:t>
            </w:r>
          </w:p>
        </w:tc>
        <w:tc>
          <w:tcPr>
            <w:tcW w:w="336" w:type="dxa"/>
            <w:vMerge w:val="restart"/>
            <w:tcBorders>
              <w:top w:val="single" w:color="auto" w:sz="4" w:space="0"/>
              <w:left w:val="nil"/>
              <w:right w:val="single" w:color="auto" w:sz="4" w:space="0"/>
            </w:tcBorders>
            <w:shd w:val="clear" w:color="auto" w:fill="auto"/>
            <w:vAlign w:val="center"/>
          </w:tcPr>
          <w:p w14:paraId="38636D6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color w:val="auto"/>
                <w:sz w:val="21"/>
                <w:szCs w:val="21"/>
                <w:highlight w:val="none"/>
              </w:rPr>
              <w:t>1</w:t>
            </w:r>
          </w:p>
        </w:tc>
        <w:tc>
          <w:tcPr>
            <w:tcW w:w="336" w:type="dxa"/>
            <w:vMerge w:val="restart"/>
            <w:tcBorders>
              <w:top w:val="single" w:color="auto" w:sz="4" w:space="0"/>
              <w:left w:val="nil"/>
              <w:right w:val="single" w:color="auto" w:sz="4" w:space="0"/>
            </w:tcBorders>
            <w:shd w:val="clear" w:color="auto" w:fill="auto"/>
            <w:vAlign w:val="center"/>
          </w:tcPr>
          <w:p w14:paraId="6E7969D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color w:val="auto"/>
                <w:sz w:val="21"/>
                <w:szCs w:val="21"/>
                <w:highlight w:val="none"/>
              </w:rPr>
              <w:t>套</w:t>
            </w:r>
          </w:p>
        </w:tc>
        <w:tc>
          <w:tcPr>
            <w:tcW w:w="847" w:type="dxa"/>
            <w:vMerge w:val="restart"/>
            <w:tcBorders>
              <w:top w:val="single" w:color="auto" w:sz="4" w:space="0"/>
              <w:left w:val="nil"/>
              <w:right w:val="single" w:color="auto" w:sz="4" w:space="0"/>
            </w:tcBorders>
            <w:shd w:val="clear" w:color="auto" w:fill="auto"/>
            <w:vAlign w:val="center"/>
          </w:tcPr>
          <w:p w14:paraId="58CCA8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30000.00 </w:t>
            </w:r>
          </w:p>
        </w:tc>
      </w:tr>
      <w:tr w14:paraId="1DD0BDF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20E9512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5B8D021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43FB73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正考成绩录入管理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68B3A4A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教师可以自定义总评成绩的组成比例、成绩精度，教师录入成绩后，最终成绩需系统根据比例自动生成，无需教师手动录入。系统应支持成绩录入暂存、成绩最终提交功能，为教师录入成绩支持方便。成绩录入完成后，学生在系统中查看个人成绩。系统应支持成绩日志机制，保证成绩数据的安全性。</w:t>
            </w:r>
          </w:p>
        </w:tc>
        <w:tc>
          <w:tcPr>
            <w:tcW w:w="336" w:type="dxa"/>
            <w:vMerge w:val="continue"/>
            <w:tcBorders>
              <w:left w:val="nil"/>
              <w:right w:val="single" w:color="auto" w:sz="4" w:space="0"/>
            </w:tcBorders>
            <w:shd w:val="clear" w:color="auto" w:fill="auto"/>
            <w:vAlign w:val="center"/>
          </w:tcPr>
          <w:p w14:paraId="21435C8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1BD3DF1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0DD6B8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3CF531D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77DBC18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399C9B0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2FC4A1C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补考成绩管理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2F18479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1.生成补考名单</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2.批量导入成绩</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3.学生补考名单</w:t>
            </w:r>
          </w:p>
        </w:tc>
        <w:tc>
          <w:tcPr>
            <w:tcW w:w="336" w:type="dxa"/>
            <w:vMerge w:val="continue"/>
            <w:tcBorders>
              <w:left w:val="nil"/>
              <w:right w:val="single" w:color="auto" w:sz="4" w:space="0"/>
            </w:tcBorders>
            <w:shd w:val="clear" w:color="auto" w:fill="auto"/>
            <w:vAlign w:val="center"/>
          </w:tcPr>
          <w:p w14:paraId="3B6FE2F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28F8A41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0AD97B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1F79C9F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385044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bottom w:val="single" w:color="auto" w:sz="4" w:space="0"/>
              <w:right w:val="single" w:color="auto" w:sz="4" w:space="0"/>
            </w:tcBorders>
            <w:shd w:val="clear" w:color="auto" w:fill="auto"/>
            <w:vAlign w:val="center"/>
          </w:tcPr>
          <w:p w14:paraId="255F74C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05C1970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成绩分析</w:t>
            </w:r>
          </w:p>
        </w:tc>
        <w:tc>
          <w:tcPr>
            <w:tcW w:w="6748" w:type="dxa"/>
            <w:tcBorders>
              <w:top w:val="single" w:color="auto" w:sz="4" w:space="0"/>
              <w:left w:val="nil"/>
              <w:bottom w:val="single" w:color="auto" w:sz="4" w:space="0"/>
              <w:right w:val="single" w:color="auto" w:sz="4" w:space="0"/>
            </w:tcBorders>
            <w:shd w:val="clear" w:color="auto" w:fill="auto"/>
            <w:vAlign w:val="center"/>
          </w:tcPr>
          <w:p w14:paraId="387AC94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系统应支持多维度的成绩统计分析功能，对平时成绩、期中成绩、期末成绩、总评成绩从班级、院系、全校多角度进行排名、分析，应支持以图形化形式显示成绩分析结果。院系、教务处可以查看成绩分析情况，并可以导入、打印相关成绩报表。系统应支持统计超过时间未录入成绩的教学任务、未录入成绩相关教师名单的功能；便于教务处、学院查看未登录成绩的任务及教师。可以对不同批次、不同院系、不同成绩类型、不同学年学期的成绩录入情况进行统计，需支持以EXCEL格式导出成绩录入状态相同的统计结果。</w:t>
            </w:r>
          </w:p>
        </w:tc>
        <w:tc>
          <w:tcPr>
            <w:tcW w:w="336" w:type="dxa"/>
            <w:vMerge w:val="continue"/>
            <w:tcBorders>
              <w:left w:val="nil"/>
              <w:bottom w:val="single" w:color="auto" w:sz="4" w:space="0"/>
              <w:right w:val="single" w:color="auto" w:sz="4" w:space="0"/>
            </w:tcBorders>
            <w:shd w:val="clear" w:color="auto" w:fill="auto"/>
            <w:vAlign w:val="center"/>
          </w:tcPr>
          <w:p w14:paraId="05699B1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64A0CE8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2353E1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3F5856A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restart"/>
            <w:tcBorders>
              <w:top w:val="single" w:color="auto" w:sz="4" w:space="0"/>
              <w:left w:val="single" w:color="auto" w:sz="4" w:space="0"/>
              <w:right w:val="single" w:color="auto" w:sz="4" w:space="0"/>
            </w:tcBorders>
            <w:shd w:val="clear" w:color="auto" w:fill="auto"/>
            <w:vAlign w:val="center"/>
          </w:tcPr>
          <w:p w14:paraId="62AD06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23</w:t>
            </w:r>
          </w:p>
        </w:tc>
        <w:tc>
          <w:tcPr>
            <w:tcW w:w="336" w:type="dxa"/>
            <w:vMerge w:val="restart"/>
            <w:tcBorders>
              <w:top w:val="single" w:color="auto" w:sz="4" w:space="0"/>
              <w:left w:val="nil"/>
              <w:right w:val="single" w:color="auto" w:sz="4" w:space="0"/>
            </w:tcBorders>
            <w:shd w:val="clear" w:color="auto" w:fill="auto"/>
            <w:vAlign w:val="center"/>
          </w:tcPr>
          <w:p w14:paraId="70ADEE0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教师PC端</w:t>
            </w:r>
          </w:p>
          <w:p w14:paraId="5BCA601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2A61CCC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日常办公</w:t>
            </w:r>
          </w:p>
        </w:tc>
        <w:tc>
          <w:tcPr>
            <w:tcW w:w="6748" w:type="dxa"/>
            <w:tcBorders>
              <w:top w:val="single" w:color="auto" w:sz="4" w:space="0"/>
              <w:left w:val="nil"/>
              <w:bottom w:val="single" w:color="auto" w:sz="4" w:space="0"/>
              <w:right w:val="single" w:color="auto" w:sz="4" w:space="0"/>
            </w:tcBorders>
            <w:shd w:val="clear" w:color="auto" w:fill="auto"/>
            <w:vAlign w:val="center"/>
          </w:tcPr>
          <w:p w14:paraId="5451D3F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调课申请、课表查询、成绩登记、学生名单打印等</w:t>
            </w:r>
          </w:p>
        </w:tc>
        <w:tc>
          <w:tcPr>
            <w:tcW w:w="336" w:type="dxa"/>
            <w:vMerge w:val="restart"/>
            <w:tcBorders>
              <w:top w:val="single" w:color="auto" w:sz="4" w:space="0"/>
              <w:left w:val="nil"/>
              <w:right w:val="single" w:color="auto" w:sz="4" w:space="0"/>
            </w:tcBorders>
            <w:shd w:val="clear" w:color="auto" w:fill="auto"/>
            <w:vAlign w:val="center"/>
          </w:tcPr>
          <w:p w14:paraId="2C29C60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vMerge w:val="restart"/>
            <w:tcBorders>
              <w:top w:val="single" w:color="auto" w:sz="4" w:space="0"/>
              <w:left w:val="nil"/>
              <w:right w:val="single" w:color="auto" w:sz="4" w:space="0"/>
            </w:tcBorders>
            <w:shd w:val="clear" w:color="auto" w:fill="auto"/>
            <w:vAlign w:val="center"/>
          </w:tcPr>
          <w:p w14:paraId="328EE65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vMerge w:val="restart"/>
            <w:tcBorders>
              <w:top w:val="single" w:color="auto" w:sz="4" w:space="0"/>
              <w:left w:val="nil"/>
              <w:right w:val="single" w:color="auto" w:sz="4" w:space="0"/>
            </w:tcBorders>
            <w:shd w:val="clear" w:color="auto" w:fill="auto"/>
            <w:vAlign w:val="center"/>
          </w:tcPr>
          <w:p w14:paraId="14C6B5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15000.00 </w:t>
            </w:r>
          </w:p>
          <w:p w14:paraId="771266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6F4F0A3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2E0597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7CC25AB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20E9C2A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教师管理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43F98C3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1.教师个人信息：</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2.教师课表查询：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3.正考成绩录入：</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4.学生成绩登记表：</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5.教学班成绩表打印：</w:t>
            </w:r>
          </w:p>
        </w:tc>
        <w:tc>
          <w:tcPr>
            <w:tcW w:w="336" w:type="dxa"/>
            <w:vMerge w:val="continue"/>
            <w:tcBorders>
              <w:left w:val="nil"/>
              <w:right w:val="single" w:color="auto" w:sz="4" w:space="0"/>
            </w:tcBorders>
            <w:shd w:val="clear" w:color="auto" w:fill="auto"/>
            <w:vAlign w:val="center"/>
          </w:tcPr>
          <w:p w14:paraId="77F37F1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647F822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73706FF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5BB258B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4250A95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2356BDA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D6D883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班主任工作</w:t>
            </w:r>
          </w:p>
        </w:tc>
        <w:tc>
          <w:tcPr>
            <w:tcW w:w="6748" w:type="dxa"/>
            <w:tcBorders>
              <w:top w:val="single" w:color="auto" w:sz="4" w:space="0"/>
              <w:left w:val="nil"/>
              <w:bottom w:val="single" w:color="auto" w:sz="4" w:space="0"/>
              <w:right w:val="single" w:color="auto" w:sz="4" w:space="0"/>
            </w:tcBorders>
            <w:shd w:val="clear" w:color="auto" w:fill="auto"/>
            <w:vAlign w:val="center"/>
          </w:tcPr>
          <w:p w14:paraId="7F18075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65" name="图片_61"/>
                  <wp:cNvGraphicFramePr/>
                  <a:graphic xmlns:a="http://schemas.openxmlformats.org/drawingml/2006/main">
                    <a:graphicData uri="http://schemas.openxmlformats.org/drawingml/2006/picture">
                      <pic:pic xmlns:pic="http://schemas.openxmlformats.org/drawingml/2006/picture">
                        <pic:nvPicPr>
                          <pic:cNvPr id="65" name="图片_61"/>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66" name="图片_63"/>
                  <wp:cNvGraphicFramePr/>
                  <a:graphic xmlns:a="http://schemas.openxmlformats.org/drawingml/2006/main">
                    <a:graphicData uri="http://schemas.openxmlformats.org/drawingml/2006/picture">
                      <pic:pic xmlns:pic="http://schemas.openxmlformats.org/drawingml/2006/picture">
                        <pic:nvPicPr>
                          <pic:cNvPr id="66" name="图片_63"/>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67" name="图片_67"/>
                  <wp:cNvGraphicFramePr/>
                  <a:graphic xmlns:a="http://schemas.openxmlformats.org/drawingml/2006/main">
                    <a:graphicData uri="http://schemas.openxmlformats.org/drawingml/2006/picture">
                      <pic:pic xmlns:pic="http://schemas.openxmlformats.org/drawingml/2006/picture">
                        <pic:nvPicPr>
                          <pic:cNvPr id="67" name="图片_67"/>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68" name="图片_75"/>
                  <wp:cNvGraphicFramePr/>
                  <a:graphic xmlns:a="http://schemas.openxmlformats.org/drawingml/2006/main">
                    <a:graphicData uri="http://schemas.openxmlformats.org/drawingml/2006/picture">
                      <pic:pic xmlns:pic="http://schemas.openxmlformats.org/drawingml/2006/picture">
                        <pic:nvPicPr>
                          <pic:cNvPr id="68" name="图片_75"/>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69" name="图片_91"/>
                  <wp:cNvGraphicFramePr/>
                  <a:graphic xmlns:a="http://schemas.openxmlformats.org/drawingml/2006/main">
                    <a:graphicData uri="http://schemas.openxmlformats.org/drawingml/2006/picture">
                      <pic:pic xmlns:pic="http://schemas.openxmlformats.org/drawingml/2006/picture">
                        <pic:nvPicPr>
                          <pic:cNvPr id="69" name="图片_91"/>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0" name="图片_164"/>
                  <wp:cNvGraphicFramePr/>
                  <a:graphic xmlns:a="http://schemas.openxmlformats.org/drawingml/2006/main">
                    <a:graphicData uri="http://schemas.openxmlformats.org/drawingml/2006/picture">
                      <pic:pic xmlns:pic="http://schemas.openxmlformats.org/drawingml/2006/picture">
                        <pic:nvPicPr>
                          <pic:cNvPr id="70" name="图片_164"/>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1" name="图片_163"/>
                  <wp:cNvGraphicFramePr/>
                  <a:graphic xmlns:a="http://schemas.openxmlformats.org/drawingml/2006/main">
                    <a:graphicData uri="http://schemas.openxmlformats.org/drawingml/2006/picture">
                      <pic:pic xmlns:pic="http://schemas.openxmlformats.org/drawingml/2006/picture">
                        <pic:nvPicPr>
                          <pic:cNvPr id="71" name="图片_163"/>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2" name="图片_162"/>
                  <wp:cNvGraphicFramePr/>
                  <a:graphic xmlns:a="http://schemas.openxmlformats.org/drawingml/2006/main">
                    <a:graphicData uri="http://schemas.openxmlformats.org/drawingml/2006/picture">
                      <pic:pic xmlns:pic="http://schemas.openxmlformats.org/drawingml/2006/picture">
                        <pic:nvPicPr>
                          <pic:cNvPr id="72" name="图片_162"/>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3" name="图片_161"/>
                  <wp:cNvGraphicFramePr/>
                  <a:graphic xmlns:a="http://schemas.openxmlformats.org/drawingml/2006/main">
                    <a:graphicData uri="http://schemas.openxmlformats.org/drawingml/2006/picture">
                      <pic:pic xmlns:pic="http://schemas.openxmlformats.org/drawingml/2006/picture">
                        <pic:nvPicPr>
                          <pic:cNvPr id="73" name="图片_161"/>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4" name="图片_160"/>
                  <wp:cNvGraphicFramePr/>
                  <a:graphic xmlns:a="http://schemas.openxmlformats.org/drawingml/2006/main">
                    <a:graphicData uri="http://schemas.openxmlformats.org/drawingml/2006/picture">
                      <pic:pic xmlns:pic="http://schemas.openxmlformats.org/drawingml/2006/picture">
                        <pic:nvPicPr>
                          <pic:cNvPr id="74" name="图片_160"/>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5" name="图片_159"/>
                  <wp:cNvGraphicFramePr/>
                  <a:graphic xmlns:a="http://schemas.openxmlformats.org/drawingml/2006/main">
                    <a:graphicData uri="http://schemas.openxmlformats.org/drawingml/2006/picture">
                      <pic:pic xmlns:pic="http://schemas.openxmlformats.org/drawingml/2006/picture">
                        <pic:nvPicPr>
                          <pic:cNvPr id="75" name="图片_159"/>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6" name="图片_158"/>
                  <wp:cNvGraphicFramePr/>
                  <a:graphic xmlns:a="http://schemas.openxmlformats.org/drawingml/2006/main">
                    <a:graphicData uri="http://schemas.openxmlformats.org/drawingml/2006/picture">
                      <pic:pic xmlns:pic="http://schemas.openxmlformats.org/drawingml/2006/picture">
                        <pic:nvPicPr>
                          <pic:cNvPr id="76" name="图片_158"/>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7" name="图片_157"/>
                  <wp:cNvGraphicFramePr/>
                  <a:graphic xmlns:a="http://schemas.openxmlformats.org/drawingml/2006/main">
                    <a:graphicData uri="http://schemas.openxmlformats.org/drawingml/2006/picture">
                      <pic:pic xmlns:pic="http://schemas.openxmlformats.org/drawingml/2006/picture">
                        <pic:nvPicPr>
                          <pic:cNvPr id="77" name="图片_157"/>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8" name="图片_156"/>
                  <wp:cNvGraphicFramePr/>
                  <a:graphic xmlns:a="http://schemas.openxmlformats.org/drawingml/2006/main">
                    <a:graphicData uri="http://schemas.openxmlformats.org/drawingml/2006/picture">
                      <pic:pic xmlns:pic="http://schemas.openxmlformats.org/drawingml/2006/picture">
                        <pic:nvPicPr>
                          <pic:cNvPr id="78" name="图片_156"/>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9" name="图片_155"/>
                  <wp:cNvGraphicFramePr/>
                  <a:graphic xmlns:a="http://schemas.openxmlformats.org/drawingml/2006/main">
                    <a:graphicData uri="http://schemas.openxmlformats.org/drawingml/2006/picture">
                      <pic:pic xmlns:pic="http://schemas.openxmlformats.org/drawingml/2006/picture">
                        <pic:nvPicPr>
                          <pic:cNvPr id="79" name="图片_155"/>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0" name="图片_154"/>
                  <wp:cNvGraphicFramePr/>
                  <a:graphic xmlns:a="http://schemas.openxmlformats.org/drawingml/2006/main">
                    <a:graphicData uri="http://schemas.openxmlformats.org/drawingml/2006/picture">
                      <pic:pic xmlns:pic="http://schemas.openxmlformats.org/drawingml/2006/picture">
                        <pic:nvPicPr>
                          <pic:cNvPr id="80" name="图片_154"/>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1" name="图片_153"/>
                  <wp:cNvGraphicFramePr/>
                  <a:graphic xmlns:a="http://schemas.openxmlformats.org/drawingml/2006/main">
                    <a:graphicData uri="http://schemas.openxmlformats.org/drawingml/2006/picture">
                      <pic:pic xmlns:pic="http://schemas.openxmlformats.org/drawingml/2006/picture">
                        <pic:nvPicPr>
                          <pic:cNvPr id="81" name="图片_153"/>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2" name="图片_152"/>
                  <wp:cNvGraphicFramePr/>
                  <a:graphic xmlns:a="http://schemas.openxmlformats.org/drawingml/2006/main">
                    <a:graphicData uri="http://schemas.openxmlformats.org/drawingml/2006/picture">
                      <pic:pic xmlns:pic="http://schemas.openxmlformats.org/drawingml/2006/picture">
                        <pic:nvPicPr>
                          <pic:cNvPr id="82" name="图片_152"/>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3" name="图片_151"/>
                  <wp:cNvGraphicFramePr/>
                  <a:graphic xmlns:a="http://schemas.openxmlformats.org/drawingml/2006/main">
                    <a:graphicData uri="http://schemas.openxmlformats.org/drawingml/2006/picture">
                      <pic:pic xmlns:pic="http://schemas.openxmlformats.org/drawingml/2006/picture">
                        <pic:nvPicPr>
                          <pic:cNvPr id="83" name="图片_151"/>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4" name="图片_150"/>
                  <wp:cNvGraphicFramePr/>
                  <a:graphic xmlns:a="http://schemas.openxmlformats.org/drawingml/2006/main">
                    <a:graphicData uri="http://schemas.openxmlformats.org/drawingml/2006/picture">
                      <pic:pic xmlns:pic="http://schemas.openxmlformats.org/drawingml/2006/picture">
                        <pic:nvPicPr>
                          <pic:cNvPr id="84" name="图片_150"/>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5" name="图片_149"/>
                  <wp:cNvGraphicFramePr/>
                  <a:graphic xmlns:a="http://schemas.openxmlformats.org/drawingml/2006/main">
                    <a:graphicData uri="http://schemas.openxmlformats.org/drawingml/2006/picture">
                      <pic:pic xmlns:pic="http://schemas.openxmlformats.org/drawingml/2006/picture">
                        <pic:nvPicPr>
                          <pic:cNvPr id="85" name="图片_149"/>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6" name="图片_148"/>
                  <wp:cNvGraphicFramePr/>
                  <a:graphic xmlns:a="http://schemas.openxmlformats.org/drawingml/2006/main">
                    <a:graphicData uri="http://schemas.openxmlformats.org/drawingml/2006/picture">
                      <pic:pic xmlns:pic="http://schemas.openxmlformats.org/drawingml/2006/picture">
                        <pic:nvPicPr>
                          <pic:cNvPr id="86" name="图片_148"/>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7" name="图片_147"/>
                  <wp:cNvGraphicFramePr/>
                  <a:graphic xmlns:a="http://schemas.openxmlformats.org/drawingml/2006/main">
                    <a:graphicData uri="http://schemas.openxmlformats.org/drawingml/2006/picture">
                      <pic:pic xmlns:pic="http://schemas.openxmlformats.org/drawingml/2006/picture">
                        <pic:nvPicPr>
                          <pic:cNvPr id="87" name="图片_147"/>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8" name="图片_146"/>
                  <wp:cNvGraphicFramePr/>
                  <a:graphic xmlns:a="http://schemas.openxmlformats.org/drawingml/2006/main">
                    <a:graphicData uri="http://schemas.openxmlformats.org/drawingml/2006/picture">
                      <pic:pic xmlns:pic="http://schemas.openxmlformats.org/drawingml/2006/picture">
                        <pic:nvPicPr>
                          <pic:cNvPr id="88" name="图片_146"/>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9" name="图片_145"/>
                  <wp:cNvGraphicFramePr/>
                  <a:graphic xmlns:a="http://schemas.openxmlformats.org/drawingml/2006/main">
                    <a:graphicData uri="http://schemas.openxmlformats.org/drawingml/2006/picture">
                      <pic:pic xmlns:pic="http://schemas.openxmlformats.org/drawingml/2006/picture">
                        <pic:nvPicPr>
                          <pic:cNvPr id="89" name="图片_145"/>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0" name="图片_100"/>
                  <wp:cNvGraphicFramePr/>
                  <a:graphic xmlns:a="http://schemas.openxmlformats.org/drawingml/2006/main">
                    <a:graphicData uri="http://schemas.openxmlformats.org/drawingml/2006/picture">
                      <pic:pic xmlns:pic="http://schemas.openxmlformats.org/drawingml/2006/picture">
                        <pic:nvPicPr>
                          <pic:cNvPr id="90" name="图片_100"/>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1" name="图片_99"/>
                  <wp:cNvGraphicFramePr/>
                  <a:graphic xmlns:a="http://schemas.openxmlformats.org/drawingml/2006/main">
                    <a:graphicData uri="http://schemas.openxmlformats.org/drawingml/2006/picture">
                      <pic:pic xmlns:pic="http://schemas.openxmlformats.org/drawingml/2006/picture">
                        <pic:nvPicPr>
                          <pic:cNvPr id="91" name="图片_99"/>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2" name="图片_98"/>
                  <wp:cNvGraphicFramePr/>
                  <a:graphic xmlns:a="http://schemas.openxmlformats.org/drawingml/2006/main">
                    <a:graphicData uri="http://schemas.openxmlformats.org/drawingml/2006/picture">
                      <pic:pic xmlns:pic="http://schemas.openxmlformats.org/drawingml/2006/picture">
                        <pic:nvPicPr>
                          <pic:cNvPr id="92" name="图片_98"/>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3" name="图片_97"/>
                  <wp:cNvGraphicFramePr/>
                  <a:graphic xmlns:a="http://schemas.openxmlformats.org/drawingml/2006/main">
                    <a:graphicData uri="http://schemas.openxmlformats.org/drawingml/2006/picture">
                      <pic:pic xmlns:pic="http://schemas.openxmlformats.org/drawingml/2006/picture">
                        <pic:nvPicPr>
                          <pic:cNvPr id="93" name="图片_97"/>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4" name="图片_96"/>
                  <wp:cNvGraphicFramePr/>
                  <a:graphic xmlns:a="http://schemas.openxmlformats.org/drawingml/2006/main">
                    <a:graphicData uri="http://schemas.openxmlformats.org/drawingml/2006/picture">
                      <pic:pic xmlns:pic="http://schemas.openxmlformats.org/drawingml/2006/picture">
                        <pic:nvPicPr>
                          <pic:cNvPr id="94" name="图片_96"/>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5" name="图片_95"/>
                  <wp:cNvGraphicFramePr/>
                  <a:graphic xmlns:a="http://schemas.openxmlformats.org/drawingml/2006/main">
                    <a:graphicData uri="http://schemas.openxmlformats.org/drawingml/2006/picture">
                      <pic:pic xmlns:pic="http://schemas.openxmlformats.org/drawingml/2006/picture">
                        <pic:nvPicPr>
                          <pic:cNvPr id="95" name="图片_95"/>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6" name="图片_94"/>
                  <wp:cNvGraphicFramePr/>
                  <a:graphic xmlns:a="http://schemas.openxmlformats.org/drawingml/2006/main">
                    <a:graphicData uri="http://schemas.openxmlformats.org/drawingml/2006/picture">
                      <pic:pic xmlns:pic="http://schemas.openxmlformats.org/drawingml/2006/picture">
                        <pic:nvPicPr>
                          <pic:cNvPr id="96" name="图片_94"/>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7" name="图片_93"/>
                  <wp:cNvGraphicFramePr/>
                  <a:graphic xmlns:a="http://schemas.openxmlformats.org/drawingml/2006/main">
                    <a:graphicData uri="http://schemas.openxmlformats.org/drawingml/2006/picture">
                      <pic:pic xmlns:pic="http://schemas.openxmlformats.org/drawingml/2006/picture">
                        <pic:nvPicPr>
                          <pic:cNvPr id="97" name="图片_93"/>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8" name="图片_90"/>
                  <wp:cNvGraphicFramePr/>
                  <a:graphic xmlns:a="http://schemas.openxmlformats.org/drawingml/2006/main">
                    <a:graphicData uri="http://schemas.openxmlformats.org/drawingml/2006/picture">
                      <pic:pic xmlns:pic="http://schemas.openxmlformats.org/drawingml/2006/picture">
                        <pic:nvPicPr>
                          <pic:cNvPr id="98" name="图片_90"/>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9" name="图片_92"/>
                  <wp:cNvGraphicFramePr/>
                  <a:graphic xmlns:a="http://schemas.openxmlformats.org/drawingml/2006/main">
                    <a:graphicData uri="http://schemas.openxmlformats.org/drawingml/2006/picture">
                      <pic:pic xmlns:pic="http://schemas.openxmlformats.org/drawingml/2006/picture">
                        <pic:nvPicPr>
                          <pic:cNvPr id="99" name="图片_92"/>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0" name="图片_89"/>
                  <wp:cNvGraphicFramePr/>
                  <a:graphic xmlns:a="http://schemas.openxmlformats.org/drawingml/2006/main">
                    <a:graphicData uri="http://schemas.openxmlformats.org/drawingml/2006/picture">
                      <pic:pic xmlns:pic="http://schemas.openxmlformats.org/drawingml/2006/picture">
                        <pic:nvPicPr>
                          <pic:cNvPr id="100" name="图片_89"/>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1" name="图片_88"/>
                  <wp:cNvGraphicFramePr/>
                  <a:graphic xmlns:a="http://schemas.openxmlformats.org/drawingml/2006/main">
                    <a:graphicData uri="http://schemas.openxmlformats.org/drawingml/2006/picture">
                      <pic:pic xmlns:pic="http://schemas.openxmlformats.org/drawingml/2006/picture">
                        <pic:nvPicPr>
                          <pic:cNvPr id="101" name="图片_88"/>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2" name="图片_87"/>
                  <wp:cNvGraphicFramePr/>
                  <a:graphic xmlns:a="http://schemas.openxmlformats.org/drawingml/2006/main">
                    <a:graphicData uri="http://schemas.openxmlformats.org/drawingml/2006/picture">
                      <pic:pic xmlns:pic="http://schemas.openxmlformats.org/drawingml/2006/picture">
                        <pic:nvPicPr>
                          <pic:cNvPr id="102" name="图片_87"/>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3" name="图片_86"/>
                  <wp:cNvGraphicFramePr/>
                  <a:graphic xmlns:a="http://schemas.openxmlformats.org/drawingml/2006/main">
                    <a:graphicData uri="http://schemas.openxmlformats.org/drawingml/2006/picture">
                      <pic:pic xmlns:pic="http://schemas.openxmlformats.org/drawingml/2006/picture">
                        <pic:nvPicPr>
                          <pic:cNvPr id="103" name="图片_86"/>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4" name="图片_85"/>
                  <wp:cNvGraphicFramePr/>
                  <a:graphic xmlns:a="http://schemas.openxmlformats.org/drawingml/2006/main">
                    <a:graphicData uri="http://schemas.openxmlformats.org/drawingml/2006/picture">
                      <pic:pic xmlns:pic="http://schemas.openxmlformats.org/drawingml/2006/picture">
                        <pic:nvPicPr>
                          <pic:cNvPr id="104" name="图片_85"/>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5" name="图片_84"/>
                  <wp:cNvGraphicFramePr/>
                  <a:graphic xmlns:a="http://schemas.openxmlformats.org/drawingml/2006/main">
                    <a:graphicData uri="http://schemas.openxmlformats.org/drawingml/2006/picture">
                      <pic:pic xmlns:pic="http://schemas.openxmlformats.org/drawingml/2006/picture">
                        <pic:nvPicPr>
                          <pic:cNvPr id="105" name="图片_84"/>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6" name="图片_83"/>
                  <wp:cNvGraphicFramePr/>
                  <a:graphic xmlns:a="http://schemas.openxmlformats.org/drawingml/2006/main">
                    <a:graphicData uri="http://schemas.openxmlformats.org/drawingml/2006/picture">
                      <pic:pic xmlns:pic="http://schemas.openxmlformats.org/drawingml/2006/picture">
                        <pic:nvPicPr>
                          <pic:cNvPr id="106" name="图片_83"/>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7" name="图片_82"/>
                  <wp:cNvGraphicFramePr/>
                  <a:graphic xmlns:a="http://schemas.openxmlformats.org/drawingml/2006/main">
                    <a:graphicData uri="http://schemas.openxmlformats.org/drawingml/2006/picture">
                      <pic:pic xmlns:pic="http://schemas.openxmlformats.org/drawingml/2006/picture">
                        <pic:nvPicPr>
                          <pic:cNvPr id="107" name="图片_82"/>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8" name="图片_81"/>
                  <wp:cNvGraphicFramePr/>
                  <a:graphic xmlns:a="http://schemas.openxmlformats.org/drawingml/2006/main">
                    <a:graphicData uri="http://schemas.openxmlformats.org/drawingml/2006/picture">
                      <pic:pic xmlns:pic="http://schemas.openxmlformats.org/drawingml/2006/picture">
                        <pic:nvPicPr>
                          <pic:cNvPr id="108" name="图片_81"/>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9" name="图片_80"/>
                  <wp:cNvGraphicFramePr/>
                  <a:graphic xmlns:a="http://schemas.openxmlformats.org/drawingml/2006/main">
                    <a:graphicData uri="http://schemas.openxmlformats.org/drawingml/2006/picture">
                      <pic:pic xmlns:pic="http://schemas.openxmlformats.org/drawingml/2006/picture">
                        <pic:nvPicPr>
                          <pic:cNvPr id="109" name="图片_80"/>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0" name="图片_79"/>
                  <wp:cNvGraphicFramePr/>
                  <a:graphic xmlns:a="http://schemas.openxmlformats.org/drawingml/2006/main">
                    <a:graphicData uri="http://schemas.openxmlformats.org/drawingml/2006/picture">
                      <pic:pic xmlns:pic="http://schemas.openxmlformats.org/drawingml/2006/picture">
                        <pic:nvPicPr>
                          <pic:cNvPr id="110" name="图片_79"/>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1" name="图片_78"/>
                  <wp:cNvGraphicFramePr/>
                  <a:graphic xmlns:a="http://schemas.openxmlformats.org/drawingml/2006/main">
                    <a:graphicData uri="http://schemas.openxmlformats.org/drawingml/2006/picture">
                      <pic:pic xmlns:pic="http://schemas.openxmlformats.org/drawingml/2006/picture">
                        <pic:nvPicPr>
                          <pic:cNvPr id="111" name="图片_78"/>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2" name="图片_77"/>
                  <wp:cNvGraphicFramePr/>
                  <a:graphic xmlns:a="http://schemas.openxmlformats.org/drawingml/2006/main">
                    <a:graphicData uri="http://schemas.openxmlformats.org/drawingml/2006/picture">
                      <pic:pic xmlns:pic="http://schemas.openxmlformats.org/drawingml/2006/picture">
                        <pic:nvPicPr>
                          <pic:cNvPr id="112" name="图片_77"/>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3" name="图片_74"/>
                  <wp:cNvGraphicFramePr/>
                  <a:graphic xmlns:a="http://schemas.openxmlformats.org/drawingml/2006/main">
                    <a:graphicData uri="http://schemas.openxmlformats.org/drawingml/2006/picture">
                      <pic:pic xmlns:pic="http://schemas.openxmlformats.org/drawingml/2006/picture">
                        <pic:nvPicPr>
                          <pic:cNvPr id="113" name="图片_74"/>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4" name="图片_76"/>
                  <wp:cNvGraphicFramePr/>
                  <a:graphic xmlns:a="http://schemas.openxmlformats.org/drawingml/2006/main">
                    <a:graphicData uri="http://schemas.openxmlformats.org/drawingml/2006/picture">
                      <pic:pic xmlns:pic="http://schemas.openxmlformats.org/drawingml/2006/picture">
                        <pic:nvPicPr>
                          <pic:cNvPr id="114" name="图片_76"/>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5" name="图片_73"/>
                  <wp:cNvGraphicFramePr/>
                  <a:graphic xmlns:a="http://schemas.openxmlformats.org/drawingml/2006/main">
                    <a:graphicData uri="http://schemas.openxmlformats.org/drawingml/2006/picture">
                      <pic:pic xmlns:pic="http://schemas.openxmlformats.org/drawingml/2006/picture">
                        <pic:nvPicPr>
                          <pic:cNvPr id="115" name="图片_73"/>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6" name="图片_72"/>
                  <wp:cNvGraphicFramePr/>
                  <a:graphic xmlns:a="http://schemas.openxmlformats.org/drawingml/2006/main">
                    <a:graphicData uri="http://schemas.openxmlformats.org/drawingml/2006/picture">
                      <pic:pic xmlns:pic="http://schemas.openxmlformats.org/drawingml/2006/picture">
                        <pic:nvPicPr>
                          <pic:cNvPr id="116" name="图片_72"/>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7" name="图片_71"/>
                  <wp:cNvGraphicFramePr/>
                  <a:graphic xmlns:a="http://schemas.openxmlformats.org/drawingml/2006/main">
                    <a:graphicData uri="http://schemas.openxmlformats.org/drawingml/2006/picture">
                      <pic:pic xmlns:pic="http://schemas.openxmlformats.org/drawingml/2006/picture">
                        <pic:nvPicPr>
                          <pic:cNvPr id="117" name="图片_71"/>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8" name="图片_70"/>
                  <wp:cNvGraphicFramePr/>
                  <a:graphic xmlns:a="http://schemas.openxmlformats.org/drawingml/2006/main">
                    <a:graphicData uri="http://schemas.openxmlformats.org/drawingml/2006/picture">
                      <pic:pic xmlns:pic="http://schemas.openxmlformats.org/drawingml/2006/picture">
                        <pic:nvPicPr>
                          <pic:cNvPr id="118" name="图片_70"/>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9" name="图片_69"/>
                  <wp:cNvGraphicFramePr/>
                  <a:graphic xmlns:a="http://schemas.openxmlformats.org/drawingml/2006/main">
                    <a:graphicData uri="http://schemas.openxmlformats.org/drawingml/2006/picture">
                      <pic:pic xmlns:pic="http://schemas.openxmlformats.org/drawingml/2006/picture">
                        <pic:nvPicPr>
                          <pic:cNvPr id="119" name="图片_69"/>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20" name="图片_66"/>
                  <wp:cNvGraphicFramePr/>
                  <a:graphic xmlns:a="http://schemas.openxmlformats.org/drawingml/2006/main">
                    <a:graphicData uri="http://schemas.openxmlformats.org/drawingml/2006/picture">
                      <pic:pic xmlns:pic="http://schemas.openxmlformats.org/drawingml/2006/picture">
                        <pic:nvPicPr>
                          <pic:cNvPr id="120" name="图片_66"/>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21" name="图片_68"/>
                  <wp:cNvGraphicFramePr/>
                  <a:graphic xmlns:a="http://schemas.openxmlformats.org/drawingml/2006/main">
                    <a:graphicData uri="http://schemas.openxmlformats.org/drawingml/2006/picture">
                      <pic:pic xmlns:pic="http://schemas.openxmlformats.org/drawingml/2006/picture">
                        <pic:nvPicPr>
                          <pic:cNvPr id="121" name="图片_68"/>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22" name="图片_65"/>
                  <wp:cNvGraphicFramePr/>
                  <a:graphic xmlns:a="http://schemas.openxmlformats.org/drawingml/2006/main">
                    <a:graphicData uri="http://schemas.openxmlformats.org/drawingml/2006/picture">
                      <pic:pic xmlns:pic="http://schemas.openxmlformats.org/drawingml/2006/picture">
                        <pic:nvPicPr>
                          <pic:cNvPr id="122" name="图片_65"/>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23" name="图片_62"/>
                  <wp:cNvGraphicFramePr/>
                  <a:graphic xmlns:a="http://schemas.openxmlformats.org/drawingml/2006/main">
                    <a:graphicData uri="http://schemas.openxmlformats.org/drawingml/2006/picture">
                      <pic:pic xmlns:pic="http://schemas.openxmlformats.org/drawingml/2006/picture">
                        <pic:nvPicPr>
                          <pic:cNvPr id="123" name="图片_62"/>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24" name="图片_64"/>
                  <wp:cNvGraphicFramePr/>
                  <a:graphic xmlns:a="http://schemas.openxmlformats.org/drawingml/2006/main">
                    <a:graphicData uri="http://schemas.openxmlformats.org/drawingml/2006/picture">
                      <pic:pic xmlns:pic="http://schemas.openxmlformats.org/drawingml/2006/picture">
                        <pic:nvPicPr>
                          <pic:cNvPr id="124" name="图片_64"/>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lang w:val="en-US" w:eastAsia="zh-CN" w:bidi="ar"/>
              </w:rPr>
              <w:t>1.班主任通讯录：</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2.奖惩记录查询：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3.学生成绩单查询：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4.班级课表查询：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5.班级学生名单管理：</w:t>
            </w:r>
          </w:p>
        </w:tc>
        <w:tc>
          <w:tcPr>
            <w:tcW w:w="336" w:type="dxa"/>
            <w:vMerge w:val="continue"/>
            <w:tcBorders>
              <w:left w:val="nil"/>
              <w:right w:val="single" w:color="auto" w:sz="4" w:space="0"/>
            </w:tcBorders>
            <w:shd w:val="clear" w:color="auto" w:fill="auto"/>
            <w:vAlign w:val="center"/>
          </w:tcPr>
          <w:p w14:paraId="76CF2A6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20BC99A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3DFDE31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5A17287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2AD6BF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75EEF81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BD793E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通用查询</w:t>
            </w:r>
          </w:p>
        </w:tc>
        <w:tc>
          <w:tcPr>
            <w:tcW w:w="6748" w:type="dxa"/>
            <w:tcBorders>
              <w:top w:val="single" w:color="auto" w:sz="4" w:space="0"/>
              <w:left w:val="nil"/>
              <w:bottom w:val="single" w:color="auto" w:sz="4" w:space="0"/>
              <w:right w:val="single" w:color="auto" w:sz="4" w:space="0"/>
            </w:tcBorders>
            <w:shd w:val="clear" w:color="auto" w:fill="auto"/>
            <w:vAlign w:val="center"/>
          </w:tcPr>
          <w:p w14:paraId="3877672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1.开课任务查询：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2.学生学籍表查询：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3.学生卡片查询：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4.学生违规违纪查询：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5.学籍异动查询：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6.选课查询：</w:t>
            </w:r>
          </w:p>
        </w:tc>
        <w:tc>
          <w:tcPr>
            <w:tcW w:w="336" w:type="dxa"/>
            <w:vMerge w:val="continue"/>
            <w:tcBorders>
              <w:left w:val="nil"/>
              <w:right w:val="single" w:color="auto" w:sz="4" w:space="0"/>
            </w:tcBorders>
            <w:shd w:val="clear" w:color="auto" w:fill="auto"/>
            <w:vAlign w:val="center"/>
          </w:tcPr>
          <w:p w14:paraId="723F1A3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58BC8E8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7D5D7C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1335BCA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14DB26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bottom w:val="single" w:color="auto" w:sz="4" w:space="0"/>
              <w:right w:val="single" w:color="auto" w:sz="4" w:space="0"/>
            </w:tcBorders>
            <w:shd w:val="clear" w:color="auto" w:fill="auto"/>
            <w:vAlign w:val="center"/>
          </w:tcPr>
          <w:p w14:paraId="546AB27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4AB017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学业查询</w:t>
            </w:r>
          </w:p>
        </w:tc>
        <w:tc>
          <w:tcPr>
            <w:tcW w:w="6748" w:type="dxa"/>
            <w:tcBorders>
              <w:top w:val="single" w:color="auto" w:sz="4" w:space="0"/>
              <w:left w:val="nil"/>
              <w:bottom w:val="single" w:color="auto" w:sz="4" w:space="0"/>
              <w:right w:val="single" w:color="auto" w:sz="4" w:space="0"/>
            </w:tcBorders>
            <w:shd w:val="clear" w:color="auto" w:fill="auto"/>
            <w:vAlign w:val="center"/>
          </w:tcPr>
          <w:p w14:paraId="39DF406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1.毕业审核：</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2.学业查询：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3.学生总成绩表查询：</w:t>
            </w:r>
          </w:p>
        </w:tc>
        <w:tc>
          <w:tcPr>
            <w:tcW w:w="336" w:type="dxa"/>
            <w:vMerge w:val="continue"/>
            <w:tcBorders>
              <w:left w:val="nil"/>
              <w:bottom w:val="single" w:color="auto" w:sz="4" w:space="0"/>
              <w:right w:val="single" w:color="auto" w:sz="4" w:space="0"/>
            </w:tcBorders>
            <w:shd w:val="clear" w:color="auto" w:fill="auto"/>
            <w:vAlign w:val="center"/>
          </w:tcPr>
          <w:p w14:paraId="1B80D0A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6334598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688EA6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04FD056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146A97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24</w:t>
            </w:r>
          </w:p>
        </w:tc>
        <w:tc>
          <w:tcPr>
            <w:tcW w:w="336" w:type="dxa"/>
            <w:tcBorders>
              <w:top w:val="single" w:color="auto" w:sz="4" w:space="0"/>
              <w:left w:val="nil"/>
              <w:bottom w:val="single" w:color="auto" w:sz="4" w:space="0"/>
              <w:right w:val="single" w:color="auto" w:sz="4" w:space="0"/>
            </w:tcBorders>
            <w:shd w:val="clear" w:color="auto" w:fill="auto"/>
            <w:vAlign w:val="center"/>
          </w:tcPr>
          <w:p w14:paraId="24EB6BC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学生PC端</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7E8A7F9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学生PC端功能</w:t>
            </w:r>
          </w:p>
        </w:tc>
        <w:tc>
          <w:tcPr>
            <w:tcW w:w="6748" w:type="dxa"/>
            <w:tcBorders>
              <w:top w:val="single" w:color="auto" w:sz="4" w:space="0"/>
              <w:left w:val="nil"/>
              <w:bottom w:val="single" w:color="auto" w:sz="4" w:space="0"/>
              <w:right w:val="single" w:color="auto" w:sz="4" w:space="0"/>
            </w:tcBorders>
            <w:shd w:val="clear" w:color="auto" w:fill="auto"/>
            <w:vAlign w:val="center"/>
          </w:tcPr>
          <w:p w14:paraId="72E2139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1.学生个人信息查询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2.学期课表查询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3.学生选课</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4.学生评教</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5.学生退课</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6.成绩查询</w:t>
            </w:r>
          </w:p>
        </w:tc>
        <w:tc>
          <w:tcPr>
            <w:tcW w:w="336" w:type="dxa"/>
            <w:tcBorders>
              <w:top w:val="single" w:color="auto" w:sz="4" w:space="0"/>
              <w:left w:val="nil"/>
              <w:bottom w:val="single" w:color="auto" w:sz="4" w:space="0"/>
              <w:right w:val="single" w:color="auto" w:sz="4" w:space="0"/>
            </w:tcBorders>
            <w:shd w:val="clear" w:color="auto" w:fill="auto"/>
            <w:vAlign w:val="center"/>
          </w:tcPr>
          <w:p w14:paraId="3BD8958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0CBE46D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tcBorders>
              <w:top w:val="single" w:color="auto" w:sz="4" w:space="0"/>
              <w:left w:val="nil"/>
              <w:bottom w:val="single" w:color="auto" w:sz="4" w:space="0"/>
              <w:right w:val="single" w:color="auto" w:sz="4" w:space="0"/>
            </w:tcBorders>
            <w:shd w:val="clear" w:color="auto" w:fill="auto"/>
            <w:vAlign w:val="center"/>
          </w:tcPr>
          <w:p w14:paraId="2405E0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sz w:val="21"/>
                <w:szCs w:val="21"/>
                <w:highlight w:val="none"/>
              </w:rPr>
              <w:t xml:space="preserve">20000.00 </w:t>
            </w:r>
          </w:p>
        </w:tc>
      </w:tr>
      <w:tr w14:paraId="7E5A75B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restart"/>
            <w:tcBorders>
              <w:top w:val="single" w:color="auto" w:sz="4" w:space="0"/>
              <w:left w:val="single" w:color="auto" w:sz="4" w:space="0"/>
              <w:right w:val="single" w:color="auto" w:sz="4" w:space="0"/>
            </w:tcBorders>
            <w:shd w:val="clear" w:color="auto" w:fill="auto"/>
            <w:vAlign w:val="center"/>
          </w:tcPr>
          <w:p w14:paraId="59CAACC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25</w:t>
            </w:r>
          </w:p>
        </w:tc>
        <w:tc>
          <w:tcPr>
            <w:tcW w:w="336" w:type="dxa"/>
            <w:vMerge w:val="restart"/>
            <w:tcBorders>
              <w:top w:val="single" w:color="auto" w:sz="4" w:space="0"/>
              <w:left w:val="nil"/>
              <w:bottom w:val="single" w:color="auto" w:sz="4" w:space="0"/>
              <w:right w:val="single" w:color="auto" w:sz="4" w:space="0"/>
            </w:tcBorders>
            <w:shd w:val="clear" w:color="auto" w:fill="auto"/>
            <w:vAlign w:val="center"/>
          </w:tcPr>
          <w:p w14:paraId="6953328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移动端</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ECC7A3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学生移动端</w:t>
            </w:r>
          </w:p>
        </w:tc>
        <w:tc>
          <w:tcPr>
            <w:tcW w:w="6748" w:type="dxa"/>
            <w:tcBorders>
              <w:top w:val="single" w:color="auto" w:sz="4" w:space="0"/>
              <w:left w:val="nil"/>
              <w:bottom w:val="single" w:color="auto" w:sz="4" w:space="0"/>
              <w:right w:val="single" w:color="auto" w:sz="4" w:space="0"/>
            </w:tcBorders>
            <w:shd w:val="clear" w:color="auto" w:fill="auto"/>
            <w:vAlign w:val="center"/>
          </w:tcPr>
          <w:p w14:paraId="6D531CD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1.学生个人信息查询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2.学期课表查询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3.学生选课</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4.学生评教</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5.学生退课</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6.成绩查询</w:t>
            </w:r>
          </w:p>
        </w:tc>
        <w:tc>
          <w:tcPr>
            <w:tcW w:w="336" w:type="dxa"/>
            <w:vMerge w:val="restart"/>
            <w:tcBorders>
              <w:top w:val="single" w:color="auto" w:sz="4" w:space="0"/>
              <w:left w:val="nil"/>
              <w:right w:val="single" w:color="auto" w:sz="4" w:space="0"/>
            </w:tcBorders>
            <w:shd w:val="clear" w:color="auto" w:fill="auto"/>
            <w:vAlign w:val="center"/>
          </w:tcPr>
          <w:p w14:paraId="5D37788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vMerge w:val="restart"/>
            <w:tcBorders>
              <w:top w:val="single" w:color="auto" w:sz="4" w:space="0"/>
              <w:left w:val="nil"/>
              <w:right w:val="single" w:color="auto" w:sz="4" w:space="0"/>
            </w:tcBorders>
            <w:shd w:val="clear" w:color="auto" w:fill="auto"/>
            <w:vAlign w:val="center"/>
          </w:tcPr>
          <w:p w14:paraId="4C45AA3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vMerge w:val="restart"/>
            <w:tcBorders>
              <w:top w:val="single" w:color="auto" w:sz="4" w:space="0"/>
              <w:left w:val="nil"/>
              <w:right w:val="single" w:color="auto" w:sz="4" w:space="0"/>
            </w:tcBorders>
            <w:shd w:val="clear" w:color="auto" w:fill="auto"/>
            <w:vAlign w:val="center"/>
          </w:tcPr>
          <w:p w14:paraId="03B6CA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30000.00 </w:t>
            </w:r>
          </w:p>
        </w:tc>
      </w:tr>
      <w:tr w14:paraId="5A5A45C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788447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top w:val="single" w:color="auto" w:sz="4" w:space="0"/>
              <w:left w:val="nil"/>
              <w:bottom w:val="single" w:color="auto" w:sz="4" w:space="0"/>
              <w:right w:val="single" w:color="auto" w:sz="4" w:space="0"/>
            </w:tcBorders>
            <w:shd w:val="clear" w:color="auto" w:fill="auto"/>
            <w:vAlign w:val="center"/>
          </w:tcPr>
          <w:p w14:paraId="4C18BF0A">
            <w:pPr>
              <w:keepNext w:val="0"/>
              <w:keepLines w:val="0"/>
              <w:pageBreakBefore w:val="0"/>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A1C393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教师移动端</w:t>
            </w:r>
          </w:p>
        </w:tc>
        <w:tc>
          <w:tcPr>
            <w:tcW w:w="6748" w:type="dxa"/>
            <w:tcBorders>
              <w:top w:val="single" w:color="auto" w:sz="4" w:space="0"/>
              <w:left w:val="nil"/>
              <w:bottom w:val="single" w:color="auto" w:sz="4" w:space="0"/>
              <w:right w:val="single" w:color="auto" w:sz="4" w:space="0"/>
            </w:tcBorders>
            <w:shd w:val="clear" w:color="auto" w:fill="auto"/>
            <w:vAlign w:val="center"/>
          </w:tcPr>
          <w:p w14:paraId="6EA36BD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1.教师课表查询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2.调课申请</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3.教学日志录入</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4.学生评教查询</w:t>
            </w:r>
          </w:p>
        </w:tc>
        <w:tc>
          <w:tcPr>
            <w:tcW w:w="336" w:type="dxa"/>
            <w:vMerge w:val="continue"/>
            <w:tcBorders>
              <w:left w:val="nil"/>
              <w:bottom w:val="single" w:color="auto" w:sz="4" w:space="0"/>
              <w:right w:val="single" w:color="auto" w:sz="4" w:space="0"/>
            </w:tcBorders>
            <w:shd w:val="clear" w:color="auto" w:fill="auto"/>
            <w:vAlign w:val="center"/>
          </w:tcPr>
          <w:p w14:paraId="5A050BC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78EE526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56896E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0597F25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restart"/>
            <w:tcBorders>
              <w:left w:val="single" w:color="auto" w:sz="4" w:space="0"/>
              <w:right w:val="single" w:color="auto" w:sz="4" w:space="0"/>
            </w:tcBorders>
            <w:shd w:val="clear" w:color="auto" w:fill="auto"/>
            <w:vAlign w:val="center"/>
          </w:tcPr>
          <w:p w14:paraId="62FCB7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26</w:t>
            </w:r>
          </w:p>
        </w:tc>
        <w:tc>
          <w:tcPr>
            <w:tcW w:w="336" w:type="dxa"/>
            <w:vMerge w:val="restart"/>
            <w:tcBorders>
              <w:top w:val="single" w:color="auto" w:sz="4" w:space="0"/>
              <w:left w:val="nil"/>
              <w:bottom w:val="single" w:color="auto" w:sz="4" w:space="0"/>
              <w:right w:val="single" w:color="auto" w:sz="4" w:space="0"/>
            </w:tcBorders>
            <w:shd w:val="clear" w:color="auto" w:fill="auto"/>
            <w:vAlign w:val="center"/>
          </w:tcPr>
          <w:p w14:paraId="0E0186D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考勤管理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ABDCBD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教师日常打卡考勤</w:t>
            </w:r>
          </w:p>
        </w:tc>
        <w:tc>
          <w:tcPr>
            <w:tcW w:w="6748" w:type="dxa"/>
            <w:tcBorders>
              <w:top w:val="single" w:color="auto" w:sz="4" w:space="0"/>
              <w:left w:val="nil"/>
              <w:bottom w:val="single" w:color="auto" w:sz="4" w:space="0"/>
              <w:right w:val="single" w:color="auto" w:sz="4" w:space="0"/>
            </w:tcBorders>
            <w:shd w:val="clear" w:color="auto" w:fill="auto"/>
            <w:vAlign w:val="center"/>
          </w:tcPr>
          <w:p w14:paraId="5188661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教师日常打卡考勤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1.须满足支持与学校现有办公协同平台完成对接，同步考勤数据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2.自动生成教师考勤统计报表（迟到、早退、缺勤等）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3.生成其他定制化统计报表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4.支持报表导出为Excel等格式</w:t>
            </w:r>
          </w:p>
        </w:tc>
        <w:tc>
          <w:tcPr>
            <w:tcW w:w="336" w:type="dxa"/>
            <w:vMerge w:val="restart"/>
            <w:tcBorders>
              <w:left w:val="nil"/>
              <w:right w:val="single" w:color="auto" w:sz="4" w:space="0"/>
            </w:tcBorders>
            <w:shd w:val="clear" w:color="auto" w:fill="auto"/>
            <w:vAlign w:val="center"/>
          </w:tcPr>
          <w:p w14:paraId="5562AA7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vMerge w:val="restart"/>
            <w:tcBorders>
              <w:left w:val="nil"/>
              <w:right w:val="single" w:color="auto" w:sz="4" w:space="0"/>
            </w:tcBorders>
            <w:shd w:val="clear" w:color="auto" w:fill="auto"/>
            <w:vAlign w:val="center"/>
          </w:tcPr>
          <w:p w14:paraId="1180FFF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vMerge w:val="restart"/>
            <w:tcBorders>
              <w:left w:val="nil"/>
              <w:right w:val="single" w:color="auto" w:sz="4" w:space="0"/>
            </w:tcBorders>
            <w:shd w:val="clear" w:color="auto" w:fill="auto"/>
            <w:vAlign w:val="center"/>
          </w:tcPr>
          <w:p w14:paraId="13147D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rPr>
            </w:pPr>
            <w:r>
              <w:rPr>
                <w:rFonts w:hint="eastAsia" w:ascii="宋体" w:eastAsia="宋体" w:hAnsiTheme="minorEastAsia" w:cstheme="minorEastAsia"/>
                <w:color w:val="auto"/>
                <w:kern w:val="0"/>
                <w:sz w:val="21"/>
                <w:szCs w:val="21"/>
                <w:highlight w:val="none"/>
              </w:rPr>
              <w:t>19700</w:t>
            </w:r>
            <w:r>
              <w:rPr>
                <w:rFonts w:hint="eastAsia" w:ascii="宋体" w:eastAsia="宋体" w:hAnsiTheme="minorEastAsia" w:cstheme="minorEastAsia"/>
                <w:color w:val="auto"/>
                <w:kern w:val="0"/>
                <w:sz w:val="21"/>
                <w:szCs w:val="21"/>
                <w:highlight w:val="none"/>
                <w:lang w:eastAsia="zh-CN"/>
              </w:rPr>
              <w:t>.</w:t>
            </w:r>
            <w:r>
              <w:rPr>
                <w:rFonts w:hint="eastAsia" w:ascii="宋体" w:eastAsia="宋体" w:hAnsiTheme="minorEastAsia" w:cstheme="minorEastAsia"/>
                <w:color w:val="auto"/>
                <w:kern w:val="0"/>
                <w:sz w:val="21"/>
                <w:szCs w:val="21"/>
                <w:highlight w:val="none"/>
                <w:lang w:val="en-US" w:eastAsia="zh-CN"/>
              </w:rPr>
              <w:t>00</w:t>
            </w:r>
          </w:p>
        </w:tc>
      </w:tr>
      <w:tr w14:paraId="43F3C6B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697935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top w:val="single" w:color="auto" w:sz="4" w:space="0"/>
              <w:left w:val="nil"/>
              <w:bottom w:val="single" w:color="auto" w:sz="4" w:space="0"/>
              <w:right w:val="single" w:color="auto" w:sz="4" w:space="0"/>
            </w:tcBorders>
            <w:shd w:val="clear" w:color="auto" w:fill="auto"/>
            <w:vAlign w:val="center"/>
          </w:tcPr>
          <w:p w14:paraId="2FF9AFE9">
            <w:pPr>
              <w:keepNext w:val="0"/>
              <w:keepLines w:val="0"/>
              <w:pageBreakBefore w:val="0"/>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EFBD23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学生考勤管理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0955736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多场景考勤：课堂考勤（二维码签到、点名登记）；活动考勤。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智能统计与预警：自动生成个人/班级/年级的日/周/月出勤报表；设定规则（如旷课课时阈值），自动向班主任、家长发送预警通知。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请假一体化：线上请假申请、审批、销假，记录自动归入考勤统计。</w:t>
            </w:r>
          </w:p>
        </w:tc>
        <w:tc>
          <w:tcPr>
            <w:tcW w:w="336" w:type="dxa"/>
            <w:vMerge w:val="continue"/>
            <w:tcBorders>
              <w:left w:val="nil"/>
              <w:bottom w:val="single" w:color="auto" w:sz="4" w:space="0"/>
              <w:right w:val="single" w:color="auto" w:sz="4" w:space="0"/>
            </w:tcBorders>
            <w:shd w:val="clear" w:color="auto" w:fill="auto"/>
            <w:vAlign w:val="center"/>
          </w:tcPr>
          <w:p w14:paraId="49438A3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2708C71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6C0E1C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23C9EEB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restart"/>
            <w:tcBorders>
              <w:top w:val="single" w:color="auto" w:sz="4" w:space="0"/>
              <w:left w:val="single" w:color="auto" w:sz="4" w:space="0"/>
              <w:right w:val="single" w:color="auto" w:sz="4" w:space="0"/>
            </w:tcBorders>
            <w:shd w:val="clear" w:color="auto" w:fill="auto"/>
            <w:vAlign w:val="center"/>
          </w:tcPr>
          <w:p w14:paraId="72ACD9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27</w:t>
            </w:r>
          </w:p>
        </w:tc>
        <w:tc>
          <w:tcPr>
            <w:tcW w:w="336" w:type="dxa"/>
            <w:vMerge w:val="restart"/>
            <w:tcBorders>
              <w:top w:val="single" w:color="auto" w:sz="4" w:space="0"/>
              <w:left w:val="nil"/>
              <w:bottom w:val="single" w:color="auto" w:sz="4" w:space="0"/>
              <w:right w:val="single" w:color="auto" w:sz="4" w:space="0"/>
            </w:tcBorders>
            <w:shd w:val="clear" w:color="auto" w:fill="auto"/>
            <w:vAlign w:val="center"/>
          </w:tcPr>
          <w:p w14:paraId="4626223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教师课时统计</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92F7C0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教师上课签到</w:t>
            </w:r>
          </w:p>
        </w:tc>
        <w:tc>
          <w:tcPr>
            <w:tcW w:w="6748" w:type="dxa"/>
            <w:tcBorders>
              <w:top w:val="single" w:color="auto" w:sz="4" w:space="0"/>
              <w:left w:val="nil"/>
              <w:bottom w:val="single" w:color="auto" w:sz="4" w:space="0"/>
              <w:right w:val="single" w:color="auto" w:sz="4" w:space="0"/>
            </w:tcBorders>
            <w:shd w:val="clear" w:color="auto" w:fill="auto"/>
            <w:vAlign w:val="center"/>
          </w:tcPr>
          <w:p w14:paraId="55467ED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上课签到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1、须满足支持与学校现有办公协同平台完成对接，实现课前/课后签到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自动生成周/月/学期课时统计报表</w:t>
            </w:r>
          </w:p>
        </w:tc>
        <w:tc>
          <w:tcPr>
            <w:tcW w:w="336" w:type="dxa"/>
            <w:vMerge w:val="restart"/>
            <w:tcBorders>
              <w:top w:val="single" w:color="auto" w:sz="4" w:space="0"/>
              <w:left w:val="nil"/>
              <w:right w:val="single" w:color="auto" w:sz="4" w:space="0"/>
            </w:tcBorders>
            <w:shd w:val="clear" w:color="auto" w:fill="auto"/>
            <w:vAlign w:val="center"/>
          </w:tcPr>
          <w:p w14:paraId="2C5F284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vMerge w:val="restart"/>
            <w:tcBorders>
              <w:top w:val="single" w:color="auto" w:sz="4" w:space="0"/>
              <w:left w:val="nil"/>
              <w:right w:val="single" w:color="auto" w:sz="4" w:space="0"/>
            </w:tcBorders>
            <w:shd w:val="clear" w:color="auto" w:fill="auto"/>
            <w:vAlign w:val="center"/>
          </w:tcPr>
          <w:p w14:paraId="46AEF4D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vMerge w:val="restart"/>
            <w:tcBorders>
              <w:top w:val="single" w:color="auto" w:sz="4" w:space="0"/>
              <w:left w:val="nil"/>
              <w:right w:val="single" w:color="auto" w:sz="4" w:space="0"/>
            </w:tcBorders>
            <w:shd w:val="clear" w:color="auto" w:fill="auto"/>
            <w:vAlign w:val="center"/>
          </w:tcPr>
          <w:p w14:paraId="73A7BF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5000.00 </w:t>
            </w:r>
          </w:p>
        </w:tc>
      </w:tr>
      <w:tr w14:paraId="5AC29F8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6237A3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top w:val="single" w:color="auto" w:sz="4" w:space="0"/>
              <w:left w:val="nil"/>
              <w:bottom w:val="single" w:color="auto" w:sz="4" w:space="0"/>
              <w:right w:val="single" w:color="auto" w:sz="4" w:space="0"/>
            </w:tcBorders>
            <w:shd w:val="clear" w:color="auto" w:fill="auto"/>
            <w:vAlign w:val="center"/>
          </w:tcPr>
          <w:p w14:paraId="636128FD">
            <w:pPr>
              <w:keepNext w:val="0"/>
              <w:keepLines w:val="0"/>
              <w:pageBreakBefore w:val="0"/>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7E8452F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统计公式管理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39EAF48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统计公式管理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1.课程分类管理（如必修课、选修课等）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2.课时计算公式配置（如不同课程类型的系数设置）</w:t>
            </w:r>
          </w:p>
        </w:tc>
        <w:tc>
          <w:tcPr>
            <w:tcW w:w="336" w:type="dxa"/>
            <w:vMerge w:val="continue"/>
            <w:tcBorders>
              <w:left w:val="nil"/>
              <w:right w:val="single" w:color="auto" w:sz="4" w:space="0"/>
            </w:tcBorders>
            <w:shd w:val="clear" w:color="auto" w:fill="auto"/>
            <w:vAlign w:val="center"/>
          </w:tcPr>
          <w:p w14:paraId="21B1C54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0B4029E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5589A7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5B7E1F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2F5532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top w:val="single" w:color="auto" w:sz="4" w:space="0"/>
              <w:left w:val="nil"/>
              <w:bottom w:val="single" w:color="auto" w:sz="4" w:space="0"/>
              <w:right w:val="single" w:color="auto" w:sz="4" w:space="0"/>
            </w:tcBorders>
            <w:shd w:val="clear" w:color="auto" w:fill="auto"/>
            <w:vAlign w:val="center"/>
          </w:tcPr>
          <w:p w14:paraId="7F1A26EC">
            <w:pPr>
              <w:keepNext w:val="0"/>
              <w:keepLines w:val="0"/>
              <w:pageBreakBefore w:val="0"/>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770FC42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工作量统计</w:t>
            </w:r>
          </w:p>
        </w:tc>
        <w:tc>
          <w:tcPr>
            <w:tcW w:w="6748" w:type="dxa"/>
            <w:tcBorders>
              <w:top w:val="single" w:color="auto" w:sz="4" w:space="0"/>
              <w:left w:val="nil"/>
              <w:bottom w:val="single" w:color="auto" w:sz="4" w:space="0"/>
              <w:right w:val="single" w:color="auto" w:sz="4" w:space="0"/>
            </w:tcBorders>
            <w:shd w:val="clear" w:color="auto" w:fill="auto"/>
            <w:vAlign w:val="center"/>
          </w:tcPr>
          <w:p w14:paraId="6BACEC4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1.附加课时登记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2.每周课时统计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3.学期课时量统计</w:t>
            </w:r>
          </w:p>
        </w:tc>
        <w:tc>
          <w:tcPr>
            <w:tcW w:w="336" w:type="dxa"/>
            <w:vMerge w:val="continue"/>
            <w:tcBorders>
              <w:left w:val="nil"/>
              <w:bottom w:val="single" w:color="auto" w:sz="4" w:space="0"/>
              <w:right w:val="single" w:color="auto" w:sz="4" w:space="0"/>
            </w:tcBorders>
            <w:shd w:val="clear" w:color="auto" w:fill="auto"/>
            <w:vAlign w:val="center"/>
          </w:tcPr>
          <w:p w14:paraId="0504C37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54499E5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75F9138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08B585F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6D679AB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0000FF"/>
                <w:kern w:val="0"/>
                <w:sz w:val="21"/>
                <w:szCs w:val="21"/>
                <w:highlight w:val="none"/>
                <w:lang w:val="en-US" w:eastAsia="zh-CN" w:bidi="ar"/>
              </w:rPr>
            </w:pPr>
            <w:r>
              <w:rPr>
                <w:rFonts w:hint="eastAsia" w:ascii="宋体" w:eastAsia="宋体" w:hAnsiTheme="minorEastAsia" w:cstheme="minorEastAsia"/>
                <w:color w:val="0000FF"/>
                <w:kern w:val="0"/>
                <w:sz w:val="21"/>
                <w:szCs w:val="21"/>
                <w:highlight w:val="none"/>
                <w:lang w:val="en-US" w:eastAsia="zh-CN" w:bidi="ar"/>
              </w:rPr>
              <w:t>2</w:t>
            </w:r>
            <w:r>
              <w:rPr>
                <w:rFonts w:hint="eastAsia" w:ascii="宋体" w:hAnsiTheme="minorEastAsia" w:cstheme="minorEastAsia"/>
                <w:color w:val="0000FF"/>
                <w:kern w:val="0"/>
                <w:sz w:val="21"/>
                <w:szCs w:val="21"/>
                <w:highlight w:val="none"/>
                <w:lang w:val="en-US" w:eastAsia="zh-CN" w:bidi="ar"/>
              </w:rPr>
              <w:t>8</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7D20D60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维保费用</w:t>
            </w:r>
          </w:p>
        </w:tc>
        <w:tc>
          <w:tcPr>
            <w:tcW w:w="6748" w:type="dxa"/>
            <w:tcBorders>
              <w:top w:val="single" w:color="auto" w:sz="4" w:space="0"/>
              <w:left w:val="nil"/>
              <w:bottom w:val="single" w:color="auto" w:sz="4" w:space="0"/>
              <w:right w:val="single" w:color="auto" w:sz="4" w:space="0"/>
            </w:tcBorders>
            <w:shd w:val="clear" w:color="auto" w:fill="auto"/>
            <w:vAlign w:val="center"/>
          </w:tcPr>
          <w:p w14:paraId="719B7ED4">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color w:val="auto"/>
                <w:kern w:val="2"/>
                <w:sz w:val="21"/>
                <w:szCs w:val="21"/>
                <w:highlight w:val="none"/>
              </w:rPr>
              <w:t>1、接到采购人处理问题通知后2小时内响应，优先提供线上远程解决；线上无法解决、确需现场处理的，供应商应在24小时内到达项目现场。</w:t>
            </w:r>
          </w:p>
          <w:p w14:paraId="00CD60BC">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color w:val="auto"/>
                <w:kern w:val="2"/>
                <w:sz w:val="21"/>
                <w:szCs w:val="21"/>
                <w:highlight w:val="none"/>
              </w:rPr>
              <w:t>2.不限制安装电脑数量，不限制操作员数量，不限制电脑端及移动端站点数量。</w:t>
            </w:r>
          </w:p>
          <w:p w14:paraId="713D994A">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color w:val="auto"/>
                <w:kern w:val="2"/>
                <w:sz w:val="21"/>
                <w:szCs w:val="21"/>
                <w:highlight w:val="none"/>
              </w:rPr>
              <w:t>3.项目实施阶段提供驻点服务，驻点人员不少于1 名技术负责人，驻点期限自合同签订之日起至项目终验合格后3个月止，驻点人员费用由供应商承担，已包含在投标报价中。</w:t>
            </w:r>
          </w:p>
          <w:p w14:paraId="76214301">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color w:val="auto"/>
                <w:kern w:val="2"/>
                <w:sz w:val="21"/>
                <w:szCs w:val="21"/>
                <w:highlight w:val="none"/>
              </w:rPr>
              <w:t>4.免费提供本项目采购需求清单内的功能定制化开发；超出采购需求范围的新增功能开发，由双方另行协商收费，收费标准不高于市场价格。</w:t>
            </w:r>
          </w:p>
        </w:tc>
        <w:tc>
          <w:tcPr>
            <w:tcW w:w="336" w:type="dxa"/>
            <w:tcBorders>
              <w:top w:val="single" w:color="auto" w:sz="4" w:space="0"/>
              <w:left w:val="nil"/>
              <w:bottom w:val="single" w:color="auto" w:sz="4" w:space="0"/>
              <w:right w:val="single" w:color="auto" w:sz="4" w:space="0"/>
            </w:tcBorders>
            <w:shd w:val="clear" w:color="auto" w:fill="auto"/>
            <w:vAlign w:val="center"/>
          </w:tcPr>
          <w:p w14:paraId="10FF08A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0608764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项</w:t>
            </w:r>
          </w:p>
        </w:tc>
        <w:tc>
          <w:tcPr>
            <w:tcW w:w="847" w:type="dxa"/>
            <w:tcBorders>
              <w:top w:val="single" w:color="auto" w:sz="4" w:space="0"/>
              <w:left w:val="nil"/>
              <w:bottom w:val="single" w:color="auto" w:sz="4" w:space="0"/>
              <w:right w:val="single" w:color="auto" w:sz="4" w:space="0"/>
            </w:tcBorders>
            <w:shd w:val="clear" w:color="auto" w:fill="auto"/>
            <w:vAlign w:val="center"/>
          </w:tcPr>
          <w:p w14:paraId="013362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10000.00 </w:t>
            </w:r>
          </w:p>
        </w:tc>
      </w:tr>
      <w:tr w14:paraId="524FCBF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70" w:hRule="atLeast"/>
          <w:jc w:val="center"/>
        </w:trPr>
        <w:tc>
          <w:tcPr>
            <w:tcW w:w="987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24E980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b/>
                <w:bCs/>
                <w:color w:val="auto"/>
                <w:kern w:val="0"/>
                <w:sz w:val="21"/>
                <w:szCs w:val="21"/>
                <w:highlight w:val="none"/>
                <w:lang w:val="en-US" w:eastAsia="zh-CN"/>
              </w:rPr>
              <w:t>图书与阅览室资源优化</w:t>
            </w:r>
          </w:p>
        </w:tc>
      </w:tr>
      <w:tr w14:paraId="5AC49EF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17"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610846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bidi="ar"/>
              </w:rPr>
            </w:pPr>
            <w:r>
              <w:rPr>
                <w:rFonts w:hint="eastAsia" w:ascii="宋体" w:hAnsiTheme="minorEastAsia" w:cstheme="minorEastAsia"/>
                <w:color w:val="auto"/>
                <w:kern w:val="0"/>
                <w:sz w:val="21"/>
                <w:szCs w:val="21"/>
                <w:highlight w:val="none"/>
                <w:lang w:val="en-US" w:eastAsia="zh-CN" w:bidi="ar"/>
              </w:rPr>
              <w:t>29</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2CD6E9C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rPr>
              <w:t>图书</w:t>
            </w:r>
          </w:p>
        </w:tc>
        <w:tc>
          <w:tcPr>
            <w:tcW w:w="6748" w:type="dxa"/>
            <w:tcBorders>
              <w:top w:val="single" w:color="auto" w:sz="4" w:space="0"/>
              <w:left w:val="nil"/>
              <w:bottom w:val="single" w:color="auto" w:sz="4" w:space="0"/>
              <w:right w:val="single" w:color="auto" w:sz="4" w:space="0"/>
            </w:tcBorders>
            <w:shd w:val="clear" w:color="auto" w:fill="auto"/>
            <w:vAlign w:val="center"/>
          </w:tcPr>
          <w:p w14:paraId="7798C65B">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rPr>
                <w:rFonts w:hint="default"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符合职教学校图书</w:t>
            </w:r>
            <w:r>
              <w:rPr>
                <w:rFonts w:hint="eastAsia" w:ascii="宋体" w:hAnsiTheme="minorEastAsia" w:cstheme="minorEastAsia"/>
                <w:color w:val="auto"/>
                <w:kern w:val="2"/>
                <w:sz w:val="21"/>
                <w:szCs w:val="21"/>
                <w:highlight w:val="none"/>
                <w:lang w:val="en-US" w:eastAsia="zh-CN"/>
              </w:rPr>
              <w:t>共6000册</w:t>
            </w:r>
            <w:r>
              <w:rPr>
                <w:rFonts w:hint="eastAsia" w:ascii="宋体" w:eastAsia="宋体" w:hAnsiTheme="minorEastAsia" w:cstheme="minorEastAsia"/>
                <w:color w:val="auto"/>
                <w:kern w:val="2"/>
                <w:sz w:val="21"/>
                <w:szCs w:val="21"/>
                <w:highlight w:val="none"/>
                <w:lang w:val="en-US" w:eastAsia="zh-CN"/>
              </w:rPr>
              <w:t>，</w:t>
            </w:r>
            <w:r>
              <w:rPr>
                <w:rFonts w:hint="eastAsia" w:ascii="宋体" w:hAnsiTheme="minorEastAsia" w:cstheme="minorEastAsia"/>
                <w:color w:val="auto"/>
                <w:kern w:val="2"/>
                <w:sz w:val="21"/>
                <w:szCs w:val="21"/>
                <w:highlight w:val="none"/>
                <w:lang w:val="en-US" w:eastAsia="zh-CN"/>
              </w:rPr>
              <w:t>参考</w:t>
            </w:r>
            <w:r>
              <w:rPr>
                <w:rFonts w:hint="eastAsia" w:ascii="宋体" w:eastAsia="宋体" w:hAnsiTheme="minorEastAsia" w:cstheme="minorEastAsia"/>
                <w:color w:val="auto"/>
                <w:kern w:val="2"/>
                <w:sz w:val="21"/>
                <w:szCs w:val="21"/>
                <w:highlight w:val="none"/>
                <w:lang w:val="en-US" w:eastAsia="zh-CN"/>
              </w:rPr>
              <w:t>清单列表详见附件《</w:t>
            </w:r>
            <w:r>
              <w:rPr>
                <w:rFonts w:hint="eastAsia" w:ascii="宋体" w:hAnsiTheme="minorEastAsia" w:cstheme="minorEastAsia"/>
                <w:color w:val="auto"/>
                <w:kern w:val="2"/>
                <w:sz w:val="21"/>
                <w:szCs w:val="21"/>
                <w:highlight w:val="none"/>
                <w:lang w:val="en-US" w:eastAsia="zh-CN"/>
              </w:rPr>
              <w:t>参考</w:t>
            </w:r>
            <w:r>
              <w:rPr>
                <w:rFonts w:hint="eastAsia" w:ascii="宋体" w:eastAsia="宋体" w:hAnsiTheme="minorEastAsia" w:cstheme="minorEastAsia"/>
                <w:color w:val="auto"/>
                <w:kern w:val="2"/>
                <w:sz w:val="21"/>
                <w:szCs w:val="21"/>
                <w:highlight w:val="none"/>
                <w:lang w:val="en-US" w:eastAsia="zh-CN"/>
              </w:rPr>
              <w:t>图书采购清单》</w:t>
            </w:r>
            <w:r>
              <w:rPr>
                <w:rFonts w:hint="eastAsia" w:ascii="宋体" w:hAnsiTheme="minorEastAsia" w:cstheme="minorEastAsia"/>
                <w:color w:val="auto"/>
                <w:kern w:val="2"/>
                <w:sz w:val="21"/>
                <w:szCs w:val="21"/>
                <w:highlight w:val="none"/>
                <w:lang w:val="en-US" w:eastAsia="zh-CN"/>
              </w:rPr>
              <w:t>。图书采购前，中标人须先行提供完整图书清单交由采购人审核确认，采购人书面同意后方可采购、配送相应图书。</w:t>
            </w:r>
          </w:p>
        </w:tc>
        <w:tc>
          <w:tcPr>
            <w:tcW w:w="336" w:type="dxa"/>
            <w:tcBorders>
              <w:top w:val="single" w:color="auto" w:sz="4" w:space="0"/>
              <w:left w:val="nil"/>
              <w:bottom w:val="single" w:color="auto" w:sz="4" w:space="0"/>
              <w:right w:val="single" w:color="auto" w:sz="4" w:space="0"/>
            </w:tcBorders>
            <w:shd w:val="clear" w:color="auto" w:fill="auto"/>
            <w:vAlign w:val="center"/>
          </w:tcPr>
          <w:p w14:paraId="25DE092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0372EDF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批</w:t>
            </w:r>
          </w:p>
        </w:tc>
        <w:tc>
          <w:tcPr>
            <w:tcW w:w="847" w:type="dxa"/>
            <w:tcBorders>
              <w:top w:val="single" w:color="auto" w:sz="4" w:space="0"/>
              <w:left w:val="nil"/>
              <w:right w:val="single" w:color="auto" w:sz="4" w:space="0"/>
            </w:tcBorders>
            <w:shd w:val="clear" w:color="auto" w:fill="auto"/>
            <w:vAlign w:val="center"/>
          </w:tcPr>
          <w:p w14:paraId="6B9E4A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rPr>
            </w:pPr>
            <w:r>
              <w:rPr>
                <w:rFonts w:hint="eastAsia" w:ascii="宋体" w:hAnsiTheme="minorEastAsia" w:cstheme="minorEastAsia"/>
                <w:color w:val="auto"/>
                <w:kern w:val="0"/>
                <w:sz w:val="21"/>
                <w:szCs w:val="21"/>
                <w:highlight w:val="none"/>
                <w:lang w:val="en-US" w:eastAsia="zh-CN"/>
              </w:rPr>
              <w:t>125000.00</w:t>
            </w:r>
          </w:p>
        </w:tc>
      </w:tr>
      <w:tr w14:paraId="0AA4415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46"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5C0D53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bidi="ar"/>
              </w:rPr>
            </w:pPr>
            <w:r>
              <w:rPr>
                <w:rFonts w:hint="eastAsia" w:ascii="宋体" w:hAnsiTheme="minorEastAsia" w:cstheme="minorEastAsia"/>
                <w:color w:val="auto"/>
                <w:kern w:val="0"/>
                <w:sz w:val="21"/>
                <w:szCs w:val="21"/>
                <w:highlight w:val="none"/>
                <w:lang w:val="en-US" w:eastAsia="zh-CN" w:bidi="ar"/>
              </w:rPr>
              <w:t>31</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0A80D57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default" w:ascii="宋体" w:eastAsia="宋体" w:hAnsiTheme="minorEastAsia" w:cstheme="minorEastAsia"/>
                <w:color w:val="auto"/>
                <w:kern w:val="0"/>
                <w:sz w:val="21"/>
                <w:szCs w:val="21"/>
                <w:highlight w:val="none"/>
                <w:lang w:val="en-US" w:eastAsia="zh-CN"/>
              </w:rPr>
            </w:pPr>
            <w:r>
              <w:rPr>
                <w:rFonts w:hint="eastAsia" w:ascii="宋体" w:hAnsiTheme="minorEastAsia" w:cstheme="minorEastAsia"/>
                <w:color w:val="auto"/>
                <w:kern w:val="0"/>
                <w:sz w:val="21"/>
                <w:szCs w:val="21"/>
                <w:highlight w:val="none"/>
                <w:lang w:val="en-US" w:eastAsia="zh-CN"/>
              </w:rPr>
              <w:t xml:space="preserve"> 图书馆氛围改造</w:t>
            </w:r>
          </w:p>
        </w:tc>
        <w:tc>
          <w:tcPr>
            <w:tcW w:w="6748" w:type="dxa"/>
            <w:tcBorders>
              <w:top w:val="single" w:color="auto" w:sz="4" w:space="0"/>
              <w:left w:val="nil"/>
              <w:bottom w:val="single" w:color="auto" w:sz="4" w:space="0"/>
              <w:right w:val="single" w:color="auto" w:sz="4" w:space="0"/>
            </w:tcBorders>
            <w:shd w:val="clear" w:color="auto" w:fill="auto"/>
            <w:vAlign w:val="center"/>
          </w:tcPr>
          <w:p w14:paraId="1BF363A9">
            <w:pPr>
              <w:keepNext w:val="0"/>
              <w:keepLines w:val="0"/>
              <w:widowControl/>
              <w:suppressLineNumbers w:val="0"/>
              <w:spacing w:before="0" w:beforeAutospacing="0" w:after="0" w:afterAutospacing="0"/>
              <w:ind w:left="0" w:right="0"/>
              <w:jc w:val="left"/>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据现场实际情况进行装修 </w:t>
            </w:r>
          </w:p>
          <w:p w14:paraId="5101AAB8">
            <w:pPr>
              <w:keepNext w:val="0"/>
              <w:keepLines w:val="0"/>
              <w:widowControl/>
              <w:suppressLineNumbers w:val="0"/>
              <w:spacing w:before="0" w:beforeAutospacing="0" w:after="0" w:afterAutospacing="0"/>
              <w:ind w:left="0" w:right="0"/>
              <w:jc w:val="left"/>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室内装修内容： </w:t>
            </w:r>
          </w:p>
          <w:p w14:paraId="7130E7C0">
            <w:pPr>
              <w:keepNext w:val="0"/>
              <w:keepLines w:val="0"/>
              <w:widowControl/>
              <w:suppressLineNumbers w:val="0"/>
              <w:spacing w:before="0" w:beforeAutospacing="0" w:after="0" w:afterAutospacing="0"/>
              <w:ind w:left="0" w:right="0"/>
              <w:jc w:val="left"/>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1</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 xml:space="preserve">墙面处理（腻子粉刮平、环保乳胶墙面处理，调制温馨色彩暖色调为主） </w:t>
            </w:r>
          </w:p>
          <w:p w14:paraId="064C19E5">
            <w:pPr>
              <w:keepNext w:val="0"/>
              <w:keepLines w:val="0"/>
              <w:widowControl/>
              <w:suppressLineNumbers w:val="0"/>
              <w:spacing w:before="0" w:beforeAutospacing="0" w:after="0" w:afterAutospacing="0"/>
              <w:ind w:left="0" w:right="0"/>
              <w:jc w:val="left"/>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2</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 xml:space="preserve">电路改造：强电、空调专线、网络线路、电话线路等相关电路改造。 </w:t>
            </w:r>
          </w:p>
          <w:p w14:paraId="0D8416A3">
            <w:pPr>
              <w:keepNext w:val="0"/>
              <w:keepLines w:val="0"/>
              <w:widowControl/>
              <w:suppressLineNumbers w:val="0"/>
              <w:spacing w:before="0" w:beforeAutospacing="0" w:after="0" w:afterAutospacing="0"/>
              <w:ind w:left="0" w:right="0"/>
              <w:jc w:val="left"/>
              <w:rPr>
                <w:rFonts w:hint="eastAsia" w:ascii="宋体" w:eastAsia="宋体" w:hAnsiTheme="minorEastAsia" w:cstheme="minorEastAsia"/>
                <w:color w:val="auto"/>
                <w:kern w:val="2"/>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3.图书柜翻新</w:t>
            </w:r>
          </w:p>
        </w:tc>
        <w:tc>
          <w:tcPr>
            <w:tcW w:w="336" w:type="dxa"/>
            <w:tcBorders>
              <w:top w:val="single" w:color="auto" w:sz="4" w:space="0"/>
              <w:left w:val="nil"/>
              <w:bottom w:val="single" w:color="auto" w:sz="4" w:space="0"/>
              <w:right w:val="single" w:color="auto" w:sz="4" w:space="0"/>
            </w:tcBorders>
            <w:shd w:val="clear" w:color="auto" w:fill="auto"/>
            <w:vAlign w:val="center"/>
          </w:tcPr>
          <w:p w14:paraId="6D59992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default" w:ascii="宋体" w:eastAsia="宋体" w:hAnsiTheme="minorEastAsia" w:cstheme="minorEastAsia"/>
                <w:color w:val="auto"/>
                <w:kern w:val="2"/>
                <w:sz w:val="21"/>
                <w:szCs w:val="21"/>
                <w:highlight w:val="none"/>
                <w:lang w:val="en-US" w:eastAsia="zh-CN"/>
              </w:rPr>
            </w:pPr>
            <w:r>
              <w:rPr>
                <w:rFonts w:hint="eastAsia" w:ascii="宋体" w:hAnsiTheme="minorEastAsia" w:cstheme="minorEastAsia"/>
                <w:color w:val="auto"/>
                <w:kern w:val="2"/>
                <w:sz w:val="21"/>
                <w:szCs w:val="21"/>
                <w:highlight w:val="none"/>
                <w:lang w:val="en-US" w:eastAsia="zh-CN"/>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72F8D39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2"/>
                <w:sz w:val="21"/>
                <w:szCs w:val="21"/>
                <w:highlight w:val="none"/>
                <w:lang w:val="en-US" w:eastAsia="zh-CN"/>
              </w:rPr>
            </w:pPr>
            <w:r>
              <w:rPr>
                <w:rFonts w:hint="eastAsia" w:ascii="宋体" w:hAnsiTheme="minorEastAsia" w:cstheme="minorEastAsia"/>
                <w:color w:val="auto"/>
                <w:kern w:val="2"/>
                <w:sz w:val="21"/>
                <w:szCs w:val="21"/>
                <w:highlight w:val="none"/>
                <w:lang w:val="en-US" w:eastAsia="zh-CN"/>
              </w:rPr>
              <w:t>项</w:t>
            </w:r>
          </w:p>
        </w:tc>
        <w:tc>
          <w:tcPr>
            <w:tcW w:w="847" w:type="dxa"/>
            <w:tcBorders>
              <w:left w:val="nil"/>
              <w:right w:val="single" w:color="auto" w:sz="4" w:space="0"/>
            </w:tcBorders>
            <w:shd w:val="clear" w:color="auto" w:fill="auto"/>
            <w:vAlign w:val="center"/>
          </w:tcPr>
          <w:p w14:paraId="7A5457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rPr>
            </w:pPr>
            <w:r>
              <w:rPr>
                <w:rFonts w:hint="eastAsia" w:ascii="宋体" w:hAnsiTheme="minorEastAsia" w:cstheme="minorEastAsia"/>
                <w:color w:val="auto"/>
                <w:kern w:val="0"/>
                <w:sz w:val="21"/>
                <w:szCs w:val="21"/>
                <w:highlight w:val="none"/>
                <w:lang w:val="en-US" w:eastAsia="zh-CN"/>
              </w:rPr>
              <w:t>65000.00</w:t>
            </w:r>
          </w:p>
        </w:tc>
      </w:tr>
      <w:tr w14:paraId="1EF963C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11"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01D1C2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bidi="ar"/>
              </w:rPr>
            </w:pPr>
            <w:r>
              <w:rPr>
                <w:rFonts w:hint="eastAsia" w:ascii="宋体" w:hAnsiTheme="minorEastAsia" w:cstheme="minorEastAsia"/>
                <w:color w:val="auto"/>
                <w:kern w:val="0"/>
                <w:sz w:val="21"/>
                <w:szCs w:val="21"/>
                <w:highlight w:val="none"/>
                <w:lang w:val="en-US" w:eastAsia="zh-CN" w:bidi="ar"/>
              </w:rPr>
              <w:t>32</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2B250A7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default" w:ascii="宋体" w:eastAsia="宋体" w:hAnsiTheme="minorEastAsia" w:cstheme="minorEastAsia"/>
                <w:color w:val="auto"/>
                <w:kern w:val="0"/>
                <w:sz w:val="21"/>
                <w:szCs w:val="21"/>
                <w:highlight w:val="none"/>
                <w:lang w:val="en-US" w:eastAsia="zh-CN"/>
              </w:rPr>
            </w:pPr>
            <w:r>
              <w:rPr>
                <w:rFonts w:hint="eastAsia" w:ascii="宋体" w:hAnsiTheme="minorEastAsia" w:cstheme="minorEastAsia"/>
                <w:color w:val="auto"/>
                <w:kern w:val="0"/>
                <w:sz w:val="21"/>
                <w:szCs w:val="21"/>
                <w:highlight w:val="none"/>
                <w:lang w:val="en-US" w:eastAsia="zh-CN"/>
              </w:rPr>
              <w:t>空调</w:t>
            </w:r>
          </w:p>
        </w:tc>
        <w:tc>
          <w:tcPr>
            <w:tcW w:w="6748" w:type="dxa"/>
            <w:tcBorders>
              <w:top w:val="single" w:color="auto" w:sz="4" w:space="0"/>
              <w:left w:val="nil"/>
              <w:bottom w:val="single" w:color="auto" w:sz="4" w:space="0"/>
              <w:right w:val="single" w:color="auto" w:sz="4" w:space="0"/>
            </w:tcBorders>
            <w:shd w:val="clear" w:color="auto" w:fill="auto"/>
            <w:vAlign w:val="center"/>
          </w:tcPr>
          <w:p w14:paraId="3BB04415">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挂机/柜机：柜机</w:t>
            </w:r>
          </w:p>
          <w:p w14:paraId="2E8E15B0">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单冷/冷暖：冷暖</w:t>
            </w:r>
          </w:p>
          <w:p w14:paraId="605F1F54">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匹数：≥3匹</w:t>
            </w:r>
          </w:p>
          <w:p w14:paraId="25797661">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定频/变频：变频</w:t>
            </w:r>
          </w:p>
          <w:p w14:paraId="6064E230">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1.功能规格变频/定频：变频。</w:t>
            </w:r>
          </w:p>
          <w:p w14:paraId="1A2B7C50">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2.能效比:≥4.3</w:t>
            </w:r>
          </w:p>
          <w:p w14:paraId="257E6EAC">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3.制冷量：≥7330W</w:t>
            </w:r>
          </w:p>
          <w:p w14:paraId="0F63AB64">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4.制热量：≥10400W</w:t>
            </w:r>
          </w:p>
          <w:p w14:paraId="1CFDA9B2">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5.制冷功率：≥2070W</w:t>
            </w:r>
          </w:p>
          <w:p w14:paraId="1C79FDF7">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6.制热功率：≥3050W</w:t>
            </w:r>
          </w:p>
          <w:p w14:paraId="635D553C">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7.循环风量:≥1420（m³/h）</w:t>
            </w:r>
          </w:p>
          <w:p w14:paraId="3783CF5F">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8.电源：单相电(220V)</w:t>
            </w:r>
          </w:p>
          <w:p w14:paraId="08D1A31A">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9.内机噪音：≤47dB(A)</w:t>
            </w:r>
          </w:p>
          <w:p w14:paraId="0D3965D0">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10.外机噪音:≤56dB(A)</w:t>
            </w:r>
          </w:p>
          <w:p w14:paraId="31057001">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11.内机≥24KG，外机≥39KG</w:t>
            </w:r>
          </w:p>
          <w:p w14:paraId="5D87430E">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12.适用面积：≥32㎡</w:t>
            </w:r>
          </w:p>
          <w:p w14:paraId="068539BD">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13.配原装内外机连接管≥4米。</w:t>
            </w:r>
          </w:p>
          <w:p w14:paraId="7DC24B2B">
            <w:pPr>
              <w:keepNext w:val="0"/>
              <w:keepLines w:val="0"/>
              <w:widowControl/>
              <w:suppressLineNumbers w:val="0"/>
              <w:spacing w:before="0" w:beforeAutospacing="0" w:after="0" w:afterAutospacing="0"/>
              <w:ind w:left="0" w:right="0"/>
              <w:jc w:val="left"/>
              <w:rPr>
                <w:rFonts w:hint="eastAsia" w:ascii="宋体" w:eastAsia="宋体" w:hAnsiTheme="minorEastAsia" w:cstheme="minorEastAsia"/>
                <w:b w:val="0"/>
                <w:color w:val="auto"/>
                <w:kern w:val="2"/>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14.保修：整机保修六年、遥</w:t>
            </w:r>
            <w:r>
              <w:rPr>
                <w:rFonts w:hint="eastAsia" w:ascii="宋体" w:eastAsia="宋体" w:hAnsiTheme="minorEastAsia" w:cstheme="minorEastAsia"/>
                <w:b w:val="0"/>
                <w:color w:val="auto"/>
                <w:kern w:val="2"/>
                <w:sz w:val="21"/>
                <w:szCs w:val="21"/>
                <w:highlight w:val="none"/>
                <w:lang w:val="en-US" w:eastAsia="zh-CN" w:bidi="ar"/>
              </w:rPr>
              <w:t>控器一年</w:t>
            </w:r>
          </w:p>
          <w:p w14:paraId="51660468">
            <w:pPr>
              <w:keepNext w:val="0"/>
              <w:keepLines w:val="0"/>
              <w:widowControl/>
              <w:suppressLineNumbers w:val="0"/>
              <w:spacing w:before="0" w:beforeAutospacing="0" w:after="0" w:afterAutospacing="0"/>
              <w:ind w:left="0" w:right="0"/>
              <w:jc w:val="left"/>
              <w:rPr>
                <w:rFonts w:hint="eastAsia" w:ascii="宋体" w:eastAsia="宋体" w:hAnsiTheme="minorEastAsia" w:cstheme="minorEastAsia"/>
                <w:b w:val="0"/>
                <w:color w:val="auto"/>
                <w:kern w:val="2"/>
                <w:sz w:val="21"/>
                <w:szCs w:val="21"/>
                <w:highlight w:val="none"/>
                <w:lang w:val="en-US" w:eastAsia="zh-CN" w:bidi="ar"/>
              </w:rPr>
            </w:pPr>
            <w:r>
              <w:rPr>
                <w:rFonts w:hint="eastAsia" w:ascii="宋体" w:eastAsia="宋体" w:hAnsiTheme="minorEastAsia" w:cstheme="minorEastAsia"/>
                <w:b w:val="0"/>
                <w:color w:val="auto"/>
                <w:kern w:val="2"/>
                <w:sz w:val="21"/>
                <w:szCs w:val="21"/>
                <w:highlight w:val="none"/>
                <w:lang w:val="en-US" w:eastAsia="zh-CN" w:bidi="ar"/>
              </w:rPr>
              <w:t>15.能效等级：一级</w:t>
            </w:r>
          </w:p>
          <w:p w14:paraId="53D98812">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Theme="minorEastAsia" w:hAnsiTheme="minorEastAsia" w:eastAsiaTheme="minorEastAsia" w:cstheme="minorEastAsia"/>
                <w:b/>
                <w:bCs/>
                <w:color w:val="auto"/>
                <w:kern w:val="0"/>
                <w:sz w:val="21"/>
                <w:szCs w:val="21"/>
                <w:highlight w:val="none"/>
                <w:lang w:val="en-US" w:eastAsia="zh-CN" w:bidi="ar"/>
              </w:rPr>
              <w:t>注：本产品须提供节能证书。</w:t>
            </w:r>
          </w:p>
        </w:tc>
        <w:tc>
          <w:tcPr>
            <w:tcW w:w="336" w:type="dxa"/>
            <w:tcBorders>
              <w:top w:val="single" w:color="auto" w:sz="4" w:space="0"/>
              <w:left w:val="nil"/>
              <w:bottom w:val="single" w:color="auto" w:sz="4" w:space="0"/>
              <w:right w:val="single" w:color="auto" w:sz="4" w:space="0"/>
            </w:tcBorders>
            <w:shd w:val="clear" w:color="auto" w:fill="auto"/>
            <w:vAlign w:val="center"/>
          </w:tcPr>
          <w:p w14:paraId="1398FCC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default" w:ascii="宋体" w:eastAsia="宋体" w:hAnsiTheme="minorEastAsia" w:cstheme="minorEastAsia"/>
                <w:color w:val="auto"/>
                <w:kern w:val="2"/>
                <w:sz w:val="21"/>
                <w:szCs w:val="21"/>
                <w:highlight w:val="none"/>
                <w:lang w:val="en-US" w:eastAsia="zh-CN"/>
              </w:rPr>
            </w:pPr>
            <w:r>
              <w:rPr>
                <w:rFonts w:hint="eastAsia" w:ascii="宋体" w:hAnsiTheme="minorEastAsia" w:cstheme="minorEastAsia"/>
                <w:color w:val="auto"/>
                <w:kern w:val="2"/>
                <w:sz w:val="21"/>
                <w:szCs w:val="21"/>
                <w:highlight w:val="none"/>
                <w:lang w:val="en-US" w:eastAsia="zh-CN"/>
              </w:rPr>
              <w:t>2</w:t>
            </w:r>
          </w:p>
        </w:tc>
        <w:tc>
          <w:tcPr>
            <w:tcW w:w="336" w:type="dxa"/>
            <w:tcBorders>
              <w:top w:val="single" w:color="auto" w:sz="4" w:space="0"/>
              <w:left w:val="nil"/>
              <w:bottom w:val="single" w:color="auto" w:sz="4" w:space="0"/>
              <w:right w:val="single" w:color="auto" w:sz="4" w:space="0"/>
            </w:tcBorders>
            <w:shd w:val="clear" w:color="auto" w:fill="auto"/>
            <w:vAlign w:val="center"/>
          </w:tcPr>
          <w:p w14:paraId="00321F7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2"/>
                <w:sz w:val="21"/>
                <w:szCs w:val="21"/>
                <w:highlight w:val="none"/>
                <w:lang w:val="en-US" w:eastAsia="zh-CN"/>
              </w:rPr>
            </w:pPr>
            <w:r>
              <w:rPr>
                <w:rFonts w:hint="eastAsia" w:ascii="宋体" w:hAnsiTheme="minorEastAsia" w:cstheme="minorEastAsia"/>
                <w:color w:val="auto"/>
                <w:kern w:val="2"/>
                <w:sz w:val="21"/>
                <w:szCs w:val="21"/>
                <w:highlight w:val="none"/>
                <w:lang w:val="en-US" w:eastAsia="zh-CN"/>
              </w:rPr>
              <w:t>台</w:t>
            </w:r>
          </w:p>
        </w:tc>
        <w:tc>
          <w:tcPr>
            <w:tcW w:w="847" w:type="dxa"/>
            <w:tcBorders>
              <w:left w:val="nil"/>
              <w:bottom w:val="single" w:color="auto" w:sz="4" w:space="0"/>
              <w:right w:val="single" w:color="auto" w:sz="4" w:space="0"/>
            </w:tcBorders>
            <w:shd w:val="clear" w:color="auto" w:fill="auto"/>
            <w:vAlign w:val="center"/>
          </w:tcPr>
          <w:p w14:paraId="0C3464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rPr>
            </w:pPr>
            <w:r>
              <w:rPr>
                <w:rFonts w:hint="eastAsia" w:ascii="宋体" w:hAnsiTheme="minorEastAsia" w:cstheme="minorEastAsia"/>
                <w:color w:val="auto"/>
                <w:kern w:val="0"/>
                <w:sz w:val="21"/>
                <w:szCs w:val="21"/>
                <w:highlight w:val="none"/>
                <w:lang w:val="en-US" w:eastAsia="zh-CN"/>
              </w:rPr>
              <w:t>5980.00</w:t>
            </w:r>
          </w:p>
        </w:tc>
      </w:tr>
      <w:tr w14:paraId="32E14EF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66" w:hRule="atLeast"/>
          <w:jc w:val="center"/>
        </w:trPr>
        <w:tc>
          <w:tcPr>
            <w:tcW w:w="987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52797F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rPr>
                <w:rFonts w:hint="eastAsia" w:asciiTheme="minorEastAsia" w:hAnsiTheme="minorEastAsia" w:eastAsiaTheme="minorEastAsia" w:cstheme="minorEastAsia"/>
                <w:b/>
                <w:bCs w:val="0"/>
                <w:color w:val="auto"/>
                <w:kern w:val="0"/>
                <w:sz w:val="21"/>
                <w:szCs w:val="21"/>
                <w:highlight w:val="none"/>
              </w:rPr>
            </w:pPr>
            <w:r>
              <w:rPr>
                <w:rFonts w:hint="eastAsia" w:asciiTheme="minorEastAsia" w:hAnsiTheme="minorEastAsia" w:eastAsiaTheme="minorEastAsia" w:cstheme="minorEastAsia"/>
                <w:b/>
                <w:bCs w:val="0"/>
                <w:color w:val="auto"/>
                <w:kern w:val="2"/>
                <w:sz w:val="21"/>
                <w:szCs w:val="21"/>
                <w:highlight w:val="none"/>
                <w:lang w:val="en-US" w:eastAsia="zh-CN" w:bidi="ar"/>
              </w:rPr>
              <w:t>★二</w:t>
            </w:r>
            <w:r>
              <w:rPr>
                <w:rFonts w:hint="eastAsia" w:asciiTheme="minorEastAsia" w:hAnsiTheme="minorEastAsia" w:eastAsiaTheme="minorEastAsia" w:cstheme="minorEastAsia"/>
                <w:b/>
                <w:bCs w:val="0"/>
                <w:color w:val="auto"/>
                <w:kern w:val="0"/>
                <w:sz w:val="21"/>
                <w:szCs w:val="21"/>
                <w:highlight w:val="none"/>
                <w:lang w:val="en-US" w:eastAsia="zh-CN" w:bidi="ar"/>
              </w:rPr>
              <w:t>、商务要求</w:t>
            </w:r>
          </w:p>
        </w:tc>
      </w:tr>
      <w:tr w14:paraId="1BC8619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66" w:hRule="atLeast"/>
          <w:jc w:val="center"/>
        </w:trPr>
        <w:tc>
          <w:tcPr>
            <w:tcW w:w="1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DC68C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b/>
                <w:bCs w:val="0"/>
                <w:color w:val="auto"/>
                <w:kern w:val="2"/>
                <w:sz w:val="21"/>
                <w:szCs w:val="21"/>
                <w:highlight w:val="none"/>
                <w:lang w:val="en-US" w:eastAsia="zh-CN" w:bidi="ar"/>
              </w:rPr>
            </w:pPr>
            <w:r>
              <w:rPr>
                <w:rFonts w:hint="eastAsia" w:ascii="宋体" w:hAnsi="宋体" w:eastAsia="宋体" w:cs="宋体"/>
                <w:b/>
                <w:bCs w:val="0"/>
                <w:color w:val="auto"/>
                <w:kern w:val="2"/>
                <w:sz w:val="21"/>
                <w:szCs w:val="21"/>
                <w:highlight w:val="none"/>
                <w:lang w:val="en-US" w:eastAsia="zh-CN" w:bidi="ar"/>
              </w:rPr>
              <w:t>（一）</w:t>
            </w:r>
            <w:r>
              <w:rPr>
                <w:rFonts w:hint="eastAsia" w:asciiTheme="minorEastAsia" w:hAnsiTheme="minorEastAsia" w:eastAsiaTheme="minorEastAsia" w:cstheme="minorEastAsia"/>
                <w:b/>
                <w:color w:val="auto"/>
                <w:kern w:val="0"/>
                <w:sz w:val="21"/>
                <w:szCs w:val="21"/>
                <w:highlight w:val="none"/>
                <w:lang w:val="en-US" w:eastAsia="zh-CN"/>
              </w:rPr>
              <w:t>核心产品</w:t>
            </w:r>
          </w:p>
        </w:tc>
        <w:tc>
          <w:tcPr>
            <w:tcW w:w="826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9F691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b/>
                <w:bCs w:val="0"/>
                <w:color w:val="auto"/>
                <w:kern w:val="2"/>
                <w:sz w:val="21"/>
                <w:szCs w:val="21"/>
                <w:highlight w:val="none"/>
                <w:lang w:val="en-US" w:eastAsia="zh-CN" w:bidi="ar"/>
              </w:rPr>
            </w:pPr>
            <w:r>
              <w:rPr>
                <w:rFonts w:hint="eastAsia" w:ascii="宋体" w:hAnsi="宋体" w:eastAsia="宋体" w:cs="宋体"/>
                <w:i w:val="0"/>
                <w:color w:val="auto"/>
                <w:kern w:val="0"/>
                <w:sz w:val="21"/>
                <w:szCs w:val="21"/>
                <w:highlight w:val="none"/>
                <w:u w:val="none"/>
                <w:lang w:val="en-US" w:eastAsia="zh-CN" w:bidi="ar"/>
              </w:rPr>
              <w:t>本标项的核心产品为第8项号的“</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智慧黑板</w:t>
            </w:r>
            <w:r>
              <w:rPr>
                <w:rFonts w:hint="eastAsia" w:ascii="宋体" w:hAnsi="宋体" w:eastAsia="宋体" w:cs="宋体"/>
                <w:i w:val="0"/>
                <w:color w:val="auto"/>
                <w:kern w:val="0"/>
                <w:sz w:val="21"/>
                <w:szCs w:val="21"/>
                <w:highlight w:val="none"/>
                <w:u w:val="none"/>
                <w:lang w:val="en-US" w:eastAsia="zh-CN" w:bidi="ar"/>
              </w:rPr>
              <w:t>”。</w:t>
            </w:r>
          </w:p>
        </w:tc>
      </w:tr>
      <w:tr w14:paraId="36716EF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1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52C9280">
            <w:pPr>
              <w:keepNext w:val="0"/>
              <w:keepLines w:val="0"/>
              <w:pageBreakBefore w:val="0"/>
              <w:widowControl/>
              <w:suppressLineNumbers w:val="0"/>
              <w:tabs>
                <w:tab w:val="left" w:pos="180"/>
                <w:tab w:val="left" w:pos="1620"/>
              </w:tabs>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b/>
                <w:bCs w:val="0"/>
                <w:color w:val="auto"/>
                <w:kern w:val="2"/>
                <w:sz w:val="21"/>
                <w:szCs w:val="21"/>
                <w:highlight w:val="none"/>
              </w:rPr>
            </w:pPr>
            <w:r>
              <w:rPr>
                <w:rFonts w:hint="eastAsia" w:ascii="宋体" w:eastAsia="宋体" w:hAnsiTheme="minorEastAsia" w:cstheme="minorEastAsia"/>
                <w:b/>
                <w:bCs w:val="0"/>
                <w:color w:val="auto"/>
                <w:kern w:val="2"/>
                <w:sz w:val="21"/>
                <w:szCs w:val="21"/>
                <w:highlight w:val="none"/>
                <w:lang w:val="en-US" w:eastAsia="zh-CN" w:bidi="ar"/>
              </w:rPr>
              <w:t>（</w:t>
            </w:r>
            <w:r>
              <w:rPr>
                <w:rFonts w:hint="eastAsia" w:ascii="宋体" w:hAnsiTheme="minorEastAsia" w:cstheme="minorEastAsia"/>
                <w:b/>
                <w:bCs w:val="0"/>
                <w:color w:val="auto"/>
                <w:kern w:val="2"/>
                <w:sz w:val="21"/>
                <w:szCs w:val="21"/>
                <w:highlight w:val="none"/>
                <w:lang w:val="en-US" w:eastAsia="zh-CN" w:bidi="ar"/>
              </w:rPr>
              <w:t>二</w:t>
            </w:r>
            <w:r>
              <w:rPr>
                <w:rFonts w:hint="eastAsia" w:ascii="宋体" w:eastAsia="宋体" w:hAnsiTheme="minorEastAsia" w:cstheme="minorEastAsia"/>
                <w:b/>
                <w:bCs w:val="0"/>
                <w:color w:val="auto"/>
                <w:kern w:val="2"/>
                <w:sz w:val="21"/>
                <w:szCs w:val="21"/>
                <w:highlight w:val="none"/>
                <w:lang w:val="en-US" w:eastAsia="zh-CN" w:bidi="ar"/>
              </w:rPr>
              <w:t>）</w:t>
            </w:r>
            <w:r>
              <w:rPr>
                <w:rFonts w:hint="eastAsia" w:ascii="宋体" w:eastAsia="宋体" w:hAnsiTheme="minorEastAsia" w:cstheme="minorEastAsia"/>
                <w:b/>
                <w:bCs w:val="0"/>
                <w:color w:val="auto"/>
                <w:kern w:val="0"/>
                <w:sz w:val="21"/>
                <w:szCs w:val="21"/>
                <w:highlight w:val="none"/>
                <w:lang w:val="en-US" w:eastAsia="zh-CN" w:bidi="ar"/>
              </w:rPr>
              <w:t>售后服务</w:t>
            </w:r>
          </w:p>
        </w:tc>
        <w:tc>
          <w:tcPr>
            <w:tcW w:w="8267" w:type="dxa"/>
            <w:gridSpan w:val="4"/>
            <w:tcBorders>
              <w:top w:val="single" w:color="auto" w:sz="4" w:space="0"/>
              <w:left w:val="nil"/>
              <w:bottom w:val="single" w:color="auto" w:sz="4" w:space="0"/>
              <w:right w:val="single" w:color="auto" w:sz="4" w:space="0"/>
            </w:tcBorders>
            <w:shd w:val="clear" w:color="auto" w:fill="auto"/>
            <w:vAlign w:val="center"/>
          </w:tcPr>
          <w:p w14:paraId="1CD6A5E9">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供应商提供的以下售后服务均应包含在投标报价中，采购人不再就此另行支付任何费用：</w:t>
            </w:r>
          </w:p>
          <w:p w14:paraId="58242F8E">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1.按国家有关产品“三包”规定执行“三包”，采购需求中有要求的按要求执行，其余免费保修期不少于</w:t>
            </w:r>
            <w:r>
              <w:rPr>
                <w:rFonts w:hint="eastAsia" w:ascii="宋体" w:eastAsia="宋体" w:hAnsiTheme="minorEastAsia" w:cstheme="minorEastAsia"/>
                <w:b w:val="0"/>
                <w:color w:val="auto"/>
                <w:kern w:val="2"/>
                <w:sz w:val="21"/>
                <w:szCs w:val="21"/>
                <w:highlight w:val="none"/>
                <w:u w:val="single"/>
                <w:lang w:val="en-US" w:eastAsia="zh-CN" w:bidi="ar"/>
              </w:rPr>
              <w:t>1</w:t>
            </w:r>
            <w:r>
              <w:rPr>
                <w:rFonts w:hint="eastAsia" w:ascii="宋体" w:eastAsia="宋体" w:hAnsiTheme="minorEastAsia" w:cstheme="minorEastAsia"/>
                <w:b w:val="0"/>
                <w:color w:val="auto"/>
                <w:kern w:val="2"/>
                <w:sz w:val="21"/>
                <w:szCs w:val="21"/>
                <w:highlight w:val="none"/>
                <w:lang w:val="en-US" w:eastAsia="zh-CN" w:bidi="ar"/>
              </w:rPr>
              <w:t>年（厂家免费保修期承诺优于本条款要求的，按厂家承诺执行），自交货验收合格之日起计算。</w:t>
            </w:r>
          </w:p>
          <w:p w14:paraId="6584C18A">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hAnsiTheme="minorEastAsia" w:cstheme="minorEastAsia"/>
                <w:b w:val="0"/>
                <w:color w:val="auto"/>
                <w:kern w:val="2"/>
                <w:sz w:val="21"/>
                <w:szCs w:val="21"/>
                <w:highlight w:val="none"/>
                <w:lang w:val="en-US" w:eastAsia="zh-CN" w:bidi="ar"/>
              </w:rPr>
              <w:t>2.免费保修期内上门提供维修服务，出现故障时，2小时内响应，24小时内到达现场，维修需更备件的，常用备件24小时内更换解决故障，重要备件48小时内更换解决故障。如因产品故障影响工作，保修期将按产品因故障导致工作不能正常开展的时间加倍顺延，单台设备质保顺延累计最长不超过6个月。</w:t>
            </w:r>
          </w:p>
          <w:p w14:paraId="19C2DFD4">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3.安装调试要求：免费送货上门，免费现场安装调试至验收合格,免费对具体使用单位的操作人员进行技术培训，内容包括设备及软件系统操作、日常维护，确保熟练掌握全部功能为止。</w:t>
            </w:r>
          </w:p>
        </w:tc>
      </w:tr>
      <w:tr w14:paraId="2F6A21D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793" w:hRule="atLeast"/>
          <w:jc w:val="center"/>
        </w:trPr>
        <w:tc>
          <w:tcPr>
            <w:tcW w:w="1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6550D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b/>
                <w:bCs w:val="0"/>
                <w:color w:val="auto"/>
                <w:kern w:val="0"/>
                <w:sz w:val="21"/>
                <w:szCs w:val="21"/>
                <w:highlight w:val="none"/>
              </w:rPr>
            </w:pPr>
            <w:r>
              <w:rPr>
                <w:rFonts w:hint="eastAsia" w:asciiTheme="minorEastAsia" w:hAnsiTheme="minorEastAsia" w:eastAsiaTheme="minorEastAsia" w:cstheme="minorEastAsia"/>
                <w:b/>
                <w:bCs w:val="0"/>
                <w:color w:val="auto"/>
                <w:kern w:val="0"/>
                <w:sz w:val="21"/>
                <w:szCs w:val="21"/>
                <w:highlight w:val="none"/>
                <w:lang w:val="en-US" w:eastAsia="zh-CN" w:bidi="ar"/>
              </w:rPr>
              <w:t>（三）标的交付</w:t>
            </w:r>
          </w:p>
        </w:tc>
        <w:tc>
          <w:tcPr>
            <w:tcW w:w="8267" w:type="dxa"/>
            <w:gridSpan w:val="4"/>
            <w:tcBorders>
              <w:top w:val="single" w:color="auto" w:sz="4" w:space="0"/>
              <w:left w:val="nil"/>
              <w:bottom w:val="single" w:color="auto" w:sz="4" w:space="0"/>
              <w:right w:val="single" w:color="auto" w:sz="4" w:space="0"/>
            </w:tcBorders>
            <w:shd w:val="clear" w:color="auto" w:fill="auto"/>
            <w:vAlign w:val="center"/>
          </w:tcPr>
          <w:p w14:paraId="250D3DEB">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both"/>
              <w:outlineLvl w:val="1"/>
              <w:rPr>
                <w:rFonts w:hint="eastAsia" w:asciiTheme="minorEastAsia" w:hAnsiTheme="minorEastAsia" w:eastAsiaTheme="minorEastAsia" w:cstheme="minorEastAsia"/>
                <w:b w:val="0"/>
                <w:color w:val="auto"/>
                <w:kern w:val="2"/>
                <w:sz w:val="21"/>
                <w:szCs w:val="21"/>
                <w:highlight w:val="none"/>
              </w:rPr>
            </w:pPr>
            <w:r>
              <w:rPr>
                <w:rFonts w:hint="eastAsia" w:asciiTheme="minorEastAsia" w:hAnsiTheme="minorEastAsia" w:eastAsiaTheme="minorEastAsia" w:cstheme="minorEastAsia"/>
                <w:b w:val="0"/>
                <w:color w:val="auto"/>
                <w:kern w:val="2"/>
                <w:sz w:val="21"/>
                <w:szCs w:val="21"/>
                <w:highlight w:val="none"/>
                <w:lang w:val="en-US" w:eastAsia="zh-CN" w:bidi="ar"/>
              </w:rPr>
              <w:t>1.交付使用期：自签订合同之日起</w:t>
            </w:r>
            <w:r>
              <w:rPr>
                <w:rFonts w:hint="eastAsia" w:asciiTheme="minorEastAsia" w:hAnsiTheme="minorEastAsia" w:eastAsiaTheme="minorEastAsia" w:cstheme="minorEastAsia"/>
                <w:b w:val="0"/>
                <w:color w:val="auto"/>
                <w:kern w:val="2"/>
                <w:sz w:val="21"/>
                <w:szCs w:val="21"/>
                <w:highlight w:val="none"/>
                <w:u w:val="single"/>
                <w:lang w:val="en-US" w:eastAsia="zh-CN" w:bidi="ar"/>
              </w:rPr>
              <w:t>30</w:t>
            </w:r>
            <w:r>
              <w:rPr>
                <w:rFonts w:hint="eastAsia" w:asciiTheme="minorEastAsia" w:hAnsiTheme="minorEastAsia" w:eastAsiaTheme="minorEastAsia" w:cstheme="minorEastAsia"/>
                <w:b w:val="0"/>
                <w:color w:val="auto"/>
                <w:kern w:val="2"/>
                <w:sz w:val="21"/>
                <w:szCs w:val="21"/>
                <w:highlight w:val="none"/>
                <w:lang w:val="en-US" w:eastAsia="zh-CN" w:bidi="ar"/>
              </w:rPr>
              <w:t>个日历日内全部安装调试合格并交付使用。</w:t>
            </w:r>
          </w:p>
          <w:p w14:paraId="43003D90">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both"/>
              <w:outlineLvl w:val="1"/>
              <w:rPr>
                <w:rFonts w:hint="eastAsia" w:asciiTheme="minorEastAsia" w:hAnsiTheme="minorEastAsia" w:eastAsiaTheme="minorEastAsia" w:cstheme="minorEastAsia"/>
                <w:b w:val="0"/>
                <w:color w:val="auto"/>
                <w:kern w:val="2"/>
                <w:sz w:val="21"/>
                <w:szCs w:val="21"/>
                <w:highlight w:val="none"/>
              </w:rPr>
            </w:pPr>
            <w:r>
              <w:rPr>
                <w:rFonts w:hint="eastAsia" w:asciiTheme="minorEastAsia" w:hAnsiTheme="minorEastAsia" w:eastAsiaTheme="minorEastAsia" w:cstheme="minorEastAsia"/>
                <w:b w:val="0"/>
                <w:color w:val="auto"/>
                <w:kern w:val="2"/>
                <w:sz w:val="21"/>
                <w:szCs w:val="21"/>
                <w:highlight w:val="none"/>
                <w:lang w:val="en-US" w:eastAsia="zh-CN" w:bidi="ar"/>
              </w:rPr>
              <w:t>2.交付地点：</w:t>
            </w:r>
            <w:r>
              <w:rPr>
                <w:rFonts w:hint="eastAsia" w:cs="宋体"/>
                <w:b w:val="0"/>
                <w:color w:val="auto"/>
                <w:kern w:val="2"/>
                <w:sz w:val="21"/>
                <w:szCs w:val="21"/>
                <w:highlight w:val="none"/>
                <w:lang w:val="en-US" w:eastAsia="zh-CN" w:bidi="ar"/>
              </w:rPr>
              <w:t>阳朔县中等职业学校</w:t>
            </w:r>
            <w:r>
              <w:rPr>
                <w:rFonts w:hint="eastAsia" w:asciiTheme="minorEastAsia" w:hAnsiTheme="minorEastAsia" w:eastAsiaTheme="minorEastAsia" w:cstheme="minorEastAsia"/>
                <w:b w:val="0"/>
                <w:color w:val="auto"/>
                <w:kern w:val="2"/>
                <w:sz w:val="21"/>
                <w:szCs w:val="21"/>
                <w:highlight w:val="none"/>
                <w:lang w:val="en-US" w:eastAsia="zh-CN" w:bidi="ar"/>
              </w:rPr>
              <w:t>。</w:t>
            </w:r>
          </w:p>
        </w:tc>
      </w:tr>
      <w:tr w14:paraId="3089E96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1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50F0050">
            <w:pPr>
              <w:keepNext w:val="0"/>
              <w:keepLines w:val="0"/>
              <w:pageBreakBefore w:val="0"/>
              <w:widowControl/>
              <w:suppressLineNumbers w:val="0"/>
              <w:tabs>
                <w:tab w:val="left" w:pos="180"/>
                <w:tab w:val="left" w:pos="1620"/>
              </w:tabs>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b/>
                <w:bCs w:val="0"/>
                <w:color w:val="auto"/>
                <w:spacing w:val="-2"/>
                <w:kern w:val="2"/>
                <w:sz w:val="21"/>
                <w:szCs w:val="21"/>
                <w:highlight w:val="none"/>
              </w:rPr>
            </w:pPr>
            <w:r>
              <w:rPr>
                <w:rFonts w:hint="eastAsia" w:asciiTheme="minorEastAsia" w:hAnsiTheme="minorEastAsia" w:eastAsiaTheme="minorEastAsia" w:cstheme="minorEastAsia"/>
                <w:b/>
                <w:bCs w:val="0"/>
                <w:color w:val="auto"/>
                <w:kern w:val="0"/>
                <w:sz w:val="21"/>
                <w:szCs w:val="21"/>
                <w:highlight w:val="none"/>
                <w:lang w:val="en-US" w:eastAsia="zh-CN" w:bidi="ar"/>
              </w:rPr>
              <w:t>（四）付款方式</w:t>
            </w:r>
          </w:p>
        </w:tc>
        <w:tc>
          <w:tcPr>
            <w:tcW w:w="8267" w:type="dxa"/>
            <w:gridSpan w:val="4"/>
            <w:tcBorders>
              <w:top w:val="single" w:color="auto" w:sz="4" w:space="0"/>
              <w:left w:val="nil"/>
              <w:bottom w:val="single" w:color="auto" w:sz="4" w:space="0"/>
              <w:right w:val="single" w:color="auto" w:sz="4" w:space="0"/>
            </w:tcBorders>
            <w:shd w:val="clear" w:color="auto" w:fill="auto"/>
            <w:vAlign w:val="center"/>
          </w:tcPr>
          <w:p w14:paraId="00DBF235">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b w:val="0"/>
                <w:color w:val="auto"/>
                <w:kern w:val="2"/>
                <w:sz w:val="21"/>
                <w:szCs w:val="21"/>
                <w:highlight w:val="none"/>
              </w:rPr>
            </w:pPr>
            <w:r>
              <w:rPr>
                <w:rFonts w:hint="eastAsia" w:asciiTheme="minorEastAsia" w:hAnsiTheme="minorEastAsia" w:eastAsiaTheme="minorEastAsia" w:cstheme="minorEastAsia"/>
                <w:b w:val="0"/>
                <w:color w:val="auto"/>
                <w:kern w:val="2"/>
                <w:sz w:val="21"/>
                <w:szCs w:val="21"/>
                <w:highlight w:val="none"/>
                <w:lang w:val="en-US" w:eastAsia="zh-CN" w:bidi="ar"/>
              </w:rPr>
              <w:t>货物验收合格后10个工作日内支付合同金额的100%，付款前供应商必须提供等额合法有效发票给采购人，否则采购人有权顺延支付款项且不承担违约责任。</w:t>
            </w:r>
          </w:p>
        </w:tc>
      </w:tr>
      <w:tr w14:paraId="6E62946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280" w:hRule="atLeast"/>
          <w:jc w:val="center"/>
        </w:trPr>
        <w:tc>
          <w:tcPr>
            <w:tcW w:w="1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488CA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b/>
                <w:bCs w:val="0"/>
                <w:color w:val="auto"/>
                <w:kern w:val="0"/>
                <w:sz w:val="21"/>
                <w:szCs w:val="21"/>
                <w:highlight w:val="none"/>
              </w:rPr>
            </w:pPr>
            <w:r>
              <w:rPr>
                <w:rFonts w:hint="eastAsia" w:ascii="宋体" w:eastAsia="宋体" w:hAnsiTheme="minorEastAsia" w:cstheme="minorEastAsia"/>
                <w:b/>
                <w:bCs w:val="0"/>
                <w:color w:val="auto"/>
                <w:kern w:val="0"/>
                <w:sz w:val="21"/>
                <w:szCs w:val="21"/>
                <w:highlight w:val="none"/>
                <w:lang w:val="en-US" w:eastAsia="zh-CN" w:bidi="ar"/>
              </w:rPr>
              <w:t>（</w:t>
            </w:r>
            <w:r>
              <w:rPr>
                <w:rFonts w:hint="eastAsia" w:ascii="宋体" w:hAnsiTheme="minorEastAsia" w:cstheme="minorEastAsia"/>
                <w:b/>
                <w:bCs w:val="0"/>
                <w:color w:val="auto"/>
                <w:kern w:val="0"/>
                <w:sz w:val="21"/>
                <w:szCs w:val="21"/>
                <w:highlight w:val="none"/>
                <w:lang w:val="en-US" w:eastAsia="zh-CN" w:bidi="ar"/>
              </w:rPr>
              <w:t>五</w:t>
            </w:r>
            <w:r>
              <w:rPr>
                <w:rFonts w:hint="eastAsia" w:ascii="宋体" w:eastAsia="宋体" w:hAnsiTheme="minorEastAsia" w:cstheme="minorEastAsia"/>
                <w:b/>
                <w:bCs w:val="0"/>
                <w:color w:val="auto"/>
                <w:kern w:val="0"/>
                <w:sz w:val="21"/>
                <w:szCs w:val="21"/>
                <w:highlight w:val="none"/>
                <w:lang w:val="en-US" w:eastAsia="zh-CN" w:bidi="ar"/>
              </w:rPr>
              <w:t>）质量标准及验收</w:t>
            </w:r>
          </w:p>
        </w:tc>
        <w:tc>
          <w:tcPr>
            <w:tcW w:w="8267" w:type="dxa"/>
            <w:gridSpan w:val="4"/>
            <w:tcBorders>
              <w:top w:val="single" w:color="auto" w:sz="4" w:space="0"/>
              <w:left w:val="nil"/>
              <w:bottom w:val="single" w:color="auto" w:sz="4" w:space="0"/>
              <w:right w:val="single" w:color="auto" w:sz="4" w:space="0"/>
            </w:tcBorders>
            <w:shd w:val="clear" w:color="auto" w:fill="auto"/>
            <w:vAlign w:val="center"/>
          </w:tcPr>
          <w:p w14:paraId="358E9D6A">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1.供应商提供的产品必须符合国家强制执行的相关质量标准要求以及产品制造厂家合格产品的出厂质量标准。</w:t>
            </w:r>
          </w:p>
          <w:p w14:paraId="49842C6C">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2.设备需全新、完好、无破损，产品到货后，采购人现场根据招标文件要求及响应文件承诺逐条对应进行核验，必要时，采购人有权邀请国家质量监督检验部门或国家认可的检测机构参与共同验收。如产品不满足招标文件要求、成交供应商响应承诺或国家强制执行的相关质量标准要求以及产品制造厂家合格产品的出厂质量标准，采购人有权不予验收，由此造成采购人的经济损失由成交供应商承担全部赔偿责任。</w:t>
            </w:r>
          </w:p>
          <w:p w14:paraId="19511A13">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3.验收要求：设备到货及验收时需提供的资料：①产品的中文操作、维修、保养手册；②产品出厂检验合格证书；③产品到货清单。</w:t>
            </w:r>
          </w:p>
        </w:tc>
      </w:tr>
      <w:tr w14:paraId="79E23BD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480" w:hRule="atLeast"/>
          <w:jc w:val="center"/>
        </w:trPr>
        <w:tc>
          <w:tcPr>
            <w:tcW w:w="1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502AA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b/>
                <w:bCs w:val="0"/>
                <w:color w:val="auto"/>
                <w:kern w:val="0"/>
                <w:sz w:val="21"/>
                <w:szCs w:val="21"/>
                <w:highlight w:val="none"/>
              </w:rPr>
            </w:pPr>
            <w:r>
              <w:rPr>
                <w:rFonts w:hint="eastAsia" w:ascii="宋体" w:eastAsia="宋体" w:hAnsiTheme="minorEastAsia" w:cstheme="minorEastAsia"/>
                <w:b/>
                <w:bCs w:val="0"/>
                <w:color w:val="auto"/>
                <w:kern w:val="0"/>
                <w:sz w:val="21"/>
                <w:szCs w:val="21"/>
                <w:highlight w:val="none"/>
                <w:lang w:val="en-US" w:eastAsia="zh-CN" w:bidi="ar"/>
              </w:rPr>
              <w:t>（</w:t>
            </w:r>
            <w:r>
              <w:rPr>
                <w:rFonts w:hint="eastAsia" w:ascii="宋体" w:hAnsiTheme="minorEastAsia" w:cstheme="minorEastAsia"/>
                <w:b/>
                <w:bCs w:val="0"/>
                <w:color w:val="auto"/>
                <w:kern w:val="0"/>
                <w:sz w:val="21"/>
                <w:szCs w:val="21"/>
                <w:highlight w:val="none"/>
                <w:lang w:val="en-US" w:eastAsia="zh-CN" w:bidi="ar"/>
              </w:rPr>
              <w:t>六</w:t>
            </w:r>
            <w:r>
              <w:rPr>
                <w:rFonts w:hint="eastAsia" w:ascii="宋体" w:eastAsia="宋体" w:hAnsiTheme="minorEastAsia" w:cstheme="minorEastAsia"/>
                <w:b/>
                <w:bCs w:val="0"/>
                <w:color w:val="auto"/>
                <w:kern w:val="0"/>
                <w:sz w:val="21"/>
                <w:szCs w:val="21"/>
                <w:highlight w:val="none"/>
                <w:lang w:val="en-US" w:eastAsia="zh-CN" w:bidi="ar"/>
              </w:rPr>
              <w:t>）包装和运输</w:t>
            </w:r>
          </w:p>
        </w:tc>
        <w:tc>
          <w:tcPr>
            <w:tcW w:w="8267" w:type="dxa"/>
            <w:gridSpan w:val="4"/>
            <w:tcBorders>
              <w:top w:val="single" w:color="auto" w:sz="4" w:space="0"/>
              <w:left w:val="nil"/>
              <w:bottom w:val="single" w:color="auto" w:sz="4" w:space="0"/>
              <w:right w:val="single" w:color="auto" w:sz="4" w:space="0"/>
            </w:tcBorders>
            <w:shd w:val="clear" w:color="auto" w:fill="auto"/>
            <w:vAlign w:val="center"/>
          </w:tcPr>
          <w:p w14:paraId="2A62006A">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1.原厂原包装，包装完好、完整无破损、未开封。</w:t>
            </w:r>
          </w:p>
          <w:p w14:paraId="72F4A5DC">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2.包装及运输方式应综合考虑运输距离、防潮、防震、防锈和防破损装卸等要求。</w:t>
            </w:r>
          </w:p>
          <w:p w14:paraId="68E5681F">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3.国家对包装及运输有相关强制性标准或要求的，成交供应商应当执行。</w:t>
            </w:r>
          </w:p>
          <w:p w14:paraId="7C1BE848">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4.产品（含包装）运抵采购人指定交付地点前发生损坏的，相关损失由成交供应商自行承担。</w:t>
            </w:r>
          </w:p>
        </w:tc>
      </w:tr>
      <w:tr w14:paraId="13E7484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1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A40C2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b/>
                <w:bCs w:val="0"/>
                <w:color w:val="auto"/>
                <w:kern w:val="0"/>
                <w:sz w:val="21"/>
                <w:szCs w:val="21"/>
                <w:highlight w:val="none"/>
              </w:rPr>
            </w:pPr>
            <w:r>
              <w:rPr>
                <w:rFonts w:hint="eastAsia" w:ascii="宋体" w:eastAsia="宋体" w:hAnsiTheme="minorEastAsia" w:cstheme="minorEastAsia"/>
                <w:b/>
                <w:bCs w:val="0"/>
                <w:color w:val="auto"/>
                <w:kern w:val="0"/>
                <w:sz w:val="21"/>
                <w:szCs w:val="21"/>
                <w:highlight w:val="none"/>
                <w:lang w:val="en-US" w:eastAsia="zh-CN" w:bidi="ar"/>
              </w:rPr>
              <w:t>（</w:t>
            </w:r>
            <w:r>
              <w:rPr>
                <w:rFonts w:hint="eastAsia" w:ascii="宋体" w:hAnsiTheme="minorEastAsia" w:cstheme="minorEastAsia"/>
                <w:b/>
                <w:bCs w:val="0"/>
                <w:color w:val="auto"/>
                <w:kern w:val="0"/>
                <w:sz w:val="21"/>
                <w:szCs w:val="21"/>
                <w:highlight w:val="none"/>
                <w:lang w:val="en-US" w:eastAsia="zh-CN" w:bidi="ar"/>
              </w:rPr>
              <w:t>七</w:t>
            </w:r>
            <w:r>
              <w:rPr>
                <w:rFonts w:hint="eastAsia" w:ascii="宋体" w:eastAsia="宋体" w:hAnsiTheme="minorEastAsia" w:cstheme="minorEastAsia"/>
                <w:b/>
                <w:bCs w:val="0"/>
                <w:color w:val="auto"/>
                <w:kern w:val="0"/>
                <w:sz w:val="21"/>
                <w:szCs w:val="21"/>
                <w:highlight w:val="none"/>
                <w:lang w:val="en-US" w:eastAsia="zh-CN" w:bidi="ar"/>
              </w:rPr>
              <w:t>）保险</w:t>
            </w:r>
          </w:p>
        </w:tc>
        <w:tc>
          <w:tcPr>
            <w:tcW w:w="8267" w:type="dxa"/>
            <w:gridSpan w:val="4"/>
            <w:tcBorders>
              <w:top w:val="single" w:color="auto" w:sz="4" w:space="0"/>
              <w:left w:val="nil"/>
              <w:bottom w:val="single" w:color="auto" w:sz="4" w:space="0"/>
              <w:right w:val="single" w:color="auto" w:sz="4" w:space="0"/>
            </w:tcBorders>
            <w:shd w:val="clear" w:color="auto" w:fill="auto"/>
            <w:vAlign w:val="center"/>
          </w:tcPr>
          <w:p w14:paraId="08EDAF0A">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若供应商为所投标的及标的涉及的相关材料、设备、人员、运输等投保的，保险相关费用由供应商自行承担。</w:t>
            </w:r>
          </w:p>
        </w:tc>
      </w:tr>
      <w:tr w14:paraId="0082503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987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521EB890">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b/>
                <w:bCs w:val="0"/>
                <w:color w:val="auto"/>
                <w:kern w:val="2"/>
                <w:sz w:val="21"/>
                <w:szCs w:val="21"/>
                <w:highlight w:val="none"/>
              </w:rPr>
            </w:pPr>
            <w:r>
              <w:rPr>
                <w:rFonts w:hint="eastAsia" w:asciiTheme="minorEastAsia" w:hAnsiTheme="minorEastAsia" w:eastAsiaTheme="minorEastAsia" w:cstheme="minorEastAsia"/>
                <w:b/>
                <w:bCs w:val="0"/>
                <w:color w:val="auto"/>
                <w:kern w:val="0"/>
                <w:sz w:val="21"/>
                <w:szCs w:val="21"/>
                <w:highlight w:val="none"/>
                <w:lang w:val="en-US" w:eastAsia="zh-CN" w:bidi="ar"/>
              </w:rPr>
              <w:t>三、其他要求</w:t>
            </w:r>
          </w:p>
        </w:tc>
      </w:tr>
      <w:tr w14:paraId="2E95675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987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407B6A06">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b w:val="0"/>
                <w:color w:val="auto"/>
                <w:kern w:val="2"/>
                <w:sz w:val="21"/>
                <w:szCs w:val="21"/>
                <w:highlight w:val="none"/>
              </w:rPr>
            </w:pPr>
            <w:r>
              <w:rPr>
                <w:rFonts w:hint="eastAsia" w:asciiTheme="minorEastAsia" w:hAnsiTheme="minorEastAsia" w:eastAsiaTheme="minorEastAsia" w:cstheme="minorEastAsia"/>
                <w:b w:val="0"/>
                <w:color w:val="auto"/>
                <w:kern w:val="2"/>
                <w:sz w:val="21"/>
                <w:szCs w:val="21"/>
                <w:highlight w:val="none"/>
                <w:lang w:val="en-US" w:eastAsia="zh-CN" w:bidi="ar"/>
              </w:rPr>
              <w:t>1.本分标政府采购预算金额为人民币柒拾陆万元整（￥760000.00），报价超出采购预算金额的按响应无效处理。</w:t>
            </w:r>
          </w:p>
          <w:p w14:paraId="75FCB485">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b w:val="0"/>
                <w:color w:val="auto"/>
                <w:kern w:val="2"/>
                <w:sz w:val="21"/>
                <w:szCs w:val="21"/>
                <w:highlight w:val="none"/>
              </w:rPr>
            </w:pPr>
            <w:r>
              <w:rPr>
                <w:rFonts w:hint="eastAsia" w:asciiTheme="minorEastAsia" w:hAnsiTheme="minorEastAsia" w:eastAsiaTheme="minorEastAsia" w:cstheme="minorEastAsia"/>
                <w:b w:val="0"/>
                <w:color w:val="auto"/>
                <w:kern w:val="2"/>
                <w:sz w:val="21"/>
                <w:szCs w:val="21"/>
                <w:highlight w:val="none"/>
                <w:lang w:val="en-US" w:eastAsia="zh-CN" w:bidi="ar"/>
              </w:rPr>
              <w:t>2.本项目货物不接受进口产品（即通过中国海关报关验放进入中国境内且产自关境外的产品），如有此类产品参与投标的，按响应无效处理。</w:t>
            </w:r>
          </w:p>
          <w:p w14:paraId="138F6DE3">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b w:val="0"/>
                <w:color w:val="auto"/>
                <w:kern w:val="2"/>
                <w:sz w:val="21"/>
                <w:szCs w:val="21"/>
                <w:highlight w:val="none"/>
                <w:lang w:val="en-US" w:eastAsia="zh-CN" w:bidi="ar"/>
              </w:rPr>
            </w:pPr>
            <w:r>
              <w:rPr>
                <w:rFonts w:hint="eastAsia" w:asciiTheme="minorEastAsia" w:hAnsiTheme="minorEastAsia" w:eastAsiaTheme="minorEastAsia" w:cstheme="minorEastAsia"/>
                <w:b w:val="0"/>
                <w:color w:val="auto"/>
                <w:kern w:val="2"/>
                <w:sz w:val="21"/>
                <w:szCs w:val="21"/>
                <w:highlight w:val="none"/>
                <w:lang w:val="en-US" w:eastAsia="zh-CN" w:bidi="ar"/>
              </w:rPr>
              <w:t>3.投标报价应包括本次采购范围内货物货款、货物标准附件、备品备件、专用工具、包装、运输、装卸、保险、税金、货到就位以及安装、安装所需辅材、调试、培训、保修和和采购文件要求提供的所有伴随服务、工程等费用和税费。</w:t>
            </w:r>
          </w:p>
          <w:p w14:paraId="43131C7C">
            <w:pPr>
              <w:pStyle w:val="46"/>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b w:val="0"/>
                <w:color w:val="auto"/>
                <w:kern w:val="2"/>
                <w:sz w:val="21"/>
                <w:szCs w:val="21"/>
                <w:highlight w:val="none"/>
                <w:lang w:val="en-US" w:eastAsia="zh-CN" w:bidi="ar"/>
              </w:rPr>
            </w:pPr>
            <w:r>
              <w:rPr>
                <w:rFonts w:hint="eastAsia" w:asciiTheme="minorEastAsia" w:hAnsiTheme="minorEastAsia" w:eastAsiaTheme="minorEastAsia" w:cstheme="minorEastAsia"/>
                <w:b w:val="0"/>
                <w:color w:val="auto"/>
                <w:kern w:val="2"/>
                <w:sz w:val="21"/>
                <w:szCs w:val="21"/>
                <w:highlight w:val="none"/>
                <w:lang w:val="en-US" w:eastAsia="zh-CN" w:bidi="ar"/>
              </w:rPr>
              <w:t>4.本校现有办公协同平台为钉钉，校内教职工日常考勤、签到均使用该平台。本项目数字化校园管理系统需要与学校已部署的钉钉平台完成对接，实现考勤、签到课时数据同步。</w:t>
            </w:r>
          </w:p>
        </w:tc>
      </w:tr>
    </w:tbl>
    <w:p w14:paraId="604D9E45">
      <w:pPr>
        <w:pStyle w:val="19"/>
        <w:spacing w:before="57" w:line="262" w:lineRule="auto"/>
        <w:ind w:left="27" w:hanging="2"/>
        <w:rPr>
          <w:color w:val="auto"/>
          <w:highlight w:val="none"/>
          <w:bdr w:val="single" w:sz="4" w:space="0"/>
        </w:rPr>
      </w:pPr>
      <w:r>
        <w:rPr>
          <w:rFonts w:hint="eastAsia" w:ascii="宋体" w:hAnsi="宋体"/>
          <w:b/>
          <w:color w:val="auto"/>
          <w:sz w:val="32"/>
          <w:szCs w:val="32"/>
          <w:highlight w:val="none"/>
        </w:rPr>
        <w:br w:type="page"/>
      </w:r>
      <w:r>
        <w:rPr>
          <w:color w:val="auto"/>
          <w:highlight w:val="none"/>
        </w:rPr>
        <w:drawing>
          <wp:inline distT="0" distB="0" distL="114300" distR="114300">
            <wp:extent cx="5353050" cy="8705850"/>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7"/>
                    <a:stretch>
                      <a:fillRect/>
                    </a:stretch>
                  </pic:blipFill>
                  <pic:spPr>
                    <a:xfrm>
                      <a:off x="0" y="0"/>
                      <a:ext cx="5353050" cy="8705850"/>
                    </a:xfrm>
                    <a:prstGeom prst="rect">
                      <a:avLst/>
                    </a:prstGeom>
                    <a:noFill/>
                    <a:ln>
                      <a:noFill/>
                    </a:ln>
                  </pic:spPr>
                </pic:pic>
              </a:graphicData>
            </a:graphic>
          </wp:inline>
        </w:drawing>
      </w:r>
      <w:r>
        <w:rPr>
          <w:color w:val="auto"/>
          <w:highlight w:val="none"/>
          <w:bdr w:val="single" w:sz="4" w:space="0"/>
        </w:rPr>
        <w:drawing>
          <wp:inline distT="0" distB="0" distL="114300" distR="114300">
            <wp:extent cx="5353050" cy="8524875"/>
            <wp:effectExtent l="0" t="0" r="0" b="952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8"/>
                    <a:stretch>
                      <a:fillRect/>
                    </a:stretch>
                  </pic:blipFill>
                  <pic:spPr>
                    <a:xfrm>
                      <a:off x="0" y="0"/>
                      <a:ext cx="5353050" cy="8524875"/>
                    </a:xfrm>
                    <a:prstGeom prst="rect">
                      <a:avLst/>
                    </a:prstGeom>
                    <a:noFill/>
                    <a:ln>
                      <a:noFill/>
                    </a:ln>
                  </pic:spPr>
                </pic:pic>
              </a:graphicData>
            </a:graphic>
          </wp:inline>
        </w:drawing>
      </w:r>
      <w:r>
        <w:rPr>
          <w:color w:val="auto"/>
          <w:highlight w:val="none"/>
          <w:bdr w:val="single" w:sz="4" w:space="0"/>
        </w:rPr>
        <w:drawing>
          <wp:inline distT="0" distB="0" distL="114300" distR="114300">
            <wp:extent cx="5353050" cy="8591550"/>
            <wp:effectExtent l="0" t="0" r="0" b="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9"/>
                    <a:stretch>
                      <a:fillRect/>
                    </a:stretch>
                  </pic:blipFill>
                  <pic:spPr>
                    <a:xfrm>
                      <a:off x="0" y="0"/>
                      <a:ext cx="5353050" cy="8591550"/>
                    </a:xfrm>
                    <a:prstGeom prst="rect">
                      <a:avLst/>
                    </a:prstGeom>
                    <a:noFill/>
                    <a:ln>
                      <a:noFill/>
                    </a:ln>
                  </pic:spPr>
                </pic:pic>
              </a:graphicData>
            </a:graphic>
          </wp:inline>
        </w:drawing>
      </w:r>
    </w:p>
    <w:p w14:paraId="3BED96B9">
      <w:pPr>
        <w:pStyle w:val="19"/>
        <w:spacing w:before="57" w:line="262" w:lineRule="auto"/>
        <w:ind w:left="27" w:hanging="2"/>
        <w:rPr>
          <w:color w:val="auto"/>
          <w:highlight w:val="none"/>
          <w:bdr w:val="single" w:sz="4" w:space="0"/>
        </w:rPr>
      </w:pPr>
    </w:p>
    <w:p w14:paraId="216B2D57">
      <w:pPr>
        <w:pStyle w:val="19"/>
        <w:spacing w:before="57" w:line="262" w:lineRule="auto"/>
        <w:ind w:left="27" w:hanging="2"/>
        <w:rPr>
          <w:color w:val="auto"/>
          <w:highlight w:val="none"/>
        </w:rPr>
      </w:pPr>
      <w:r>
        <w:rPr>
          <w:color w:val="auto"/>
          <w:highlight w:val="none"/>
        </w:rPr>
        <w:drawing>
          <wp:inline distT="0" distB="0" distL="114300" distR="114300">
            <wp:extent cx="5353050" cy="2038350"/>
            <wp:effectExtent l="0" t="0" r="0" b="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0"/>
                    <a:stretch>
                      <a:fillRect/>
                    </a:stretch>
                  </pic:blipFill>
                  <pic:spPr>
                    <a:xfrm>
                      <a:off x="0" y="0"/>
                      <a:ext cx="5353050" cy="2038350"/>
                    </a:xfrm>
                    <a:prstGeom prst="rect">
                      <a:avLst/>
                    </a:prstGeom>
                    <a:noFill/>
                    <a:ln>
                      <a:noFill/>
                    </a:ln>
                  </pic:spPr>
                </pic:pic>
              </a:graphicData>
            </a:graphic>
          </wp:inline>
        </w:drawing>
      </w:r>
    </w:p>
    <w:p w14:paraId="5741054B">
      <w:pPr>
        <w:pStyle w:val="19"/>
        <w:spacing w:before="57" w:line="262" w:lineRule="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注：1.节能产品认证应依据相关国家标准的最新版</w:t>
      </w:r>
      <w:r>
        <w:rPr>
          <w:rFonts w:hint="eastAsia" w:ascii="宋体" w:hAnsi="宋体" w:eastAsia="宋体" w:cs="宋体"/>
          <w:color w:val="auto"/>
          <w:spacing w:val="-3"/>
          <w:sz w:val="21"/>
          <w:szCs w:val="21"/>
          <w:highlight w:val="none"/>
        </w:rPr>
        <w:t>本，依据国家标准中二级能效（水效）</w:t>
      </w:r>
      <w:r>
        <w:rPr>
          <w:rFonts w:hint="eastAsia" w:ascii="宋体" w:hAnsi="宋体" w:eastAsia="宋体" w:cs="宋体"/>
          <w:color w:val="auto"/>
          <w:spacing w:val="-4"/>
          <w:sz w:val="21"/>
          <w:szCs w:val="21"/>
          <w:highlight w:val="none"/>
        </w:rPr>
        <w:t>指标。</w:t>
      </w:r>
    </w:p>
    <w:p w14:paraId="31810483">
      <w:pPr>
        <w:pStyle w:val="19"/>
        <w:spacing w:before="1" w:line="261" w:lineRule="auto"/>
        <w:ind w:left="25" w:right="97" w:firstLine="44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2.上述产品中认证标准发生变更的，依据原认</w:t>
      </w:r>
      <w:r>
        <w:rPr>
          <w:rFonts w:hint="eastAsia" w:ascii="宋体" w:hAnsi="宋体" w:eastAsia="宋体" w:cs="宋体"/>
          <w:color w:val="auto"/>
          <w:sz w:val="21"/>
          <w:szCs w:val="21"/>
          <w:highlight w:val="none"/>
        </w:rPr>
        <w:t>证标准获得的、仍在有效期内的认证</w:t>
      </w:r>
      <w:r>
        <w:rPr>
          <w:rFonts w:hint="eastAsia" w:ascii="宋体" w:hAnsi="宋体" w:eastAsia="宋体" w:cs="宋体"/>
          <w:color w:val="auto"/>
          <w:spacing w:val="-8"/>
          <w:sz w:val="21"/>
          <w:szCs w:val="21"/>
          <w:highlight w:val="none"/>
        </w:rPr>
        <w:t>证书可使用至</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8"/>
          <w:sz w:val="21"/>
          <w:szCs w:val="21"/>
          <w:highlight w:val="none"/>
        </w:rPr>
        <w:t>2019</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8"/>
          <w:sz w:val="21"/>
          <w:szCs w:val="21"/>
          <w:highlight w:val="none"/>
        </w:rPr>
        <w:t>年</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8"/>
          <w:sz w:val="21"/>
          <w:szCs w:val="21"/>
          <w:highlight w:val="none"/>
        </w:rPr>
        <w:t>6</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8"/>
          <w:sz w:val="21"/>
          <w:szCs w:val="21"/>
          <w:highlight w:val="none"/>
        </w:rPr>
        <w:t>月</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8"/>
          <w:sz w:val="21"/>
          <w:szCs w:val="21"/>
          <w:highlight w:val="none"/>
        </w:rPr>
        <w:t>1 日。</w:t>
      </w:r>
    </w:p>
    <w:p w14:paraId="1ECFBD44">
      <w:pPr>
        <w:pStyle w:val="19"/>
        <w:spacing w:line="220" w:lineRule="auto"/>
        <w:ind w:left="47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3.以“★</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3"/>
          <w:sz w:val="21"/>
          <w:szCs w:val="21"/>
          <w:highlight w:val="none"/>
        </w:rPr>
        <w:t>”标注的为政府强制采购产品。</w:t>
      </w:r>
    </w:p>
    <w:p w14:paraId="305A8860">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696C6DDA">
      <w:pPr>
        <w:spacing w:line="396" w:lineRule="exact"/>
        <w:jc w:val="center"/>
        <w:outlineLvl w:val="0"/>
        <w:rPr>
          <w:rFonts w:hint="eastAsia" w:ascii="宋体" w:hAnsi="宋体"/>
          <w:b/>
          <w:color w:val="auto"/>
          <w:highlight w:val="none"/>
        </w:rPr>
      </w:pPr>
      <w:r>
        <w:rPr>
          <w:rFonts w:hint="eastAsia" w:ascii="宋体" w:hAnsi="宋体"/>
          <w:b/>
          <w:color w:val="auto"/>
          <w:sz w:val="32"/>
          <w:szCs w:val="32"/>
          <w:highlight w:val="none"/>
        </w:rPr>
        <w:t>第四章  评标办法</w:t>
      </w:r>
      <w:bookmarkEnd w:id="10"/>
    </w:p>
    <w:p w14:paraId="62716B1F">
      <w:pPr>
        <w:spacing w:line="360" w:lineRule="exact"/>
        <w:ind w:firstLine="424" w:firstLineChars="176"/>
        <w:rPr>
          <w:rFonts w:hint="eastAsia" w:ascii="宋体" w:hAnsi="宋体"/>
          <w:b/>
          <w:color w:val="auto"/>
          <w:kern w:val="0"/>
          <w:sz w:val="24"/>
          <w:szCs w:val="21"/>
          <w:highlight w:val="none"/>
        </w:rPr>
      </w:pPr>
      <w:r>
        <w:rPr>
          <w:rFonts w:hint="eastAsia" w:ascii="宋体" w:hAnsi="宋体"/>
          <w:b/>
          <w:color w:val="auto"/>
          <w:kern w:val="0"/>
          <w:sz w:val="24"/>
          <w:szCs w:val="21"/>
          <w:highlight w:val="none"/>
        </w:rPr>
        <w:t xml:space="preserve">一、投标文件评审（初步评审） </w:t>
      </w:r>
    </w:p>
    <w:p w14:paraId="34276419">
      <w:pPr>
        <w:spacing w:line="360" w:lineRule="exact"/>
        <w:ind w:firstLine="369" w:firstLineChars="176"/>
        <w:rPr>
          <w:rFonts w:hint="eastAsia" w:ascii="宋体" w:hAnsi="宋体"/>
          <w:color w:val="auto"/>
          <w:szCs w:val="21"/>
          <w:highlight w:val="none"/>
        </w:rPr>
      </w:pPr>
      <w:r>
        <w:rPr>
          <w:rFonts w:hint="eastAsia" w:ascii="宋体" w:hAnsi="宋体"/>
          <w:color w:val="auto"/>
          <w:szCs w:val="21"/>
          <w:highlight w:val="none"/>
        </w:rPr>
        <w:t>1.采购人依据法律法规和招标文件的规定，对投标文件中的资格证明进行资格性审查，以确定投标投标人是否具备投标资格。</w:t>
      </w:r>
    </w:p>
    <w:p w14:paraId="6637D2C5">
      <w:pPr>
        <w:spacing w:line="360" w:lineRule="exact"/>
        <w:ind w:firstLine="369" w:firstLineChars="176"/>
        <w:rPr>
          <w:rFonts w:hint="eastAsia" w:ascii="宋体" w:hAnsi="宋体"/>
          <w:color w:val="auto"/>
          <w:szCs w:val="21"/>
          <w:highlight w:val="none"/>
        </w:rPr>
      </w:pPr>
      <w:r>
        <w:rPr>
          <w:rFonts w:hint="eastAsia" w:ascii="宋体" w:hAnsi="宋体"/>
          <w:color w:val="auto"/>
          <w:szCs w:val="21"/>
          <w:highlight w:val="none"/>
        </w:rPr>
        <w:t>2.评标委员会依据招标文件的规定，从投标文件的有效性、完整性和对招标文件的响应程度进行符合性审查，以确定是否对招标文件的实质性要求作出响应。</w:t>
      </w:r>
    </w:p>
    <w:p w14:paraId="069DB88B">
      <w:pPr>
        <w:spacing w:line="360" w:lineRule="exact"/>
        <w:ind w:firstLine="424" w:firstLineChars="176"/>
        <w:rPr>
          <w:rFonts w:hint="eastAsia" w:ascii="宋体" w:hAnsi="宋体"/>
          <w:b/>
          <w:bCs/>
          <w:color w:val="auto"/>
          <w:sz w:val="24"/>
          <w:szCs w:val="21"/>
          <w:highlight w:val="none"/>
        </w:rPr>
      </w:pPr>
      <w:r>
        <w:rPr>
          <w:rFonts w:hint="eastAsia" w:ascii="宋体" w:hAnsi="宋体"/>
          <w:b/>
          <w:color w:val="auto"/>
          <w:sz w:val="24"/>
          <w:szCs w:val="21"/>
          <w:highlight w:val="none"/>
        </w:rPr>
        <w:t>二、</w:t>
      </w:r>
      <w:r>
        <w:rPr>
          <w:rFonts w:hint="eastAsia" w:ascii="宋体" w:hAnsi="宋体"/>
          <w:b/>
          <w:bCs/>
          <w:color w:val="auto"/>
          <w:sz w:val="24"/>
          <w:szCs w:val="21"/>
          <w:highlight w:val="none"/>
        </w:rPr>
        <w:t>投标文件评审（详细评审）</w:t>
      </w:r>
    </w:p>
    <w:p w14:paraId="6BBD7254">
      <w:pPr>
        <w:spacing w:line="360" w:lineRule="exact"/>
        <w:ind w:firstLine="369" w:firstLineChars="176"/>
        <w:rPr>
          <w:rFonts w:hint="eastAsia" w:ascii="宋体" w:hAnsi="宋体"/>
          <w:color w:val="auto"/>
          <w:szCs w:val="21"/>
          <w:highlight w:val="none"/>
        </w:rPr>
      </w:pPr>
      <w:r>
        <w:rPr>
          <w:rFonts w:hint="eastAsia" w:ascii="宋体" w:hAnsi="宋体"/>
          <w:color w:val="auto"/>
          <w:szCs w:val="21"/>
          <w:highlight w:val="none"/>
        </w:rPr>
        <w:t>（一）评标依据：评标委员会以招标文件和投标文件为评标依据，对投标人的投标报价、技术、</w:t>
      </w:r>
      <w:r>
        <w:rPr>
          <w:rFonts w:hint="eastAsia" w:ascii="宋体" w:hAnsi="宋体" w:cs="宋体"/>
          <w:color w:val="auto"/>
          <w:szCs w:val="21"/>
          <w:highlight w:val="none"/>
        </w:rPr>
        <w:t>商务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政策功能分</w:t>
      </w:r>
      <w:r>
        <w:rPr>
          <w:rFonts w:hint="eastAsia" w:ascii="宋体" w:hAnsi="宋体"/>
          <w:color w:val="auto"/>
          <w:szCs w:val="21"/>
          <w:highlight w:val="none"/>
        </w:rPr>
        <w:t>等方面内容按百分制打分。</w:t>
      </w:r>
    </w:p>
    <w:p w14:paraId="5DD7E571">
      <w:pPr>
        <w:spacing w:line="360" w:lineRule="exact"/>
        <w:ind w:firstLine="369" w:firstLineChars="176"/>
        <w:rPr>
          <w:rFonts w:hint="eastAsia" w:ascii="宋体" w:hAnsi="宋体"/>
          <w:color w:val="auto"/>
          <w:szCs w:val="21"/>
          <w:highlight w:val="none"/>
        </w:rPr>
      </w:pPr>
      <w:r>
        <w:rPr>
          <w:rFonts w:hint="eastAsia" w:ascii="宋体" w:hAnsi="宋体"/>
          <w:color w:val="auto"/>
          <w:szCs w:val="21"/>
          <w:highlight w:val="none"/>
        </w:rPr>
        <w:t>（二）评标方式：以封闭方式进行评标。</w:t>
      </w:r>
    </w:p>
    <w:p w14:paraId="3E8A13AA">
      <w:pPr>
        <w:spacing w:line="360" w:lineRule="exact"/>
        <w:ind w:firstLine="369" w:firstLineChars="176"/>
        <w:rPr>
          <w:rFonts w:hint="eastAsia" w:ascii="宋体" w:hAnsi="宋体"/>
          <w:color w:val="auto"/>
          <w:szCs w:val="21"/>
          <w:highlight w:val="none"/>
        </w:rPr>
      </w:pPr>
      <w:r>
        <w:rPr>
          <w:rFonts w:hint="eastAsia" w:ascii="宋体" w:hAnsi="宋体"/>
          <w:color w:val="auto"/>
          <w:szCs w:val="21"/>
          <w:highlight w:val="none"/>
        </w:rPr>
        <w:t>（三）根据财库〔2012〕69号文规定，采购人和采购代理机构、评标委员会成员要严格遵守政府采购相关法律制度，依法履行各自职责，公正、客观、审慎地组织和参与评审工作。</w:t>
      </w:r>
    </w:p>
    <w:p w14:paraId="52214503">
      <w:pPr>
        <w:spacing w:line="360" w:lineRule="exact"/>
        <w:ind w:firstLine="369" w:firstLineChars="176"/>
        <w:rPr>
          <w:rFonts w:hint="eastAsia" w:ascii="宋体" w:hAnsi="宋体"/>
          <w:color w:val="auto"/>
          <w:szCs w:val="21"/>
          <w:highlight w:val="none"/>
        </w:rPr>
      </w:pPr>
      <w:r>
        <w:rPr>
          <w:rFonts w:hint="eastAsia" w:ascii="宋体" w:hAnsi="宋体"/>
          <w:color w:val="auto"/>
          <w:szCs w:val="21"/>
          <w:highlight w:val="none"/>
        </w:rPr>
        <w:t>（四）评标方法：对进入详评的，采用百分制综合评分法。</w:t>
      </w:r>
    </w:p>
    <w:p w14:paraId="61615F47">
      <w:pPr>
        <w:spacing w:line="360" w:lineRule="exact"/>
        <w:ind w:firstLine="369" w:firstLineChars="176"/>
        <w:rPr>
          <w:rFonts w:hint="eastAsia" w:ascii="宋体" w:hAnsi="宋体"/>
          <w:b/>
          <w:bCs/>
          <w:color w:val="auto"/>
          <w:szCs w:val="21"/>
          <w:highlight w:val="none"/>
        </w:rPr>
      </w:pPr>
      <w:r>
        <w:rPr>
          <w:rFonts w:hint="eastAsia" w:ascii="宋体" w:hAnsi="宋体"/>
          <w:color w:val="auto"/>
          <w:szCs w:val="21"/>
          <w:highlight w:val="none"/>
        </w:rPr>
        <w:t>（五）计分办法（按四舍五入取至小数点后二位）：</w:t>
      </w:r>
    </w:p>
    <w:p w14:paraId="6F9102CD">
      <w:pPr>
        <w:spacing w:line="36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1、价格分………………………………………………………………………………………</w:t>
      </w:r>
      <w:r>
        <w:rPr>
          <w:rFonts w:hint="eastAsia" w:ascii="宋体" w:hAnsi="宋体" w:cs="宋体"/>
          <w:b/>
          <w:bCs/>
          <w:color w:val="auto"/>
          <w:kern w:val="0"/>
          <w:szCs w:val="21"/>
          <w:highlight w:val="none"/>
        </w:rPr>
        <w:t>……</w:t>
      </w:r>
      <w:r>
        <w:rPr>
          <w:rFonts w:hint="eastAsia" w:ascii="宋体" w:hAnsi="宋体" w:cs="宋体"/>
          <w:b/>
          <w:color w:val="auto"/>
          <w:szCs w:val="21"/>
          <w:highlight w:val="none"/>
        </w:rPr>
        <w:t>30分</w:t>
      </w:r>
    </w:p>
    <w:p w14:paraId="40FDCFBE">
      <w:pPr>
        <w:spacing w:line="440" w:lineRule="exact"/>
        <w:ind w:firstLine="420" w:firstLineChars="200"/>
        <w:rPr>
          <w:rFonts w:hint="eastAsia" w:ascii="宋体" w:hAnsi="宋体" w:cs="宋体"/>
          <w:b w:val="0"/>
          <w:bCs/>
          <w:color w:val="auto"/>
          <w:kern w:val="0"/>
          <w:szCs w:val="21"/>
          <w:highlight w:val="none"/>
        </w:rPr>
      </w:pPr>
      <w:r>
        <w:rPr>
          <w:rFonts w:hint="eastAsia" w:ascii="宋体" w:hAnsi="宋体" w:cs="宋体"/>
          <w:bCs/>
          <w:color w:val="auto"/>
          <w:kern w:val="0"/>
          <w:szCs w:val="21"/>
          <w:highlight w:val="none"/>
        </w:rPr>
        <w:t>（1）</w:t>
      </w:r>
      <w:r>
        <w:rPr>
          <w:rFonts w:hint="eastAsia"/>
          <w:color w:val="auto"/>
          <w:highlight w:val="none"/>
        </w:rPr>
        <w:t>根据《政府采购促进中小企业发展管理办法》（财库〔2020〕46号）的规定、</w:t>
      </w:r>
      <w:r>
        <w:rPr>
          <w:rFonts w:hint="eastAsia" w:hAnsi="宋体"/>
          <w:color w:val="auto"/>
          <w:szCs w:val="21"/>
          <w:highlight w:val="none"/>
        </w:rPr>
        <w:t>《广西壮族自治区财政厅关于持续优化政府采购营商环境推动高质量发展的通知》（桂财采〔2024〕55号）</w:t>
      </w:r>
      <w:r>
        <w:rPr>
          <w:color w:val="auto"/>
          <w:highlight w:val="none"/>
        </w:rPr>
        <w:t>的规定</w:t>
      </w:r>
      <w:r>
        <w:rPr>
          <w:rFonts w:hint="eastAsia"/>
          <w:color w:val="auto"/>
          <w:highlight w:val="none"/>
        </w:rPr>
        <w:t>，投标人在其投标文件中提供《中小企业声明函》，且其投标全部货物由符合政策要求的小微企业制造的，对其投标报价给予20%的扣除，扣除后的价格为评标报价，即评标报价=投标报价</w:t>
      </w:r>
      <w:r>
        <w:rPr>
          <w:rFonts w:hAnsi="宋体"/>
          <w:color w:val="auto"/>
          <w:highlight w:val="none"/>
        </w:rPr>
        <w:t>×</w:t>
      </w:r>
      <w:r>
        <w:rPr>
          <w:rFonts w:hint="eastAsia"/>
          <w:color w:val="auto"/>
          <w:highlight w:val="none"/>
        </w:rPr>
        <w:t>（1-20%）；</w:t>
      </w:r>
      <w:r>
        <w:rPr>
          <w:rFonts w:hint="eastAsia" w:ascii="宋体" w:hAnsi="宋体" w:cs="宋体"/>
          <w:b w:val="0"/>
          <w:bCs/>
          <w:color w:val="auto"/>
          <w:kern w:val="0"/>
          <w:szCs w:val="21"/>
          <w:highlight w:val="none"/>
        </w:rPr>
        <w:t>接受大中型企业与小微企业组成联合体或者允许大中型企业向一家或者多家小微企业分包的采购项目，对于联合协议或者分包意向协议约定小微企业的合同份额占到合同总金额 30%以上的，给予4%的扣除</w:t>
      </w:r>
      <w:r>
        <w:rPr>
          <w:rFonts w:hint="eastAsia" w:ascii="宋体" w:hAnsi="宋体" w:cs="宋体"/>
          <w:b w:val="0"/>
          <w:bCs/>
          <w:color w:val="auto"/>
          <w:kern w:val="0"/>
          <w:szCs w:val="21"/>
          <w:highlight w:val="none"/>
          <w:lang w:eastAsia="zh-CN"/>
        </w:rPr>
        <w:t>，用扣除后的价格参加评审，扣除后的价格为评标价，即评标价=投标报价×（1－4%）。</w:t>
      </w:r>
    </w:p>
    <w:p w14:paraId="49AEC484">
      <w:pPr>
        <w:spacing w:line="440" w:lineRule="exact"/>
        <w:ind w:firstLine="420"/>
        <w:rPr>
          <w:rFonts w:hint="eastAsia" w:ascii="宋体" w:hAnsi="宋体" w:cs="宋体"/>
          <w:color w:val="auto"/>
          <w:kern w:val="0"/>
          <w:szCs w:val="21"/>
          <w:highlight w:val="none"/>
        </w:rPr>
      </w:pPr>
      <w:r>
        <w:rPr>
          <w:rFonts w:hint="eastAsia" w:ascii="宋体" w:hAnsi="宋体" w:cs="宋体"/>
          <w:color w:val="auto"/>
          <w:kern w:val="0"/>
          <w:szCs w:val="21"/>
          <w:highlight w:val="none"/>
        </w:rPr>
        <w:t>（2）根据《关于政府采购支持监狱企业发展有关问题的通知》（财库[2014]68号）和《关于促进残疾人就业政府采购政策的通知》（财库[2017]141号），监狱企业和符合条件的残疾人企业视同小型、微型企业，享受小型、微型企业评审中价格扣除的政府采购政策。</w:t>
      </w:r>
    </w:p>
    <w:p w14:paraId="50B5D08C">
      <w:pPr>
        <w:spacing w:line="44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（3）除上述情况外，评审报价=投标报价。</w:t>
      </w:r>
    </w:p>
    <w:p w14:paraId="6A0E6778">
      <w:pPr>
        <w:spacing w:line="440" w:lineRule="exact"/>
        <w:ind w:firstLine="420"/>
        <w:rPr>
          <w:rFonts w:hint="eastAsia" w:ascii="宋体" w:hAnsi="宋体" w:cs="宋体"/>
          <w:b/>
          <w:color w:val="auto"/>
          <w:kern w:val="0"/>
          <w:szCs w:val="21"/>
          <w:highlight w:val="none"/>
        </w:rPr>
      </w:pPr>
      <w:r>
        <w:rPr>
          <w:rFonts w:hint="eastAsia" w:ascii="宋体" w:hAnsi="宋体" w:cs="宋体"/>
          <w:b/>
          <w:color w:val="auto"/>
          <w:kern w:val="0"/>
          <w:szCs w:val="21"/>
          <w:highlight w:val="none"/>
        </w:rPr>
        <w:t>注：①小型、微型企业提供中型企业制造的货物的，视同为中型企业。</w:t>
      </w:r>
    </w:p>
    <w:p w14:paraId="45A453EA">
      <w:pPr>
        <w:spacing w:line="44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②中小微型企业划分标准按照《国家统计局关于印发《统计上大中小微型企业划分办法〔2017〕》的通知》（国统字〔2017〕213号）执行，具体划分标准见《统计上大中小微型企业划分标准》。</w:t>
      </w:r>
    </w:p>
    <w:p w14:paraId="4C34125F">
      <w:pPr>
        <w:spacing w:line="44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③在货物采购项目中，投标人提供的货物既有中小企业制造货物，也有大型企业制造货物的，不享受《政府采购促进中小企业发展暂行办法》（财库[2020]46号）规定的中小企业扶持政策。</w:t>
      </w:r>
    </w:p>
    <w:p w14:paraId="04B1A29A">
      <w:pPr>
        <w:spacing w:line="440" w:lineRule="exact"/>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（4）价格分应当采用低价优先法计算，即满足招标文件要求且投标价格最低的投标报价为评标基准价，其价格分为满分。进入详评投标人的价格分统一按照下列公式计算：</w:t>
      </w:r>
    </w:p>
    <w:p w14:paraId="2DB7AA7D">
      <w:pPr>
        <w:spacing w:line="440" w:lineRule="exact"/>
        <w:ind w:firstLine="630" w:firstLineChars="300"/>
        <w:rPr>
          <w:rFonts w:hint="eastAsia" w:ascii="宋体" w:hAnsi="宋体" w:cs="宋体"/>
          <w:bCs/>
          <w:color w:val="auto"/>
          <w:kern w:val="0"/>
          <w:szCs w:val="21"/>
          <w:highlight w:val="none"/>
        </w:rPr>
      </w:pPr>
      <w:r>
        <w:rPr>
          <w:rFonts w:hint="eastAsia" w:ascii="宋体" w:hAnsi="宋体" w:cs="宋体"/>
          <w:color w:val="auto"/>
          <w:kern w:val="0"/>
          <w:szCs w:val="21"/>
          <w:highlight w:val="none"/>
        </w:rPr>
        <w:t>以进入评标的最低的评标报价为30分。</w:t>
      </w:r>
    </w:p>
    <w:p w14:paraId="7A144E41">
      <w:pPr>
        <w:rPr>
          <w:rFonts w:hint="eastAsia" w:ascii="宋体" w:hAnsi="宋体" w:cs="宋体"/>
          <w:bCs/>
          <w:color w:val="auto"/>
          <w:kern w:val="0"/>
          <w:szCs w:val="21"/>
          <w:highlight w:val="none"/>
        </w:rPr>
      </w:pPr>
    </w:p>
    <w:p w14:paraId="780B1370">
      <w:pPr>
        <w:spacing w:line="440" w:lineRule="exact"/>
        <w:ind w:firstLine="3927" w:firstLineChars="187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评标基准价</w:t>
      </w:r>
    </w:p>
    <w:p w14:paraId="5BF5AB65">
      <w:pPr>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mc:AlternateContent>
          <mc:Choice Requires="wps">
            <w:drawing>
              <wp:anchor distT="0" distB="0" distL="114300" distR="114300" simplePos="0" relativeHeight="251661312" behindDoc="0" locked="0" layoutInCell="1" allowOverlap="1">
                <wp:simplePos x="0" y="0"/>
                <wp:positionH relativeFrom="column">
                  <wp:posOffset>1828800</wp:posOffset>
                </wp:positionH>
                <wp:positionV relativeFrom="paragraph">
                  <wp:posOffset>196850</wp:posOffset>
                </wp:positionV>
                <wp:extent cx="2200275" cy="0"/>
                <wp:effectExtent l="0" t="4445" r="0" b="508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44pt;margin-top:15.5pt;height:0pt;width:173.25pt;z-index:251661312;mso-width-relative:page;mso-height-relative:page;" filled="f" stroked="t" coordsize="21600,21600" o:gfxdata="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1CqQ6&#10;1wAAAAkBAAAPAAAAAAAAAAEAIAAAACIAAABkcnMvZG93bnJldi54bWxQSwECFAAUAAAACACHTuJA&#10;qCZcq+kBAAC4AwAADgAAAAAAAAABACAAAAAmAQAAZHJzL2Uyb0RvYy54bWxQSwUGAAAAAAYABgBZ&#10;AQAAgQUAAAAA&#10;">
                <v:fill on="f" focussize="0,0"/>
                <v:stroke color="#000000" joinstyle="round"/>
                <v:imagedata o:title=""/>
                <o:lock v:ext="edit" aspectratio="f"/>
              </v:line>
            </w:pict>
          </mc:Fallback>
        </mc:AlternateContent>
      </w:r>
      <w:r>
        <w:rPr>
          <w:rFonts w:hint="eastAsia" w:ascii="宋体" w:hAnsi="宋体" w:cs="宋体"/>
          <w:bCs/>
          <w:color w:val="auto"/>
          <w:kern w:val="0"/>
          <w:szCs w:val="21"/>
          <w:highlight w:val="none"/>
        </w:rPr>
        <w:t>（5）投标人价格分 =                                   　　×30分</w:t>
      </w:r>
    </w:p>
    <w:p w14:paraId="43350952">
      <w:pPr>
        <w:spacing w:line="440" w:lineRule="exact"/>
        <w:ind w:firstLine="315" w:firstLineChars="150"/>
        <w:rPr>
          <w:rFonts w:hint="eastAsia" w:ascii="宋体" w:hAnsi="宋体" w:cs="宋体"/>
          <w:b/>
          <w:bCs/>
          <w:color w:val="auto"/>
          <w:szCs w:val="21"/>
          <w:highlight w:val="none"/>
        </w:rPr>
      </w:pPr>
      <w:r>
        <w:rPr>
          <w:rFonts w:hint="eastAsia" w:ascii="宋体" w:hAnsi="宋体" w:cs="宋体"/>
          <w:bCs/>
          <w:color w:val="auto"/>
          <w:kern w:val="0"/>
          <w:szCs w:val="21"/>
          <w:highlight w:val="none"/>
        </w:rPr>
        <w:t xml:space="preserve">                                  投标人</w:t>
      </w:r>
      <w:r>
        <w:rPr>
          <w:rFonts w:hint="eastAsia" w:ascii="宋体" w:hAnsi="宋体" w:cs="宋体"/>
          <w:color w:val="auto"/>
          <w:kern w:val="0"/>
          <w:szCs w:val="21"/>
          <w:highlight w:val="none"/>
        </w:rPr>
        <w:t>评标报价</w:t>
      </w:r>
    </w:p>
    <w:p w14:paraId="51CD39A4">
      <w:pPr>
        <w:spacing w:line="440" w:lineRule="exact"/>
        <w:ind w:firstLine="422" w:firstLineChars="200"/>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2.</w:t>
      </w:r>
      <w:r>
        <w:rPr>
          <w:rFonts w:hint="eastAsia" w:ascii="宋体" w:hAnsi="宋体" w:cs="宋体"/>
          <w:b/>
          <w:bCs/>
          <w:color w:val="auto"/>
          <w:kern w:val="0"/>
          <w:szCs w:val="21"/>
          <w:highlight w:val="none"/>
          <w:lang w:eastAsia="zh-CN"/>
        </w:rPr>
        <w:t>技术分</w:t>
      </w:r>
      <w:r>
        <w:rPr>
          <w:rFonts w:hint="eastAsia" w:ascii="宋体" w:hAnsi="宋体" w:cs="宋体"/>
          <w:b/>
          <w:bCs/>
          <w:color w:val="auto"/>
          <w:kern w:val="0"/>
          <w:szCs w:val="21"/>
          <w:highlight w:val="none"/>
        </w:rPr>
        <w:t>……………………………………………………………………………………满分</w:t>
      </w:r>
      <w:r>
        <w:rPr>
          <w:rFonts w:hint="eastAsia" w:ascii="宋体" w:hAnsi="宋体" w:cs="宋体"/>
          <w:b/>
          <w:bCs/>
          <w:color w:val="auto"/>
          <w:kern w:val="0"/>
          <w:szCs w:val="21"/>
          <w:highlight w:val="none"/>
          <w:lang w:val="en-US" w:eastAsia="zh-CN"/>
        </w:rPr>
        <w:t>56</w:t>
      </w:r>
      <w:r>
        <w:rPr>
          <w:rFonts w:hint="eastAsia" w:ascii="宋体" w:hAnsi="宋体" w:cs="宋体"/>
          <w:b/>
          <w:bCs/>
          <w:color w:val="auto"/>
          <w:kern w:val="0"/>
          <w:szCs w:val="21"/>
          <w:highlight w:val="none"/>
        </w:rPr>
        <w:t>分</w:t>
      </w:r>
    </w:p>
    <w:p w14:paraId="7F5EB5D3">
      <w:pPr>
        <w:spacing w:line="440" w:lineRule="exact"/>
        <w:ind w:firstLine="422" w:firstLineChars="200"/>
        <w:rPr>
          <w:rFonts w:hint="eastAsia" w:ascii="宋体" w:hAnsi="宋体" w:eastAsia="宋体" w:cs="宋体"/>
          <w:b/>
          <w:bCs/>
          <w:color w:val="auto"/>
          <w:sz w:val="21"/>
          <w:szCs w:val="21"/>
          <w:highlight w:val="none"/>
        </w:rPr>
      </w:pPr>
      <w:r>
        <w:rPr>
          <w:rFonts w:hint="eastAsia" w:ascii="宋体" w:hAnsi="宋体" w:cs="宋体"/>
          <w:b/>
          <w:bCs/>
          <w:color w:val="auto"/>
          <w:kern w:val="0"/>
          <w:szCs w:val="21"/>
          <w:highlight w:val="none"/>
          <w:lang w:eastAsia="zh-CN"/>
        </w:rPr>
        <w:t>（</w:t>
      </w:r>
      <w:r>
        <w:rPr>
          <w:rFonts w:hint="eastAsia" w:ascii="宋体" w:hAnsi="宋体" w:cs="宋体"/>
          <w:b/>
          <w:bCs/>
          <w:color w:val="auto"/>
          <w:kern w:val="0"/>
          <w:szCs w:val="21"/>
          <w:highlight w:val="none"/>
          <w:lang w:val="en-US" w:eastAsia="zh-CN"/>
        </w:rPr>
        <w:t>1）</w:t>
      </w:r>
      <w:r>
        <w:rPr>
          <w:rFonts w:hint="eastAsia" w:ascii="宋体" w:hAnsi="宋体" w:eastAsia="宋体" w:cs="宋体"/>
          <w:b/>
          <w:bCs/>
          <w:color w:val="auto"/>
          <w:sz w:val="21"/>
          <w:szCs w:val="21"/>
          <w:highlight w:val="none"/>
        </w:rPr>
        <w:t>技术性能分（满分</w:t>
      </w:r>
      <w:r>
        <w:rPr>
          <w:rFonts w:hint="eastAsia" w:ascii="宋体" w:hAnsi="宋体" w:cs="宋体"/>
          <w:b/>
          <w:bCs/>
          <w:color w:val="auto"/>
          <w:sz w:val="21"/>
          <w:szCs w:val="21"/>
          <w:highlight w:val="none"/>
          <w:lang w:val="en-US" w:eastAsia="zh-CN"/>
        </w:rPr>
        <w:t>40</w:t>
      </w:r>
      <w:r>
        <w:rPr>
          <w:rFonts w:hint="eastAsia" w:ascii="宋体" w:hAnsi="宋体" w:eastAsia="宋体" w:cs="宋体"/>
          <w:b/>
          <w:bCs/>
          <w:color w:val="auto"/>
          <w:sz w:val="21"/>
          <w:szCs w:val="21"/>
          <w:highlight w:val="none"/>
        </w:rPr>
        <w:t>分）</w:t>
      </w:r>
    </w:p>
    <w:p w14:paraId="65B4A737">
      <w:pPr>
        <w:spacing w:line="44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投标文件的技术参数全部满足采购文件要求，无负偏离、无漏项得满分40分；</w:t>
      </w:r>
    </w:p>
    <w:p w14:paraId="7ED107F7">
      <w:pPr>
        <w:spacing w:line="44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标注“▲”项为重要参数指标，每具有一个负偏离扣1分，最高扣3</w:t>
      </w:r>
      <w:r>
        <w:rPr>
          <w:rFonts w:hint="eastAsia" w:ascii="宋体" w:hAnsi="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rPr>
        <w:t>分；其它项（未标注“▲”、“★”项）每具有一个负偏离扣0.</w:t>
      </w:r>
      <w:r>
        <w:rPr>
          <w:rFonts w:hint="eastAsia"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分，</w:t>
      </w:r>
      <w:r>
        <w:rPr>
          <w:rFonts w:hint="eastAsia" w:ascii="宋体" w:hAnsi="宋体" w:cs="宋体"/>
          <w:b w:val="0"/>
          <w:bCs w:val="0"/>
          <w:color w:val="auto"/>
          <w:sz w:val="21"/>
          <w:szCs w:val="21"/>
          <w:highlight w:val="none"/>
          <w:lang w:val="en-US" w:eastAsia="zh-CN"/>
        </w:rPr>
        <w:t>最高扣10分；</w:t>
      </w:r>
      <w:r>
        <w:rPr>
          <w:rFonts w:hint="eastAsia" w:ascii="宋体" w:hAnsi="宋体" w:eastAsia="宋体" w:cs="宋体"/>
          <w:b w:val="0"/>
          <w:bCs w:val="0"/>
          <w:color w:val="auto"/>
          <w:sz w:val="21"/>
          <w:szCs w:val="21"/>
          <w:highlight w:val="none"/>
        </w:rPr>
        <w:t>扣完为止。</w:t>
      </w:r>
    </w:p>
    <w:p w14:paraId="055068EF">
      <w:pPr>
        <w:spacing w:line="440" w:lineRule="exact"/>
        <w:ind w:firstLine="422" w:firstLineChars="200"/>
        <w:rPr>
          <w:rFonts w:hint="eastAsia" w:ascii="宋体" w:hAnsi="宋体" w:cs="宋体"/>
          <w:b/>
          <w:bCs/>
          <w:color w:val="auto"/>
          <w:sz w:val="21"/>
          <w:szCs w:val="21"/>
          <w:highlight w:val="none"/>
          <w:lang w:eastAsia="zh-CN"/>
        </w:rPr>
      </w:pPr>
      <w:r>
        <w:rPr>
          <w:rFonts w:hint="eastAsia" w:ascii="宋体" w:hAnsi="宋体" w:eastAsia="宋体" w:cs="宋体"/>
          <w:b/>
          <w:bCs/>
          <w:color w:val="auto"/>
          <w:sz w:val="21"/>
          <w:szCs w:val="21"/>
          <w:highlight w:val="none"/>
        </w:rPr>
        <w:t>注：以上标注“▲”参数要求需提供以下任意证明材料之一</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1.国家认可的第三方检测机构出具的检测报告复印件</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2.</w:t>
      </w:r>
      <w:r>
        <w:rPr>
          <w:rFonts w:hint="eastAsia" w:ascii="宋体" w:hAnsi="宋体" w:cs="宋体"/>
          <w:b/>
          <w:bCs/>
          <w:color w:val="auto"/>
          <w:sz w:val="21"/>
          <w:szCs w:val="21"/>
          <w:highlight w:val="none"/>
          <w:lang w:val="en-US" w:eastAsia="zh-CN"/>
        </w:rPr>
        <w:t>其他相关证明材料（</w:t>
      </w:r>
      <w:r>
        <w:rPr>
          <w:rFonts w:hint="eastAsia" w:ascii="宋体" w:hAnsi="宋体" w:eastAsia="宋体" w:cs="宋体"/>
          <w:b/>
          <w:bCs/>
          <w:color w:val="auto"/>
          <w:sz w:val="21"/>
          <w:szCs w:val="21"/>
          <w:highlight w:val="none"/>
        </w:rPr>
        <w:t>包括但不限于彩页，官网或功能截图等</w:t>
      </w:r>
      <w:r>
        <w:rPr>
          <w:rFonts w:hint="eastAsia" w:ascii="宋体" w:hAnsi="宋体" w:cs="宋体"/>
          <w:b/>
          <w:bCs/>
          <w:color w:val="auto"/>
          <w:sz w:val="21"/>
          <w:szCs w:val="21"/>
          <w:highlight w:val="none"/>
          <w:lang w:eastAsia="zh-CN"/>
        </w:rPr>
        <w:t>）；</w:t>
      </w:r>
    </w:p>
    <w:p w14:paraId="26C109FF">
      <w:pPr>
        <w:spacing w:line="44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不提供或不满足要求的相应视为负偏离，扣除对应条款分值；投标人响应情况与证明材料不一致的，以证明材料为准。</w:t>
      </w:r>
    </w:p>
    <w:p w14:paraId="1E1AA2C7">
      <w:pPr>
        <w:spacing w:line="44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项目实施</w:t>
      </w:r>
      <w:r>
        <w:rPr>
          <w:rFonts w:hint="eastAsia" w:ascii="宋体" w:hAnsi="宋体" w:eastAsia="宋体" w:cs="宋体"/>
          <w:b/>
          <w:bCs/>
          <w:color w:val="auto"/>
          <w:sz w:val="21"/>
          <w:szCs w:val="21"/>
          <w:highlight w:val="none"/>
        </w:rPr>
        <w:t>方案（满分</w:t>
      </w:r>
      <w:r>
        <w:rPr>
          <w:rFonts w:hint="eastAsia" w:ascii="宋体" w:hAnsi="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rPr>
        <w:t>分）</w:t>
      </w:r>
    </w:p>
    <w:p w14:paraId="7FC6FF81">
      <w:pPr>
        <w:pStyle w:val="27"/>
        <w:spacing w:line="400" w:lineRule="exact"/>
        <w:ind w:firstLine="420"/>
        <w:rPr>
          <w:rFonts w:hAnsi="宋体"/>
          <w:color w:val="auto"/>
          <w:szCs w:val="21"/>
          <w:highlight w:val="none"/>
        </w:rPr>
      </w:pPr>
      <w:r>
        <w:rPr>
          <w:rFonts w:hint="eastAsia" w:hAnsi="宋体"/>
          <w:color w:val="auto"/>
          <w:szCs w:val="21"/>
          <w:highlight w:val="none"/>
        </w:rPr>
        <w:t>评委对投标人提供的</w:t>
      </w:r>
      <w:r>
        <w:rPr>
          <w:rFonts w:hint="eastAsia" w:hAnsi="宋体"/>
          <w:bCs/>
          <w:color w:val="auto"/>
          <w:highlight w:val="none"/>
        </w:rPr>
        <w:t>项目实施方案（包含但不限于：①</w:t>
      </w:r>
      <w:r>
        <w:rPr>
          <w:rFonts w:ascii="Arial" w:hAnsi="Arial" w:cs="Arial"/>
          <w:bCs/>
          <w:color w:val="auto"/>
          <w:szCs w:val="21"/>
          <w:highlight w:val="none"/>
        </w:rPr>
        <w:t>安装实施方案</w:t>
      </w:r>
      <w:r>
        <w:rPr>
          <w:rFonts w:hint="eastAsia" w:hAnsi="宋体"/>
          <w:bCs/>
          <w:color w:val="auto"/>
          <w:highlight w:val="none"/>
        </w:rPr>
        <w:t>；②</w:t>
      </w:r>
      <w:r>
        <w:rPr>
          <w:rFonts w:ascii="Arial" w:hAnsi="Arial" w:cs="Arial"/>
          <w:bCs/>
          <w:color w:val="auto"/>
          <w:szCs w:val="21"/>
          <w:highlight w:val="none"/>
        </w:rPr>
        <w:t>组织机构</w:t>
      </w:r>
      <w:r>
        <w:rPr>
          <w:rFonts w:hint="eastAsia" w:ascii="Arial" w:hAnsi="Arial" w:cs="Arial"/>
          <w:bCs/>
          <w:color w:val="auto"/>
          <w:szCs w:val="21"/>
          <w:highlight w:val="none"/>
        </w:rPr>
        <w:t>方案</w:t>
      </w:r>
      <w:r>
        <w:rPr>
          <w:rFonts w:hint="eastAsia" w:hAnsi="宋体"/>
          <w:bCs/>
          <w:color w:val="auto"/>
          <w:highlight w:val="none"/>
        </w:rPr>
        <w:t>；③</w:t>
      </w:r>
      <w:r>
        <w:rPr>
          <w:rFonts w:ascii="Arial" w:hAnsi="Arial" w:cs="Arial"/>
          <w:bCs/>
          <w:color w:val="auto"/>
          <w:szCs w:val="21"/>
          <w:highlight w:val="none"/>
        </w:rPr>
        <w:t>项目执行保障措施</w:t>
      </w:r>
      <w:r>
        <w:rPr>
          <w:rFonts w:hint="eastAsia" w:hAnsi="宋体" w:cs="宋体"/>
          <w:bCs/>
          <w:color w:val="auto"/>
          <w:szCs w:val="21"/>
          <w:highlight w:val="none"/>
        </w:rPr>
        <w:t>等</w:t>
      </w:r>
      <w:r>
        <w:rPr>
          <w:rFonts w:hint="eastAsia" w:hAnsi="宋体"/>
          <w:bCs/>
          <w:color w:val="auto"/>
          <w:highlight w:val="none"/>
        </w:rPr>
        <w:t>）</w:t>
      </w:r>
      <w:r>
        <w:rPr>
          <w:rFonts w:hint="eastAsia" w:hAnsi="宋体"/>
          <w:color w:val="auto"/>
          <w:szCs w:val="21"/>
          <w:highlight w:val="none"/>
        </w:rPr>
        <w:t>进行独立评审并按以下规则独立打分：</w:t>
      </w:r>
    </w:p>
    <w:p w14:paraId="676D7F06">
      <w:pPr>
        <w:pStyle w:val="27"/>
        <w:spacing w:line="400" w:lineRule="exact"/>
        <w:ind w:firstLine="420"/>
        <w:rPr>
          <w:rFonts w:hAnsi="宋体"/>
          <w:color w:val="auto"/>
          <w:szCs w:val="21"/>
          <w:highlight w:val="none"/>
        </w:rPr>
      </w:pPr>
      <w:r>
        <w:rPr>
          <w:rFonts w:hint="eastAsia" w:hAnsi="宋体"/>
          <w:color w:val="auto"/>
          <w:szCs w:val="21"/>
          <w:highlight w:val="none"/>
        </w:rPr>
        <w:t>一档（</w:t>
      </w:r>
      <w:r>
        <w:rPr>
          <w:rFonts w:hint="eastAsia" w:hAnsi="宋体"/>
          <w:color w:val="auto"/>
          <w:szCs w:val="21"/>
          <w:highlight w:val="none"/>
          <w:lang w:val="en-US" w:eastAsia="zh-CN"/>
        </w:rPr>
        <w:t>3</w:t>
      </w:r>
      <w:r>
        <w:rPr>
          <w:rFonts w:hint="eastAsia" w:hAnsi="宋体"/>
          <w:color w:val="auto"/>
          <w:szCs w:val="21"/>
          <w:highlight w:val="none"/>
        </w:rPr>
        <w:t>分）：三项评审因素有一项内容经评审合理、可行且具有针对性的；</w:t>
      </w:r>
    </w:p>
    <w:p w14:paraId="7411B957">
      <w:pPr>
        <w:pStyle w:val="27"/>
        <w:spacing w:line="400" w:lineRule="exact"/>
        <w:ind w:firstLine="420"/>
        <w:rPr>
          <w:rFonts w:hAnsi="宋体"/>
          <w:color w:val="auto"/>
          <w:szCs w:val="21"/>
          <w:highlight w:val="none"/>
        </w:rPr>
      </w:pPr>
      <w:r>
        <w:rPr>
          <w:rFonts w:hint="eastAsia" w:hAnsi="宋体"/>
          <w:color w:val="auto"/>
          <w:szCs w:val="21"/>
          <w:highlight w:val="none"/>
        </w:rPr>
        <w:t>二档（</w:t>
      </w:r>
      <w:r>
        <w:rPr>
          <w:rFonts w:hint="eastAsia" w:hAnsi="宋体"/>
          <w:color w:val="auto"/>
          <w:szCs w:val="21"/>
          <w:highlight w:val="none"/>
          <w:lang w:val="en-US" w:eastAsia="zh-CN"/>
        </w:rPr>
        <w:t>6</w:t>
      </w:r>
      <w:r>
        <w:rPr>
          <w:rFonts w:hint="eastAsia" w:hAnsi="宋体"/>
          <w:color w:val="auto"/>
          <w:szCs w:val="21"/>
          <w:highlight w:val="none"/>
        </w:rPr>
        <w:t>分）：三项评审因素有两项内容经评审合理、可行且具有针对性的；</w:t>
      </w:r>
    </w:p>
    <w:p w14:paraId="1F98F521">
      <w:pPr>
        <w:pStyle w:val="27"/>
        <w:spacing w:line="400" w:lineRule="exact"/>
        <w:ind w:firstLine="420"/>
        <w:rPr>
          <w:rFonts w:hAnsi="宋体"/>
          <w:color w:val="auto"/>
          <w:szCs w:val="21"/>
          <w:highlight w:val="none"/>
        </w:rPr>
      </w:pPr>
      <w:r>
        <w:rPr>
          <w:rFonts w:hint="eastAsia" w:hAnsi="宋体"/>
          <w:color w:val="auto"/>
          <w:szCs w:val="21"/>
          <w:highlight w:val="none"/>
        </w:rPr>
        <w:t>三档（</w:t>
      </w:r>
      <w:r>
        <w:rPr>
          <w:rFonts w:hint="eastAsia" w:hAnsi="宋体"/>
          <w:color w:val="auto"/>
          <w:szCs w:val="21"/>
          <w:highlight w:val="none"/>
          <w:lang w:val="en-US" w:eastAsia="zh-CN"/>
        </w:rPr>
        <w:t>10</w:t>
      </w:r>
      <w:r>
        <w:rPr>
          <w:rFonts w:hint="eastAsia" w:hAnsi="宋体"/>
          <w:color w:val="auto"/>
          <w:szCs w:val="21"/>
          <w:highlight w:val="none"/>
        </w:rPr>
        <w:t>分）：三项评审因素内容经评审均合理、可行且具有针对性的。</w:t>
      </w:r>
    </w:p>
    <w:p w14:paraId="4167DEA7">
      <w:pPr>
        <w:pStyle w:val="27"/>
        <w:spacing w:line="400" w:lineRule="exact"/>
        <w:ind w:firstLine="407" w:firstLineChars="193"/>
        <w:rPr>
          <w:rFonts w:hAnsi="宋体" w:cs="宋体"/>
          <w:b/>
          <w:bCs/>
          <w:color w:val="auto"/>
          <w:szCs w:val="21"/>
          <w:highlight w:val="none"/>
        </w:rPr>
      </w:pPr>
      <w:r>
        <w:rPr>
          <w:rFonts w:hint="eastAsia" w:hAnsi="宋体" w:cs="宋体"/>
          <w:b/>
          <w:bCs/>
          <w:color w:val="auto"/>
          <w:szCs w:val="21"/>
          <w:highlight w:val="none"/>
        </w:rPr>
        <w:t>注：①供应商未提供“项目实施方案”相应内容或所提供的“项目实施方案”相应内容未达到一档档次的，不予计分；经评审未达到相应评审档次全部标准的，相应降低一个档次。</w:t>
      </w:r>
    </w:p>
    <w:p w14:paraId="35A5C1A9">
      <w:pPr>
        <w:pStyle w:val="27"/>
        <w:spacing w:line="400" w:lineRule="exact"/>
        <w:ind w:firstLine="420"/>
        <w:rPr>
          <w:rFonts w:hAnsi="宋体"/>
          <w:bCs/>
          <w:color w:val="auto"/>
          <w:highlight w:val="none"/>
        </w:rPr>
      </w:pPr>
      <w:r>
        <w:rPr>
          <w:rFonts w:hint="eastAsia" w:hAnsi="宋体" w:cs="宋体"/>
          <w:b/>
          <w:bCs/>
          <w:color w:val="auto"/>
          <w:szCs w:val="21"/>
          <w:highlight w:val="none"/>
        </w:rPr>
        <w:t>②“合理、可行且具有针对性”是指：方案与本项目实际情况相适应且在项目现有条件下可实施，不存在不适用本项目实际情况的情形、凭空编造、逻辑漏洞、科学原理错误以及不可能实现的夸大情形等情况。</w:t>
      </w:r>
    </w:p>
    <w:p w14:paraId="172F7572">
      <w:pPr>
        <w:spacing w:line="440" w:lineRule="exact"/>
        <w:ind w:firstLine="422" w:firstLineChars="200"/>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w:t>
      </w:r>
      <w:r>
        <w:rPr>
          <w:rFonts w:hint="eastAsia" w:ascii="宋体" w:hAnsi="宋体" w:eastAsia="宋体" w:cs="宋体"/>
          <w:b/>
          <w:bCs w:val="0"/>
          <w:color w:val="auto"/>
          <w:sz w:val="21"/>
          <w:szCs w:val="21"/>
          <w:highlight w:val="none"/>
          <w:lang w:val="en-US" w:eastAsia="zh-CN"/>
        </w:rPr>
        <w:t>3</w:t>
      </w:r>
      <w:r>
        <w:rPr>
          <w:rFonts w:hint="eastAsia" w:ascii="宋体" w:hAnsi="宋体" w:eastAsia="宋体" w:cs="宋体"/>
          <w:b/>
          <w:bCs w:val="0"/>
          <w:color w:val="auto"/>
          <w:sz w:val="21"/>
          <w:szCs w:val="21"/>
          <w:highlight w:val="none"/>
        </w:rPr>
        <w:t>）</w:t>
      </w:r>
      <w:r>
        <w:rPr>
          <w:rFonts w:hint="eastAsia" w:ascii="宋体" w:hAnsi="宋体" w:cs="宋体"/>
          <w:b/>
          <w:bCs w:val="0"/>
          <w:color w:val="auto"/>
          <w:sz w:val="21"/>
          <w:szCs w:val="21"/>
          <w:highlight w:val="none"/>
          <w:lang w:eastAsia="zh-CN"/>
        </w:rPr>
        <w:t>培训计划及</w:t>
      </w:r>
      <w:r>
        <w:rPr>
          <w:rFonts w:hint="eastAsia" w:ascii="宋体" w:hAnsi="宋体" w:eastAsia="宋体" w:cs="宋体"/>
          <w:b/>
          <w:bCs w:val="0"/>
          <w:color w:val="auto"/>
          <w:sz w:val="21"/>
          <w:szCs w:val="21"/>
          <w:highlight w:val="none"/>
          <w:lang w:eastAsia="zh-CN"/>
        </w:rPr>
        <w:t>方案</w:t>
      </w:r>
      <w:r>
        <w:rPr>
          <w:rFonts w:hint="eastAsia" w:ascii="宋体" w:hAnsi="宋体" w:eastAsia="宋体" w:cs="宋体"/>
          <w:b/>
          <w:bCs w:val="0"/>
          <w:color w:val="auto"/>
          <w:sz w:val="21"/>
          <w:szCs w:val="21"/>
          <w:highlight w:val="none"/>
          <w:lang w:val="en-US" w:eastAsia="zh-CN"/>
        </w:rPr>
        <w:t>（</w:t>
      </w:r>
      <w:r>
        <w:rPr>
          <w:rFonts w:hint="eastAsia" w:ascii="宋体" w:hAnsi="宋体" w:eastAsia="宋体" w:cs="宋体"/>
          <w:b/>
          <w:bCs w:val="0"/>
          <w:color w:val="auto"/>
          <w:sz w:val="21"/>
          <w:szCs w:val="21"/>
          <w:highlight w:val="none"/>
        </w:rPr>
        <w:t>满分</w:t>
      </w:r>
      <w:r>
        <w:rPr>
          <w:rFonts w:hint="eastAsia" w:ascii="宋体" w:hAnsi="宋体" w:cs="宋体"/>
          <w:b/>
          <w:bCs w:val="0"/>
          <w:color w:val="auto"/>
          <w:sz w:val="21"/>
          <w:szCs w:val="21"/>
          <w:highlight w:val="none"/>
          <w:lang w:val="en-US" w:eastAsia="zh-CN"/>
        </w:rPr>
        <w:t>6</w:t>
      </w:r>
      <w:r>
        <w:rPr>
          <w:rFonts w:hint="eastAsia" w:ascii="宋体" w:hAnsi="宋体" w:eastAsia="宋体" w:cs="宋体"/>
          <w:b/>
          <w:bCs w:val="0"/>
          <w:color w:val="auto"/>
          <w:sz w:val="21"/>
          <w:szCs w:val="21"/>
          <w:highlight w:val="none"/>
        </w:rPr>
        <w:t>分）</w:t>
      </w:r>
    </w:p>
    <w:p w14:paraId="4525A734">
      <w:pPr>
        <w:pStyle w:val="27"/>
        <w:spacing w:line="400" w:lineRule="exact"/>
        <w:ind w:firstLine="420"/>
        <w:rPr>
          <w:rFonts w:hAnsi="宋体"/>
          <w:color w:val="auto"/>
          <w:szCs w:val="21"/>
          <w:highlight w:val="none"/>
        </w:rPr>
      </w:pPr>
      <w:r>
        <w:rPr>
          <w:rFonts w:hint="eastAsia" w:hAnsi="宋体"/>
          <w:color w:val="auto"/>
          <w:szCs w:val="21"/>
          <w:highlight w:val="none"/>
        </w:rPr>
        <w:t>评委对投标人提供的培训方案【包含但不限于：①培训内容及目标；②培训实施安排；③培训保障措施</w:t>
      </w:r>
      <w:r>
        <w:rPr>
          <w:rFonts w:hAnsi="宋体"/>
          <w:color w:val="auto"/>
          <w:szCs w:val="21"/>
          <w:highlight w:val="none"/>
        </w:rPr>
        <w:t>等</w:t>
      </w:r>
      <w:r>
        <w:rPr>
          <w:rFonts w:hint="eastAsia" w:hAnsi="宋体"/>
          <w:color w:val="auto"/>
          <w:szCs w:val="21"/>
          <w:highlight w:val="none"/>
        </w:rPr>
        <w:t>】进行独立评审并按以下规则独立打分：</w:t>
      </w:r>
    </w:p>
    <w:p w14:paraId="08943EB1">
      <w:pPr>
        <w:pStyle w:val="27"/>
        <w:spacing w:line="400" w:lineRule="exact"/>
        <w:ind w:firstLine="420"/>
        <w:rPr>
          <w:rFonts w:hAnsi="宋体"/>
          <w:color w:val="auto"/>
          <w:szCs w:val="21"/>
          <w:highlight w:val="none"/>
        </w:rPr>
      </w:pPr>
      <w:r>
        <w:rPr>
          <w:rFonts w:hint="eastAsia" w:hAnsi="宋体"/>
          <w:color w:val="auto"/>
          <w:szCs w:val="21"/>
          <w:highlight w:val="none"/>
        </w:rPr>
        <w:t>一档（</w:t>
      </w:r>
      <w:r>
        <w:rPr>
          <w:rFonts w:hint="eastAsia" w:hAnsi="宋体"/>
          <w:color w:val="auto"/>
          <w:szCs w:val="21"/>
          <w:highlight w:val="none"/>
          <w:lang w:val="en-US" w:eastAsia="zh-CN"/>
        </w:rPr>
        <w:t>1</w:t>
      </w:r>
      <w:r>
        <w:rPr>
          <w:rFonts w:hint="eastAsia" w:hAnsi="宋体"/>
          <w:color w:val="auto"/>
          <w:szCs w:val="21"/>
          <w:highlight w:val="none"/>
        </w:rPr>
        <w:t>分）：三项评审因素有一项内容经评审合理、可行且具有针对性的；</w:t>
      </w:r>
    </w:p>
    <w:p w14:paraId="3A1CA815">
      <w:pPr>
        <w:pStyle w:val="27"/>
        <w:spacing w:line="400" w:lineRule="exact"/>
        <w:ind w:firstLine="420"/>
        <w:rPr>
          <w:rFonts w:hAnsi="宋体"/>
          <w:color w:val="auto"/>
          <w:szCs w:val="21"/>
          <w:highlight w:val="none"/>
        </w:rPr>
      </w:pPr>
      <w:r>
        <w:rPr>
          <w:rFonts w:hint="eastAsia" w:hAnsi="宋体"/>
          <w:color w:val="auto"/>
          <w:szCs w:val="21"/>
          <w:highlight w:val="none"/>
        </w:rPr>
        <w:t>二档（</w:t>
      </w:r>
      <w:r>
        <w:rPr>
          <w:rFonts w:hint="eastAsia" w:hAnsi="宋体"/>
          <w:color w:val="auto"/>
          <w:szCs w:val="21"/>
          <w:highlight w:val="none"/>
          <w:lang w:val="en-US" w:eastAsia="zh-CN"/>
        </w:rPr>
        <w:t>3</w:t>
      </w:r>
      <w:r>
        <w:rPr>
          <w:rFonts w:hint="eastAsia" w:hAnsi="宋体"/>
          <w:color w:val="auto"/>
          <w:szCs w:val="21"/>
          <w:highlight w:val="none"/>
        </w:rPr>
        <w:t>分）：三项评审因素有两项内容经评审合理、可行且具有针对性的；</w:t>
      </w:r>
    </w:p>
    <w:p w14:paraId="25F18CA2">
      <w:pPr>
        <w:pStyle w:val="27"/>
        <w:spacing w:line="400" w:lineRule="exact"/>
        <w:ind w:firstLine="405" w:firstLineChars="193"/>
        <w:rPr>
          <w:rFonts w:hAnsi="宋体" w:cs="宋体"/>
          <w:b/>
          <w:bCs/>
          <w:color w:val="auto"/>
          <w:szCs w:val="21"/>
          <w:highlight w:val="none"/>
        </w:rPr>
      </w:pPr>
      <w:r>
        <w:rPr>
          <w:rFonts w:hint="eastAsia" w:hAnsi="宋体"/>
          <w:color w:val="auto"/>
          <w:szCs w:val="21"/>
          <w:highlight w:val="none"/>
        </w:rPr>
        <w:t>三档（</w:t>
      </w:r>
      <w:r>
        <w:rPr>
          <w:rFonts w:hint="eastAsia" w:hAnsi="宋体"/>
          <w:color w:val="auto"/>
          <w:szCs w:val="21"/>
          <w:highlight w:val="none"/>
          <w:lang w:val="en-US" w:eastAsia="zh-CN"/>
        </w:rPr>
        <w:t>6</w:t>
      </w:r>
      <w:r>
        <w:rPr>
          <w:rFonts w:hint="eastAsia" w:hAnsi="宋体"/>
          <w:color w:val="auto"/>
          <w:szCs w:val="21"/>
          <w:highlight w:val="none"/>
        </w:rPr>
        <w:t>分）：三项评审因素内容经评审均合理、可行且具有针对性的。</w:t>
      </w:r>
    </w:p>
    <w:p w14:paraId="16163629">
      <w:pPr>
        <w:pStyle w:val="27"/>
        <w:spacing w:line="400" w:lineRule="exact"/>
        <w:ind w:firstLine="407" w:firstLineChars="193"/>
        <w:rPr>
          <w:rFonts w:hAnsi="宋体" w:cs="宋体"/>
          <w:b/>
          <w:bCs/>
          <w:color w:val="auto"/>
          <w:szCs w:val="21"/>
          <w:highlight w:val="none"/>
        </w:rPr>
      </w:pPr>
      <w:r>
        <w:rPr>
          <w:rFonts w:hint="eastAsia" w:hAnsi="宋体" w:cs="宋体"/>
          <w:b/>
          <w:bCs/>
          <w:color w:val="auto"/>
          <w:szCs w:val="21"/>
          <w:highlight w:val="none"/>
        </w:rPr>
        <w:t>注：①供应商未提供“培训方案”相应内容或所提供的“培训方案”相应内容未达到一档档次的，不予计分；经评审未达到相应评审档次全部标准的，相应降低一个档次。</w:t>
      </w:r>
    </w:p>
    <w:p w14:paraId="656DDC68">
      <w:pPr>
        <w:pStyle w:val="27"/>
        <w:tabs>
          <w:tab w:val="left" w:pos="4214"/>
        </w:tabs>
        <w:spacing w:line="400" w:lineRule="exact"/>
        <w:ind w:firstLine="422" w:firstLineChars="200"/>
        <w:jc w:val="left"/>
        <w:rPr>
          <w:rFonts w:hAnsi="宋体" w:cs="宋体"/>
          <w:b/>
          <w:bCs/>
          <w:color w:val="auto"/>
          <w:szCs w:val="21"/>
          <w:highlight w:val="none"/>
        </w:rPr>
      </w:pPr>
      <w:r>
        <w:rPr>
          <w:rFonts w:hint="eastAsia" w:hAnsi="宋体" w:cs="宋体"/>
          <w:b/>
          <w:bCs/>
          <w:color w:val="auto"/>
          <w:szCs w:val="21"/>
          <w:highlight w:val="none"/>
        </w:rPr>
        <w:t>②“合理、可行且具有针对性”是指：方案与本项目实际情况相适应且在项目现有条件下可实施，不存在不适用本项目实际情况的情形、凭空编造、逻辑漏洞、科学原理错误以及不可能实现的夸大情形等情况。</w:t>
      </w:r>
    </w:p>
    <w:p w14:paraId="0E46F69A">
      <w:pPr>
        <w:spacing w:line="440" w:lineRule="exact"/>
        <w:ind w:firstLine="422" w:firstLineChars="200"/>
        <w:rPr>
          <w:rFonts w:hint="eastAsia" w:ascii="宋体" w:hAnsi="宋体" w:cs="宋体"/>
          <w:b/>
          <w:bCs/>
          <w:color w:val="auto"/>
          <w:kern w:val="0"/>
          <w:szCs w:val="21"/>
          <w:highlight w:val="none"/>
        </w:rPr>
      </w:pPr>
      <w:r>
        <w:rPr>
          <w:rFonts w:hint="eastAsia" w:ascii="宋体" w:hAnsi="宋体" w:cs="宋体"/>
          <w:b/>
          <w:bCs/>
          <w:color w:val="auto"/>
          <w:kern w:val="0"/>
          <w:szCs w:val="21"/>
          <w:highlight w:val="none"/>
          <w:lang w:val="en-US" w:eastAsia="zh-CN"/>
        </w:rPr>
        <w:t>3</w:t>
      </w:r>
      <w:r>
        <w:rPr>
          <w:rFonts w:hint="eastAsia" w:ascii="宋体" w:hAnsi="宋体" w:cs="宋体"/>
          <w:b/>
          <w:bCs/>
          <w:color w:val="auto"/>
          <w:kern w:val="0"/>
          <w:szCs w:val="21"/>
          <w:highlight w:val="none"/>
        </w:rPr>
        <w:t>、</w:t>
      </w:r>
      <w:r>
        <w:rPr>
          <w:rFonts w:hint="eastAsia" w:ascii="宋体" w:hAnsi="宋体" w:cs="宋体"/>
          <w:b/>
          <w:bCs/>
          <w:color w:val="auto"/>
          <w:kern w:val="0"/>
          <w:szCs w:val="21"/>
          <w:highlight w:val="none"/>
          <w:lang w:eastAsia="zh-CN"/>
        </w:rPr>
        <w:t>商务</w:t>
      </w:r>
      <w:r>
        <w:rPr>
          <w:rFonts w:hint="eastAsia" w:ascii="宋体" w:hAnsi="宋体" w:cs="宋体"/>
          <w:b/>
          <w:bCs/>
          <w:color w:val="auto"/>
          <w:kern w:val="0"/>
          <w:szCs w:val="21"/>
          <w:highlight w:val="none"/>
        </w:rPr>
        <w:t>分……………………………………………………………………………………满分</w:t>
      </w:r>
      <w:r>
        <w:rPr>
          <w:rFonts w:hint="eastAsia" w:ascii="宋体" w:hAnsi="宋体" w:cs="宋体"/>
          <w:b/>
          <w:bCs/>
          <w:color w:val="auto"/>
          <w:kern w:val="0"/>
          <w:szCs w:val="21"/>
          <w:highlight w:val="none"/>
          <w:lang w:val="en-US" w:eastAsia="zh-CN"/>
        </w:rPr>
        <w:t>12</w:t>
      </w:r>
      <w:r>
        <w:rPr>
          <w:rFonts w:hint="eastAsia" w:ascii="宋体" w:hAnsi="宋体" w:cs="宋体"/>
          <w:b/>
          <w:bCs/>
          <w:color w:val="auto"/>
          <w:kern w:val="0"/>
          <w:szCs w:val="21"/>
          <w:highlight w:val="none"/>
        </w:rPr>
        <w:t>分</w:t>
      </w:r>
    </w:p>
    <w:p w14:paraId="10D67CB4">
      <w:pPr>
        <w:spacing w:line="44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1）</w:t>
      </w:r>
      <w:r>
        <w:rPr>
          <w:rFonts w:hint="eastAsia" w:ascii="宋体" w:hAnsi="宋体" w:cs="宋体"/>
          <w:b/>
          <w:bCs/>
          <w:color w:val="auto"/>
          <w:sz w:val="21"/>
          <w:szCs w:val="21"/>
          <w:highlight w:val="none"/>
          <w:lang w:eastAsia="zh-CN"/>
        </w:rPr>
        <w:t>售后及技术支持服务方案分</w:t>
      </w:r>
      <w:r>
        <w:rPr>
          <w:rFonts w:hint="eastAsia" w:ascii="宋体" w:hAnsi="宋体" w:eastAsia="宋体" w:cs="宋体"/>
          <w:b/>
          <w:bCs/>
          <w:color w:val="auto"/>
          <w:sz w:val="21"/>
          <w:szCs w:val="21"/>
          <w:highlight w:val="none"/>
        </w:rPr>
        <w:t>（满</w:t>
      </w:r>
      <w:r>
        <w:rPr>
          <w:rFonts w:hint="eastAsia" w:ascii="宋体" w:hAnsi="宋体" w:eastAsia="宋体" w:cs="宋体"/>
          <w:b/>
          <w:bCs/>
          <w:color w:val="auto"/>
          <w:sz w:val="21"/>
          <w:szCs w:val="21"/>
          <w:highlight w:val="none"/>
          <w:lang w:eastAsia="zh-CN"/>
        </w:rPr>
        <w:t>分</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p>
    <w:p w14:paraId="3CDB30B8">
      <w:pPr>
        <w:pStyle w:val="27"/>
        <w:spacing w:line="400" w:lineRule="exact"/>
        <w:ind w:firstLine="420"/>
        <w:rPr>
          <w:rFonts w:hAnsi="宋体"/>
          <w:color w:val="auto"/>
          <w:szCs w:val="21"/>
          <w:highlight w:val="none"/>
        </w:rPr>
      </w:pPr>
      <w:r>
        <w:rPr>
          <w:rFonts w:hint="eastAsia" w:hAnsi="宋体"/>
          <w:color w:val="auto"/>
          <w:szCs w:val="21"/>
          <w:highlight w:val="none"/>
        </w:rPr>
        <w:t>评委对投标人提供的</w:t>
      </w:r>
      <w:r>
        <w:rPr>
          <w:rFonts w:hint="eastAsia" w:hAnsi="宋体" w:cs="仿宋"/>
          <w:bCs/>
          <w:color w:val="auto"/>
          <w:kern w:val="0"/>
          <w:szCs w:val="21"/>
          <w:highlight w:val="none"/>
        </w:rPr>
        <w:t>售后服务承诺方案</w:t>
      </w:r>
      <w:r>
        <w:rPr>
          <w:rFonts w:hint="eastAsia" w:hAnsi="宋体" w:cs="宋体"/>
          <w:color w:val="auto"/>
          <w:szCs w:val="21"/>
          <w:highlight w:val="none"/>
        </w:rPr>
        <w:t>【包含但不限于：①</w:t>
      </w:r>
      <w:r>
        <w:rPr>
          <w:rFonts w:ascii="Arial" w:hAnsi="Arial" w:cs="Arial"/>
          <w:bCs/>
          <w:color w:val="auto"/>
          <w:szCs w:val="21"/>
          <w:highlight w:val="none"/>
        </w:rPr>
        <w:t>到达故障现场时间</w:t>
      </w:r>
      <w:r>
        <w:rPr>
          <w:rFonts w:hint="eastAsia" w:ascii="Arial" w:hAnsi="Arial" w:cs="Arial"/>
          <w:bCs/>
          <w:color w:val="auto"/>
          <w:szCs w:val="21"/>
          <w:highlight w:val="none"/>
        </w:rPr>
        <w:t>、</w:t>
      </w:r>
      <w:r>
        <w:rPr>
          <w:rFonts w:ascii="Arial" w:hAnsi="Arial" w:cs="Arial"/>
          <w:bCs/>
          <w:color w:val="auto"/>
          <w:szCs w:val="21"/>
          <w:highlight w:val="none"/>
        </w:rPr>
        <w:t>故障出现解决方案</w:t>
      </w:r>
      <w:r>
        <w:rPr>
          <w:rFonts w:hint="eastAsia" w:ascii="Arial" w:hAnsi="Arial" w:cs="Arial"/>
          <w:bCs/>
          <w:color w:val="auto"/>
          <w:szCs w:val="21"/>
          <w:highlight w:val="none"/>
        </w:rPr>
        <w:t>、</w:t>
      </w:r>
      <w:r>
        <w:rPr>
          <w:rFonts w:ascii="Arial" w:hAnsi="Arial" w:cs="Arial"/>
          <w:bCs/>
          <w:color w:val="auto"/>
          <w:szCs w:val="21"/>
          <w:highlight w:val="none"/>
        </w:rPr>
        <w:t>定期维护（注明时间）</w:t>
      </w:r>
      <w:r>
        <w:rPr>
          <w:rFonts w:hint="eastAsia" w:ascii="Arial" w:hAnsi="Arial" w:cs="Arial"/>
          <w:bCs/>
          <w:color w:val="auto"/>
          <w:szCs w:val="21"/>
          <w:highlight w:val="none"/>
        </w:rPr>
        <w:t>；②</w:t>
      </w:r>
      <w:r>
        <w:rPr>
          <w:rFonts w:ascii="Arial" w:hAnsi="Arial" w:cs="Arial"/>
          <w:bCs/>
          <w:color w:val="auto"/>
          <w:szCs w:val="21"/>
          <w:highlight w:val="none"/>
        </w:rPr>
        <w:t>保修期外维修方案、售后服务措施</w:t>
      </w:r>
      <w:r>
        <w:rPr>
          <w:rFonts w:hint="eastAsia" w:ascii="Arial" w:hAnsi="Arial" w:cs="Arial"/>
          <w:bCs/>
          <w:color w:val="auto"/>
          <w:szCs w:val="21"/>
          <w:highlight w:val="none"/>
        </w:rPr>
        <w:t>；③</w:t>
      </w:r>
      <w:r>
        <w:rPr>
          <w:rFonts w:ascii="Arial" w:hAnsi="Arial" w:cs="Arial"/>
          <w:bCs/>
          <w:color w:val="auto"/>
          <w:szCs w:val="21"/>
          <w:highlight w:val="none"/>
        </w:rPr>
        <w:t>其他优惠措施等</w:t>
      </w:r>
      <w:r>
        <w:rPr>
          <w:rFonts w:hint="eastAsia" w:ascii="Arial" w:hAnsi="Arial" w:cs="Arial"/>
          <w:bCs/>
          <w:color w:val="auto"/>
          <w:szCs w:val="21"/>
          <w:highlight w:val="none"/>
        </w:rPr>
        <w:t>】</w:t>
      </w:r>
      <w:r>
        <w:rPr>
          <w:rFonts w:hint="eastAsia" w:hAnsi="宋体"/>
          <w:color w:val="auto"/>
          <w:szCs w:val="21"/>
          <w:highlight w:val="none"/>
        </w:rPr>
        <w:t>进行独立评审并按以下规则独立打分：</w:t>
      </w:r>
    </w:p>
    <w:p w14:paraId="37E54335">
      <w:pPr>
        <w:pStyle w:val="27"/>
        <w:spacing w:line="400" w:lineRule="exact"/>
        <w:ind w:firstLine="420"/>
        <w:rPr>
          <w:rFonts w:hAnsi="宋体"/>
          <w:color w:val="auto"/>
          <w:szCs w:val="21"/>
          <w:highlight w:val="none"/>
        </w:rPr>
      </w:pPr>
      <w:r>
        <w:rPr>
          <w:rFonts w:hint="eastAsia" w:hAnsi="宋体"/>
          <w:color w:val="auto"/>
          <w:szCs w:val="21"/>
          <w:highlight w:val="none"/>
        </w:rPr>
        <w:t>一档（</w:t>
      </w:r>
      <w:r>
        <w:rPr>
          <w:rFonts w:hint="eastAsia" w:hAnsi="宋体"/>
          <w:color w:val="auto"/>
          <w:szCs w:val="21"/>
          <w:highlight w:val="none"/>
          <w:lang w:val="en-US" w:eastAsia="zh-CN"/>
        </w:rPr>
        <w:t>1</w:t>
      </w:r>
      <w:r>
        <w:rPr>
          <w:rFonts w:hint="eastAsia" w:hAnsi="宋体"/>
          <w:color w:val="auto"/>
          <w:szCs w:val="21"/>
          <w:highlight w:val="none"/>
        </w:rPr>
        <w:t>分）：三项评审因素有一项内容经评审合理、可行且具有针对性的；</w:t>
      </w:r>
    </w:p>
    <w:p w14:paraId="0373585B">
      <w:pPr>
        <w:pStyle w:val="27"/>
        <w:spacing w:line="400" w:lineRule="exact"/>
        <w:ind w:firstLine="420"/>
        <w:rPr>
          <w:rFonts w:hAnsi="宋体"/>
          <w:color w:val="auto"/>
          <w:szCs w:val="21"/>
          <w:highlight w:val="none"/>
        </w:rPr>
      </w:pPr>
      <w:r>
        <w:rPr>
          <w:rFonts w:hint="eastAsia" w:hAnsi="宋体"/>
          <w:color w:val="auto"/>
          <w:szCs w:val="21"/>
          <w:highlight w:val="none"/>
        </w:rPr>
        <w:t>二档（</w:t>
      </w:r>
      <w:r>
        <w:rPr>
          <w:rFonts w:hint="eastAsia" w:hAnsi="宋体"/>
          <w:color w:val="auto"/>
          <w:szCs w:val="21"/>
          <w:highlight w:val="none"/>
          <w:lang w:val="en-US" w:eastAsia="zh-CN"/>
        </w:rPr>
        <w:t>3</w:t>
      </w:r>
      <w:r>
        <w:rPr>
          <w:rFonts w:hint="eastAsia" w:hAnsi="宋体"/>
          <w:color w:val="auto"/>
          <w:szCs w:val="21"/>
          <w:highlight w:val="none"/>
        </w:rPr>
        <w:t>分）：三项评审因素有两项内容经评审合理、可行且具有针对性的；</w:t>
      </w:r>
    </w:p>
    <w:p w14:paraId="1807AB75">
      <w:pPr>
        <w:pStyle w:val="27"/>
        <w:spacing w:line="400" w:lineRule="exact"/>
        <w:ind w:firstLine="420"/>
        <w:rPr>
          <w:rFonts w:hAnsi="宋体"/>
          <w:color w:val="auto"/>
          <w:szCs w:val="21"/>
          <w:highlight w:val="none"/>
        </w:rPr>
      </w:pPr>
      <w:r>
        <w:rPr>
          <w:rFonts w:hint="eastAsia" w:hAnsi="宋体"/>
          <w:color w:val="auto"/>
          <w:szCs w:val="21"/>
          <w:highlight w:val="none"/>
        </w:rPr>
        <w:t>三档（</w:t>
      </w:r>
      <w:r>
        <w:rPr>
          <w:rFonts w:hint="eastAsia" w:hAnsi="宋体"/>
          <w:color w:val="auto"/>
          <w:szCs w:val="21"/>
          <w:highlight w:val="none"/>
          <w:lang w:val="en-US" w:eastAsia="zh-CN"/>
        </w:rPr>
        <w:t>6</w:t>
      </w:r>
      <w:r>
        <w:rPr>
          <w:rFonts w:hint="eastAsia" w:hAnsi="宋体"/>
          <w:color w:val="auto"/>
          <w:szCs w:val="21"/>
          <w:highlight w:val="none"/>
        </w:rPr>
        <w:t>分）：三项评审因素内容经评审均合理、可行且具有针对性的。</w:t>
      </w:r>
    </w:p>
    <w:p w14:paraId="378F35CA">
      <w:pPr>
        <w:pStyle w:val="27"/>
        <w:spacing w:line="400" w:lineRule="exact"/>
        <w:ind w:firstLine="407" w:firstLineChars="193"/>
        <w:rPr>
          <w:rFonts w:hAnsi="宋体" w:cs="宋体"/>
          <w:b/>
          <w:bCs/>
          <w:color w:val="auto"/>
          <w:szCs w:val="21"/>
          <w:highlight w:val="none"/>
        </w:rPr>
      </w:pPr>
      <w:r>
        <w:rPr>
          <w:rFonts w:hint="eastAsia" w:hAnsi="宋体" w:cs="宋体"/>
          <w:b/>
          <w:bCs/>
          <w:color w:val="auto"/>
          <w:szCs w:val="21"/>
          <w:highlight w:val="none"/>
        </w:rPr>
        <w:t>注：①供应商未提供“售后服务承诺方案”相应内容或所提供的“售后服务承诺方案”相应内容未达到一档档次的，不予计分；经评审未达到相应评审档次全部标准的，相应降低一个档次。</w:t>
      </w:r>
    </w:p>
    <w:p w14:paraId="074FC77C">
      <w:pPr>
        <w:snapToGrid w:val="0"/>
        <w:spacing w:line="440" w:lineRule="exact"/>
        <w:ind w:firstLine="525"/>
        <w:rPr>
          <w:rFonts w:hint="eastAsia" w:hAnsi="宋体" w:cs="宋体"/>
          <w:b/>
          <w:bCs/>
          <w:color w:val="auto"/>
          <w:szCs w:val="21"/>
          <w:highlight w:val="none"/>
        </w:rPr>
      </w:pPr>
      <w:r>
        <w:rPr>
          <w:rFonts w:hint="eastAsia" w:hAnsi="宋体" w:cs="宋体"/>
          <w:b/>
          <w:bCs/>
          <w:color w:val="auto"/>
          <w:szCs w:val="21"/>
          <w:highlight w:val="none"/>
        </w:rPr>
        <w:t>②“合理、可行且具有针对性”是指：方案与本项目实际情况相适应且在项目现有条件下可实施，不存在不适用本项目实际情况的情形、凭空编造、逻辑漏洞、科学原理错误以及不可能实现的夸大情形等情况。</w:t>
      </w:r>
    </w:p>
    <w:p w14:paraId="7884B8FE">
      <w:pPr>
        <w:snapToGrid w:val="0"/>
        <w:spacing w:line="440" w:lineRule="exact"/>
        <w:ind w:firstLine="525"/>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（2）业绩分</w:t>
      </w:r>
      <w:r>
        <w:rPr>
          <w:rFonts w:hint="eastAsia" w:ascii="宋体" w:hAnsi="宋体" w:eastAsia="宋体" w:cs="宋体"/>
          <w:b/>
          <w:bCs/>
          <w:color w:val="auto"/>
          <w:sz w:val="21"/>
          <w:szCs w:val="21"/>
          <w:highlight w:val="none"/>
        </w:rPr>
        <w:t>（满分</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p>
    <w:p w14:paraId="363199F2">
      <w:pPr>
        <w:snapToGrid w:val="0"/>
        <w:spacing w:line="440" w:lineRule="exact"/>
        <w:ind w:firstLine="525"/>
        <w:rPr>
          <w:rFonts w:hint="default" w:ascii="宋体" w:hAnsi="宋体" w:eastAsia="宋体" w:cs="宋体"/>
          <w:b/>
          <w:bCs/>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投标人或制造商在202</w:t>
      </w:r>
      <w:r>
        <w:rPr>
          <w:rFonts w:hint="eastAsia" w:ascii="宋体" w:hAnsi="宋体" w:cs="宋体"/>
          <w:b w:val="0"/>
          <w:bCs w:val="0"/>
          <w:color w:val="auto"/>
          <w:sz w:val="21"/>
          <w:szCs w:val="21"/>
          <w:highlight w:val="none"/>
          <w:lang w:val="en-US" w:eastAsia="zh-CN"/>
        </w:rPr>
        <w:t>3</w:t>
      </w:r>
      <w:r>
        <w:rPr>
          <w:rFonts w:hint="default" w:ascii="宋体" w:hAnsi="宋体" w:eastAsia="宋体" w:cs="宋体"/>
          <w:b w:val="0"/>
          <w:bCs w:val="0"/>
          <w:color w:val="auto"/>
          <w:sz w:val="21"/>
          <w:szCs w:val="21"/>
          <w:highlight w:val="none"/>
          <w:lang w:val="en-US" w:eastAsia="zh-CN"/>
        </w:rPr>
        <w:t>年以来有同类项目业绩的，每项得1分，满分为</w:t>
      </w:r>
      <w:r>
        <w:rPr>
          <w:rFonts w:hint="eastAsia" w:ascii="宋体" w:hAnsi="宋体" w:cs="宋体"/>
          <w:b w:val="0"/>
          <w:bCs w:val="0"/>
          <w:color w:val="auto"/>
          <w:sz w:val="21"/>
          <w:szCs w:val="21"/>
          <w:highlight w:val="none"/>
          <w:lang w:val="en-US" w:eastAsia="zh-CN"/>
        </w:rPr>
        <w:t>6</w:t>
      </w:r>
      <w:r>
        <w:rPr>
          <w:rFonts w:hint="default" w:ascii="宋体" w:hAnsi="宋体" w:eastAsia="宋体" w:cs="宋体"/>
          <w:b w:val="0"/>
          <w:bCs w:val="0"/>
          <w:color w:val="auto"/>
          <w:sz w:val="21"/>
          <w:szCs w:val="21"/>
          <w:highlight w:val="none"/>
          <w:lang w:val="en-US" w:eastAsia="zh-CN"/>
        </w:rPr>
        <w:t>分</w:t>
      </w:r>
      <w:r>
        <w:rPr>
          <w:rFonts w:hint="eastAsia" w:ascii="宋体" w:hAnsi="宋体" w:cs="宋体"/>
          <w:b w:val="0"/>
          <w:bCs w:val="0"/>
          <w:color w:val="auto"/>
          <w:sz w:val="21"/>
          <w:szCs w:val="21"/>
          <w:highlight w:val="none"/>
          <w:lang w:val="en-US" w:eastAsia="zh-CN"/>
        </w:rPr>
        <w:t>。</w:t>
      </w:r>
      <w:r>
        <w:rPr>
          <w:rFonts w:hint="eastAsia" w:ascii="宋体" w:hAnsi="宋体" w:cs="宋体"/>
          <w:b/>
          <w:bCs/>
          <w:color w:val="auto"/>
          <w:sz w:val="21"/>
          <w:szCs w:val="21"/>
          <w:highlight w:val="none"/>
          <w:lang w:val="en-US" w:eastAsia="zh-CN"/>
        </w:rPr>
        <w:t>（</w:t>
      </w:r>
      <w:r>
        <w:rPr>
          <w:rFonts w:hint="default" w:ascii="宋体" w:hAnsi="宋体" w:eastAsia="宋体" w:cs="宋体"/>
          <w:b/>
          <w:bCs/>
          <w:color w:val="auto"/>
          <w:sz w:val="21"/>
          <w:szCs w:val="21"/>
          <w:highlight w:val="none"/>
          <w:lang w:val="en-US" w:eastAsia="zh-CN"/>
        </w:rPr>
        <w:t>以中标(成交)通知书或合同复印件为准，合同须体现销售明细)</w:t>
      </w:r>
    </w:p>
    <w:p w14:paraId="6971781D">
      <w:pPr>
        <w:spacing w:line="440" w:lineRule="exact"/>
        <w:ind w:firstLine="422" w:firstLineChars="200"/>
        <w:rPr>
          <w:rFonts w:hint="eastAsia" w:ascii="宋体" w:hAnsi="宋体" w:cs="宋体"/>
          <w:b/>
          <w:bCs/>
          <w:color w:val="auto"/>
          <w:kern w:val="0"/>
          <w:szCs w:val="21"/>
          <w:highlight w:val="none"/>
        </w:rPr>
      </w:pPr>
      <w:r>
        <w:rPr>
          <w:rFonts w:hint="eastAsia" w:ascii="宋体" w:hAnsi="宋体" w:cs="宋体"/>
          <w:b/>
          <w:bCs/>
          <w:color w:val="auto"/>
          <w:kern w:val="0"/>
          <w:szCs w:val="21"/>
          <w:highlight w:val="none"/>
          <w:lang w:val="en-US" w:eastAsia="zh-CN"/>
        </w:rPr>
        <w:t>4</w:t>
      </w:r>
      <w:r>
        <w:rPr>
          <w:rFonts w:hint="eastAsia" w:ascii="宋体" w:hAnsi="宋体" w:cs="宋体"/>
          <w:b/>
          <w:bCs/>
          <w:color w:val="auto"/>
          <w:kern w:val="0"/>
          <w:szCs w:val="21"/>
          <w:highlight w:val="none"/>
        </w:rPr>
        <w:t>、政策功能分………………………………………………………………………………满分2分</w:t>
      </w:r>
    </w:p>
    <w:p w14:paraId="4119CFEB">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节能产品分：属于财政部《节能产品政府采购品目清单》内优先采购（清单内未标注“★”的品目）的产品[投标文件中提供有效的认证证书复印件及品目清单（标注投标产品在品目清单中所属的品目），并加盖投标人公章]，每提供一项得0.5分，满分1分。</w:t>
      </w:r>
    </w:p>
    <w:p w14:paraId="0F410F3A">
      <w:pPr>
        <w:spacing w:line="440" w:lineRule="exact"/>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2）环境标志产品分：属于财政部《环境标志产品政府采购品目清单》内的产品[投标文件中提供有效的认证证书复印件及品目清单（标注投标产品在品目清单中所属的品目），并加盖投标人公章]，每提供一项得0.5分，满分1分。</w:t>
      </w:r>
    </w:p>
    <w:p w14:paraId="3B77EE29">
      <w:pPr>
        <w:snapToGrid w:val="0"/>
        <w:spacing w:line="440" w:lineRule="exact"/>
        <w:ind w:firstLine="525"/>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总得分＝1+2+3</w:t>
      </w:r>
      <w:r>
        <w:rPr>
          <w:rFonts w:hint="eastAsia" w:ascii="宋体" w:hAnsi="宋体" w:cs="宋体"/>
          <w:b/>
          <w:bCs/>
          <w:color w:val="auto"/>
          <w:szCs w:val="21"/>
          <w:highlight w:val="none"/>
          <w:lang w:val="en-US" w:eastAsia="zh-CN"/>
        </w:rPr>
        <w:t>+4</w:t>
      </w:r>
    </w:p>
    <w:p w14:paraId="02F85E7C">
      <w:pPr>
        <w:snapToGrid w:val="0"/>
        <w:spacing w:line="360" w:lineRule="auto"/>
        <w:ind w:firstLine="105"/>
        <w:rPr>
          <w:rFonts w:hint="eastAsia" w:ascii="宋体" w:hAnsi="宋体"/>
          <w:b/>
          <w:color w:val="auto"/>
          <w:sz w:val="24"/>
          <w:highlight w:val="none"/>
        </w:rPr>
      </w:pPr>
      <w:r>
        <w:rPr>
          <w:rFonts w:hint="eastAsia" w:ascii="宋体" w:hAnsi="宋体"/>
          <w:b/>
          <w:color w:val="auto"/>
          <w:sz w:val="24"/>
          <w:highlight w:val="none"/>
        </w:rPr>
        <w:t>三、中标候选人推荐原则</w:t>
      </w:r>
    </w:p>
    <w:p w14:paraId="0D4D6862">
      <w:pPr>
        <w:pStyle w:val="27"/>
        <w:tabs>
          <w:tab w:val="left" w:pos="4214"/>
        </w:tabs>
        <w:spacing w:line="360" w:lineRule="auto"/>
        <w:ind w:firstLine="420" w:firstLineChars="200"/>
        <w:rPr>
          <w:rFonts w:hint="eastAsia" w:hAnsi="宋体"/>
          <w:color w:val="auto"/>
          <w:szCs w:val="21"/>
          <w:highlight w:val="none"/>
        </w:rPr>
      </w:pPr>
      <w:r>
        <w:rPr>
          <w:rFonts w:hint="eastAsia" w:hAnsi="宋体"/>
          <w:color w:val="auto"/>
          <w:szCs w:val="21"/>
          <w:highlight w:val="none"/>
        </w:rPr>
        <w:t>（1）评标委员会将根据得分由高到低排列次序（得分相同时，以投标报价由低到高顺序排列；得分相同且投标报价相同的，则依次</w:t>
      </w:r>
      <w:r>
        <w:rPr>
          <w:rFonts w:hint="eastAsia" w:hAnsi="宋体"/>
          <w:color w:val="auto"/>
          <w:szCs w:val="21"/>
          <w:highlight w:val="none"/>
          <w:lang w:val="en-US" w:eastAsia="zh-CN"/>
        </w:rPr>
        <w:t>技术</w:t>
      </w:r>
      <w:r>
        <w:rPr>
          <w:rFonts w:hint="eastAsia" w:hAnsi="宋体" w:cs="宋体"/>
          <w:color w:val="auto"/>
          <w:szCs w:val="21"/>
          <w:highlight w:val="none"/>
        </w:rPr>
        <w:t>分、</w:t>
      </w:r>
      <w:r>
        <w:rPr>
          <w:rFonts w:hint="eastAsia" w:hAnsi="宋体" w:cs="宋体"/>
          <w:color w:val="auto"/>
          <w:szCs w:val="21"/>
          <w:highlight w:val="none"/>
          <w:lang w:val="en-US" w:eastAsia="zh-CN"/>
        </w:rPr>
        <w:t>商务</w:t>
      </w:r>
      <w:r>
        <w:rPr>
          <w:rFonts w:hint="eastAsia" w:hAnsi="宋体" w:cs="宋体"/>
          <w:color w:val="auto"/>
          <w:szCs w:val="21"/>
          <w:highlight w:val="none"/>
          <w:lang w:eastAsia="zh-CN"/>
        </w:rPr>
        <w:t>分</w:t>
      </w:r>
      <w:r>
        <w:rPr>
          <w:rFonts w:hint="eastAsia" w:hAnsi="宋体"/>
          <w:color w:val="auto"/>
          <w:szCs w:val="21"/>
          <w:highlight w:val="none"/>
        </w:rPr>
        <w:t>由高到低的顺序排列并推荐前三名为中标候选人。</w:t>
      </w:r>
    </w:p>
    <w:p w14:paraId="6DAA26F5">
      <w:pPr>
        <w:pStyle w:val="27"/>
        <w:tabs>
          <w:tab w:val="left" w:pos="4214"/>
        </w:tabs>
        <w:spacing w:line="360" w:lineRule="auto"/>
        <w:ind w:firstLine="420" w:firstLineChars="200"/>
        <w:rPr>
          <w:rFonts w:hint="eastAsia" w:hAnsi="宋体"/>
          <w:color w:val="auto"/>
          <w:szCs w:val="21"/>
          <w:highlight w:val="none"/>
        </w:rPr>
      </w:pPr>
      <w:r>
        <w:rPr>
          <w:rFonts w:hint="eastAsia" w:hAnsi="宋体"/>
          <w:color w:val="auto"/>
          <w:szCs w:val="21"/>
          <w:highlight w:val="none"/>
        </w:rPr>
        <w:t>（2）评标委员会可推荐前三名为中标候选人，采购人应当确定评标委员会推荐排名第一的中标候选人为中标人。</w:t>
      </w:r>
    </w:p>
    <w:p w14:paraId="374A8425">
      <w:pPr>
        <w:pStyle w:val="27"/>
        <w:spacing w:line="360" w:lineRule="auto"/>
        <w:ind w:firstLine="447" w:firstLineChars="213"/>
        <w:rPr>
          <w:rFonts w:hint="eastAsia" w:hAnsi="宋体"/>
          <w:color w:val="auto"/>
          <w:szCs w:val="21"/>
          <w:highlight w:val="none"/>
        </w:rPr>
      </w:pPr>
      <w:r>
        <w:rPr>
          <w:rFonts w:hint="eastAsia" w:hAnsi="宋体"/>
          <w:color w:val="auto"/>
          <w:szCs w:val="21"/>
          <w:highlight w:val="none"/>
        </w:rPr>
        <w:t>（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或重新招标，并依此类推。</w:t>
      </w:r>
    </w:p>
    <w:p w14:paraId="384594BC">
      <w:pPr>
        <w:pStyle w:val="27"/>
        <w:keepNext w:val="0"/>
        <w:keepLines w:val="0"/>
        <w:pageBreakBefore w:val="0"/>
        <w:widowControl w:val="0"/>
        <w:kinsoku/>
        <w:wordWrap/>
        <w:overflowPunct/>
        <w:topLinePunct w:val="0"/>
        <w:autoSpaceDE/>
        <w:autoSpaceDN/>
        <w:bidi w:val="0"/>
        <w:adjustRightInd/>
        <w:snapToGrid/>
        <w:spacing w:line="370" w:lineRule="exact"/>
        <w:ind w:firstLine="422" w:firstLineChars="200"/>
        <w:contextualSpacing/>
        <w:textAlignment w:val="auto"/>
        <w:rPr>
          <w:rFonts w:hint="eastAsia" w:hAnsi="宋体"/>
          <w:b/>
          <w:color w:val="auto"/>
          <w:sz w:val="21"/>
          <w:highlight w:val="none"/>
          <w:lang w:eastAsia="zh-CN"/>
        </w:rPr>
      </w:pPr>
      <w:r>
        <w:rPr>
          <w:rFonts w:hint="eastAsia" w:ascii="宋体" w:hAnsi="宋体" w:eastAsia="宋体"/>
          <w:b/>
          <w:bCs/>
          <w:color w:val="auto"/>
          <w:szCs w:val="21"/>
          <w:highlight w:val="none"/>
          <w:lang w:eastAsia="zh-CN"/>
        </w:rPr>
        <w:t>（</w:t>
      </w:r>
      <w:r>
        <w:rPr>
          <w:rFonts w:hint="eastAsia" w:ascii="宋体" w:hAnsi="宋体" w:eastAsia="宋体"/>
          <w:b/>
          <w:bCs/>
          <w:color w:val="auto"/>
          <w:szCs w:val="21"/>
          <w:highlight w:val="none"/>
          <w:lang w:val="en-US" w:eastAsia="zh-CN"/>
        </w:rPr>
        <w:t>4</w:t>
      </w:r>
      <w:r>
        <w:rPr>
          <w:rFonts w:hint="eastAsia" w:ascii="宋体" w:hAnsi="宋体" w:eastAsia="宋体"/>
          <w:b/>
          <w:bCs/>
          <w:color w:val="auto"/>
          <w:szCs w:val="21"/>
          <w:highlight w:val="none"/>
          <w:lang w:eastAsia="zh-CN"/>
        </w:rPr>
        <w:t>）投标人可以根据自身情况参与本项目任意一个或多个标项的投标，但最多只能成为其中一个标项的中标人，</w:t>
      </w:r>
      <w:r>
        <w:rPr>
          <w:rFonts w:hint="eastAsia" w:hAnsi="宋体"/>
          <w:b/>
          <w:color w:val="auto"/>
          <w:sz w:val="21"/>
          <w:highlight w:val="none"/>
          <w:lang w:eastAsia="zh-CN"/>
        </w:rPr>
        <w:t>若某投标人同时在两个标项综合得分排名第一时，则按标项一→标项二的先后顺序推荐中标候选人（即标项一优先于标项二）。该投标人一旦被推荐为某一标项的第一中标候选人，</w:t>
      </w:r>
      <w:r>
        <w:rPr>
          <w:rFonts w:hAnsi="宋体"/>
          <w:b/>
          <w:color w:val="auto"/>
          <w:sz w:val="21"/>
          <w:highlight w:val="none"/>
          <w:lang w:eastAsia="zh-CN"/>
        </w:rPr>
        <w:t>则在</w:t>
      </w:r>
      <w:r>
        <w:rPr>
          <w:rFonts w:hint="eastAsia" w:hAnsi="宋体"/>
          <w:b/>
          <w:color w:val="auto"/>
          <w:sz w:val="21"/>
          <w:highlight w:val="none"/>
          <w:lang w:val="en-US" w:eastAsia="zh-CN"/>
        </w:rPr>
        <w:t>其他</w:t>
      </w:r>
      <w:r>
        <w:rPr>
          <w:rFonts w:hint="eastAsia" w:hAnsi="宋体"/>
          <w:b/>
          <w:color w:val="auto"/>
          <w:sz w:val="21"/>
          <w:highlight w:val="none"/>
          <w:lang w:eastAsia="zh-CN"/>
        </w:rPr>
        <w:t>标项不再被推荐为中标候选人。</w:t>
      </w:r>
    </w:p>
    <w:p w14:paraId="1436FC93">
      <w:pPr>
        <w:pStyle w:val="27"/>
        <w:spacing w:line="360" w:lineRule="auto"/>
        <w:ind w:firstLine="449" w:firstLineChars="213"/>
        <w:rPr>
          <w:rFonts w:hint="default" w:ascii="宋体" w:hAnsi="宋体" w:eastAsia="宋体"/>
          <w:b/>
          <w:bCs/>
          <w:color w:val="auto"/>
          <w:szCs w:val="21"/>
          <w:highlight w:val="none"/>
          <w:lang w:val="en-US"/>
        </w:rPr>
      </w:pPr>
    </w:p>
    <w:p w14:paraId="0449EC65">
      <w:pPr>
        <w:pStyle w:val="29"/>
        <w:rPr>
          <w:rFonts w:hint="eastAsia" w:eastAsia="宋体"/>
          <w:color w:val="auto"/>
          <w:highlight w:val="none"/>
          <w:lang w:val="en-US" w:eastAsia="zh-CN"/>
        </w:rPr>
      </w:pPr>
    </w:p>
    <w:p w14:paraId="57E1CBC4">
      <w:pPr>
        <w:rPr>
          <w:rFonts w:hint="eastAsia" w:hAnsi="宋体"/>
          <w:b/>
          <w:color w:val="auto"/>
          <w:sz w:val="32"/>
          <w:szCs w:val="32"/>
          <w:highlight w:val="none"/>
        </w:rPr>
      </w:pPr>
      <w:bookmarkStart w:id="11" w:name="_Toc90288708"/>
      <w:r>
        <w:rPr>
          <w:rFonts w:hint="eastAsia" w:hAnsi="宋体"/>
          <w:b/>
          <w:color w:val="auto"/>
          <w:sz w:val="32"/>
          <w:szCs w:val="32"/>
          <w:highlight w:val="none"/>
        </w:rPr>
        <w:br w:type="page"/>
      </w:r>
    </w:p>
    <w:p w14:paraId="58EB52D3">
      <w:pPr>
        <w:snapToGrid w:val="0"/>
        <w:spacing w:line="360" w:lineRule="auto"/>
        <w:ind w:firstLine="422"/>
        <w:jc w:val="center"/>
        <w:outlineLvl w:val="0"/>
        <w:rPr>
          <w:rFonts w:hint="eastAsia" w:hAnsi="宋体"/>
          <w:b/>
          <w:color w:val="auto"/>
          <w:sz w:val="32"/>
          <w:szCs w:val="32"/>
          <w:highlight w:val="none"/>
        </w:rPr>
      </w:pPr>
      <w:r>
        <w:rPr>
          <w:rFonts w:hint="eastAsia" w:hAnsi="宋体"/>
          <w:b/>
          <w:color w:val="auto"/>
          <w:sz w:val="32"/>
          <w:szCs w:val="32"/>
          <w:highlight w:val="none"/>
        </w:rPr>
        <w:t>第五章  合同主要条款及格式</w:t>
      </w:r>
      <w:bookmarkEnd w:id="11"/>
    </w:p>
    <w:p w14:paraId="56D5512D">
      <w:pPr>
        <w:spacing w:line="400" w:lineRule="exact"/>
        <w:rPr>
          <w:rFonts w:hint="eastAsia" w:ascii="宋体" w:hAnsi="宋体"/>
          <w:color w:val="auto"/>
          <w:highlight w:val="none"/>
        </w:rPr>
      </w:pPr>
    </w:p>
    <w:p w14:paraId="50981419">
      <w:pPr>
        <w:spacing w:line="360" w:lineRule="auto"/>
        <w:rPr>
          <w:rFonts w:hint="eastAsia" w:ascii="宋体" w:hAnsi="宋体"/>
          <w:color w:val="auto"/>
          <w:highlight w:val="none"/>
          <w:u w:val="single"/>
        </w:rPr>
      </w:pPr>
      <w:r>
        <w:rPr>
          <w:rFonts w:hint="eastAsia" w:ascii="宋体" w:hAnsi="宋体"/>
          <w:color w:val="auto"/>
          <w:highlight w:val="none"/>
        </w:rPr>
        <w:t>项目名称：</w:t>
      </w:r>
      <w:r>
        <w:rPr>
          <w:rFonts w:hint="eastAsia" w:ascii="宋体" w:hAnsi="宋体"/>
          <w:color w:val="auto"/>
          <w:highlight w:val="none"/>
          <w:u w:val="single"/>
        </w:rPr>
        <w:t xml:space="preserve">     </w:t>
      </w:r>
    </w:p>
    <w:p w14:paraId="7547DA5F">
      <w:pPr>
        <w:spacing w:line="360" w:lineRule="auto"/>
        <w:rPr>
          <w:rFonts w:hint="eastAsia" w:ascii="宋体" w:hAnsi="宋体" w:eastAsia="宋体"/>
          <w:color w:val="auto"/>
          <w:highlight w:val="none"/>
          <w:lang w:eastAsia="zh-CN"/>
        </w:rPr>
      </w:pPr>
      <w:r>
        <w:rPr>
          <w:rFonts w:hint="eastAsia" w:ascii="宋体" w:hAnsi="宋体"/>
          <w:color w:val="auto"/>
          <w:highlight w:val="none"/>
          <w:lang w:eastAsia="zh-CN"/>
        </w:rPr>
        <w:t>项目编号：GLZC2026-G1-210069-GXWA</w:t>
      </w:r>
    </w:p>
    <w:p w14:paraId="60915FCD">
      <w:pPr>
        <w:spacing w:line="360" w:lineRule="auto"/>
        <w:rPr>
          <w:rFonts w:hint="eastAsia" w:ascii="宋体" w:hAnsi="宋体"/>
          <w:color w:val="auto"/>
          <w:highlight w:val="none"/>
        </w:rPr>
      </w:pPr>
    </w:p>
    <w:p w14:paraId="44152DE3">
      <w:pPr>
        <w:spacing w:line="360" w:lineRule="auto"/>
        <w:rPr>
          <w:rFonts w:hint="eastAsia" w:ascii="宋体" w:hAnsi="宋体"/>
          <w:color w:val="auto"/>
          <w:highlight w:val="none"/>
        </w:rPr>
      </w:pPr>
      <w:r>
        <w:rPr>
          <w:rFonts w:hint="eastAsia" w:ascii="宋体" w:hAnsi="宋体"/>
          <w:color w:val="auto"/>
          <w:highlight w:val="none"/>
        </w:rPr>
        <w:t>甲方：</w:t>
      </w:r>
      <w:r>
        <w:rPr>
          <w:rFonts w:hint="eastAsia" w:ascii="宋体" w:hAnsi="宋体"/>
          <w:color w:val="auto"/>
          <w:szCs w:val="21"/>
          <w:highlight w:val="none"/>
          <w:u w:val="single"/>
        </w:rPr>
        <w:t xml:space="preserve">                   </w:t>
      </w:r>
      <w:r>
        <w:rPr>
          <w:rFonts w:hint="eastAsia" w:ascii="宋体" w:hAnsi="宋体"/>
          <w:color w:val="auto"/>
          <w:highlight w:val="none"/>
        </w:rPr>
        <w:t>（采购人）</w:t>
      </w:r>
    </w:p>
    <w:p w14:paraId="7B8E4550">
      <w:pPr>
        <w:spacing w:line="360" w:lineRule="auto"/>
        <w:rPr>
          <w:rFonts w:hint="eastAsia" w:ascii="宋体" w:hAnsi="宋体"/>
          <w:color w:val="auto"/>
          <w:highlight w:val="none"/>
        </w:rPr>
      </w:pPr>
      <w:r>
        <w:rPr>
          <w:rFonts w:hint="eastAsia" w:ascii="宋体" w:hAnsi="宋体"/>
          <w:color w:val="auto"/>
          <w:highlight w:val="none"/>
        </w:rPr>
        <w:t>乙方：</w:t>
      </w:r>
      <w:r>
        <w:rPr>
          <w:rFonts w:hint="eastAsia" w:ascii="宋体" w:hAnsi="宋体"/>
          <w:color w:val="auto"/>
          <w:szCs w:val="21"/>
          <w:highlight w:val="none"/>
          <w:u w:val="single"/>
        </w:rPr>
        <w:t xml:space="preserve">                  </w:t>
      </w:r>
      <w:r>
        <w:rPr>
          <w:rFonts w:hint="eastAsia" w:ascii="宋体" w:hAnsi="宋体"/>
          <w:color w:val="auto"/>
          <w:highlight w:val="none"/>
        </w:rPr>
        <w:t>（中标投标人）</w:t>
      </w:r>
    </w:p>
    <w:p w14:paraId="1C0604D4">
      <w:pPr>
        <w:spacing w:line="360" w:lineRule="auto"/>
        <w:ind w:firstLine="420" w:firstLineChars="200"/>
        <w:rPr>
          <w:rFonts w:hint="eastAsia" w:ascii="宋体" w:hAnsi="宋体"/>
          <w:color w:val="auto"/>
          <w:highlight w:val="none"/>
        </w:rPr>
      </w:pPr>
      <w:r>
        <w:rPr>
          <w:rFonts w:hint="eastAsia" w:ascii="宋体" w:hAnsi="宋体"/>
          <w:color w:val="auto"/>
          <w:highlight w:val="none"/>
        </w:rPr>
        <w:t>根据《中华人民共和国政府采购法》、《中华人民共和国政府采购法实施条例》、《中华人民共和国</w:t>
      </w:r>
      <w:r>
        <w:rPr>
          <w:rFonts w:hint="eastAsia" w:ascii="宋体" w:hAnsi="宋体"/>
          <w:color w:val="auto"/>
          <w:szCs w:val="21"/>
          <w:highlight w:val="none"/>
        </w:rPr>
        <w:t>民法典</w:t>
      </w:r>
      <w:r>
        <w:rPr>
          <w:rFonts w:hint="eastAsia" w:ascii="宋体" w:hAnsi="宋体"/>
          <w:color w:val="auto"/>
          <w:highlight w:val="none"/>
        </w:rPr>
        <w:t>》等法律、法规规定，按照招投标文件规定条款和中标投标人承诺、甲乙双方签订本合同。</w:t>
      </w:r>
    </w:p>
    <w:p w14:paraId="2DF3E8BF">
      <w:pPr>
        <w:numPr>
          <w:ilvl w:val="0"/>
          <w:numId w:val="3"/>
        </w:numPr>
        <w:spacing w:line="360" w:lineRule="auto"/>
        <w:rPr>
          <w:rFonts w:hint="eastAsia" w:ascii="宋体" w:hAnsi="宋体"/>
          <w:b/>
          <w:color w:val="auto"/>
          <w:szCs w:val="21"/>
          <w:highlight w:val="none"/>
        </w:rPr>
      </w:pPr>
      <w:r>
        <w:rPr>
          <w:rFonts w:hint="eastAsia" w:ascii="宋体" w:hAnsi="宋体"/>
          <w:b/>
          <w:color w:val="auto"/>
          <w:szCs w:val="21"/>
          <w:highlight w:val="none"/>
        </w:rPr>
        <w:t>合同标的及合同金额</w:t>
      </w:r>
    </w:p>
    <w:p w14:paraId="0134B5EA">
      <w:pPr>
        <w:spacing w:line="360" w:lineRule="auto"/>
        <w:ind w:left="413"/>
        <w:rPr>
          <w:rFonts w:hint="eastAsia" w:ascii="宋体" w:hAnsi="宋体"/>
          <w:b/>
          <w:color w:val="auto"/>
          <w:szCs w:val="21"/>
          <w:highlight w:val="none"/>
        </w:rPr>
      </w:pPr>
      <w:r>
        <w:rPr>
          <w:rFonts w:hint="eastAsia" w:ascii="宋体" w:hAnsi="宋体"/>
          <w:b/>
          <w:color w:val="auto"/>
          <w:szCs w:val="21"/>
          <w:highlight w:val="none"/>
        </w:rPr>
        <w:t>1.合同标的</w:t>
      </w:r>
    </w:p>
    <w:tbl>
      <w:tblPr>
        <w:tblStyle w:val="51"/>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2"/>
        <w:gridCol w:w="1445"/>
        <w:gridCol w:w="1483"/>
        <w:gridCol w:w="698"/>
        <w:gridCol w:w="714"/>
        <w:gridCol w:w="1412"/>
        <w:gridCol w:w="1575"/>
      </w:tblGrid>
      <w:tr w14:paraId="1D141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709" w:type="dxa"/>
            <w:vAlign w:val="center"/>
          </w:tcPr>
          <w:p w14:paraId="5E339345">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项号</w:t>
            </w:r>
          </w:p>
        </w:tc>
        <w:tc>
          <w:tcPr>
            <w:tcW w:w="1232" w:type="dxa"/>
            <w:vAlign w:val="center"/>
          </w:tcPr>
          <w:p w14:paraId="7BA59FEC">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货物名称</w:t>
            </w:r>
          </w:p>
        </w:tc>
        <w:tc>
          <w:tcPr>
            <w:tcW w:w="1445" w:type="dxa"/>
            <w:vAlign w:val="center"/>
          </w:tcPr>
          <w:p w14:paraId="1BF50E95">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30"/>
                <w:highlight w:val="none"/>
              </w:rPr>
              <w:t>厂家、品牌、规格型号</w:t>
            </w:r>
          </w:p>
        </w:tc>
        <w:tc>
          <w:tcPr>
            <w:tcW w:w="1483" w:type="dxa"/>
            <w:vAlign w:val="center"/>
          </w:tcPr>
          <w:p w14:paraId="233D28B2">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技术参数、性能、配置</w:t>
            </w:r>
          </w:p>
        </w:tc>
        <w:tc>
          <w:tcPr>
            <w:tcW w:w="698" w:type="dxa"/>
            <w:vAlign w:val="center"/>
          </w:tcPr>
          <w:p w14:paraId="7C4F01D6">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数量</w:t>
            </w:r>
          </w:p>
          <w:p w14:paraId="7E067263">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①</w:t>
            </w:r>
          </w:p>
        </w:tc>
        <w:tc>
          <w:tcPr>
            <w:tcW w:w="714" w:type="dxa"/>
            <w:vAlign w:val="center"/>
          </w:tcPr>
          <w:p w14:paraId="585F45B6">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单位</w:t>
            </w:r>
          </w:p>
        </w:tc>
        <w:tc>
          <w:tcPr>
            <w:tcW w:w="1412" w:type="dxa"/>
            <w:vAlign w:val="center"/>
          </w:tcPr>
          <w:p w14:paraId="5A0239CC">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单价（元）</w:t>
            </w:r>
          </w:p>
          <w:p w14:paraId="2270296B">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②</w:t>
            </w:r>
          </w:p>
        </w:tc>
        <w:tc>
          <w:tcPr>
            <w:tcW w:w="1575" w:type="dxa"/>
            <w:vAlign w:val="center"/>
          </w:tcPr>
          <w:p w14:paraId="43F1AD56">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b/>
                <w:color w:val="auto"/>
                <w:szCs w:val="21"/>
                <w:highlight w:val="none"/>
              </w:rPr>
              <w:t>单项合计金额</w:t>
            </w:r>
            <w:r>
              <w:rPr>
                <w:rFonts w:hint="eastAsia" w:ascii="宋体" w:hAnsi="宋体"/>
                <w:color w:val="auto"/>
                <w:szCs w:val="21"/>
                <w:highlight w:val="none"/>
              </w:rPr>
              <w:t>（元）</w:t>
            </w:r>
          </w:p>
          <w:p w14:paraId="29939050">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③＝①×②</w:t>
            </w:r>
          </w:p>
        </w:tc>
      </w:tr>
      <w:tr w14:paraId="56A80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28000AC8">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32" w:type="dxa"/>
            <w:vAlign w:val="center"/>
          </w:tcPr>
          <w:p w14:paraId="24AA7266">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1445" w:type="dxa"/>
            <w:vAlign w:val="center"/>
          </w:tcPr>
          <w:p w14:paraId="39F3816E">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1483" w:type="dxa"/>
            <w:vAlign w:val="center"/>
          </w:tcPr>
          <w:p w14:paraId="4DB932A6">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698" w:type="dxa"/>
            <w:vAlign w:val="center"/>
          </w:tcPr>
          <w:p w14:paraId="54D8F467">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714" w:type="dxa"/>
            <w:vAlign w:val="center"/>
          </w:tcPr>
          <w:p w14:paraId="2224F50D">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1412" w:type="dxa"/>
            <w:vAlign w:val="center"/>
          </w:tcPr>
          <w:p w14:paraId="7ED9C132">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1575" w:type="dxa"/>
            <w:vAlign w:val="center"/>
          </w:tcPr>
          <w:p w14:paraId="02D59454">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r>
      <w:tr w14:paraId="042EF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0689EDD5">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232" w:type="dxa"/>
            <w:vAlign w:val="center"/>
          </w:tcPr>
          <w:p w14:paraId="7475C244">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1445" w:type="dxa"/>
            <w:vAlign w:val="center"/>
          </w:tcPr>
          <w:p w14:paraId="64AAAC41">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1483" w:type="dxa"/>
            <w:vAlign w:val="center"/>
          </w:tcPr>
          <w:p w14:paraId="029F15B4">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698" w:type="dxa"/>
            <w:vAlign w:val="center"/>
          </w:tcPr>
          <w:p w14:paraId="2C1056EF">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714" w:type="dxa"/>
            <w:vAlign w:val="center"/>
          </w:tcPr>
          <w:p w14:paraId="09E3DFAE">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1412" w:type="dxa"/>
            <w:vAlign w:val="center"/>
          </w:tcPr>
          <w:p w14:paraId="0608B9F5">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1575" w:type="dxa"/>
            <w:vAlign w:val="center"/>
          </w:tcPr>
          <w:p w14:paraId="17D291C5">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r>
      <w:tr w14:paraId="2E54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1960E176">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1232" w:type="dxa"/>
            <w:vAlign w:val="center"/>
          </w:tcPr>
          <w:p w14:paraId="34B61BE6">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1445" w:type="dxa"/>
            <w:vAlign w:val="center"/>
          </w:tcPr>
          <w:p w14:paraId="49590A97">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1483" w:type="dxa"/>
            <w:vAlign w:val="center"/>
          </w:tcPr>
          <w:p w14:paraId="77F819FE">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698" w:type="dxa"/>
            <w:vAlign w:val="center"/>
          </w:tcPr>
          <w:p w14:paraId="040A2EFF">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714" w:type="dxa"/>
            <w:vAlign w:val="center"/>
          </w:tcPr>
          <w:p w14:paraId="15B99AB8">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1412" w:type="dxa"/>
            <w:vAlign w:val="center"/>
          </w:tcPr>
          <w:p w14:paraId="0C715386">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1575" w:type="dxa"/>
            <w:vAlign w:val="center"/>
          </w:tcPr>
          <w:p w14:paraId="729DE483">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r>
      <w:tr w14:paraId="574C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792F1ECE">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N</w:t>
            </w:r>
          </w:p>
        </w:tc>
        <w:tc>
          <w:tcPr>
            <w:tcW w:w="1232" w:type="dxa"/>
            <w:vAlign w:val="center"/>
          </w:tcPr>
          <w:p w14:paraId="1FBDAA97">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1445" w:type="dxa"/>
            <w:vAlign w:val="center"/>
          </w:tcPr>
          <w:p w14:paraId="4A46301B">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1483" w:type="dxa"/>
            <w:vAlign w:val="center"/>
          </w:tcPr>
          <w:p w14:paraId="01B06011">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698" w:type="dxa"/>
            <w:vAlign w:val="center"/>
          </w:tcPr>
          <w:p w14:paraId="66622100">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714" w:type="dxa"/>
            <w:vAlign w:val="center"/>
          </w:tcPr>
          <w:p w14:paraId="5D98D903">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1412" w:type="dxa"/>
            <w:vAlign w:val="center"/>
          </w:tcPr>
          <w:p w14:paraId="4BCA3B08">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1575" w:type="dxa"/>
            <w:vAlign w:val="center"/>
          </w:tcPr>
          <w:p w14:paraId="28476DCF">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r>
      <w:tr w14:paraId="33FD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693" w:type="dxa"/>
            <w:gridSpan w:val="7"/>
            <w:vAlign w:val="center"/>
          </w:tcPr>
          <w:p w14:paraId="2BA8C92D">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r>
              <w:rPr>
                <w:rFonts w:hint="eastAsia" w:ascii="宋体" w:hAnsi="宋体"/>
                <w:color w:val="auto"/>
                <w:szCs w:val="21"/>
                <w:highlight w:val="none"/>
              </w:rPr>
              <w:t xml:space="preserve">                                                         合   计</w:t>
            </w:r>
          </w:p>
        </w:tc>
        <w:tc>
          <w:tcPr>
            <w:tcW w:w="1575" w:type="dxa"/>
            <w:vAlign w:val="center"/>
          </w:tcPr>
          <w:p w14:paraId="053A989F">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r>
    </w:tbl>
    <w:p w14:paraId="26EF2C3C">
      <w:pPr>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2.合同金额：</w:t>
      </w:r>
    </w:p>
    <w:p w14:paraId="4080B12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2.1根据《中标通知书》的中标内容，合同的总金额为：（大写）</w:t>
      </w:r>
      <w:r>
        <w:rPr>
          <w:rFonts w:hint="eastAsia" w:ascii="宋体" w:hAnsi="宋体"/>
          <w:color w:val="auto"/>
          <w:szCs w:val="21"/>
          <w:highlight w:val="none"/>
          <w:u w:val="single"/>
        </w:rPr>
        <w:t>　　　　　　　　　</w:t>
      </w:r>
      <w:r>
        <w:rPr>
          <w:rFonts w:hint="eastAsia" w:ascii="宋体" w:hAnsi="宋体"/>
          <w:color w:val="auto"/>
          <w:szCs w:val="21"/>
          <w:highlight w:val="none"/>
        </w:rPr>
        <w:t>人民币（￥</w:t>
      </w:r>
      <w:r>
        <w:rPr>
          <w:rFonts w:hint="eastAsia" w:ascii="宋体" w:hAnsi="宋体"/>
          <w:color w:val="auto"/>
          <w:szCs w:val="21"/>
          <w:highlight w:val="none"/>
          <w:u w:val="single"/>
        </w:rPr>
        <w:t>　　　　　</w:t>
      </w:r>
      <w:r>
        <w:rPr>
          <w:rFonts w:hint="eastAsia" w:ascii="宋体" w:hAnsi="宋体"/>
          <w:color w:val="auto"/>
          <w:szCs w:val="21"/>
          <w:highlight w:val="none"/>
        </w:rPr>
        <w:t>元）</w:t>
      </w:r>
    </w:p>
    <w:p w14:paraId="2419A161">
      <w:pPr>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2.2合同总金额应包括</w:t>
      </w:r>
      <w:r>
        <w:rPr>
          <w:rFonts w:hint="eastAsia" w:ascii="宋体" w:hAnsi="宋体" w:cs="宋体"/>
          <w:color w:val="auto"/>
          <w:szCs w:val="21"/>
          <w:highlight w:val="none"/>
        </w:rPr>
        <w:t>本次招标采购范围内货物价款、货物随配标准附件、包装、运输、装卸、保险、税金、货到位以及施工安装、安装所需辅材、调试、检验、售后服务、培训、保修、验收及其他所有成本费用的总和</w:t>
      </w:r>
      <w:r>
        <w:rPr>
          <w:rFonts w:hint="eastAsia" w:ascii="宋体" w:hAnsi="宋体"/>
          <w:color w:val="auto"/>
          <w:szCs w:val="21"/>
          <w:highlight w:val="none"/>
        </w:rPr>
        <w:t>。甲方不再支付任何费用。</w:t>
      </w:r>
    </w:p>
    <w:p w14:paraId="0650C927">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第二条  质量保证</w:t>
      </w:r>
    </w:p>
    <w:p w14:paraId="64419882">
      <w:pPr>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1. 乙方应按投标文件承诺的货物型号、技术规格、技术参数、性能、配置、质量标准向甲方提供未经使用的全新原装产品，且在正常安装、使用和保养条件下，其使用寿命期内各项指标均达到质量标准。</w:t>
      </w:r>
    </w:p>
    <w:p w14:paraId="4384AE09">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2. 乙方提供货物的质量保证期为</w:t>
      </w:r>
      <w:r>
        <w:rPr>
          <w:rFonts w:hint="eastAsia" w:ascii="宋体" w:hAnsi="宋体"/>
          <w:color w:val="auto"/>
          <w:szCs w:val="21"/>
          <w:highlight w:val="none"/>
          <w:u w:val="single"/>
        </w:rPr>
        <w:t xml:space="preserve">                  </w:t>
      </w:r>
      <w:r>
        <w:rPr>
          <w:rFonts w:hint="eastAsia" w:ascii="宋体" w:hAnsi="宋体"/>
          <w:color w:val="auto"/>
          <w:szCs w:val="21"/>
          <w:highlight w:val="none"/>
        </w:rPr>
        <w:t>（从</w:t>
      </w:r>
      <w:r>
        <w:rPr>
          <w:rFonts w:hint="eastAsia" w:ascii="宋体" w:hAnsi="宋体" w:cs="宋体"/>
          <w:color w:val="auto"/>
          <w:szCs w:val="21"/>
          <w:highlight w:val="none"/>
        </w:rPr>
        <w:t>货物</w:t>
      </w:r>
      <w:r>
        <w:rPr>
          <w:rFonts w:hint="eastAsia" w:ascii="宋体" w:hAnsi="宋体"/>
          <w:color w:val="auto"/>
          <w:szCs w:val="21"/>
          <w:highlight w:val="none"/>
        </w:rPr>
        <w:t>验收合格之日起计算）（</w:t>
      </w:r>
      <w:r>
        <w:rPr>
          <w:rFonts w:ascii="宋体" w:hAnsi="宋体"/>
          <w:bCs/>
          <w:color w:val="auto"/>
          <w:kern w:val="0"/>
          <w:szCs w:val="21"/>
          <w:highlight w:val="none"/>
        </w:rPr>
        <w:t>“货物采购需求”中有特殊要求的，按其要求执行</w:t>
      </w:r>
      <w:r>
        <w:rPr>
          <w:rFonts w:hint="eastAsia" w:ascii="宋体" w:hAnsi="宋体"/>
          <w:color w:val="auto"/>
          <w:szCs w:val="21"/>
          <w:highlight w:val="none"/>
        </w:rPr>
        <w:t>）。在质保期内因货物本身的质量问题发生故障，乙方应负责免费修理和更换零部件。对达不到技术要求者，根据实际情况，经双方协商，可按以下办法处理：</w:t>
      </w:r>
    </w:p>
    <w:p w14:paraId="54155DF1">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（1）更换：由乙方承担所有发生的全部费用。</w:t>
      </w:r>
    </w:p>
    <w:p w14:paraId="52C1DC1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（2）贬值处理：由甲乙双方合议定价。</w:t>
      </w:r>
    </w:p>
    <w:p w14:paraId="72261E2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（3）退货处理：乙方应退还甲方支付的合同款，同时应承担该货物的直接费用（运输、保险、检验、贷款利息及银行手续费等）。</w:t>
      </w:r>
    </w:p>
    <w:p w14:paraId="3B5F7AE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s="宋体"/>
          <w:color w:val="auto"/>
          <w:kern w:val="0"/>
          <w:szCs w:val="21"/>
          <w:highlight w:val="none"/>
        </w:rPr>
        <w:t xml:space="preserve"> </w:t>
      </w:r>
      <w:r>
        <w:rPr>
          <w:rFonts w:hint="eastAsia" w:ascii="宋体" w:hAnsi="宋体"/>
          <w:color w:val="auto"/>
          <w:kern w:val="0"/>
          <w:szCs w:val="21"/>
          <w:highlight w:val="none"/>
        </w:rPr>
        <w:t>质量标准：</w:t>
      </w:r>
      <w:r>
        <w:rPr>
          <w:rFonts w:hint="eastAsia" w:ascii="宋体" w:hAnsi="宋体" w:cs="宋体"/>
          <w:color w:val="auto"/>
          <w:kern w:val="0"/>
          <w:szCs w:val="21"/>
          <w:highlight w:val="none"/>
        </w:rPr>
        <w:t>产品符合设备制造厂家合格产品的出厂质量标准。</w:t>
      </w:r>
    </w:p>
    <w:p w14:paraId="58FC08A7">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第三条  权力保证</w:t>
      </w:r>
    </w:p>
    <w:p w14:paraId="57E4C2BD">
      <w:pPr>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1. 乙方应保证所提供货物在使用时不会侵犯任何第三方的专利权、商标权、工业设计权或其他权利。</w:t>
      </w:r>
    </w:p>
    <w:p w14:paraId="7E0F9ED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 乙方应按招标文件规定的时间向甲方提供使用货物的有关技术资料。</w:t>
      </w:r>
    </w:p>
    <w:p w14:paraId="384E1B5D">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3. 乙方保证所交付的货物的所有权完全属于乙方且无任何抵押、质押、查封等产权瑕疵。</w:t>
      </w:r>
    </w:p>
    <w:p w14:paraId="277C9687">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第四条  货物包装、运输</w:t>
      </w:r>
    </w:p>
    <w:p w14:paraId="55D83E69">
      <w:pPr>
        <w:spacing w:line="360" w:lineRule="auto"/>
        <w:ind w:firstLine="420" w:firstLineChars="200"/>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1、原厂原包装，包装完好、完整无破损、未开封。</w:t>
      </w:r>
    </w:p>
    <w:p w14:paraId="71A7876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 乙方应在货物发运前对其进行满足运输距离、防潮、防震、防锈和防破损装卸等要求包装，以保证货物安全运达甲方指定地点。</w:t>
      </w:r>
    </w:p>
    <w:p w14:paraId="4302ED8F">
      <w:pPr>
        <w:snapToGrid w:val="0"/>
        <w:spacing w:line="360" w:lineRule="auto"/>
        <w:ind w:firstLine="422"/>
        <w:jc w:val="both"/>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 使用说明书（货物属于进口产品的，供货时应同时附上中文使用说明书）、质量检验证明书、随配附件和工具以及清单一并附于货物内。</w:t>
      </w:r>
    </w:p>
    <w:p w14:paraId="6260711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 乙方在货物发运手续办理完毕后二十四小时内或货到甲方四十八小时前通知甲方，以准备接货。</w:t>
      </w:r>
    </w:p>
    <w:p w14:paraId="28E09ADD">
      <w:pPr>
        <w:spacing w:line="360" w:lineRule="auto"/>
        <w:ind w:left="420"/>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 货物在交付甲方前发生的风险均由乙方负责。</w:t>
      </w:r>
    </w:p>
    <w:p w14:paraId="4BA1D9A4">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第五条  交付</w:t>
      </w:r>
    </w:p>
    <w:p w14:paraId="1B273BC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 交付时间：</w:t>
      </w:r>
      <w:r>
        <w:rPr>
          <w:rFonts w:hint="eastAsia" w:ascii="宋体" w:hAnsi="宋体"/>
          <w:color w:val="auto"/>
          <w:szCs w:val="21"/>
          <w:highlight w:val="none"/>
          <w:u w:val="single"/>
        </w:rPr>
        <w:t xml:space="preserve">自签订合同之日起 </w:t>
      </w:r>
      <w:r>
        <w:rPr>
          <w:rFonts w:hint="eastAsia" w:ascii="宋体" w:hAnsi="宋体"/>
          <w:color w:val="auto"/>
          <w:szCs w:val="21"/>
          <w:highlight w:val="none"/>
          <w:u w:val="single"/>
          <w:lang w:val="en-US" w:eastAsia="zh-CN"/>
        </w:rPr>
        <w:t>3</w:t>
      </w:r>
      <w:r>
        <w:rPr>
          <w:rFonts w:hint="eastAsia" w:ascii="宋体" w:hAnsi="宋体"/>
          <w:color w:val="auto"/>
          <w:szCs w:val="21"/>
          <w:highlight w:val="none"/>
          <w:u w:val="single"/>
        </w:rPr>
        <w:t>0个日历日内交货并安装调试合格交付使用。</w:t>
      </w:r>
    </w:p>
    <w:p w14:paraId="4B2C000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交付地点：</w:t>
      </w:r>
      <w:r>
        <w:rPr>
          <w:rFonts w:hint="eastAsia" w:ascii="宋体" w:hAnsi="宋体"/>
          <w:color w:val="auto"/>
          <w:szCs w:val="21"/>
          <w:highlight w:val="none"/>
          <w:u w:val="single"/>
        </w:rPr>
        <w:t>采购人指定地点</w:t>
      </w:r>
      <w:r>
        <w:rPr>
          <w:rFonts w:hint="eastAsia" w:ascii="宋体" w:hAnsi="宋体"/>
          <w:color w:val="auto"/>
          <w:szCs w:val="21"/>
          <w:highlight w:val="none"/>
        </w:rPr>
        <w:t>。</w:t>
      </w:r>
    </w:p>
    <w:p w14:paraId="720AE19D">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2. 乙方提供不符合招标文件、投标文件和本合同规定的货物，甲方有权拒绝接受。</w:t>
      </w:r>
    </w:p>
    <w:p w14:paraId="267E3DA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 乙方应将所有提供货物的装箱清单、用户手册、原厂保修卡、随机资料、工具和备用、备件等交付给甲方，货物属于进口产品的，供货时应同时附上中文使用说明书，如有缺失应及时补齐，否则视为逾期交货。</w:t>
      </w:r>
    </w:p>
    <w:p w14:paraId="540FB549">
      <w:pPr>
        <w:spacing w:line="360" w:lineRule="auto"/>
        <w:ind w:left="413"/>
        <w:rPr>
          <w:rFonts w:hint="eastAsia" w:ascii="宋体" w:hAnsi="宋体"/>
          <w:b/>
          <w:color w:val="auto"/>
          <w:szCs w:val="21"/>
          <w:highlight w:val="none"/>
        </w:rPr>
      </w:pPr>
      <w:r>
        <w:rPr>
          <w:rFonts w:hint="eastAsia" w:ascii="宋体" w:hAnsi="宋体"/>
          <w:b/>
          <w:color w:val="auto"/>
          <w:szCs w:val="21"/>
          <w:highlight w:val="none"/>
        </w:rPr>
        <w:t>第六条  调试和验收</w:t>
      </w:r>
    </w:p>
    <w:p w14:paraId="79AAA34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 乙方交货前应对产品做出全面的检查和对验收文件进行整理，并列出清单，作为甲方验收和使用的技术条件依据，验收的结果应随货物交甲方。</w:t>
      </w:r>
    </w:p>
    <w:p w14:paraId="224610D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 乙方</w:t>
      </w:r>
      <w:r>
        <w:rPr>
          <w:rFonts w:ascii="宋体" w:hAnsi="宋体"/>
          <w:color w:val="auto"/>
          <w:szCs w:val="21"/>
          <w:highlight w:val="none"/>
        </w:rPr>
        <w:t>提供的设备必须为全新的原装正品，符合有关质量标准的产品</w:t>
      </w:r>
      <w:r>
        <w:rPr>
          <w:rFonts w:hint="eastAsia" w:ascii="宋体" w:hAnsi="宋体"/>
          <w:color w:val="auto"/>
          <w:szCs w:val="21"/>
          <w:highlight w:val="none"/>
        </w:rPr>
        <w:t>；货物安装调试完成后，甲方应在七个工作日内依据招标文件、投标文件的技术规格要求及承诺和国家有关质量标准对货物进行现场验收，验收合格后由甲乙双方签署货物验收单并加盖公章，甲乙双方各执一份。</w:t>
      </w:r>
      <w:r>
        <w:rPr>
          <w:rFonts w:ascii="宋体" w:hAnsi="宋体"/>
          <w:color w:val="auto"/>
          <w:szCs w:val="21"/>
          <w:highlight w:val="none"/>
        </w:rPr>
        <w:t>核验不合格的，甲方有权终止合同执行并全部退货，同时报相关监督管理部门处理，由此造成甲方经济损失的由</w:t>
      </w:r>
      <w:r>
        <w:rPr>
          <w:rFonts w:hint="eastAsia" w:ascii="宋体" w:hAnsi="宋体"/>
          <w:color w:val="auto"/>
          <w:szCs w:val="21"/>
          <w:highlight w:val="none"/>
        </w:rPr>
        <w:t>乙方</w:t>
      </w:r>
      <w:r>
        <w:rPr>
          <w:rFonts w:ascii="宋体" w:hAnsi="宋体"/>
          <w:color w:val="auto"/>
          <w:szCs w:val="21"/>
          <w:highlight w:val="none"/>
        </w:rPr>
        <w:t>负责承担全部赔偿责任。如有异议，将交由国家认可并具检验检测资格的第三方机构邀请相关专家进行实际检验，所有产生的费用由</w:t>
      </w:r>
      <w:r>
        <w:rPr>
          <w:rFonts w:hint="eastAsia" w:ascii="宋体" w:hAnsi="宋体"/>
          <w:color w:val="auto"/>
          <w:szCs w:val="21"/>
          <w:highlight w:val="none"/>
        </w:rPr>
        <w:t>乙方</w:t>
      </w:r>
      <w:r>
        <w:rPr>
          <w:rFonts w:ascii="宋体" w:hAnsi="宋体"/>
          <w:color w:val="auto"/>
          <w:szCs w:val="21"/>
          <w:highlight w:val="none"/>
        </w:rPr>
        <w:t>承担</w:t>
      </w:r>
      <w:r>
        <w:rPr>
          <w:rFonts w:hint="eastAsia" w:ascii="宋体" w:hAnsi="宋体"/>
          <w:color w:val="auto"/>
          <w:szCs w:val="21"/>
          <w:highlight w:val="none"/>
        </w:rPr>
        <w:t>。</w:t>
      </w:r>
    </w:p>
    <w:p w14:paraId="7500D74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 甲方对乙方提供的货物在使用前进行调试时，乙方需负责安装并培训甲方的使用操作人员，并协助甲方一起调试，直到符合技术要求，甲方才做最终验收。</w:t>
      </w:r>
    </w:p>
    <w:p w14:paraId="3C50A4F3">
      <w:pPr>
        <w:spacing w:line="360" w:lineRule="auto"/>
        <w:ind w:left="420"/>
        <w:rPr>
          <w:rFonts w:hint="eastAsia" w:ascii="宋体" w:hAnsi="宋体"/>
          <w:color w:val="auto"/>
          <w:szCs w:val="21"/>
          <w:highlight w:val="none"/>
        </w:rPr>
      </w:pPr>
      <w:r>
        <w:rPr>
          <w:rFonts w:hint="eastAsia" w:ascii="宋体" w:hAnsi="宋体"/>
          <w:color w:val="auto"/>
          <w:szCs w:val="21"/>
          <w:highlight w:val="none"/>
        </w:rPr>
        <w:t>4. 验收时乙方必须在现场，验收完毕后作出验收结果报告，验收费用由乙方负责。</w:t>
      </w:r>
    </w:p>
    <w:p w14:paraId="7CD4E16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 甲方对验收有异议的，在验收后五个工作日内以书面形式向乙方提出，乙方应自收到甲方书面异议后</w:t>
      </w:r>
      <w:r>
        <w:rPr>
          <w:rFonts w:hint="eastAsia" w:ascii="宋体" w:hAnsi="宋体"/>
          <w:color w:val="auto"/>
          <w:szCs w:val="21"/>
          <w:highlight w:val="none"/>
          <w:u w:val="single"/>
        </w:rPr>
        <w:t>　20　</w:t>
      </w:r>
      <w:r>
        <w:rPr>
          <w:rFonts w:hint="eastAsia" w:ascii="宋体" w:hAnsi="宋体"/>
          <w:color w:val="auto"/>
          <w:szCs w:val="21"/>
          <w:highlight w:val="none"/>
        </w:rPr>
        <w:t>日内及时予以解决。</w:t>
      </w:r>
    </w:p>
    <w:p w14:paraId="0DD8388A">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第七条  安装和培训</w:t>
      </w:r>
    </w:p>
    <w:p w14:paraId="3AFDAD05">
      <w:pPr>
        <w:spacing w:line="360" w:lineRule="auto"/>
        <w:ind w:firstLine="315" w:firstLineChars="150"/>
        <w:rPr>
          <w:rFonts w:hint="eastAsia" w:ascii="宋体" w:hAnsi="宋体"/>
          <w:color w:val="auto"/>
          <w:szCs w:val="21"/>
          <w:highlight w:val="none"/>
        </w:rPr>
      </w:pPr>
      <w:r>
        <w:rPr>
          <w:rFonts w:hint="eastAsia" w:ascii="宋体" w:hAnsi="宋体"/>
          <w:color w:val="auto"/>
          <w:szCs w:val="21"/>
          <w:highlight w:val="none"/>
        </w:rPr>
        <w:t xml:space="preserve"> 1. 乙方负责</w:t>
      </w:r>
      <w:r>
        <w:rPr>
          <w:rFonts w:ascii="宋体" w:hAnsi="宋体"/>
          <w:bCs/>
          <w:color w:val="auto"/>
          <w:kern w:val="0"/>
          <w:szCs w:val="21"/>
          <w:highlight w:val="none"/>
        </w:rPr>
        <w:t>免费安装、调试</w:t>
      </w:r>
      <w:r>
        <w:rPr>
          <w:rFonts w:hint="eastAsia" w:ascii="宋体" w:hAnsi="宋体"/>
          <w:bCs/>
          <w:color w:val="auto"/>
          <w:kern w:val="0"/>
          <w:szCs w:val="21"/>
          <w:highlight w:val="none"/>
        </w:rPr>
        <w:t>；</w:t>
      </w:r>
      <w:r>
        <w:rPr>
          <w:rFonts w:hint="eastAsia" w:ascii="宋体" w:hAnsi="宋体"/>
          <w:color w:val="auto"/>
          <w:szCs w:val="21"/>
          <w:highlight w:val="none"/>
        </w:rPr>
        <w:t>甲方应提供必要安装条件（如场地、电源、水源等）。</w:t>
      </w:r>
    </w:p>
    <w:p w14:paraId="30E37D12">
      <w:pPr>
        <w:spacing w:line="360" w:lineRule="auto"/>
        <w:ind w:firstLine="315" w:firstLineChars="150"/>
        <w:rPr>
          <w:rFonts w:hint="eastAsia" w:ascii="宋体" w:hAnsi="宋体"/>
          <w:color w:val="auto"/>
          <w:szCs w:val="21"/>
          <w:highlight w:val="none"/>
        </w:rPr>
      </w:pPr>
      <w:r>
        <w:rPr>
          <w:rFonts w:hint="eastAsia" w:ascii="宋体" w:hAnsi="宋体"/>
          <w:color w:val="auto"/>
          <w:szCs w:val="21"/>
          <w:highlight w:val="none"/>
        </w:rPr>
        <w:t xml:space="preserve"> 2. 乙方负责甲方有关人员的培训。培训时间、地点：</w:t>
      </w:r>
      <w:r>
        <w:rPr>
          <w:rFonts w:hint="eastAsia" w:ascii="宋体" w:hAnsi="宋体"/>
          <w:color w:val="auto"/>
          <w:szCs w:val="21"/>
          <w:highlight w:val="none"/>
          <w:u w:val="single"/>
        </w:rPr>
        <w:t>采购人指定地点</w:t>
      </w:r>
      <w:r>
        <w:rPr>
          <w:rFonts w:hint="eastAsia" w:ascii="宋体" w:hAnsi="宋体"/>
          <w:color w:val="auto"/>
          <w:szCs w:val="21"/>
          <w:highlight w:val="none"/>
        </w:rPr>
        <w:t>。</w:t>
      </w:r>
    </w:p>
    <w:p w14:paraId="2241F6BB">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第八条  售后服务</w:t>
      </w:r>
    </w:p>
    <w:p w14:paraId="57A3199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 乙方应按照国家有关法律规定和“三包”规定以及投标文件和本合同所附的《服务承诺》，为甲方提供售后服务。</w:t>
      </w:r>
    </w:p>
    <w:p w14:paraId="2719451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 如在使用过程中发生质量问题，乙方在接到甲方通知后在</w:t>
      </w:r>
      <w:r>
        <w:rPr>
          <w:rFonts w:hint="eastAsia" w:ascii="宋体" w:hAnsi="宋体"/>
          <w:color w:val="auto"/>
          <w:szCs w:val="21"/>
          <w:highlight w:val="none"/>
          <w:u w:val="single"/>
        </w:rPr>
        <w:t>投标文件承诺的时间</w:t>
      </w:r>
      <w:r>
        <w:rPr>
          <w:rFonts w:hint="eastAsia" w:ascii="宋体" w:hAnsi="宋体"/>
          <w:color w:val="auto"/>
          <w:szCs w:val="21"/>
          <w:highlight w:val="none"/>
        </w:rPr>
        <w:t>内到达甲方现场处理。</w:t>
      </w:r>
      <w:r>
        <w:rPr>
          <w:rFonts w:ascii="宋体" w:hAnsi="宋体"/>
          <w:bCs/>
          <w:color w:val="auto"/>
          <w:kern w:val="0"/>
          <w:szCs w:val="21"/>
          <w:highlight w:val="none"/>
        </w:rPr>
        <w:t>接到故障通知后</w:t>
      </w:r>
      <w:r>
        <w:rPr>
          <w:rFonts w:hint="eastAsia" w:ascii="宋体" w:hAnsi="宋体"/>
          <w:bCs/>
          <w:color w:val="auto"/>
          <w:kern w:val="0"/>
          <w:szCs w:val="21"/>
          <w:highlight w:val="none"/>
          <w:u w:val="single"/>
        </w:rPr>
        <w:t xml:space="preserve"> 按</w:t>
      </w:r>
      <w:r>
        <w:rPr>
          <w:rFonts w:hint="eastAsia" w:ascii="宋体" w:hAnsi="宋体"/>
          <w:color w:val="auto"/>
          <w:szCs w:val="21"/>
          <w:highlight w:val="none"/>
          <w:u w:val="single"/>
        </w:rPr>
        <w:t xml:space="preserve">投标文件承诺的时间 </w:t>
      </w:r>
      <w:r>
        <w:rPr>
          <w:rFonts w:ascii="宋体" w:hAnsi="宋体"/>
          <w:bCs/>
          <w:color w:val="auto"/>
          <w:kern w:val="0"/>
          <w:szCs w:val="21"/>
          <w:highlight w:val="none"/>
        </w:rPr>
        <w:t>内响应，</w:t>
      </w:r>
      <w:r>
        <w:rPr>
          <w:rFonts w:hint="eastAsia" w:ascii="宋体" w:hAnsi="宋体"/>
          <w:bCs/>
          <w:color w:val="auto"/>
          <w:kern w:val="0"/>
          <w:szCs w:val="21"/>
          <w:highlight w:val="none"/>
          <w:u w:val="single"/>
        </w:rPr>
        <w:t>按</w:t>
      </w:r>
      <w:r>
        <w:rPr>
          <w:rFonts w:hint="eastAsia" w:ascii="宋体" w:hAnsi="宋体"/>
          <w:color w:val="auto"/>
          <w:szCs w:val="21"/>
          <w:highlight w:val="none"/>
          <w:u w:val="single"/>
        </w:rPr>
        <w:t xml:space="preserve">投标文件承诺的时间 </w:t>
      </w:r>
      <w:r>
        <w:rPr>
          <w:rFonts w:ascii="宋体" w:hAnsi="宋体"/>
          <w:bCs/>
          <w:color w:val="auto"/>
          <w:kern w:val="0"/>
          <w:szCs w:val="21"/>
          <w:highlight w:val="none"/>
        </w:rPr>
        <w:t>内派技术人员到达现场维修，</w:t>
      </w:r>
      <w:r>
        <w:rPr>
          <w:rFonts w:hint="eastAsia" w:ascii="宋体" w:hAnsi="宋体"/>
          <w:bCs/>
          <w:color w:val="auto"/>
          <w:kern w:val="0"/>
          <w:szCs w:val="21"/>
          <w:highlight w:val="none"/>
          <w:u w:val="single"/>
        </w:rPr>
        <w:t>按</w:t>
      </w:r>
      <w:r>
        <w:rPr>
          <w:rFonts w:hint="eastAsia" w:ascii="宋体" w:hAnsi="宋体"/>
          <w:color w:val="auto"/>
          <w:szCs w:val="21"/>
          <w:highlight w:val="none"/>
          <w:u w:val="single"/>
        </w:rPr>
        <w:t xml:space="preserve">投标文件承诺的时间 </w:t>
      </w:r>
      <w:r>
        <w:rPr>
          <w:rFonts w:ascii="宋体" w:hAnsi="宋体"/>
          <w:bCs/>
          <w:color w:val="auto"/>
          <w:kern w:val="0"/>
          <w:szCs w:val="21"/>
          <w:highlight w:val="none"/>
        </w:rPr>
        <w:t>内修复完毕，未能修复的提供相应的替代产品予</w:t>
      </w:r>
      <w:r>
        <w:rPr>
          <w:rFonts w:hint="eastAsia" w:ascii="宋体" w:hAnsi="宋体"/>
          <w:bCs/>
          <w:color w:val="auto"/>
          <w:kern w:val="0"/>
          <w:szCs w:val="21"/>
          <w:highlight w:val="none"/>
        </w:rPr>
        <w:t>甲方</w:t>
      </w:r>
      <w:r>
        <w:rPr>
          <w:rFonts w:ascii="宋体" w:hAnsi="宋体"/>
          <w:bCs/>
          <w:color w:val="auto"/>
          <w:kern w:val="0"/>
          <w:szCs w:val="21"/>
          <w:highlight w:val="none"/>
        </w:rPr>
        <w:t>使用</w:t>
      </w:r>
      <w:r>
        <w:rPr>
          <w:rFonts w:hint="eastAsia" w:ascii="宋体" w:hAnsi="宋体"/>
          <w:bCs/>
          <w:color w:val="auto"/>
          <w:kern w:val="0"/>
          <w:szCs w:val="21"/>
          <w:highlight w:val="none"/>
        </w:rPr>
        <w:t>。</w:t>
      </w:r>
    </w:p>
    <w:p w14:paraId="0F7B722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 在质保期内，乙方应对货物出现的质量及安全问题负责处理解决并承担一切费用。</w:t>
      </w:r>
      <w:r>
        <w:rPr>
          <w:rFonts w:ascii="宋体" w:hAnsi="宋体"/>
          <w:bCs/>
          <w:color w:val="auto"/>
          <w:kern w:val="0"/>
          <w:szCs w:val="21"/>
          <w:highlight w:val="none"/>
        </w:rPr>
        <w:t>质保期内免费上门检查维修、免费更换零部件；定期回访检查维修，提供终身服务</w:t>
      </w:r>
      <w:r>
        <w:rPr>
          <w:rFonts w:hint="eastAsia" w:ascii="宋体" w:hAnsi="宋体"/>
          <w:bCs/>
          <w:color w:val="auto"/>
          <w:kern w:val="0"/>
          <w:szCs w:val="21"/>
          <w:highlight w:val="none"/>
        </w:rPr>
        <w:t>。</w:t>
      </w:r>
    </w:p>
    <w:p w14:paraId="0DD6CE8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w:t>
      </w:r>
      <w:r>
        <w:rPr>
          <w:rFonts w:hint="eastAsia" w:ascii="宋体" w:hAnsi="宋体"/>
          <w:color w:val="auto"/>
          <w:highlight w:val="none"/>
        </w:rPr>
        <w:t xml:space="preserve"> </w:t>
      </w:r>
      <w:r>
        <w:rPr>
          <w:rFonts w:hint="eastAsia" w:ascii="宋体" w:hAnsi="宋体"/>
          <w:color w:val="auto"/>
          <w:szCs w:val="21"/>
          <w:highlight w:val="none"/>
        </w:rPr>
        <w:t>所中标产品必须为全新的原厂原装正货（原厂标配），满足本项目需要的技术参数及性能（配置）要求的设备。</w:t>
      </w:r>
    </w:p>
    <w:p w14:paraId="04BE1020">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第九条  税费</w:t>
      </w:r>
    </w:p>
    <w:p w14:paraId="0A7D5181">
      <w:pPr>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本合同执行中相关的一切税费均由乙方负担。</w:t>
      </w:r>
    </w:p>
    <w:p w14:paraId="04AC65FC">
      <w:pPr>
        <w:snapToGrid w:val="0"/>
        <w:spacing w:line="360" w:lineRule="auto"/>
        <w:ind w:left="-61" w:firstLine="514"/>
        <w:rPr>
          <w:rFonts w:hint="eastAsia" w:ascii="宋体" w:hAnsi="宋体" w:cs="宋体"/>
          <w:b/>
          <w:color w:val="auto"/>
          <w:szCs w:val="21"/>
          <w:highlight w:val="none"/>
        </w:rPr>
      </w:pPr>
      <w:r>
        <w:rPr>
          <w:rFonts w:hint="eastAsia" w:ascii="宋体" w:hAnsi="宋体" w:cs="宋体"/>
          <w:b/>
          <w:color w:val="auto"/>
          <w:szCs w:val="21"/>
          <w:highlight w:val="none"/>
        </w:rPr>
        <w:t>第十条　履约保证金</w:t>
      </w:r>
    </w:p>
    <w:p w14:paraId="64D116CA">
      <w:pPr>
        <w:spacing w:line="360" w:lineRule="auto"/>
        <w:ind w:firstLine="422" w:firstLineChars="201"/>
        <w:rPr>
          <w:rFonts w:hint="eastAsia" w:ascii="宋体" w:hAnsi="宋体"/>
          <w:color w:val="auto"/>
          <w:szCs w:val="21"/>
          <w:highlight w:val="none"/>
        </w:rPr>
      </w:pPr>
      <w:r>
        <w:rPr>
          <w:rFonts w:hint="eastAsia" w:ascii="宋体" w:hAnsi="宋体"/>
          <w:color w:val="auto"/>
          <w:szCs w:val="21"/>
          <w:highlight w:val="none"/>
        </w:rPr>
        <w:t>无</w:t>
      </w:r>
    </w:p>
    <w:p w14:paraId="44641D99">
      <w:pPr>
        <w:spacing w:line="360" w:lineRule="auto"/>
        <w:ind w:firstLine="424" w:firstLineChars="201"/>
        <w:rPr>
          <w:rFonts w:hint="eastAsia" w:ascii="宋体" w:hAnsi="宋体"/>
          <w:b/>
          <w:color w:val="auto"/>
          <w:szCs w:val="21"/>
          <w:highlight w:val="none"/>
        </w:rPr>
      </w:pPr>
      <w:r>
        <w:rPr>
          <w:rFonts w:hint="eastAsia" w:ascii="宋体" w:hAnsi="宋体"/>
          <w:b/>
          <w:color w:val="auto"/>
          <w:szCs w:val="21"/>
          <w:highlight w:val="none"/>
        </w:rPr>
        <w:t>第十一条  付款方式</w:t>
      </w:r>
    </w:p>
    <w:p w14:paraId="4FD044BB">
      <w:pPr>
        <w:spacing w:line="360" w:lineRule="auto"/>
        <w:ind w:firstLine="411" w:firstLineChars="196"/>
        <w:rPr>
          <w:rFonts w:hint="eastAsia" w:ascii="宋体" w:hAnsi="宋体"/>
          <w:color w:val="auto"/>
          <w:kern w:val="0"/>
          <w:szCs w:val="21"/>
          <w:highlight w:val="none"/>
        </w:rPr>
      </w:pPr>
      <w:r>
        <w:rPr>
          <w:rFonts w:hint="eastAsia" w:ascii="宋体" w:hAnsi="宋体"/>
          <w:color w:val="auto"/>
          <w:kern w:val="0"/>
          <w:szCs w:val="21"/>
          <w:highlight w:val="none"/>
        </w:rPr>
        <w:t>按货物采购需求中的商务条款“付款方式”执行。</w:t>
      </w:r>
    </w:p>
    <w:p w14:paraId="03E9A516">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第十二条  违约责任</w:t>
      </w:r>
    </w:p>
    <w:p w14:paraId="356EE6B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 乙方所提供的货物规格、技术标准、材料等质量不合格的，应及时更换，更换不及时的按逾期交货处罚，乙方应向甲方支付合同金额</w:t>
      </w:r>
      <w:r>
        <w:rPr>
          <w:rFonts w:hint="eastAsia" w:ascii="宋体" w:hAnsi="宋体"/>
          <w:color w:val="auto"/>
          <w:szCs w:val="21"/>
          <w:highlight w:val="none"/>
          <w:u w:val="single"/>
        </w:rPr>
        <w:t>　5　</w:t>
      </w:r>
      <w:r>
        <w:rPr>
          <w:rFonts w:hint="eastAsia" w:ascii="宋体" w:hAnsi="宋体"/>
          <w:color w:val="auto"/>
          <w:szCs w:val="21"/>
          <w:highlight w:val="none"/>
        </w:rPr>
        <w:t>%违约金并赔偿甲方经济损失。</w:t>
      </w:r>
    </w:p>
    <w:p w14:paraId="7A964E13">
      <w:pPr>
        <w:spacing w:line="360" w:lineRule="auto"/>
        <w:ind w:firstLine="359" w:firstLineChars="171"/>
        <w:rPr>
          <w:rFonts w:hint="eastAsia" w:ascii="宋体" w:hAnsi="宋体"/>
          <w:color w:val="auto"/>
          <w:szCs w:val="21"/>
          <w:highlight w:val="none"/>
        </w:rPr>
      </w:pPr>
      <w:r>
        <w:rPr>
          <w:rFonts w:hint="eastAsia" w:ascii="宋体" w:hAnsi="宋体"/>
          <w:color w:val="auto"/>
          <w:szCs w:val="21"/>
          <w:highlight w:val="none"/>
        </w:rPr>
        <w:t>2. 乙方提供的货物如果侵犯了第三方合法权益而引发的任何纠纷或诉讼，均由乙方负责交涉并承担全部责任。</w:t>
      </w:r>
    </w:p>
    <w:p w14:paraId="733E2D4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 因包装、运输引起的货物损坏，按质量不合格处理。</w:t>
      </w:r>
    </w:p>
    <w:p w14:paraId="335CF3A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 甲方无故延期接收货物、乙方逾期交货的，每天向对方偿付违约货款额</w:t>
      </w:r>
      <w:r>
        <w:rPr>
          <w:rFonts w:hint="eastAsia" w:ascii="宋体" w:hAnsi="宋体"/>
          <w:color w:val="auto"/>
          <w:szCs w:val="21"/>
          <w:highlight w:val="none"/>
          <w:u w:val="single"/>
        </w:rPr>
        <w:t>3‰</w:t>
      </w:r>
      <w:r>
        <w:rPr>
          <w:rFonts w:hint="eastAsia" w:ascii="宋体" w:hAnsi="宋体"/>
          <w:color w:val="auto"/>
          <w:szCs w:val="21"/>
          <w:highlight w:val="none"/>
        </w:rPr>
        <w:t>违约金，但违约金累计不得超过违约货款额</w:t>
      </w:r>
      <w:r>
        <w:rPr>
          <w:rFonts w:hint="eastAsia" w:ascii="宋体" w:hAnsi="宋体"/>
          <w:color w:val="auto"/>
          <w:szCs w:val="21"/>
          <w:highlight w:val="none"/>
          <w:u w:val="single"/>
        </w:rPr>
        <w:t>5%</w:t>
      </w:r>
      <w:r>
        <w:rPr>
          <w:rFonts w:hint="eastAsia" w:ascii="宋体" w:hAnsi="宋体"/>
          <w:color w:val="auto"/>
          <w:szCs w:val="21"/>
          <w:highlight w:val="none"/>
        </w:rPr>
        <w:t>，超过</w:t>
      </w:r>
      <w:r>
        <w:rPr>
          <w:rFonts w:hint="eastAsia" w:ascii="宋体" w:hAnsi="宋体"/>
          <w:color w:val="auto"/>
          <w:szCs w:val="21"/>
          <w:highlight w:val="none"/>
          <w:u w:val="single"/>
        </w:rPr>
        <w:t xml:space="preserve"> 15 天</w:t>
      </w:r>
      <w:r>
        <w:rPr>
          <w:rFonts w:hint="eastAsia" w:ascii="宋体" w:hAnsi="宋体"/>
          <w:color w:val="auto"/>
          <w:szCs w:val="21"/>
          <w:highlight w:val="none"/>
        </w:rPr>
        <w:t>对方有权解除合同，违约方承担因此给对方造成经济损失；甲方延期付货款的，每天向乙方偿付延期货款额3‰滞纳金，但滞纳金累计不得超过延期货款额</w:t>
      </w:r>
      <w:r>
        <w:rPr>
          <w:rFonts w:hint="eastAsia" w:ascii="宋体" w:hAnsi="宋体"/>
          <w:color w:val="auto"/>
          <w:szCs w:val="21"/>
          <w:highlight w:val="none"/>
          <w:u w:val="single"/>
        </w:rPr>
        <w:t>5%</w:t>
      </w:r>
      <w:r>
        <w:rPr>
          <w:rFonts w:hint="eastAsia" w:ascii="宋体" w:hAnsi="宋体"/>
          <w:color w:val="auto"/>
          <w:szCs w:val="21"/>
          <w:highlight w:val="none"/>
        </w:rPr>
        <w:t>。</w:t>
      </w:r>
    </w:p>
    <w:p w14:paraId="0FFC6AA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 乙方未按本合同和投标文件中规定的服务承诺提供售后服务的，乙方应按本合同合同金额</w:t>
      </w:r>
      <w:r>
        <w:rPr>
          <w:rFonts w:hint="eastAsia" w:ascii="宋体" w:hAnsi="宋体"/>
          <w:color w:val="auto"/>
          <w:szCs w:val="21"/>
          <w:highlight w:val="none"/>
          <w:u w:val="single"/>
        </w:rPr>
        <w:t>　5　</w:t>
      </w:r>
      <w:r>
        <w:rPr>
          <w:rFonts w:hint="eastAsia" w:ascii="宋体" w:hAnsi="宋体"/>
          <w:color w:val="auto"/>
          <w:szCs w:val="21"/>
          <w:highlight w:val="none"/>
        </w:rPr>
        <w:t>%向甲方支付违约金。</w:t>
      </w:r>
    </w:p>
    <w:p w14:paraId="6194040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 乙方提供的货物在质保期内，因设计、工艺或材料的缺陷和其他质量原因造成的问题，由乙方负责，费用从履约保证金中扣除，不足另补。</w:t>
      </w:r>
    </w:p>
    <w:p w14:paraId="066B29FB">
      <w:pPr>
        <w:spacing w:line="360" w:lineRule="auto"/>
        <w:ind w:left="420"/>
        <w:rPr>
          <w:rFonts w:hint="eastAsia" w:ascii="宋体" w:hAnsi="宋体"/>
          <w:color w:val="auto"/>
          <w:szCs w:val="21"/>
          <w:highlight w:val="none"/>
        </w:rPr>
      </w:pPr>
      <w:r>
        <w:rPr>
          <w:rFonts w:hint="eastAsia" w:ascii="宋体" w:hAnsi="宋体"/>
          <w:color w:val="auto"/>
          <w:szCs w:val="21"/>
          <w:highlight w:val="none"/>
        </w:rPr>
        <w:t>7. 其他违约行为按违约货款额</w:t>
      </w:r>
      <w:r>
        <w:rPr>
          <w:rFonts w:hint="eastAsia" w:ascii="宋体" w:hAnsi="宋体"/>
          <w:color w:val="auto"/>
          <w:szCs w:val="21"/>
          <w:highlight w:val="none"/>
          <w:u w:val="single"/>
        </w:rPr>
        <w:t>　5　</w:t>
      </w:r>
      <w:r>
        <w:rPr>
          <w:rFonts w:hint="eastAsia" w:ascii="宋体" w:hAnsi="宋体"/>
          <w:color w:val="auto"/>
          <w:szCs w:val="21"/>
          <w:highlight w:val="none"/>
        </w:rPr>
        <w:t>%收取违约金并赔偿经济损失。</w:t>
      </w:r>
    </w:p>
    <w:p w14:paraId="583646D1">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第十三条  不可抗力事件处理</w:t>
      </w:r>
    </w:p>
    <w:p w14:paraId="3547A87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 在合同有效期内，乙方因不可抗力事件导致不能履行合同，则合同履行期可延长，其延长期与不可抗力影响期相同。</w:t>
      </w:r>
    </w:p>
    <w:p w14:paraId="19162C8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 不可抗力事件发生后，应立即通知对方，并寄送有关权威机构出具的证明。</w:t>
      </w:r>
    </w:p>
    <w:p w14:paraId="02B70E5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 不可抗力事件延续一百二十天以上，双方应通过友好协商，确定是否继续履行合同。</w:t>
      </w:r>
    </w:p>
    <w:p w14:paraId="43ADC42C">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第十四条  合同争议解决</w:t>
      </w:r>
    </w:p>
    <w:p w14:paraId="7C4B980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 因货物质量问题发生争议的，应邀请国家认可的质量检测机构对货物质量进行鉴定。</w:t>
      </w:r>
      <w:r>
        <w:rPr>
          <w:rFonts w:ascii="宋体" w:hAnsi="宋体"/>
          <w:color w:val="auto"/>
          <w:szCs w:val="21"/>
          <w:highlight w:val="none"/>
        </w:rPr>
        <w:t>所有产生的费用由</w:t>
      </w:r>
      <w:r>
        <w:rPr>
          <w:rFonts w:hint="eastAsia" w:ascii="宋体" w:hAnsi="宋体"/>
          <w:color w:val="auto"/>
          <w:szCs w:val="21"/>
          <w:highlight w:val="none"/>
        </w:rPr>
        <w:t>乙方</w:t>
      </w:r>
      <w:r>
        <w:rPr>
          <w:rFonts w:ascii="宋体" w:hAnsi="宋体"/>
          <w:color w:val="auto"/>
          <w:szCs w:val="21"/>
          <w:highlight w:val="none"/>
        </w:rPr>
        <w:t>承担</w:t>
      </w:r>
      <w:r>
        <w:rPr>
          <w:rFonts w:hint="eastAsia" w:ascii="宋体" w:hAnsi="宋体"/>
          <w:color w:val="auto"/>
          <w:szCs w:val="21"/>
          <w:highlight w:val="none"/>
        </w:rPr>
        <w:t>。</w:t>
      </w:r>
    </w:p>
    <w:p w14:paraId="7B14901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 因履行本合同引起的或与本合同有关的争议，甲乙双方应首先通过友好协商解决，如果协商不能解决，可向甲方所在地人民法院提起诉讼。</w:t>
      </w:r>
    </w:p>
    <w:p w14:paraId="5EE9E30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3.若某方违约，违约方应承担守约方所有维权支出，包括但不限于：诉讼费、律师费、保全费、调查取证费等。</w:t>
      </w:r>
    </w:p>
    <w:p w14:paraId="4DB787CA">
      <w:pPr>
        <w:spacing w:line="360" w:lineRule="auto"/>
        <w:ind w:left="435"/>
        <w:rPr>
          <w:rFonts w:hint="eastAsia" w:ascii="宋体" w:hAnsi="宋体"/>
          <w:color w:val="auto"/>
          <w:szCs w:val="21"/>
          <w:highlight w:val="none"/>
        </w:rPr>
      </w:pPr>
      <w:r>
        <w:rPr>
          <w:rFonts w:hint="eastAsia" w:ascii="宋体" w:hAnsi="宋体"/>
          <w:color w:val="auto"/>
          <w:szCs w:val="21"/>
          <w:highlight w:val="none"/>
        </w:rPr>
        <w:t>4. 诉讼期间，本合同继续履行（继续履行会扩大守约方损失除外）。</w:t>
      </w:r>
    </w:p>
    <w:p w14:paraId="14E14114">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第十五条  合同生效及其它</w:t>
      </w:r>
    </w:p>
    <w:p w14:paraId="208A56F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 合同经甲乙双方法定代表人或相应的授权代表签字并加盖单位公章后生效。</w:t>
      </w:r>
    </w:p>
    <w:p w14:paraId="7635F14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 合同执行中涉及采购资金和采购内容修改或补充的，需经</w:t>
      </w:r>
      <w:r>
        <w:rPr>
          <w:rFonts w:hint="eastAsia" w:ascii="宋体" w:hAnsi="宋体"/>
          <w:color w:val="auto"/>
          <w:szCs w:val="21"/>
          <w:highlight w:val="none"/>
          <w:lang w:eastAsia="zh-CN"/>
        </w:rPr>
        <w:t>当地</w:t>
      </w:r>
      <w:r>
        <w:rPr>
          <w:rFonts w:hint="eastAsia" w:ascii="宋体" w:hAnsi="宋体"/>
          <w:color w:val="auto"/>
          <w:szCs w:val="21"/>
          <w:highlight w:val="none"/>
        </w:rPr>
        <w:t>财政部门审批，并签订书面补充协议报</w:t>
      </w:r>
      <w:r>
        <w:rPr>
          <w:rFonts w:hint="eastAsia" w:ascii="宋体" w:hAnsi="宋体"/>
          <w:color w:val="auto"/>
          <w:szCs w:val="21"/>
          <w:highlight w:val="none"/>
          <w:lang w:eastAsia="zh-CN"/>
        </w:rPr>
        <w:t>当地</w:t>
      </w:r>
      <w:r>
        <w:rPr>
          <w:rFonts w:hint="eastAsia" w:ascii="宋体" w:hAnsi="宋体"/>
          <w:color w:val="auto"/>
          <w:szCs w:val="21"/>
          <w:highlight w:val="none"/>
        </w:rPr>
        <w:t>财政局备案，方可作为主合同不可分割的一部分。</w:t>
      </w:r>
    </w:p>
    <w:p w14:paraId="0E76248F">
      <w:pPr>
        <w:spacing w:line="360" w:lineRule="auto"/>
        <w:ind w:left="435"/>
        <w:rPr>
          <w:rFonts w:hint="eastAsia" w:ascii="宋体" w:hAnsi="宋体"/>
          <w:color w:val="auto"/>
          <w:szCs w:val="21"/>
          <w:highlight w:val="none"/>
        </w:rPr>
      </w:pPr>
      <w:r>
        <w:rPr>
          <w:rFonts w:hint="eastAsia" w:ascii="宋体" w:hAnsi="宋体"/>
          <w:color w:val="auto"/>
          <w:szCs w:val="21"/>
          <w:highlight w:val="none"/>
        </w:rPr>
        <w:t>3. 本合同未尽事宜，遵照《民法典》有关条文执行。</w:t>
      </w:r>
    </w:p>
    <w:p w14:paraId="65654DDA">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第十六条  合同的变更、终止与转让</w:t>
      </w:r>
    </w:p>
    <w:p w14:paraId="7A687E1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 除《中华人民共和国政府采购法》第五十条规定的情形及本合同约定的情形外，本合同一经签订，甲乙双方不得擅自变更，中止或终止。</w:t>
      </w:r>
    </w:p>
    <w:p w14:paraId="15BAD0D1">
      <w:pPr>
        <w:spacing w:line="360" w:lineRule="auto"/>
        <w:ind w:left="420"/>
        <w:rPr>
          <w:rFonts w:hint="eastAsia" w:ascii="宋体" w:hAnsi="宋体"/>
          <w:color w:val="auto"/>
          <w:szCs w:val="21"/>
          <w:highlight w:val="none"/>
        </w:rPr>
      </w:pPr>
      <w:r>
        <w:rPr>
          <w:rFonts w:hint="eastAsia" w:ascii="宋体" w:hAnsi="宋体"/>
          <w:color w:val="auto"/>
          <w:szCs w:val="21"/>
          <w:highlight w:val="none"/>
        </w:rPr>
        <w:t>2. 乙方不得擅自转让其应履行的合同义务。</w:t>
      </w:r>
    </w:p>
    <w:p w14:paraId="3AE990E8">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第十七条  签订本合同依据：</w:t>
      </w:r>
    </w:p>
    <w:p w14:paraId="2D68E9DA">
      <w:pPr>
        <w:spacing w:line="360" w:lineRule="auto"/>
        <w:ind w:left="420"/>
        <w:rPr>
          <w:rFonts w:hint="eastAsia" w:ascii="宋体" w:hAnsi="宋体"/>
          <w:color w:val="auto"/>
          <w:szCs w:val="21"/>
          <w:highlight w:val="none"/>
        </w:rPr>
      </w:pPr>
      <w:r>
        <w:rPr>
          <w:rFonts w:hint="eastAsia" w:ascii="宋体" w:hAnsi="宋体"/>
          <w:color w:val="auto"/>
          <w:szCs w:val="21"/>
          <w:highlight w:val="none"/>
        </w:rPr>
        <w:t>1.招标文件；</w:t>
      </w:r>
    </w:p>
    <w:p w14:paraId="2CE0144E">
      <w:pPr>
        <w:spacing w:line="360" w:lineRule="auto"/>
        <w:ind w:left="420"/>
        <w:rPr>
          <w:rFonts w:hint="eastAsia" w:ascii="宋体" w:hAnsi="宋体"/>
          <w:color w:val="auto"/>
          <w:szCs w:val="21"/>
          <w:highlight w:val="none"/>
        </w:rPr>
      </w:pPr>
      <w:r>
        <w:rPr>
          <w:rFonts w:hint="eastAsia" w:ascii="宋体" w:hAnsi="宋体"/>
          <w:color w:val="auto"/>
          <w:szCs w:val="21"/>
          <w:highlight w:val="none"/>
        </w:rPr>
        <w:t>2.乙方提供的投标文件；</w:t>
      </w:r>
    </w:p>
    <w:p w14:paraId="2B77D273">
      <w:pPr>
        <w:spacing w:line="360" w:lineRule="auto"/>
        <w:ind w:left="420"/>
        <w:rPr>
          <w:rFonts w:hint="eastAsia" w:ascii="宋体" w:hAnsi="宋体"/>
          <w:color w:val="auto"/>
          <w:szCs w:val="21"/>
          <w:highlight w:val="none"/>
        </w:rPr>
      </w:pPr>
      <w:r>
        <w:rPr>
          <w:rFonts w:hint="eastAsia" w:ascii="宋体" w:hAnsi="宋体"/>
          <w:color w:val="auto"/>
          <w:szCs w:val="21"/>
          <w:highlight w:val="none"/>
        </w:rPr>
        <w:t>3.售后服务承诺书；</w:t>
      </w:r>
    </w:p>
    <w:p w14:paraId="2ED13EA6">
      <w:pPr>
        <w:pStyle w:val="27"/>
        <w:spacing w:line="360" w:lineRule="auto"/>
        <w:ind w:left="2" w:leftChars="1" w:firstLine="420" w:firstLineChars="200"/>
        <w:rPr>
          <w:rFonts w:hint="eastAsia" w:hAnsi="宋体"/>
          <w:color w:val="auto"/>
          <w:szCs w:val="21"/>
          <w:highlight w:val="none"/>
        </w:rPr>
      </w:pPr>
      <w:r>
        <w:rPr>
          <w:rFonts w:hint="eastAsia" w:hAnsi="宋体"/>
          <w:color w:val="auto"/>
          <w:szCs w:val="21"/>
          <w:highlight w:val="none"/>
        </w:rPr>
        <w:t>4.中标通知书。</w:t>
      </w:r>
    </w:p>
    <w:p w14:paraId="2C5D3AFA">
      <w:pPr>
        <w:spacing w:line="360" w:lineRule="auto"/>
        <w:ind w:firstLine="420" w:firstLineChars="200"/>
        <w:rPr>
          <w:rFonts w:hint="eastAsia" w:ascii="宋体" w:hAnsi="宋体"/>
          <w:color w:val="auto"/>
          <w:highlight w:val="none"/>
        </w:rPr>
      </w:pPr>
      <w:r>
        <w:rPr>
          <w:rFonts w:hint="eastAsia" w:ascii="宋体" w:hAnsi="宋体"/>
          <w:color w:val="auto"/>
          <w:szCs w:val="21"/>
          <w:highlight w:val="none"/>
        </w:rPr>
        <w:t>本合同甲乙双方签字盖章后生效，一式四份，具有同等法律效力，甲、乙双方各一份，采购代理机构两份。</w:t>
      </w:r>
      <w:r>
        <w:rPr>
          <w:rFonts w:hint="eastAsia" w:ascii="宋体" w:hAnsi="宋体"/>
          <w:color w:val="auto"/>
          <w:highlight w:val="none"/>
        </w:rPr>
        <w:t>政府采购合同双方自签订之日起1个工作日内将合同原件两份交采购代理机构。采购代理机构将政府采购合同在省级以上人民政府财政部门指定媒体上公告并于合同签订之日起7个工作日内将一份合同原件送</w:t>
      </w:r>
      <w:r>
        <w:rPr>
          <w:rFonts w:hint="eastAsia" w:ascii="宋体" w:hAnsi="宋体"/>
          <w:color w:val="auto"/>
          <w:highlight w:val="none"/>
          <w:lang w:eastAsia="zh-CN"/>
        </w:rPr>
        <w:t>当地</w:t>
      </w:r>
      <w:r>
        <w:rPr>
          <w:rFonts w:hint="eastAsia" w:ascii="宋体" w:hAnsi="宋体"/>
          <w:color w:val="auto"/>
          <w:highlight w:val="none"/>
        </w:rPr>
        <w:t>财政局政府采购监督管理股备案，一份由采购代理机构存档。</w:t>
      </w:r>
    </w:p>
    <w:p w14:paraId="0FAC460A">
      <w:pPr>
        <w:pStyle w:val="233"/>
        <w:ind w:firstLine="480"/>
        <w:rPr>
          <w:rFonts w:ascii="Times New Roman"/>
          <w:color w:val="auto"/>
          <w:highlight w:val="none"/>
        </w:rPr>
      </w:pPr>
    </w:p>
    <w:p w14:paraId="5F07B078">
      <w:pPr>
        <w:spacing w:line="360" w:lineRule="auto"/>
        <w:rPr>
          <w:rFonts w:hint="eastAsia" w:ascii="宋体" w:hAnsi="宋体"/>
          <w:color w:val="auto"/>
          <w:szCs w:val="21"/>
          <w:highlight w:val="none"/>
          <w:u w:val="single"/>
        </w:rPr>
      </w:pPr>
      <w:r>
        <w:rPr>
          <w:rFonts w:hint="eastAsia" w:ascii="宋体" w:hAnsi="宋体"/>
          <w:color w:val="auto"/>
          <w:szCs w:val="21"/>
          <w:highlight w:val="none"/>
        </w:rPr>
        <w:t>甲方（公章）：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乙方（公章）：</w:t>
      </w:r>
      <w:r>
        <w:rPr>
          <w:rFonts w:hint="eastAsia" w:ascii="宋体" w:hAnsi="宋体"/>
          <w:color w:val="auto"/>
          <w:szCs w:val="21"/>
          <w:highlight w:val="none"/>
          <w:u w:val="single"/>
        </w:rPr>
        <w:t xml:space="preserve">                           .</w:t>
      </w:r>
    </w:p>
    <w:p w14:paraId="4509C655">
      <w:pPr>
        <w:spacing w:line="360" w:lineRule="auto"/>
        <w:rPr>
          <w:rFonts w:hint="eastAsia" w:ascii="宋体" w:hAnsi="宋体"/>
          <w:color w:val="auto"/>
          <w:szCs w:val="21"/>
          <w:highlight w:val="none"/>
          <w:u w:val="singl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w:t>
      </w:r>
      <w:r>
        <w:rPr>
          <w:rFonts w:hint="eastAsia" w:ascii="宋体" w:hAnsi="宋体"/>
          <w:color w:val="auto"/>
          <w:szCs w:val="21"/>
          <w:highlight w:val="none"/>
          <w:u w:val="single"/>
        </w:rPr>
        <w:t xml:space="preserve">                               .  </w:t>
      </w:r>
    </w:p>
    <w:p w14:paraId="230A8372">
      <w:pPr>
        <w:tabs>
          <w:tab w:val="left" w:pos="4680"/>
        </w:tabs>
        <w:spacing w:line="360" w:lineRule="auto"/>
        <w:rPr>
          <w:rFonts w:hint="eastAsia" w:ascii="宋体" w:hAnsi="宋体"/>
          <w:color w:val="auto"/>
          <w:szCs w:val="21"/>
          <w:highlight w:val="none"/>
          <w:u w:val="single"/>
        </w:rPr>
      </w:pPr>
      <w:r>
        <w:rPr>
          <w:rFonts w:hint="eastAsia" w:ascii="宋体" w:hAnsi="宋体"/>
          <w:color w:val="auto"/>
          <w:szCs w:val="21"/>
          <w:highlight w:val="none"/>
        </w:rPr>
        <w:t>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委托代理人：</w:t>
      </w:r>
      <w:r>
        <w:rPr>
          <w:rFonts w:hint="eastAsia" w:ascii="宋体" w:hAnsi="宋体"/>
          <w:color w:val="auto"/>
          <w:szCs w:val="21"/>
          <w:highlight w:val="none"/>
          <w:u w:val="single"/>
        </w:rPr>
        <w:t xml:space="preserve">                               .  </w:t>
      </w:r>
    </w:p>
    <w:p w14:paraId="65617AB6">
      <w:pPr>
        <w:tabs>
          <w:tab w:val="left" w:pos="5040"/>
        </w:tabs>
        <w:spacing w:line="360" w:lineRule="auto"/>
        <w:rPr>
          <w:rFonts w:hint="eastAsia"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   话： </w:t>
      </w:r>
      <w:r>
        <w:rPr>
          <w:rFonts w:hint="eastAsia" w:ascii="宋体" w:hAnsi="宋体"/>
          <w:color w:val="auto"/>
          <w:szCs w:val="21"/>
          <w:highlight w:val="none"/>
          <w:u w:val="single"/>
        </w:rPr>
        <w:t xml:space="preserve">                                 . </w:t>
      </w:r>
    </w:p>
    <w:p w14:paraId="67AD9133">
      <w:pPr>
        <w:tabs>
          <w:tab w:val="left" w:pos="5040"/>
        </w:tabs>
        <w:spacing w:line="360" w:lineRule="auto"/>
        <w:rPr>
          <w:rFonts w:hint="eastAsia" w:ascii="宋体" w:hAnsi="宋体"/>
          <w:color w:val="auto"/>
          <w:szCs w:val="21"/>
          <w:highlight w:val="none"/>
        </w:rPr>
      </w:pPr>
      <w:r>
        <w:rPr>
          <w:rFonts w:hint="eastAsia" w:ascii="宋体" w:hAnsi="宋体"/>
          <w:color w:val="auto"/>
          <w:szCs w:val="21"/>
          <w:highlight w:val="none"/>
        </w:rPr>
        <w:t>开户名称：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开户名称：</w:t>
      </w:r>
      <w:r>
        <w:rPr>
          <w:rFonts w:hint="eastAsia" w:ascii="宋体" w:hAnsi="宋体"/>
          <w:color w:val="auto"/>
          <w:szCs w:val="21"/>
          <w:highlight w:val="none"/>
          <w:u w:val="single"/>
        </w:rPr>
        <w:t xml:space="preserve">                                  . </w:t>
      </w:r>
      <w:r>
        <w:rPr>
          <w:rFonts w:hint="eastAsia" w:ascii="宋体" w:hAnsi="宋体"/>
          <w:color w:val="auto"/>
          <w:szCs w:val="21"/>
          <w:highlight w:val="none"/>
        </w:rPr>
        <w:t xml:space="preserve">     </w:t>
      </w:r>
    </w:p>
    <w:p w14:paraId="08A83FC0">
      <w:pPr>
        <w:tabs>
          <w:tab w:val="left" w:pos="5040"/>
        </w:tabs>
        <w:spacing w:line="360" w:lineRule="auto"/>
        <w:rPr>
          <w:rFonts w:hint="eastAsia"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开户银行：</w:t>
      </w:r>
      <w:r>
        <w:rPr>
          <w:rFonts w:hint="eastAsia" w:ascii="宋体" w:hAnsi="宋体"/>
          <w:color w:val="auto"/>
          <w:szCs w:val="21"/>
          <w:highlight w:val="none"/>
          <w:u w:val="single"/>
        </w:rPr>
        <w:t xml:space="preserve">                                 .  </w:t>
      </w:r>
      <w:r>
        <w:rPr>
          <w:rFonts w:hint="eastAsia" w:ascii="宋体" w:hAnsi="宋体"/>
          <w:color w:val="auto"/>
          <w:szCs w:val="21"/>
          <w:highlight w:val="none"/>
        </w:rPr>
        <w:t xml:space="preserve">     </w:t>
      </w:r>
    </w:p>
    <w:p w14:paraId="39A263A5">
      <w:pPr>
        <w:tabs>
          <w:tab w:val="left" w:pos="5040"/>
        </w:tabs>
        <w:spacing w:line="360" w:lineRule="auto"/>
        <w:rPr>
          <w:rFonts w:hint="eastAsia" w:ascii="宋体" w:hAnsi="宋体"/>
          <w:color w:val="auto"/>
          <w:szCs w:val="21"/>
          <w:highlight w:val="none"/>
        </w:rPr>
      </w:pPr>
      <w:r>
        <w:rPr>
          <w:rFonts w:hint="eastAsia" w:ascii="宋体" w:hAnsi="宋体"/>
          <w:color w:val="auto"/>
          <w:szCs w:val="21"/>
          <w:highlight w:val="none"/>
        </w:rPr>
        <w:t>银行账号：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银行账号：</w:t>
      </w:r>
      <w:r>
        <w:rPr>
          <w:rFonts w:hint="eastAsia" w:ascii="宋体" w:hAnsi="宋体"/>
          <w:color w:val="auto"/>
          <w:szCs w:val="21"/>
          <w:highlight w:val="none"/>
          <w:u w:val="single"/>
        </w:rPr>
        <w:t xml:space="preserve">                                 . </w:t>
      </w:r>
      <w:r>
        <w:rPr>
          <w:rFonts w:hint="eastAsia" w:ascii="宋体" w:hAnsi="宋体"/>
          <w:color w:val="auto"/>
          <w:szCs w:val="21"/>
          <w:highlight w:val="none"/>
        </w:rPr>
        <w:t xml:space="preserve">     </w:t>
      </w:r>
    </w:p>
    <w:p w14:paraId="25D581F1">
      <w:pPr>
        <w:tabs>
          <w:tab w:val="left" w:pos="5040"/>
        </w:tabs>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p>
    <w:p w14:paraId="0AE6BB98">
      <w:pPr>
        <w:pStyle w:val="233"/>
        <w:ind w:firstLine="480"/>
        <w:rPr>
          <w:rFonts w:hint="eastAsia" w:hAnsi="宋体"/>
          <w:color w:val="auto"/>
          <w:highlight w:val="none"/>
        </w:rPr>
      </w:pPr>
    </w:p>
    <w:p w14:paraId="50B75CCE">
      <w:pPr>
        <w:pStyle w:val="233"/>
        <w:ind w:firstLine="480"/>
        <w:rPr>
          <w:rFonts w:hint="eastAsia" w:hAnsi="宋体"/>
          <w:color w:val="auto"/>
          <w:highlight w:val="none"/>
        </w:rPr>
      </w:pPr>
    </w:p>
    <w:p w14:paraId="25703995">
      <w:pPr>
        <w:rPr>
          <w:color w:val="auto"/>
          <w:highlight w:val="none"/>
        </w:rPr>
      </w:pPr>
    </w:p>
    <w:p w14:paraId="5D5DCE70">
      <w:pPr>
        <w:pStyle w:val="233"/>
        <w:ind w:firstLine="480"/>
        <w:rPr>
          <w:rFonts w:ascii="Times New Roman"/>
          <w:color w:val="auto"/>
          <w:highlight w:val="none"/>
        </w:rPr>
      </w:pPr>
    </w:p>
    <w:p w14:paraId="72C57933">
      <w:pPr>
        <w:rPr>
          <w:color w:val="auto"/>
          <w:highlight w:val="none"/>
        </w:rPr>
      </w:pPr>
    </w:p>
    <w:p w14:paraId="1CC7838E">
      <w:pPr>
        <w:pStyle w:val="233"/>
        <w:ind w:firstLine="480"/>
        <w:rPr>
          <w:rFonts w:ascii="Times New Roman"/>
          <w:color w:val="auto"/>
          <w:highlight w:val="none"/>
        </w:rPr>
      </w:pPr>
    </w:p>
    <w:p w14:paraId="2D0E92F6">
      <w:pPr>
        <w:rPr>
          <w:color w:val="auto"/>
          <w:highlight w:val="none"/>
        </w:rPr>
      </w:pPr>
    </w:p>
    <w:p w14:paraId="2328BFEF">
      <w:pPr>
        <w:pStyle w:val="233"/>
        <w:ind w:firstLine="480"/>
        <w:rPr>
          <w:rFonts w:ascii="Times New Roman"/>
          <w:color w:val="auto"/>
          <w:highlight w:val="none"/>
        </w:rPr>
      </w:pPr>
    </w:p>
    <w:p w14:paraId="6D58021F">
      <w:pPr>
        <w:rPr>
          <w:color w:val="auto"/>
          <w:highlight w:val="none"/>
        </w:rPr>
      </w:pPr>
    </w:p>
    <w:p w14:paraId="64565858">
      <w:pPr>
        <w:spacing w:before="480"/>
        <w:jc w:val="center"/>
        <w:rPr>
          <w:rFonts w:hint="eastAsia" w:ascii="宋体" w:hAnsi="宋体"/>
          <w:b/>
          <w:color w:val="auto"/>
          <w:highlight w:val="none"/>
        </w:rPr>
      </w:pPr>
      <w:bookmarkStart w:id="12" w:name="_Toc90288709"/>
      <w:r>
        <w:rPr>
          <w:rFonts w:hint="eastAsia" w:ascii="宋体" w:hAnsi="宋体"/>
          <w:b/>
          <w:color w:val="auto"/>
          <w:highlight w:val="none"/>
        </w:rPr>
        <w:br w:type="page"/>
      </w:r>
    </w:p>
    <w:p w14:paraId="5F881630">
      <w:pPr>
        <w:pStyle w:val="2"/>
        <w:spacing w:before="480"/>
        <w:jc w:val="center"/>
        <w:rPr>
          <w:rFonts w:hint="eastAsia" w:ascii="宋体" w:hAnsi="宋体"/>
          <w:b/>
          <w:color w:val="auto"/>
          <w:highlight w:val="none"/>
        </w:rPr>
      </w:pPr>
      <w:r>
        <w:rPr>
          <w:rFonts w:hint="eastAsia" w:ascii="宋体" w:hAnsi="宋体"/>
          <w:b/>
          <w:color w:val="auto"/>
          <w:highlight w:val="none"/>
        </w:rPr>
        <w:t>第六章  投标文件格式</w:t>
      </w:r>
      <w:bookmarkEnd w:id="12"/>
    </w:p>
    <w:p w14:paraId="02C810B3">
      <w:pPr>
        <w:rPr>
          <w:rFonts w:hint="eastAsia" w:ascii="宋体" w:hAnsi="宋体" w:cs="宋体"/>
          <w:b/>
          <w:bCs/>
          <w:color w:val="auto"/>
          <w:sz w:val="30"/>
          <w:szCs w:val="30"/>
          <w:highlight w:val="none"/>
        </w:rPr>
      </w:pPr>
      <w:bookmarkStart w:id="13" w:name="_Toc478137727"/>
      <w:bookmarkStart w:id="14" w:name="_Toc498627082"/>
      <w:bookmarkStart w:id="15" w:name="_Toc498698226"/>
      <w:bookmarkStart w:id="16" w:name="_Toc486695806"/>
      <w:bookmarkStart w:id="17" w:name="_Toc486867150"/>
      <w:bookmarkStart w:id="18" w:name="_Toc31410"/>
      <w:bookmarkStart w:id="19" w:name="_Toc1762"/>
    </w:p>
    <w:p w14:paraId="50354DA9">
      <w:pPr>
        <w:rPr>
          <w:rFonts w:hint="eastAsia" w:ascii="宋体" w:hAnsi="宋体" w:cs="宋体"/>
          <w:b/>
          <w:bCs/>
          <w:color w:val="auto"/>
          <w:sz w:val="30"/>
          <w:szCs w:val="30"/>
          <w:highlight w:val="none"/>
        </w:rPr>
      </w:pPr>
    </w:p>
    <w:p w14:paraId="27F133CD">
      <w:pPr>
        <w:rPr>
          <w:rFonts w:hint="eastAsia" w:ascii="宋体" w:hAnsi="宋体" w:cs="宋体"/>
          <w:b/>
          <w:bCs/>
          <w:color w:val="auto"/>
          <w:sz w:val="30"/>
          <w:szCs w:val="30"/>
          <w:highlight w:val="none"/>
        </w:rPr>
      </w:pPr>
    </w:p>
    <w:p w14:paraId="6B5CFD10">
      <w:pP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投标文件封面格式</w:t>
      </w:r>
      <w:bookmarkEnd w:id="13"/>
      <w:bookmarkEnd w:id="14"/>
      <w:bookmarkEnd w:id="15"/>
      <w:bookmarkEnd w:id="16"/>
      <w:bookmarkEnd w:id="17"/>
      <w:r>
        <w:rPr>
          <w:rFonts w:hint="eastAsia" w:ascii="宋体" w:hAnsi="宋体" w:cs="宋体"/>
          <w:b/>
          <w:bCs/>
          <w:color w:val="auto"/>
          <w:sz w:val="30"/>
          <w:szCs w:val="30"/>
          <w:highlight w:val="none"/>
        </w:rPr>
        <w:t>：</w:t>
      </w:r>
      <w:bookmarkEnd w:id="18"/>
      <w:bookmarkEnd w:id="19"/>
    </w:p>
    <w:p w14:paraId="6965347D">
      <w:pPr>
        <w:adjustRightInd w:val="0"/>
        <w:snapToGrid w:val="0"/>
        <w:rPr>
          <w:rFonts w:hint="eastAsia" w:ascii="宋体" w:hAnsi="宋体" w:cs="宋体"/>
          <w:b/>
          <w:color w:val="auto"/>
          <w:sz w:val="44"/>
          <w:szCs w:val="44"/>
          <w:highlight w:val="none"/>
        </w:rPr>
      </w:pPr>
    </w:p>
    <w:p w14:paraId="6A9B8BFB">
      <w:pPr>
        <w:rPr>
          <w:rFonts w:hint="eastAsia" w:ascii="宋体" w:hAnsi="宋体" w:cs="宋体"/>
          <w:color w:val="auto"/>
          <w:highlight w:val="none"/>
        </w:rPr>
      </w:pPr>
    </w:p>
    <w:p w14:paraId="6C55FD97">
      <w:pPr>
        <w:adjustRightInd w:val="0"/>
        <w:snapToGrid w:val="0"/>
        <w:jc w:val="center"/>
        <w:rPr>
          <w:rFonts w:hint="eastAsia" w:ascii="宋体" w:hAnsi="宋体" w:cs="宋体"/>
          <w:b/>
          <w:color w:val="auto"/>
          <w:sz w:val="44"/>
          <w:szCs w:val="44"/>
          <w:highlight w:val="none"/>
        </w:rPr>
      </w:pPr>
      <w:bookmarkStart w:id="20" w:name="_Toc13659_WPSOffice_Level1"/>
      <w:bookmarkStart w:id="21" w:name="_Toc3441_WPSOffice_Level1"/>
      <w:r>
        <w:rPr>
          <w:rFonts w:hint="eastAsia" w:ascii="宋体" w:hAnsi="宋体" w:cs="宋体"/>
          <w:bCs/>
          <w:color w:val="auto"/>
          <w:sz w:val="72"/>
          <w:szCs w:val="72"/>
          <w:highlight w:val="none"/>
        </w:rPr>
        <w:t>投标文件</w:t>
      </w:r>
      <w:bookmarkEnd w:id="20"/>
      <w:bookmarkEnd w:id="21"/>
    </w:p>
    <w:p w14:paraId="39EE68CA">
      <w:pPr>
        <w:adjustRightInd w:val="0"/>
        <w:snapToGrid w:val="0"/>
        <w:rPr>
          <w:rFonts w:hint="eastAsia" w:ascii="宋体" w:hAnsi="宋体" w:cs="宋体"/>
          <w:b/>
          <w:color w:val="auto"/>
          <w:sz w:val="44"/>
          <w:szCs w:val="44"/>
          <w:highlight w:val="none"/>
        </w:rPr>
      </w:pPr>
    </w:p>
    <w:p w14:paraId="0A36EC9F">
      <w:pPr>
        <w:adjustRightInd w:val="0"/>
        <w:snapToGrid w:val="0"/>
        <w:rPr>
          <w:rFonts w:hint="eastAsia" w:ascii="宋体" w:hAnsi="宋体" w:cs="宋体"/>
          <w:b/>
          <w:color w:val="auto"/>
          <w:sz w:val="44"/>
          <w:szCs w:val="44"/>
          <w:highlight w:val="none"/>
        </w:rPr>
      </w:pPr>
    </w:p>
    <w:p w14:paraId="78203E10">
      <w:pPr>
        <w:pStyle w:val="238"/>
        <w:ind w:firstLine="883"/>
        <w:rPr>
          <w:rFonts w:hint="eastAsia" w:ascii="宋体" w:hAnsi="宋体" w:cs="宋体"/>
          <w:b/>
          <w:color w:val="auto"/>
          <w:sz w:val="44"/>
          <w:szCs w:val="44"/>
          <w:highlight w:val="none"/>
        </w:rPr>
      </w:pPr>
    </w:p>
    <w:p w14:paraId="07F9F5C2">
      <w:pPr>
        <w:spacing w:line="600" w:lineRule="exact"/>
        <w:jc w:val="center"/>
        <w:rPr>
          <w:rFonts w:hint="eastAsia" w:ascii="宋体" w:hAnsi="宋体" w:cs="宋体"/>
          <w:color w:val="auto"/>
          <w:sz w:val="30"/>
          <w:szCs w:val="30"/>
          <w:highlight w:val="none"/>
        </w:rPr>
      </w:pPr>
      <w:r>
        <w:rPr>
          <w:rFonts w:hint="eastAsia" w:ascii="宋体" w:hAnsi="宋体" w:cs="宋体"/>
          <w:bCs/>
          <w:color w:val="auto"/>
          <w:sz w:val="30"/>
          <w:szCs w:val="30"/>
          <w:highlight w:val="none"/>
        </w:rPr>
        <w:t>项目名称：</w:t>
      </w:r>
      <w:r>
        <w:rPr>
          <w:rFonts w:hint="eastAsia" w:ascii="宋体" w:hAnsi="宋体" w:cs="宋体"/>
          <w:bCs/>
          <w:color w:val="auto"/>
          <w:sz w:val="30"/>
          <w:szCs w:val="30"/>
          <w:highlight w:val="none"/>
          <w:u w:val="single"/>
        </w:rPr>
        <w:t xml:space="preserve">            ；</w:t>
      </w:r>
    </w:p>
    <w:p w14:paraId="1B55D664">
      <w:pPr>
        <w:spacing w:line="600" w:lineRule="exact"/>
        <w:ind w:firstLine="2850" w:firstLineChars="950"/>
        <w:jc w:val="left"/>
        <w:rPr>
          <w:rFonts w:hint="eastAsia" w:ascii="宋体" w:hAnsi="宋体" w:cs="宋体"/>
          <w:bCs/>
          <w:color w:val="auto"/>
          <w:sz w:val="30"/>
          <w:szCs w:val="30"/>
          <w:highlight w:val="none"/>
          <w:u w:val="single"/>
        </w:rPr>
      </w:pPr>
      <w:r>
        <w:rPr>
          <w:rFonts w:hint="eastAsia" w:ascii="宋体" w:hAnsi="宋体" w:cs="宋体"/>
          <w:bCs/>
          <w:color w:val="auto"/>
          <w:sz w:val="30"/>
          <w:szCs w:val="30"/>
          <w:highlight w:val="none"/>
          <w:lang w:eastAsia="zh-CN"/>
        </w:rPr>
        <w:t>项目编号：</w:t>
      </w:r>
      <w:r>
        <w:rPr>
          <w:rFonts w:hint="eastAsia" w:ascii="宋体" w:hAnsi="宋体" w:cs="宋体"/>
          <w:bCs/>
          <w:color w:val="auto"/>
          <w:sz w:val="30"/>
          <w:szCs w:val="30"/>
          <w:highlight w:val="none"/>
          <w:u w:val="single"/>
          <w:lang w:val="en-US" w:eastAsia="zh-CN"/>
        </w:rPr>
        <w:t xml:space="preserve">            </w:t>
      </w:r>
      <w:r>
        <w:rPr>
          <w:rFonts w:hint="eastAsia" w:ascii="宋体" w:hAnsi="宋体" w:cs="宋体"/>
          <w:bCs/>
          <w:color w:val="auto"/>
          <w:sz w:val="30"/>
          <w:szCs w:val="30"/>
          <w:highlight w:val="none"/>
          <w:u w:val="single"/>
        </w:rPr>
        <w:t>；</w:t>
      </w:r>
    </w:p>
    <w:p w14:paraId="470E75AC">
      <w:pPr>
        <w:ind w:firstLine="741" w:firstLineChars="353"/>
        <w:rPr>
          <w:rFonts w:hint="eastAsia" w:ascii="宋体" w:hAnsi="宋体" w:cs="宋体"/>
          <w:color w:val="auto"/>
          <w:highlight w:val="none"/>
        </w:rPr>
      </w:pPr>
    </w:p>
    <w:p w14:paraId="10C51BEF">
      <w:pPr>
        <w:snapToGrid w:val="0"/>
        <w:spacing w:before="120" w:beforeLines="50" w:after="50"/>
        <w:ind w:firstLine="1260" w:firstLineChars="450"/>
        <w:rPr>
          <w:rFonts w:hint="eastAsia" w:ascii="宋体" w:hAnsi="宋体" w:cs="宋体"/>
          <w:bCs/>
          <w:color w:val="auto"/>
          <w:sz w:val="28"/>
          <w:szCs w:val="28"/>
          <w:highlight w:val="none"/>
        </w:rPr>
      </w:pPr>
    </w:p>
    <w:p w14:paraId="74CD4822">
      <w:pPr>
        <w:pStyle w:val="238"/>
        <w:ind w:firstLine="420"/>
        <w:rPr>
          <w:rFonts w:hint="eastAsia" w:ascii="宋体" w:hAnsi="宋体" w:cs="宋体"/>
          <w:color w:val="auto"/>
          <w:highlight w:val="none"/>
        </w:rPr>
      </w:pPr>
    </w:p>
    <w:p w14:paraId="025535EB">
      <w:pPr>
        <w:pStyle w:val="336"/>
        <w:rPr>
          <w:rFonts w:hint="eastAsia" w:ascii="宋体" w:hAnsi="宋体" w:cs="宋体"/>
          <w:color w:val="auto"/>
          <w:highlight w:val="none"/>
        </w:rPr>
      </w:pPr>
    </w:p>
    <w:p w14:paraId="1A022BB3">
      <w:pPr>
        <w:snapToGrid w:val="0"/>
        <w:spacing w:before="120" w:beforeLines="50" w:after="50"/>
        <w:ind w:firstLine="1260" w:firstLineChars="450"/>
        <w:rPr>
          <w:rFonts w:hint="eastAsia" w:ascii="宋体" w:hAnsi="宋体" w:cs="宋体"/>
          <w:bCs/>
          <w:color w:val="auto"/>
          <w:sz w:val="28"/>
          <w:szCs w:val="28"/>
          <w:highlight w:val="none"/>
        </w:rPr>
      </w:pPr>
    </w:p>
    <w:p w14:paraId="605335C3">
      <w:pPr>
        <w:snapToGrid w:val="0"/>
        <w:spacing w:before="120" w:beforeLines="50" w:after="50"/>
        <w:ind w:firstLine="1260" w:firstLineChars="450"/>
        <w:rPr>
          <w:rFonts w:hint="eastAsia" w:ascii="宋体" w:hAnsi="宋体" w:cs="宋体"/>
          <w:bCs/>
          <w:color w:val="auto"/>
          <w:sz w:val="28"/>
          <w:szCs w:val="28"/>
          <w:highlight w:val="none"/>
        </w:rPr>
      </w:pPr>
    </w:p>
    <w:p w14:paraId="73427279">
      <w:pPr>
        <w:ind w:firstLine="964" w:firstLineChars="300"/>
        <w:jc w:val="left"/>
        <w:rPr>
          <w:rFonts w:hint="eastAsia" w:ascii="宋体" w:hAnsi="宋体" w:cs="宋体"/>
          <w:b/>
          <w:color w:val="auto"/>
          <w:sz w:val="32"/>
          <w:szCs w:val="32"/>
          <w:highlight w:val="none"/>
        </w:rPr>
      </w:pPr>
    </w:p>
    <w:p w14:paraId="572E76BB">
      <w:pPr>
        <w:pStyle w:val="22"/>
        <w:spacing w:line="500" w:lineRule="exact"/>
        <w:ind w:left="980" w:hanging="560" w:hangingChars="200"/>
        <w:jc w:val="center"/>
        <w:rPr>
          <w:rFonts w:hint="eastAsia" w:ascii="宋体" w:hAnsi="宋体" w:eastAsia="宋体" w:cs="宋体"/>
          <w:bCs/>
          <w:color w:val="auto"/>
          <w:sz w:val="28"/>
          <w:szCs w:val="28"/>
          <w:highlight w:val="none"/>
          <w:u w:val="single"/>
          <w:lang w:eastAsia="zh-CN"/>
        </w:rPr>
      </w:pPr>
      <w:r>
        <w:rPr>
          <w:rFonts w:hint="eastAsia" w:ascii="宋体" w:hAnsi="宋体" w:cs="宋体"/>
          <w:bCs/>
          <w:color w:val="auto"/>
          <w:sz w:val="28"/>
          <w:szCs w:val="28"/>
          <w:highlight w:val="none"/>
        </w:rPr>
        <w:t>采购代理机构：</w:t>
      </w:r>
      <w:bookmarkStart w:id="22" w:name="_Toc20319_WPSOffice_Level2"/>
      <w:bookmarkStart w:id="23" w:name="_Toc4932_WPSOffice_Level2"/>
      <w:r>
        <w:rPr>
          <w:rFonts w:hint="eastAsia" w:ascii="宋体" w:hAnsi="宋体" w:cs="宋体"/>
          <w:bCs/>
          <w:color w:val="auto"/>
          <w:sz w:val="28"/>
          <w:szCs w:val="28"/>
          <w:highlight w:val="none"/>
          <w:u w:val="single"/>
          <w:lang w:eastAsia="zh-CN"/>
        </w:rPr>
        <w:t>广西万安工程咨询有限公司</w:t>
      </w:r>
    </w:p>
    <w:bookmarkEnd w:id="22"/>
    <w:bookmarkEnd w:id="23"/>
    <w:p w14:paraId="2C8DB7A1">
      <w:pPr>
        <w:snapToGrid w:val="0"/>
        <w:spacing w:before="120" w:beforeLines="50" w:after="50" w:line="600" w:lineRule="exact"/>
        <w:ind w:firstLine="1820" w:firstLineChars="650"/>
        <w:rPr>
          <w:rFonts w:hint="eastAsia" w:ascii="宋体" w:hAnsi="宋体"/>
          <w:color w:val="auto"/>
          <w:sz w:val="28"/>
          <w:szCs w:val="28"/>
          <w:highlight w:val="none"/>
          <w:u w:val="single"/>
        </w:rPr>
      </w:pPr>
      <w:r>
        <w:rPr>
          <w:rFonts w:hint="eastAsia" w:ascii="宋体" w:hAnsi="宋体"/>
          <w:color w:val="auto"/>
          <w:sz w:val="28"/>
          <w:szCs w:val="28"/>
          <w:highlight w:val="none"/>
        </w:rPr>
        <w:t>投标人名称：</w:t>
      </w:r>
      <w:r>
        <w:rPr>
          <w:rFonts w:hint="eastAsia" w:ascii="宋体" w:hAnsi="宋体"/>
          <w:color w:val="auto"/>
          <w:sz w:val="28"/>
          <w:szCs w:val="28"/>
          <w:highlight w:val="none"/>
          <w:u w:val="single"/>
        </w:rPr>
        <w:t xml:space="preserve">                   ；</w:t>
      </w:r>
    </w:p>
    <w:p w14:paraId="53CA7135">
      <w:pPr>
        <w:snapToGrid w:val="0"/>
        <w:spacing w:before="120" w:beforeLines="50" w:after="50" w:line="600" w:lineRule="exact"/>
        <w:ind w:firstLine="1820" w:firstLineChars="650"/>
        <w:rPr>
          <w:rFonts w:hint="eastAsia" w:ascii="宋体" w:hAnsi="宋体"/>
          <w:color w:val="auto"/>
          <w:sz w:val="28"/>
          <w:szCs w:val="28"/>
          <w:highlight w:val="none"/>
          <w:u w:val="single"/>
        </w:rPr>
      </w:pPr>
      <w:r>
        <w:rPr>
          <w:rFonts w:hint="eastAsia" w:ascii="宋体" w:hAnsi="宋体"/>
          <w:color w:val="auto"/>
          <w:sz w:val="28"/>
          <w:szCs w:val="28"/>
          <w:highlight w:val="none"/>
        </w:rPr>
        <w:t>投标人地址：</w:t>
      </w:r>
      <w:r>
        <w:rPr>
          <w:rFonts w:hint="eastAsia" w:ascii="宋体" w:hAnsi="宋体"/>
          <w:color w:val="auto"/>
          <w:sz w:val="28"/>
          <w:szCs w:val="28"/>
          <w:highlight w:val="none"/>
          <w:u w:val="single"/>
        </w:rPr>
        <w:t xml:space="preserve">                   ； </w:t>
      </w:r>
    </w:p>
    <w:p w14:paraId="1865D04E">
      <w:pPr>
        <w:snapToGrid w:val="0"/>
        <w:spacing w:before="120" w:beforeLines="50" w:after="50" w:line="600" w:lineRule="exact"/>
        <w:ind w:firstLine="1820" w:firstLineChars="650"/>
        <w:rPr>
          <w:rFonts w:hint="eastAsia" w:ascii="宋体" w:hAnsi="宋体"/>
          <w:color w:val="auto"/>
          <w:sz w:val="28"/>
          <w:szCs w:val="28"/>
          <w:highlight w:val="none"/>
          <w:u w:val="single"/>
        </w:rPr>
      </w:pPr>
      <w:r>
        <w:rPr>
          <w:rFonts w:hint="eastAsia" w:ascii="宋体" w:hAnsi="宋体"/>
          <w:color w:val="auto"/>
          <w:sz w:val="28"/>
          <w:szCs w:val="28"/>
          <w:highlight w:val="none"/>
        </w:rPr>
        <w:t>联系人：</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 xml:space="preserve">  联系电话：</w:t>
      </w:r>
      <w:r>
        <w:rPr>
          <w:rFonts w:hint="eastAsia" w:ascii="宋体" w:hAnsi="宋体"/>
          <w:color w:val="auto"/>
          <w:sz w:val="28"/>
          <w:szCs w:val="28"/>
          <w:highlight w:val="none"/>
          <w:u w:val="single"/>
        </w:rPr>
        <w:t xml:space="preserve">                ； </w:t>
      </w:r>
    </w:p>
    <w:p w14:paraId="14F4EFD8">
      <w:pPr>
        <w:snapToGrid w:val="0"/>
        <w:spacing w:before="120" w:beforeLines="50" w:after="50" w:line="600" w:lineRule="exact"/>
        <w:ind w:firstLine="1820" w:firstLineChars="650"/>
        <w:rPr>
          <w:rFonts w:hint="eastAsia" w:ascii="宋体" w:hAnsi="宋体"/>
          <w:color w:val="auto"/>
          <w:sz w:val="28"/>
          <w:szCs w:val="28"/>
          <w:highlight w:val="none"/>
          <w:u w:val="single"/>
        </w:rPr>
      </w:pPr>
      <w:r>
        <w:rPr>
          <w:rFonts w:hint="eastAsia" w:ascii="宋体" w:hAnsi="宋体"/>
          <w:color w:val="auto"/>
          <w:sz w:val="28"/>
          <w:szCs w:val="28"/>
          <w:highlight w:val="none"/>
        </w:rPr>
        <w:t>投标日期：</w:t>
      </w:r>
      <w:r>
        <w:rPr>
          <w:rFonts w:hint="eastAsia" w:ascii="宋体" w:hAnsi="宋体"/>
          <w:color w:val="auto"/>
          <w:sz w:val="28"/>
          <w:szCs w:val="28"/>
          <w:highlight w:val="none"/>
          <w:u w:val="single"/>
        </w:rPr>
        <w:t xml:space="preserve">                      ； </w:t>
      </w:r>
    </w:p>
    <w:p w14:paraId="13A1EB17">
      <w:pPr>
        <w:pStyle w:val="233"/>
        <w:ind w:firstLine="480"/>
        <w:rPr>
          <w:rFonts w:ascii="Times New Roman"/>
          <w:color w:val="auto"/>
          <w:highlight w:val="none"/>
        </w:rPr>
      </w:pPr>
    </w:p>
    <w:p w14:paraId="45C49EFB">
      <w:pPr>
        <w:rPr>
          <w:color w:val="auto"/>
          <w:highlight w:val="none"/>
        </w:rPr>
      </w:pPr>
    </w:p>
    <w:p w14:paraId="2313E3EB">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投标文件目录</w:t>
      </w:r>
    </w:p>
    <w:p w14:paraId="4D1B74F4">
      <w:pPr>
        <w:spacing w:line="360" w:lineRule="auto"/>
        <w:rPr>
          <w:rFonts w:hint="eastAsia" w:ascii="宋体" w:hAnsi="宋体"/>
          <w:b/>
          <w:color w:val="auto"/>
          <w:szCs w:val="21"/>
          <w:highlight w:val="none"/>
        </w:rPr>
      </w:pPr>
    </w:p>
    <w:p w14:paraId="31629287">
      <w:pPr>
        <w:spacing w:line="360" w:lineRule="auto"/>
        <w:rPr>
          <w:rFonts w:hint="eastAsia" w:ascii="宋体" w:hAnsi="宋体"/>
          <w:b/>
          <w:color w:val="auto"/>
          <w:szCs w:val="21"/>
          <w:highlight w:val="none"/>
        </w:rPr>
      </w:pPr>
      <w:r>
        <w:rPr>
          <w:rFonts w:hint="eastAsia" w:ascii="宋体" w:hAnsi="宋体"/>
          <w:b/>
          <w:color w:val="auto"/>
          <w:szCs w:val="21"/>
          <w:highlight w:val="none"/>
        </w:rPr>
        <w:t>一、投标报价表（必须提供）</w:t>
      </w:r>
      <w:r>
        <w:rPr>
          <w:rFonts w:hint="eastAsia" w:ascii="宋体" w:hAnsi="宋体"/>
          <w:color w:val="auto"/>
          <w:szCs w:val="21"/>
          <w:highlight w:val="none"/>
        </w:rPr>
        <w:t>；</w:t>
      </w:r>
    </w:p>
    <w:p w14:paraId="2D9C0F60">
      <w:pPr>
        <w:spacing w:line="360" w:lineRule="auto"/>
        <w:rPr>
          <w:rFonts w:hint="eastAsia" w:ascii="宋体" w:hAnsi="宋体"/>
          <w:b/>
          <w:color w:val="auto"/>
          <w:szCs w:val="21"/>
          <w:highlight w:val="none"/>
        </w:rPr>
      </w:pPr>
      <w:r>
        <w:rPr>
          <w:rFonts w:hint="eastAsia" w:ascii="宋体" w:hAnsi="宋体"/>
          <w:b/>
          <w:color w:val="auto"/>
          <w:szCs w:val="21"/>
          <w:highlight w:val="none"/>
        </w:rPr>
        <w:t>二、资格性响应证明材料：</w:t>
      </w:r>
    </w:p>
    <w:p w14:paraId="5706908B">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1、投标人相应的法定代表人或负责人或自然人</w:t>
      </w:r>
      <w:r>
        <w:rPr>
          <w:rFonts w:hint="eastAsia" w:ascii="宋体" w:hAnsi="宋体"/>
          <w:color w:val="auto"/>
          <w:highlight w:val="none"/>
        </w:rPr>
        <w:t>身份证正反面</w:t>
      </w:r>
      <w:r>
        <w:rPr>
          <w:rFonts w:hint="eastAsia" w:ascii="宋体" w:hAnsi="宋体"/>
          <w:color w:val="auto"/>
          <w:szCs w:val="21"/>
          <w:highlight w:val="none"/>
        </w:rPr>
        <w:t>复印件</w:t>
      </w:r>
      <w:r>
        <w:rPr>
          <w:rFonts w:hint="eastAsia" w:ascii="宋体" w:hAnsi="宋体"/>
          <w:b/>
          <w:color w:val="auto"/>
          <w:szCs w:val="21"/>
          <w:highlight w:val="none"/>
        </w:rPr>
        <w:t>（必须提供）</w:t>
      </w:r>
      <w:r>
        <w:rPr>
          <w:rFonts w:hint="eastAsia" w:ascii="宋体" w:hAnsi="宋体"/>
          <w:color w:val="auto"/>
          <w:szCs w:val="21"/>
          <w:highlight w:val="none"/>
        </w:rPr>
        <w:t>；</w:t>
      </w:r>
    </w:p>
    <w:p w14:paraId="31E406F4">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2、投标人的授权委托书原件</w:t>
      </w:r>
      <w:r>
        <w:rPr>
          <w:rFonts w:hint="eastAsia" w:ascii="宋体" w:hAnsi="宋体"/>
          <w:b/>
          <w:color w:val="auto"/>
          <w:szCs w:val="21"/>
          <w:highlight w:val="none"/>
        </w:rPr>
        <w:t>（格式见附件）</w:t>
      </w:r>
      <w:r>
        <w:rPr>
          <w:rFonts w:hint="eastAsia" w:ascii="宋体" w:hAnsi="宋体"/>
          <w:color w:val="auto"/>
          <w:szCs w:val="21"/>
          <w:highlight w:val="none"/>
        </w:rPr>
        <w:t>、委托代理人身份证正反面复印件以及由县级以上（含县级）社会养老保险经办机构出具的投标人为委托代理人交纳递交截止之日前半年内任意连续三个月社保证明【自然人投标的应提供由县级以上（含县级）社会养老保险经办机构出具的自然人本人及委托代理人所交纳的社保证明复印件】</w:t>
      </w:r>
      <w:r>
        <w:rPr>
          <w:rFonts w:hint="eastAsia" w:ascii="宋体" w:hAnsi="宋体"/>
          <w:b/>
          <w:color w:val="auto"/>
          <w:szCs w:val="21"/>
          <w:highlight w:val="none"/>
        </w:rPr>
        <w:t>（委托代理时必须提供；若为新成立的企业，请根据实际情况提供）</w:t>
      </w:r>
      <w:r>
        <w:rPr>
          <w:rFonts w:hint="eastAsia" w:ascii="宋体" w:hAnsi="宋体"/>
          <w:color w:val="auto"/>
          <w:szCs w:val="21"/>
          <w:highlight w:val="none"/>
        </w:rPr>
        <w:t>；</w:t>
      </w:r>
    </w:p>
    <w:p w14:paraId="13EB8C0B">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3、投标人的法人或者其他组织营业执照等证明文件</w:t>
      </w:r>
      <w:r>
        <w:rPr>
          <w:rFonts w:hint="eastAsia" w:ascii="宋体" w:hAnsi="宋体"/>
          <w:b/>
          <w:color w:val="auto"/>
          <w:szCs w:val="21"/>
          <w:highlight w:val="none"/>
        </w:rPr>
        <w:t>（必须提供，自然人除外）</w:t>
      </w:r>
      <w:r>
        <w:rPr>
          <w:rFonts w:hint="eastAsia" w:ascii="宋体" w:hAnsi="宋体"/>
          <w:color w:val="auto"/>
          <w:szCs w:val="21"/>
          <w:highlight w:val="none"/>
        </w:rPr>
        <w:t>；</w:t>
      </w:r>
    </w:p>
    <w:p w14:paraId="5E83EDEE">
      <w:pPr>
        <w:numPr>
          <w:ilvl w:val="0"/>
          <w:numId w:val="0"/>
        </w:num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标项二</w:t>
      </w:r>
      <w:r>
        <w:rPr>
          <w:rFonts w:hint="eastAsia" w:ascii="宋体" w:hAnsi="宋体"/>
          <w:color w:val="auto"/>
          <w:szCs w:val="21"/>
          <w:highlight w:val="none"/>
          <w:lang w:val="en-US" w:eastAsia="zh-CN"/>
        </w:rPr>
        <w:t>投标人</w:t>
      </w:r>
      <w:r>
        <w:rPr>
          <w:rFonts w:hint="eastAsia" w:ascii="宋体" w:hAnsi="宋体"/>
          <w:color w:val="auto"/>
          <w:szCs w:val="21"/>
          <w:highlight w:val="none"/>
        </w:rPr>
        <w:t>须具备有效的《出版物经营许可证》（零售或批发资质均可）</w:t>
      </w:r>
      <w:r>
        <w:rPr>
          <w:rFonts w:hint="eastAsia" w:ascii="宋体" w:hAnsi="宋体"/>
          <w:b/>
          <w:color w:val="auto"/>
          <w:szCs w:val="21"/>
          <w:highlight w:val="none"/>
        </w:rPr>
        <w:t>（必须提供）</w:t>
      </w:r>
      <w:r>
        <w:rPr>
          <w:rFonts w:hint="eastAsia" w:ascii="宋体" w:hAnsi="宋体"/>
          <w:color w:val="auto"/>
          <w:szCs w:val="21"/>
          <w:highlight w:val="none"/>
        </w:rPr>
        <w:t>；</w:t>
      </w:r>
    </w:p>
    <w:p w14:paraId="4E684DD3">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、投标人的投标人参加政府采购活动前3年内在经营活动中没有重大违法记录及有关信用信息的书面声明</w:t>
      </w:r>
      <w:r>
        <w:rPr>
          <w:rFonts w:hint="eastAsia" w:ascii="宋体" w:hAnsi="宋体"/>
          <w:b/>
          <w:color w:val="auto"/>
          <w:szCs w:val="21"/>
          <w:highlight w:val="none"/>
        </w:rPr>
        <w:t>（格式见附件，必须提供）</w:t>
      </w:r>
      <w:r>
        <w:rPr>
          <w:rFonts w:hint="eastAsia" w:ascii="宋体" w:hAnsi="宋体"/>
          <w:color w:val="auto"/>
          <w:szCs w:val="21"/>
          <w:highlight w:val="none"/>
        </w:rPr>
        <w:t>。</w:t>
      </w:r>
    </w:p>
    <w:p w14:paraId="127E6A9A">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s="宋体"/>
          <w:color w:val="auto"/>
          <w:szCs w:val="21"/>
          <w:highlight w:val="none"/>
        </w:rPr>
        <w:t>投标人202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年财务状况报告复印件或银行出具的资信证明复印件 (财务状况报告的内容应包括：资产负债表、利润表、现金流量表，三表缺一不可，三表可以是投标人自行编制或是第三方审计的；若投标人为新成立的企业，请根据实际情况提供。)</w:t>
      </w:r>
      <w:r>
        <w:rPr>
          <w:rFonts w:hint="eastAsia" w:ascii="宋体" w:hAnsi="宋体" w:cs="宋体"/>
          <w:b/>
          <w:bCs/>
          <w:color w:val="auto"/>
          <w:szCs w:val="21"/>
          <w:highlight w:val="none"/>
        </w:rPr>
        <w:t>(必须提供)</w:t>
      </w:r>
      <w:r>
        <w:rPr>
          <w:rFonts w:hint="eastAsia" w:ascii="宋体" w:hAnsi="宋体" w:cs="宋体"/>
          <w:color w:val="auto"/>
          <w:szCs w:val="21"/>
          <w:highlight w:val="none"/>
        </w:rPr>
        <w:t>；</w:t>
      </w:r>
    </w:p>
    <w:p w14:paraId="16CC4C59">
      <w:pPr>
        <w:spacing w:line="360" w:lineRule="auto"/>
        <w:ind w:firstLine="420" w:firstLineChars="200"/>
        <w:rPr>
          <w:rFonts w:hint="eastAsia" w:ascii="宋体" w:hAnsi="宋体" w:cs="宋体"/>
          <w:b/>
          <w:bCs/>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w:t>
      </w:r>
      <w:r>
        <w:rPr>
          <w:rFonts w:hint="eastAsia" w:ascii="宋体" w:hAnsi="宋体" w:cs="宋体"/>
          <w:color w:val="auto"/>
          <w:szCs w:val="21"/>
          <w:highlight w:val="none"/>
        </w:rPr>
        <w:t>投标人截止开标时间前近半年内任意一个月或任一季度依法缴纳税收的证明材料【增值税发票(税收完税证明)或企业所得税完税证明或税务部门出具的免税证明】复印件</w:t>
      </w:r>
      <w:r>
        <w:rPr>
          <w:rFonts w:hint="eastAsia" w:ascii="宋体" w:hAnsi="宋体" w:cs="宋体"/>
          <w:b/>
          <w:bCs/>
          <w:color w:val="auto"/>
          <w:szCs w:val="21"/>
          <w:highlight w:val="none"/>
        </w:rPr>
        <w:t>（必须提供）；</w:t>
      </w:r>
    </w:p>
    <w:p w14:paraId="1D0398D5">
      <w:pPr>
        <w:tabs>
          <w:tab w:val="left" w:pos="1305"/>
        </w:tabs>
        <w:spacing w:line="360" w:lineRule="auto"/>
        <w:ind w:firstLine="420" w:firstLineChars="200"/>
        <w:rPr>
          <w:rFonts w:hint="eastAsia" w:eastAsia="宋体"/>
          <w:color w:val="auto"/>
          <w:highlight w:val="none"/>
          <w:lang w:eastAsia="zh-CN"/>
        </w:rPr>
      </w:pPr>
      <w:r>
        <w:rPr>
          <w:rFonts w:hint="eastAsia" w:ascii="宋体" w:hAnsi="宋体"/>
          <w:color w:val="auto"/>
          <w:szCs w:val="21"/>
          <w:highlight w:val="none"/>
          <w:lang w:val="en-US" w:eastAsia="zh-CN"/>
        </w:rPr>
        <w:t>8、</w:t>
      </w:r>
      <w:r>
        <w:rPr>
          <w:rFonts w:hint="eastAsia" w:ascii="宋体" w:hAnsi="宋体"/>
          <w:color w:val="auto"/>
          <w:szCs w:val="21"/>
          <w:highlight w:val="none"/>
        </w:rPr>
        <w:t>联合体协议书（格式后附）（</w:t>
      </w:r>
      <w:r>
        <w:rPr>
          <w:rFonts w:hint="eastAsia" w:ascii="宋体" w:hAnsi="宋体"/>
          <w:b/>
          <w:color w:val="auto"/>
          <w:szCs w:val="21"/>
          <w:highlight w:val="none"/>
        </w:rPr>
        <w:t>联合体投标时必须提供，否则按无效投标处理</w:t>
      </w:r>
      <w:r>
        <w:rPr>
          <w:rFonts w:hint="eastAsia" w:ascii="宋体" w:hAnsi="宋体"/>
          <w:color w:val="auto"/>
          <w:szCs w:val="21"/>
          <w:highlight w:val="none"/>
        </w:rPr>
        <w:t>）</w:t>
      </w:r>
      <w:r>
        <w:rPr>
          <w:rFonts w:hint="eastAsia" w:ascii="宋体" w:hAnsi="宋体"/>
          <w:color w:val="auto"/>
          <w:szCs w:val="21"/>
          <w:highlight w:val="none"/>
          <w:lang w:eastAsia="zh-CN"/>
        </w:rPr>
        <w:t>。</w:t>
      </w:r>
    </w:p>
    <w:p w14:paraId="3699A0DD">
      <w:pPr>
        <w:spacing w:line="360" w:lineRule="auto"/>
        <w:rPr>
          <w:rFonts w:hint="eastAsia" w:ascii="宋体" w:hAnsi="宋体"/>
          <w:color w:val="auto"/>
          <w:szCs w:val="21"/>
          <w:highlight w:val="none"/>
        </w:rPr>
      </w:pPr>
      <w:r>
        <w:rPr>
          <w:rFonts w:hint="eastAsia" w:ascii="宋体" w:hAnsi="宋体"/>
          <w:b/>
          <w:color w:val="auto"/>
          <w:szCs w:val="21"/>
          <w:highlight w:val="none"/>
        </w:rPr>
        <w:t>三、商务、技术性响应及其他证明材料：</w:t>
      </w:r>
    </w:p>
    <w:p w14:paraId="3EBD1068">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1、技术规格响应偏离表</w:t>
      </w:r>
      <w:r>
        <w:rPr>
          <w:rFonts w:hint="eastAsia" w:ascii="宋体" w:hAnsi="宋体"/>
          <w:b/>
          <w:color w:val="auto"/>
          <w:szCs w:val="21"/>
          <w:highlight w:val="none"/>
        </w:rPr>
        <w:t>（</w:t>
      </w:r>
      <w:r>
        <w:rPr>
          <w:rFonts w:hint="eastAsia" w:ascii="宋体" w:hAnsi="宋体" w:cs="宋体"/>
          <w:b/>
          <w:bCs/>
          <w:color w:val="auto"/>
          <w:szCs w:val="21"/>
          <w:highlight w:val="none"/>
        </w:rPr>
        <w:t>格式见附件，</w:t>
      </w:r>
      <w:r>
        <w:rPr>
          <w:rFonts w:hint="eastAsia" w:ascii="宋体" w:hAnsi="宋体"/>
          <w:b/>
          <w:color w:val="auto"/>
          <w:szCs w:val="21"/>
          <w:highlight w:val="none"/>
        </w:rPr>
        <w:t>必须提供）；</w:t>
      </w:r>
    </w:p>
    <w:p w14:paraId="762B429D">
      <w:pPr>
        <w:spacing w:line="360" w:lineRule="auto"/>
        <w:ind w:firstLine="424" w:firstLineChars="202"/>
        <w:rPr>
          <w:rFonts w:hint="eastAsia" w:ascii="宋体" w:hAnsi="宋体"/>
          <w:b/>
          <w:color w:val="auto"/>
          <w:szCs w:val="21"/>
          <w:highlight w:val="none"/>
        </w:rPr>
      </w:pPr>
      <w:r>
        <w:rPr>
          <w:rFonts w:hint="eastAsia" w:ascii="宋体" w:hAnsi="宋体"/>
          <w:color w:val="auto"/>
          <w:szCs w:val="21"/>
          <w:highlight w:val="none"/>
        </w:rPr>
        <w:t>2、商务响应偏离表</w:t>
      </w:r>
      <w:r>
        <w:rPr>
          <w:rFonts w:hint="eastAsia" w:ascii="宋体" w:hAnsi="宋体"/>
          <w:b/>
          <w:color w:val="auto"/>
          <w:szCs w:val="21"/>
          <w:highlight w:val="none"/>
        </w:rPr>
        <w:t>（</w:t>
      </w:r>
      <w:r>
        <w:rPr>
          <w:rFonts w:hint="eastAsia" w:ascii="宋体" w:hAnsi="宋体" w:cs="宋体"/>
          <w:b/>
          <w:bCs/>
          <w:color w:val="auto"/>
          <w:szCs w:val="21"/>
          <w:highlight w:val="none"/>
        </w:rPr>
        <w:t>格式见附件，</w:t>
      </w:r>
      <w:r>
        <w:rPr>
          <w:rFonts w:hint="eastAsia" w:ascii="宋体" w:hAnsi="宋体"/>
          <w:b/>
          <w:color w:val="auto"/>
          <w:szCs w:val="21"/>
          <w:highlight w:val="none"/>
        </w:rPr>
        <w:t>必须提供）；</w:t>
      </w:r>
    </w:p>
    <w:p w14:paraId="74A78342">
      <w:pPr>
        <w:spacing w:line="360" w:lineRule="auto"/>
        <w:ind w:firstLine="424" w:firstLineChars="202"/>
        <w:rPr>
          <w:rFonts w:hint="eastAsia" w:ascii="宋体" w:hAnsi="宋体"/>
          <w:b/>
          <w:color w:val="auto"/>
          <w:szCs w:val="21"/>
          <w:highlight w:val="none"/>
        </w:rPr>
      </w:pPr>
      <w:r>
        <w:rPr>
          <w:rFonts w:hint="eastAsia" w:ascii="宋体" w:hAnsi="宋体"/>
          <w:color w:val="auto"/>
          <w:szCs w:val="21"/>
          <w:highlight w:val="none"/>
        </w:rPr>
        <w:t>3、售后服务承诺书（根据评标方法自行编写，格式自拟）</w:t>
      </w:r>
      <w:r>
        <w:rPr>
          <w:rFonts w:hint="eastAsia" w:ascii="宋体" w:hAnsi="宋体"/>
          <w:b/>
          <w:color w:val="auto"/>
          <w:szCs w:val="21"/>
          <w:highlight w:val="none"/>
        </w:rPr>
        <w:t>（必须提供）；</w:t>
      </w:r>
    </w:p>
    <w:p w14:paraId="59636F7D">
      <w:pPr>
        <w:spacing w:line="360" w:lineRule="auto"/>
        <w:ind w:firstLine="424" w:firstLineChars="202"/>
        <w:rPr>
          <w:rFonts w:hint="eastAsia" w:ascii="宋体" w:hAnsi="宋体"/>
          <w:b/>
          <w:color w:val="auto"/>
          <w:szCs w:val="21"/>
          <w:highlight w:val="none"/>
        </w:rPr>
      </w:pPr>
      <w:r>
        <w:rPr>
          <w:rFonts w:hint="eastAsia" w:ascii="宋体" w:hAnsi="宋体"/>
          <w:color w:val="auto"/>
          <w:szCs w:val="21"/>
          <w:highlight w:val="none"/>
        </w:rPr>
        <w:t>4、项目实施方案（根据评标方法自行编写，格式自拟）</w:t>
      </w:r>
      <w:r>
        <w:rPr>
          <w:rFonts w:hint="eastAsia" w:ascii="宋体" w:hAnsi="宋体"/>
          <w:b/>
          <w:color w:val="auto"/>
          <w:szCs w:val="21"/>
          <w:highlight w:val="none"/>
        </w:rPr>
        <w:t>（必须提供）；</w:t>
      </w:r>
    </w:p>
    <w:p w14:paraId="56B8F9A2">
      <w:pPr>
        <w:spacing w:line="360" w:lineRule="auto"/>
        <w:ind w:firstLine="424" w:firstLineChars="202"/>
        <w:rPr>
          <w:rFonts w:hint="eastAsia" w:ascii="宋体" w:hAnsi="宋体"/>
          <w:b/>
          <w:color w:val="auto"/>
          <w:szCs w:val="21"/>
          <w:highlight w:val="none"/>
        </w:rPr>
      </w:pPr>
      <w:r>
        <w:rPr>
          <w:rFonts w:hint="eastAsia" w:ascii="宋体" w:hAnsi="宋体"/>
          <w:color w:val="auto"/>
          <w:szCs w:val="21"/>
          <w:highlight w:val="none"/>
        </w:rPr>
        <w:t>5、“货物采购需求”需提供的有效证明文件</w:t>
      </w:r>
      <w:r>
        <w:rPr>
          <w:rFonts w:hint="eastAsia" w:ascii="宋体" w:hAnsi="宋体"/>
          <w:b/>
          <w:color w:val="auto"/>
          <w:szCs w:val="21"/>
          <w:highlight w:val="none"/>
        </w:rPr>
        <w:t>（按货物采购需求要求提供）；</w:t>
      </w:r>
    </w:p>
    <w:p w14:paraId="2DBEC857">
      <w:pPr>
        <w:spacing w:line="360" w:lineRule="auto"/>
        <w:ind w:firstLine="632" w:firstLineChars="301"/>
        <w:rPr>
          <w:rFonts w:hint="eastAsia" w:ascii="宋体" w:hAnsi="宋体"/>
          <w:b/>
          <w:color w:val="auto"/>
          <w:szCs w:val="21"/>
          <w:highlight w:val="none"/>
        </w:rPr>
      </w:pPr>
      <w:r>
        <w:rPr>
          <w:rFonts w:hint="eastAsia" w:ascii="宋体" w:hAnsi="宋体"/>
          <w:color w:val="auto"/>
          <w:szCs w:val="21"/>
          <w:highlight w:val="none"/>
        </w:rPr>
        <w:t>（1）</w:t>
      </w:r>
      <w:r>
        <w:rPr>
          <w:rFonts w:hint="eastAsia" w:ascii="宋体" w:hAnsi="宋体"/>
          <w:b w:val="0"/>
          <w:bCs/>
          <w:color w:val="auto"/>
          <w:szCs w:val="21"/>
          <w:highlight w:val="none"/>
        </w:rPr>
        <w:t>强制节能产品</w:t>
      </w:r>
      <w:r>
        <w:rPr>
          <w:rFonts w:hint="eastAsia" w:ascii="宋体" w:hAnsi="宋体"/>
          <w:b/>
          <w:color w:val="auto"/>
          <w:szCs w:val="21"/>
          <w:highlight w:val="none"/>
        </w:rPr>
        <w:t>（必须提供）；</w:t>
      </w:r>
      <w:bookmarkStart w:id="27" w:name="_GoBack"/>
      <w:bookmarkEnd w:id="27"/>
    </w:p>
    <w:p w14:paraId="50B20D2E">
      <w:pPr>
        <w:spacing w:line="360" w:lineRule="auto"/>
        <w:ind w:firstLine="632" w:firstLineChars="301"/>
        <w:rPr>
          <w:rFonts w:hint="eastAsia" w:ascii="宋体" w:hAnsi="宋体"/>
          <w:b/>
          <w:color w:val="auto"/>
          <w:szCs w:val="21"/>
          <w:highlight w:val="none"/>
        </w:rPr>
      </w:pPr>
      <w:r>
        <w:rPr>
          <w:rFonts w:hint="eastAsia" w:ascii="宋体" w:hAnsi="宋体"/>
          <w:color w:val="auto"/>
          <w:szCs w:val="21"/>
          <w:highlight w:val="none"/>
        </w:rPr>
        <w:t>（2）</w:t>
      </w:r>
      <w:r>
        <w:rPr>
          <w:rFonts w:hint="eastAsia" w:ascii="宋体" w:hAnsi="宋体"/>
          <w:b w:val="0"/>
          <w:bCs/>
          <w:color w:val="auto"/>
          <w:szCs w:val="21"/>
          <w:highlight w:val="none"/>
        </w:rPr>
        <w:t>其它证明文件</w:t>
      </w:r>
      <w:r>
        <w:rPr>
          <w:rFonts w:hint="eastAsia" w:ascii="宋体" w:hAnsi="宋体"/>
          <w:b/>
          <w:color w:val="auto"/>
          <w:szCs w:val="21"/>
          <w:highlight w:val="none"/>
        </w:rPr>
        <w:t>（如有，请提供）；</w:t>
      </w:r>
    </w:p>
    <w:p w14:paraId="114D92EC">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6、项目实施人员一览表</w:t>
      </w:r>
      <w:r>
        <w:rPr>
          <w:rFonts w:hint="eastAsia" w:ascii="宋体" w:hAnsi="宋体"/>
          <w:b/>
          <w:color w:val="auto"/>
          <w:szCs w:val="21"/>
          <w:highlight w:val="none"/>
        </w:rPr>
        <w:t>（如有，请提供）</w:t>
      </w:r>
      <w:r>
        <w:rPr>
          <w:rFonts w:hint="eastAsia" w:ascii="宋体" w:hAnsi="宋体"/>
          <w:color w:val="auto"/>
          <w:szCs w:val="21"/>
          <w:highlight w:val="none"/>
        </w:rPr>
        <w:t>；</w:t>
      </w:r>
    </w:p>
    <w:p w14:paraId="680A1DC1">
      <w:pPr>
        <w:spacing w:line="360" w:lineRule="auto"/>
        <w:ind w:firstLine="424" w:firstLineChars="202"/>
        <w:rPr>
          <w:rFonts w:hint="eastAsia" w:ascii="宋体" w:hAnsi="宋体"/>
          <w:b/>
          <w:color w:val="auto"/>
          <w:szCs w:val="21"/>
          <w:highlight w:val="none"/>
        </w:rPr>
      </w:pPr>
      <w:r>
        <w:rPr>
          <w:rFonts w:hint="eastAsia" w:ascii="宋体" w:hAnsi="宋体"/>
          <w:color w:val="auto"/>
          <w:szCs w:val="21"/>
          <w:highlight w:val="none"/>
        </w:rPr>
        <w:t>7、履约能力</w:t>
      </w:r>
      <w:r>
        <w:rPr>
          <w:rFonts w:hint="eastAsia" w:ascii="宋体" w:hAnsi="宋体"/>
          <w:b/>
          <w:color w:val="auto"/>
          <w:szCs w:val="21"/>
          <w:highlight w:val="none"/>
        </w:rPr>
        <w:t>（根据评标方法自行提供）（如有，请提供）；</w:t>
      </w:r>
    </w:p>
    <w:p w14:paraId="672473E4">
      <w:pPr>
        <w:pStyle w:val="233"/>
        <w:ind w:firstLine="420"/>
        <w:rPr>
          <w:rFonts w:hint="eastAsia" w:hAnsi="宋体"/>
          <w:color w:val="auto"/>
          <w:sz w:val="21"/>
          <w:szCs w:val="21"/>
          <w:highlight w:val="none"/>
        </w:rPr>
      </w:pPr>
      <w:r>
        <w:rPr>
          <w:rFonts w:hint="eastAsia" w:hAnsi="宋体"/>
          <w:color w:val="auto"/>
          <w:sz w:val="21"/>
          <w:szCs w:val="21"/>
          <w:highlight w:val="none"/>
        </w:rPr>
        <w:t>（1）投标人相关认证证书等复印件</w:t>
      </w:r>
      <w:r>
        <w:rPr>
          <w:rFonts w:hint="eastAsia" w:hAnsi="宋体"/>
          <w:b/>
          <w:color w:val="auto"/>
          <w:sz w:val="21"/>
          <w:szCs w:val="21"/>
          <w:highlight w:val="none"/>
        </w:rPr>
        <w:t>（如有，请提供）</w:t>
      </w:r>
    </w:p>
    <w:p w14:paraId="7C7ED88D">
      <w:pPr>
        <w:spacing w:line="360" w:lineRule="auto"/>
        <w:rPr>
          <w:rFonts w:hint="eastAsia" w:ascii="宋体" w:hAnsi="宋体"/>
          <w:b/>
          <w:color w:val="auto"/>
          <w:szCs w:val="21"/>
          <w:highlight w:val="none"/>
        </w:rPr>
      </w:pPr>
      <w:r>
        <w:rPr>
          <w:rFonts w:hint="eastAsia" w:ascii="宋体" w:hAnsi="宋体"/>
          <w:color w:val="auto"/>
          <w:szCs w:val="21"/>
          <w:highlight w:val="none"/>
        </w:rPr>
        <w:t xml:space="preserve">    （2）投标人202</w:t>
      </w:r>
      <w:r>
        <w:rPr>
          <w:rFonts w:hint="eastAsia" w:ascii="宋体" w:hAnsi="宋体"/>
          <w:color w:val="auto"/>
          <w:szCs w:val="21"/>
          <w:highlight w:val="none"/>
          <w:lang w:val="en-US" w:eastAsia="zh-CN"/>
        </w:rPr>
        <w:t>3</w:t>
      </w:r>
      <w:r>
        <w:rPr>
          <w:rFonts w:hint="eastAsia" w:ascii="宋体" w:hAnsi="宋体"/>
          <w:color w:val="auto"/>
          <w:szCs w:val="21"/>
          <w:highlight w:val="none"/>
        </w:rPr>
        <w:t>年以来具有同类产品的销售业绩的相关证明材料【以中标（成交）通知书和签订的销售合同复印件为准，须附有采购货物清单及金额，并能清晰反映所销售的货物名称、种类、时间等内容】</w:t>
      </w:r>
      <w:r>
        <w:rPr>
          <w:rFonts w:hint="eastAsia" w:ascii="宋体" w:hAnsi="宋体"/>
          <w:b/>
          <w:color w:val="auto"/>
          <w:szCs w:val="21"/>
          <w:highlight w:val="none"/>
        </w:rPr>
        <w:t>（如有，请提供）；</w:t>
      </w:r>
    </w:p>
    <w:p w14:paraId="29469A8D">
      <w:pPr>
        <w:pStyle w:val="233"/>
        <w:ind w:firstLine="420"/>
        <w:rPr>
          <w:rFonts w:hint="eastAsia" w:hAnsi="宋体"/>
          <w:color w:val="auto"/>
          <w:sz w:val="21"/>
          <w:szCs w:val="21"/>
          <w:highlight w:val="none"/>
        </w:rPr>
      </w:pPr>
      <w:r>
        <w:rPr>
          <w:rFonts w:hint="eastAsia" w:hAnsi="宋体"/>
          <w:color w:val="auto"/>
          <w:sz w:val="21"/>
          <w:szCs w:val="21"/>
          <w:highlight w:val="none"/>
        </w:rPr>
        <w:t>8、政策功能</w:t>
      </w:r>
      <w:r>
        <w:rPr>
          <w:rFonts w:hint="eastAsia" w:hAnsi="宋体"/>
          <w:bCs/>
          <w:color w:val="auto"/>
          <w:sz w:val="21"/>
          <w:szCs w:val="20"/>
          <w:highlight w:val="none"/>
        </w:rPr>
        <w:t>（节能、环保）相关证书复印件</w:t>
      </w:r>
      <w:r>
        <w:rPr>
          <w:rFonts w:hint="eastAsia" w:hAnsi="宋体"/>
          <w:b/>
          <w:color w:val="auto"/>
          <w:sz w:val="21"/>
          <w:szCs w:val="21"/>
          <w:highlight w:val="none"/>
        </w:rPr>
        <w:t>（根据评标方法自行提供）（如有，请提供）；</w:t>
      </w:r>
    </w:p>
    <w:p w14:paraId="14A3DA7C">
      <w:pPr>
        <w:pStyle w:val="233"/>
        <w:ind w:firstLine="420"/>
        <w:rPr>
          <w:rFonts w:hint="eastAsia" w:hAnsi="宋体"/>
          <w:color w:val="auto"/>
          <w:sz w:val="21"/>
          <w:szCs w:val="21"/>
          <w:highlight w:val="none"/>
        </w:rPr>
      </w:pPr>
      <w:r>
        <w:rPr>
          <w:rFonts w:hint="eastAsia" w:hAnsi="宋体"/>
          <w:color w:val="auto"/>
          <w:sz w:val="21"/>
          <w:szCs w:val="21"/>
          <w:highlight w:val="none"/>
        </w:rPr>
        <w:t>（1）节能方面的证书复印件</w:t>
      </w:r>
      <w:r>
        <w:rPr>
          <w:rFonts w:hint="eastAsia" w:hAnsi="宋体"/>
          <w:b/>
          <w:color w:val="auto"/>
          <w:sz w:val="21"/>
          <w:szCs w:val="21"/>
          <w:highlight w:val="none"/>
        </w:rPr>
        <w:t>（如有，请提供）；</w:t>
      </w:r>
    </w:p>
    <w:p w14:paraId="6D01708E">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（2）环保方面的证书复印件</w:t>
      </w:r>
      <w:r>
        <w:rPr>
          <w:rFonts w:hint="eastAsia" w:ascii="宋体" w:hAnsi="宋体"/>
          <w:b/>
          <w:bCs/>
          <w:color w:val="auto"/>
          <w:szCs w:val="21"/>
          <w:highlight w:val="none"/>
        </w:rPr>
        <w:t>（如有，请提供）；</w:t>
      </w:r>
    </w:p>
    <w:p w14:paraId="6B47E98D">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9、投标人为生产厂家的，投标人的生产制造设备清单及专业技术能力说明</w:t>
      </w:r>
      <w:r>
        <w:rPr>
          <w:rFonts w:hint="eastAsia" w:ascii="宋体" w:hAnsi="宋体"/>
          <w:b/>
          <w:bCs/>
          <w:color w:val="auto"/>
          <w:szCs w:val="21"/>
          <w:highlight w:val="none"/>
        </w:rPr>
        <w:t>（如有，请提供）；</w:t>
      </w:r>
    </w:p>
    <w:p w14:paraId="40D7AAB4">
      <w:pPr>
        <w:tabs>
          <w:tab w:val="left" w:pos="1305"/>
        </w:tabs>
        <w:spacing w:line="360" w:lineRule="auto"/>
        <w:ind w:firstLine="420" w:firstLineChars="200"/>
        <w:rPr>
          <w:rFonts w:hint="eastAsia" w:ascii="宋体" w:hAnsi="宋体"/>
          <w:b/>
          <w:color w:val="auto"/>
          <w:szCs w:val="21"/>
          <w:highlight w:val="none"/>
        </w:rPr>
      </w:pPr>
      <w:r>
        <w:rPr>
          <w:rFonts w:hint="eastAsia" w:ascii="宋体" w:hAnsi="宋体" w:cs="宋体"/>
          <w:color w:val="auto"/>
          <w:kern w:val="0"/>
          <w:highlight w:val="none"/>
        </w:rPr>
        <w:t>10、</w:t>
      </w:r>
      <w:r>
        <w:rPr>
          <w:rFonts w:hint="eastAsia" w:ascii="宋体" w:hAnsi="宋体" w:cs="宋体"/>
          <w:color w:val="auto"/>
          <w:szCs w:val="21"/>
          <w:highlight w:val="none"/>
        </w:rPr>
        <w:t>《中小企业声明函》或《残疾人福利性单位声明函》或属于监狱企业的证明文件</w:t>
      </w:r>
      <w:r>
        <w:rPr>
          <w:rFonts w:hint="eastAsia" w:ascii="宋体" w:hAnsi="宋体" w:cs="宋体"/>
          <w:b/>
          <w:bCs/>
          <w:color w:val="auto"/>
          <w:szCs w:val="21"/>
          <w:highlight w:val="none"/>
        </w:rPr>
        <w:t>（</w:t>
      </w:r>
      <w:r>
        <w:rPr>
          <w:rFonts w:hint="eastAsia" w:ascii="宋体" w:hAnsi="宋体"/>
          <w:b/>
          <w:color w:val="auto"/>
          <w:szCs w:val="21"/>
          <w:highlight w:val="none"/>
        </w:rPr>
        <w:t>如有，请提供</w:t>
      </w:r>
      <w:r>
        <w:rPr>
          <w:rFonts w:hint="eastAsia" w:ascii="宋体" w:hAnsi="宋体" w:cs="宋体"/>
          <w:b/>
          <w:bCs/>
          <w:color w:val="auto"/>
          <w:szCs w:val="21"/>
          <w:highlight w:val="none"/>
        </w:rPr>
        <w:t>）</w:t>
      </w:r>
      <w:r>
        <w:rPr>
          <w:rFonts w:hint="eastAsia" w:ascii="宋体" w:hAnsi="宋体" w:cs="宋体"/>
          <w:color w:val="auto"/>
          <w:szCs w:val="21"/>
          <w:highlight w:val="none"/>
        </w:rPr>
        <w:t>；</w:t>
      </w:r>
    </w:p>
    <w:p w14:paraId="2CBC8532">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11、投标人可结合本项目的评标办法视自身情况自行提交相关证明材料</w:t>
      </w:r>
      <w:r>
        <w:rPr>
          <w:rFonts w:hint="eastAsia" w:ascii="宋体" w:hAnsi="宋体"/>
          <w:b/>
          <w:color w:val="auto"/>
          <w:szCs w:val="21"/>
          <w:highlight w:val="none"/>
        </w:rPr>
        <w:t>（如有，请提供）</w:t>
      </w:r>
      <w:r>
        <w:rPr>
          <w:rFonts w:hint="eastAsia" w:ascii="宋体" w:hAnsi="宋体"/>
          <w:color w:val="auto"/>
          <w:szCs w:val="21"/>
          <w:highlight w:val="none"/>
        </w:rPr>
        <w:t>。</w:t>
      </w:r>
    </w:p>
    <w:p w14:paraId="574EA5C8">
      <w:pPr>
        <w:pStyle w:val="2"/>
        <w:pageBreakBefore/>
        <w:spacing w:before="480"/>
        <w:rPr>
          <w:rFonts w:hint="eastAsia" w:ascii="宋体" w:hAnsi="宋体"/>
          <w:b/>
          <w:color w:val="auto"/>
          <w:highlight w:val="none"/>
        </w:rPr>
      </w:pPr>
      <w:bookmarkStart w:id="24" w:name="_Toc90288710"/>
      <w:r>
        <w:rPr>
          <w:rFonts w:hint="eastAsia" w:ascii="宋体" w:hAnsi="宋体"/>
          <w:b/>
          <w:color w:val="auto"/>
          <w:highlight w:val="none"/>
        </w:rPr>
        <w:t>一、投标报价表（格式）</w:t>
      </w:r>
      <w:bookmarkEnd w:id="24"/>
    </w:p>
    <w:p w14:paraId="7F3AC298">
      <w:pPr>
        <w:jc w:val="center"/>
        <w:rPr>
          <w:rFonts w:hint="eastAsia" w:ascii="宋体" w:hAnsi="宋体"/>
          <w:b/>
          <w:color w:val="auto"/>
          <w:sz w:val="32"/>
          <w:szCs w:val="32"/>
          <w:highlight w:val="none"/>
        </w:rPr>
      </w:pPr>
    </w:p>
    <w:p w14:paraId="0C48325D">
      <w:pPr>
        <w:jc w:val="center"/>
        <w:rPr>
          <w:rFonts w:hint="eastAsia" w:ascii="宋体" w:hAnsi="宋体"/>
          <w:b/>
          <w:color w:val="auto"/>
          <w:sz w:val="32"/>
          <w:szCs w:val="32"/>
          <w:highlight w:val="none"/>
        </w:rPr>
      </w:pPr>
      <w:r>
        <w:rPr>
          <w:rFonts w:hint="eastAsia" w:ascii="宋体" w:hAnsi="宋体"/>
          <w:b/>
          <w:color w:val="auto"/>
          <w:sz w:val="32"/>
          <w:szCs w:val="32"/>
          <w:highlight w:val="none"/>
        </w:rPr>
        <w:t>1.投标报价表（格式）</w:t>
      </w:r>
    </w:p>
    <w:p w14:paraId="48C0D80D">
      <w:pPr>
        <w:spacing w:line="240" w:lineRule="exact"/>
        <w:jc w:val="center"/>
        <w:rPr>
          <w:rFonts w:hint="eastAsia" w:ascii="宋体" w:hAnsi="宋体"/>
          <w:color w:val="auto"/>
          <w:sz w:val="32"/>
          <w:highlight w:val="none"/>
        </w:rPr>
      </w:pPr>
    </w:p>
    <w:p w14:paraId="292D4264">
      <w:pPr>
        <w:spacing w:line="360" w:lineRule="atLeast"/>
        <w:rPr>
          <w:rFonts w:hint="eastAsia" w:ascii="宋体" w:hAnsi="宋体"/>
          <w:color w:val="auto"/>
          <w:highlight w:val="none"/>
        </w:rPr>
      </w:pPr>
      <w:r>
        <w:rPr>
          <w:rFonts w:hint="eastAsia" w:ascii="宋体" w:hAnsi="宋体"/>
          <w:color w:val="auto"/>
          <w:szCs w:val="21"/>
          <w:highlight w:val="none"/>
        </w:rPr>
        <w:t>致：</w:t>
      </w:r>
      <w:r>
        <w:rPr>
          <w:rFonts w:hint="eastAsia" w:ascii="宋体" w:hAnsi="宋体"/>
          <w:color w:val="auto"/>
          <w:highlight w:val="none"/>
          <w:u w:val="single"/>
        </w:rPr>
        <w:t>×××××公司</w:t>
      </w:r>
    </w:p>
    <w:p w14:paraId="4858BDBC">
      <w:pPr>
        <w:pStyle w:val="27"/>
        <w:spacing w:line="360" w:lineRule="atLeast"/>
        <w:ind w:firstLine="420"/>
        <w:rPr>
          <w:rFonts w:hint="eastAsia" w:hAnsi="宋体"/>
          <w:color w:val="auto"/>
          <w:highlight w:val="none"/>
        </w:rPr>
      </w:pPr>
      <w:r>
        <w:rPr>
          <w:rFonts w:hint="eastAsia" w:hAnsi="宋体"/>
          <w:color w:val="auto"/>
          <w:highlight w:val="none"/>
        </w:rPr>
        <w:t>根据贵方</w:t>
      </w:r>
      <w:r>
        <w:rPr>
          <w:rFonts w:hint="eastAsia" w:hAnsi="宋体"/>
          <w:color w:val="auto"/>
          <w:highlight w:val="none"/>
          <w:u w:val="single"/>
        </w:rPr>
        <w:t xml:space="preserve">      项目名称        </w:t>
      </w:r>
      <w:r>
        <w:rPr>
          <w:rFonts w:hint="eastAsia" w:hAnsi="宋体"/>
          <w:color w:val="auto"/>
          <w:highlight w:val="none"/>
        </w:rPr>
        <w:t>项目招标文件，项目编号</w:t>
      </w:r>
      <w:r>
        <w:rPr>
          <w:rFonts w:hint="eastAsia" w:hAnsi="宋体"/>
          <w:color w:val="auto"/>
          <w:szCs w:val="21"/>
          <w:highlight w:val="none"/>
          <w:u w:val="single"/>
        </w:rPr>
        <w:t xml:space="preserve">         </w:t>
      </w:r>
      <w:r>
        <w:rPr>
          <w:rFonts w:hint="eastAsia" w:hAnsi="宋体"/>
          <w:color w:val="auto"/>
          <w:szCs w:val="21"/>
          <w:highlight w:val="none"/>
        </w:rPr>
        <w:t>，签字代表</w:t>
      </w:r>
      <w:r>
        <w:rPr>
          <w:rFonts w:hint="eastAsia" w:hAnsi="宋体"/>
          <w:color w:val="auto"/>
          <w:highlight w:val="none"/>
          <w:u w:val="single"/>
        </w:rPr>
        <w:t xml:space="preserve">           </w:t>
      </w:r>
      <w:r>
        <w:rPr>
          <w:rFonts w:hint="eastAsia" w:hAnsi="宋体"/>
          <w:color w:val="auto"/>
          <w:highlight w:val="none"/>
        </w:rPr>
        <w:t>（姓名）经正式授权并代表投标人</w:t>
      </w:r>
      <w:r>
        <w:rPr>
          <w:rFonts w:hint="eastAsia" w:hAnsi="宋体"/>
          <w:color w:val="auto"/>
          <w:highlight w:val="none"/>
          <w:u w:val="single"/>
        </w:rPr>
        <w:t>（投标单位名称）</w:t>
      </w:r>
      <w:r>
        <w:rPr>
          <w:rFonts w:hint="eastAsia" w:hAnsi="宋体"/>
          <w:color w:val="auto"/>
          <w:highlight w:val="none"/>
        </w:rPr>
        <w:t>，提交投标文件一份，并做</w:t>
      </w:r>
      <w:r>
        <w:rPr>
          <w:rFonts w:hint="eastAsia" w:hAnsi="宋体"/>
          <w:color w:val="auto"/>
          <w:highlight w:val="none"/>
          <w:lang w:val="en-US" w:eastAsia="zh-CN"/>
        </w:rPr>
        <w:t>分标</w:t>
      </w:r>
      <w:r>
        <w:rPr>
          <w:rFonts w:hint="eastAsia" w:hAnsi="宋体"/>
          <w:color w:val="auto"/>
          <w:highlight w:val="none"/>
          <w:u w:val="single"/>
          <w:lang w:val="en-US" w:eastAsia="zh-CN"/>
        </w:rPr>
        <w:t xml:space="preserve">     </w:t>
      </w:r>
      <w:r>
        <w:rPr>
          <w:rFonts w:hint="eastAsia" w:hAnsi="宋体"/>
          <w:color w:val="auto"/>
          <w:highlight w:val="none"/>
        </w:rPr>
        <w:t>出如下报价：</w:t>
      </w:r>
    </w:p>
    <w:tbl>
      <w:tblPr>
        <w:tblStyle w:val="51"/>
        <w:tblW w:w="99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3"/>
        <w:gridCol w:w="1365"/>
        <w:gridCol w:w="1494"/>
        <w:gridCol w:w="993"/>
        <w:gridCol w:w="1275"/>
        <w:gridCol w:w="709"/>
        <w:gridCol w:w="567"/>
        <w:gridCol w:w="851"/>
        <w:gridCol w:w="1275"/>
        <w:gridCol w:w="851"/>
      </w:tblGrid>
      <w:tr w14:paraId="0328DB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59" w:hRule="atLeast"/>
          <w:jc w:val="center"/>
        </w:trPr>
        <w:tc>
          <w:tcPr>
            <w:tcW w:w="543" w:type="dxa"/>
            <w:tcBorders>
              <w:top w:val="single" w:color="auto" w:sz="4" w:space="0"/>
              <w:left w:val="single" w:color="auto" w:sz="4" w:space="0"/>
              <w:bottom w:val="single" w:color="auto" w:sz="4" w:space="0"/>
              <w:right w:val="single" w:color="auto" w:sz="4" w:space="0"/>
            </w:tcBorders>
            <w:vAlign w:val="center"/>
          </w:tcPr>
          <w:p w14:paraId="0F73B31C">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项号</w:t>
            </w:r>
          </w:p>
        </w:tc>
        <w:tc>
          <w:tcPr>
            <w:tcW w:w="1365" w:type="dxa"/>
            <w:tcBorders>
              <w:top w:val="single" w:color="auto" w:sz="4" w:space="0"/>
              <w:left w:val="single" w:color="auto" w:sz="4" w:space="0"/>
              <w:bottom w:val="single" w:color="auto" w:sz="4" w:space="0"/>
              <w:right w:val="single" w:color="auto" w:sz="4" w:space="0"/>
            </w:tcBorders>
            <w:vAlign w:val="center"/>
          </w:tcPr>
          <w:p w14:paraId="64AAFC88">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货物名称</w:t>
            </w:r>
          </w:p>
        </w:tc>
        <w:tc>
          <w:tcPr>
            <w:tcW w:w="1494" w:type="dxa"/>
            <w:tcBorders>
              <w:top w:val="single" w:color="auto" w:sz="4" w:space="0"/>
              <w:left w:val="single" w:color="auto" w:sz="4" w:space="0"/>
              <w:bottom w:val="single" w:color="auto" w:sz="4" w:space="0"/>
              <w:right w:val="single" w:color="auto" w:sz="4" w:space="0"/>
            </w:tcBorders>
            <w:vAlign w:val="center"/>
          </w:tcPr>
          <w:p w14:paraId="0EA6D290">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生产厂家</w:t>
            </w:r>
          </w:p>
        </w:tc>
        <w:tc>
          <w:tcPr>
            <w:tcW w:w="993" w:type="dxa"/>
            <w:tcBorders>
              <w:top w:val="single" w:color="auto" w:sz="4" w:space="0"/>
              <w:left w:val="single" w:color="auto" w:sz="4" w:space="0"/>
              <w:bottom w:val="single" w:color="auto" w:sz="4" w:space="0"/>
              <w:right w:val="single" w:color="auto" w:sz="4" w:space="0"/>
            </w:tcBorders>
            <w:vAlign w:val="center"/>
          </w:tcPr>
          <w:p w14:paraId="30E89A08">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品牌</w:t>
            </w:r>
          </w:p>
        </w:tc>
        <w:tc>
          <w:tcPr>
            <w:tcW w:w="1275" w:type="dxa"/>
            <w:tcBorders>
              <w:top w:val="single" w:color="auto" w:sz="4" w:space="0"/>
              <w:left w:val="single" w:color="auto" w:sz="4" w:space="0"/>
              <w:bottom w:val="single" w:color="auto" w:sz="4" w:space="0"/>
              <w:right w:val="single" w:color="auto" w:sz="4" w:space="0"/>
            </w:tcBorders>
            <w:vAlign w:val="center"/>
          </w:tcPr>
          <w:p w14:paraId="6669F5D4">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规格型号</w:t>
            </w:r>
          </w:p>
        </w:tc>
        <w:tc>
          <w:tcPr>
            <w:tcW w:w="709" w:type="dxa"/>
            <w:tcBorders>
              <w:top w:val="single" w:color="auto" w:sz="4" w:space="0"/>
              <w:left w:val="single" w:color="auto" w:sz="4" w:space="0"/>
              <w:bottom w:val="single" w:color="auto" w:sz="4" w:space="0"/>
              <w:right w:val="single" w:color="auto" w:sz="4" w:space="0"/>
            </w:tcBorders>
            <w:vAlign w:val="center"/>
          </w:tcPr>
          <w:p w14:paraId="0A08A674">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数量</w:t>
            </w:r>
          </w:p>
          <w:p w14:paraId="08E65ADA">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szCs w:val="21"/>
                <w:highlight w:val="none"/>
              </w:rPr>
              <w:t>①</w:t>
            </w:r>
          </w:p>
        </w:tc>
        <w:tc>
          <w:tcPr>
            <w:tcW w:w="567" w:type="dxa"/>
            <w:tcBorders>
              <w:top w:val="single" w:color="auto" w:sz="4" w:space="0"/>
              <w:left w:val="single" w:color="auto" w:sz="4" w:space="0"/>
              <w:bottom w:val="single" w:color="auto" w:sz="4" w:space="0"/>
              <w:right w:val="single" w:color="auto" w:sz="4" w:space="0"/>
            </w:tcBorders>
            <w:vAlign w:val="center"/>
          </w:tcPr>
          <w:p w14:paraId="08382535">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单位</w:t>
            </w:r>
          </w:p>
        </w:tc>
        <w:tc>
          <w:tcPr>
            <w:tcW w:w="851" w:type="dxa"/>
            <w:tcBorders>
              <w:top w:val="single" w:color="auto" w:sz="4" w:space="0"/>
              <w:left w:val="single" w:color="auto" w:sz="4" w:space="0"/>
              <w:bottom w:val="single" w:color="auto" w:sz="4" w:space="0"/>
              <w:right w:val="single" w:color="auto" w:sz="4" w:space="0"/>
            </w:tcBorders>
            <w:vAlign w:val="center"/>
          </w:tcPr>
          <w:p w14:paraId="6CF804B8">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单价（元）</w:t>
            </w:r>
          </w:p>
          <w:p w14:paraId="01D9F5F7">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szCs w:val="21"/>
                <w:highlight w:val="none"/>
              </w:rPr>
              <w:t>②</w:t>
            </w:r>
          </w:p>
        </w:tc>
        <w:tc>
          <w:tcPr>
            <w:tcW w:w="1275" w:type="dxa"/>
            <w:tcBorders>
              <w:top w:val="single" w:color="auto" w:sz="4" w:space="0"/>
              <w:left w:val="single" w:color="auto" w:sz="4" w:space="0"/>
              <w:bottom w:val="single" w:color="auto" w:sz="4" w:space="0"/>
            </w:tcBorders>
            <w:vAlign w:val="center"/>
          </w:tcPr>
          <w:p w14:paraId="21BDC698">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单项合计=数量×单价</w:t>
            </w:r>
          </w:p>
          <w:p w14:paraId="0878821A">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szCs w:val="21"/>
                <w:highlight w:val="none"/>
              </w:rPr>
              <w:t>③＝①×②</w:t>
            </w:r>
          </w:p>
        </w:tc>
        <w:tc>
          <w:tcPr>
            <w:tcW w:w="851" w:type="dxa"/>
            <w:tcBorders>
              <w:top w:val="single" w:color="auto" w:sz="4" w:space="0"/>
              <w:left w:val="single" w:color="auto" w:sz="4" w:space="0"/>
              <w:bottom w:val="single" w:color="auto" w:sz="4" w:space="0"/>
            </w:tcBorders>
          </w:tcPr>
          <w:p w14:paraId="1223D180">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备注</w:t>
            </w:r>
          </w:p>
        </w:tc>
      </w:tr>
      <w:tr w14:paraId="10E6E1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543" w:type="dxa"/>
            <w:tcBorders>
              <w:top w:val="single" w:color="auto" w:sz="4" w:space="0"/>
              <w:left w:val="single" w:color="auto" w:sz="4" w:space="0"/>
              <w:bottom w:val="single" w:color="auto" w:sz="4" w:space="0"/>
              <w:right w:val="single" w:color="auto" w:sz="4" w:space="0"/>
            </w:tcBorders>
            <w:vAlign w:val="center"/>
          </w:tcPr>
          <w:p w14:paraId="5187883F">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365" w:type="dxa"/>
            <w:tcBorders>
              <w:top w:val="single" w:color="auto" w:sz="4" w:space="0"/>
              <w:left w:val="single" w:color="auto" w:sz="4" w:space="0"/>
              <w:bottom w:val="single" w:color="auto" w:sz="4" w:space="0"/>
              <w:right w:val="single" w:color="auto" w:sz="4" w:space="0"/>
            </w:tcBorders>
            <w:vAlign w:val="center"/>
          </w:tcPr>
          <w:p w14:paraId="5782C65C">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494" w:type="dxa"/>
            <w:tcBorders>
              <w:top w:val="single" w:color="auto" w:sz="4" w:space="0"/>
              <w:left w:val="single" w:color="auto" w:sz="4" w:space="0"/>
              <w:bottom w:val="single" w:color="auto" w:sz="4" w:space="0"/>
              <w:right w:val="single" w:color="auto" w:sz="4" w:space="0"/>
            </w:tcBorders>
            <w:vAlign w:val="center"/>
          </w:tcPr>
          <w:p w14:paraId="4F00905C">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14:paraId="63AF0A90">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4D351ACA">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0951A77B">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14:paraId="1C92C2F9">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454E8128">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c>
          <w:tcPr>
            <w:tcW w:w="1275" w:type="dxa"/>
            <w:tcBorders>
              <w:top w:val="single" w:color="auto" w:sz="4" w:space="0"/>
              <w:left w:val="single" w:color="auto" w:sz="4" w:space="0"/>
              <w:bottom w:val="single" w:color="auto" w:sz="4" w:space="0"/>
            </w:tcBorders>
            <w:vAlign w:val="center"/>
          </w:tcPr>
          <w:p w14:paraId="6FBDA5EF">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c>
          <w:tcPr>
            <w:tcW w:w="851" w:type="dxa"/>
            <w:tcBorders>
              <w:top w:val="single" w:color="auto" w:sz="4" w:space="0"/>
              <w:left w:val="single" w:color="auto" w:sz="4" w:space="0"/>
              <w:bottom w:val="single" w:color="auto" w:sz="4" w:space="0"/>
            </w:tcBorders>
          </w:tcPr>
          <w:p w14:paraId="5993A9D3">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r>
      <w:tr w14:paraId="0D41C9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543" w:type="dxa"/>
            <w:tcBorders>
              <w:top w:val="single" w:color="auto" w:sz="4" w:space="0"/>
              <w:left w:val="single" w:color="auto" w:sz="4" w:space="0"/>
              <w:right w:val="single" w:color="auto" w:sz="4" w:space="0"/>
            </w:tcBorders>
            <w:vAlign w:val="center"/>
          </w:tcPr>
          <w:p w14:paraId="047874B1">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365" w:type="dxa"/>
            <w:tcBorders>
              <w:top w:val="single" w:color="auto" w:sz="4" w:space="0"/>
              <w:left w:val="single" w:color="auto" w:sz="4" w:space="0"/>
              <w:bottom w:val="single" w:color="auto" w:sz="4" w:space="0"/>
              <w:right w:val="single" w:color="auto" w:sz="4" w:space="0"/>
            </w:tcBorders>
            <w:vAlign w:val="center"/>
          </w:tcPr>
          <w:p w14:paraId="1C214C3F">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494" w:type="dxa"/>
            <w:tcBorders>
              <w:top w:val="single" w:color="auto" w:sz="4" w:space="0"/>
              <w:left w:val="single" w:color="auto" w:sz="4" w:space="0"/>
              <w:bottom w:val="single" w:color="auto" w:sz="4" w:space="0"/>
              <w:right w:val="single" w:color="auto" w:sz="4" w:space="0"/>
            </w:tcBorders>
            <w:vAlign w:val="center"/>
          </w:tcPr>
          <w:p w14:paraId="4476CB3A">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14:paraId="1C5F4EB5">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0F5B390B">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39A812D2">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14:paraId="7FE6C220">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52B23C89">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c>
          <w:tcPr>
            <w:tcW w:w="1275" w:type="dxa"/>
            <w:tcBorders>
              <w:top w:val="single" w:color="auto" w:sz="4" w:space="0"/>
              <w:left w:val="single" w:color="auto" w:sz="4" w:space="0"/>
              <w:bottom w:val="single" w:color="auto" w:sz="4" w:space="0"/>
            </w:tcBorders>
            <w:vAlign w:val="center"/>
          </w:tcPr>
          <w:p w14:paraId="1AC937CD">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c>
          <w:tcPr>
            <w:tcW w:w="851" w:type="dxa"/>
            <w:tcBorders>
              <w:top w:val="single" w:color="auto" w:sz="4" w:space="0"/>
              <w:left w:val="single" w:color="auto" w:sz="4" w:space="0"/>
              <w:bottom w:val="single" w:color="auto" w:sz="4" w:space="0"/>
            </w:tcBorders>
          </w:tcPr>
          <w:p w14:paraId="346E79C2">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r>
      <w:tr w14:paraId="3FD094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543" w:type="dxa"/>
            <w:tcBorders>
              <w:top w:val="single" w:color="auto" w:sz="4" w:space="0"/>
              <w:left w:val="single" w:color="auto" w:sz="4" w:space="0"/>
              <w:right w:val="single" w:color="auto" w:sz="4" w:space="0"/>
            </w:tcBorders>
            <w:vAlign w:val="center"/>
          </w:tcPr>
          <w:p w14:paraId="2FDB9B39">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1365" w:type="dxa"/>
            <w:tcBorders>
              <w:top w:val="single" w:color="auto" w:sz="4" w:space="0"/>
              <w:left w:val="single" w:color="auto" w:sz="4" w:space="0"/>
              <w:bottom w:val="single" w:color="auto" w:sz="4" w:space="0"/>
              <w:right w:val="single" w:color="auto" w:sz="4" w:space="0"/>
            </w:tcBorders>
            <w:vAlign w:val="center"/>
          </w:tcPr>
          <w:p w14:paraId="16DEB93E">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494" w:type="dxa"/>
            <w:tcBorders>
              <w:top w:val="single" w:color="auto" w:sz="4" w:space="0"/>
              <w:left w:val="single" w:color="auto" w:sz="4" w:space="0"/>
              <w:bottom w:val="single" w:color="auto" w:sz="4" w:space="0"/>
              <w:right w:val="single" w:color="auto" w:sz="4" w:space="0"/>
            </w:tcBorders>
            <w:vAlign w:val="center"/>
          </w:tcPr>
          <w:p w14:paraId="797549B3">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14:paraId="2399517D">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4BD7ECD2">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35A507E9">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14:paraId="172D4466">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3EA5ACDC">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c>
          <w:tcPr>
            <w:tcW w:w="1275" w:type="dxa"/>
            <w:tcBorders>
              <w:top w:val="single" w:color="auto" w:sz="4" w:space="0"/>
              <w:left w:val="single" w:color="auto" w:sz="4" w:space="0"/>
              <w:bottom w:val="single" w:color="auto" w:sz="4" w:space="0"/>
            </w:tcBorders>
            <w:vAlign w:val="center"/>
          </w:tcPr>
          <w:p w14:paraId="74E5496A">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c>
          <w:tcPr>
            <w:tcW w:w="851" w:type="dxa"/>
            <w:tcBorders>
              <w:top w:val="single" w:color="auto" w:sz="4" w:space="0"/>
              <w:left w:val="single" w:color="auto" w:sz="4" w:space="0"/>
              <w:bottom w:val="single" w:color="auto" w:sz="4" w:space="0"/>
            </w:tcBorders>
          </w:tcPr>
          <w:p w14:paraId="1B3E4B04">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r>
      <w:tr w14:paraId="334174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9923" w:type="dxa"/>
            <w:gridSpan w:val="10"/>
            <w:tcBorders>
              <w:top w:val="single" w:color="auto" w:sz="4" w:space="0"/>
              <w:left w:val="single" w:color="auto" w:sz="4" w:space="0"/>
              <w:bottom w:val="single" w:color="auto" w:sz="4" w:space="0"/>
            </w:tcBorders>
            <w:vAlign w:val="center"/>
          </w:tcPr>
          <w:p w14:paraId="3FD6ECA6">
            <w:pPr>
              <w:keepNext w:val="0"/>
              <w:keepLines w:val="0"/>
              <w:suppressLineNumbers w:val="0"/>
              <w:spacing w:before="0" w:beforeAutospacing="0" w:after="0" w:afterAutospacing="0" w:line="360" w:lineRule="exact"/>
              <w:ind w:left="0" w:right="0"/>
              <w:rPr>
                <w:rFonts w:hint="eastAsia" w:ascii="宋体" w:hAnsi="宋体"/>
                <w:color w:val="auto"/>
                <w:spacing w:val="-6"/>
                <w:highlight w:val="none"/>
              </w:rPr>
            </w:pPr>
            <w:r>
              <w:rPr>
                <w:rFonts w:hint="eastAsia" w:ascii="宋体" w:hAnsi="宋体"/>
                <w:color w:val="auto"/>
                <w:spacing w:val="-6"/>
                <w:highlight w:val="none"/>
              </w:rPr>
              <w:t>投标总</w:t>
            </w:r>
            <w:r>
              <w:rPr>
                <w:rFonts w:hint="default" w:ascii="宋体" w:hAnsi="宋体"/>
                <w:color w:val="auto"/>
                <w:spacing w:val="-6"/>
                <w:highlight w:val="none"/>
              </w:rPr>
              <w:t xml:space="preserve">报价（大写）：                </w:t>
            </w:r>
            <w:r>
              <w:rPr>
                <w:rFonts w:hint="eastAsia" w:ascii="宋体" w:hAnsi="宋体"/>
                <w:color w:val="auto"/>
                <w:spacing w:val="-6"/>
                <w:highlight w:val="none"/>
              </w:rPr>
              <w:t xml:space="preserve">                          </w:t>
            </w:r>
            <w:r>
              <w:rPr>
                <w:rFonts w:hint="default" w:ascii="宋体" w:hAnsi="宋体"/>
                <w:color w:val="auto"/>
                <w:spacing w:val="-6"/>
                <w:highlight w:val="none"/>
              </w:rPr>
              <w:t xml:space="preserve">  </w:t>
            </w:r>
            <w:r>
              <w:rPr>
                <w:rFonts w:hint="eastAsia" w:ascii="宋体" w:hAnsi="宋体"/>
                <w:color w:val="auto"/>
                <w:spacing w:val="-6"/>
                <w:highlight w:val="none"/>
              </w:rPr>
              <w:t>元</w:t>
            </w:r>
            <w:r>
              <w:rPr>
                <w:rFonts w:hint="default" w:ascii="宋体" w:hAnsi="宋体"/>
                <w:color w:val="auto"/>
                <w:spacing w:val="-6"/>
                <w:highlight w:val="none"/>
              </w:rPr>
              <w:t>（￥                      ）人民币</w:t>
            </w:r>
          </w:p>
        </w:tc>
      </w:tr>
      <w:tr w14:paraId="4D0187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9923" w:type="dxa"/>
            <w:gridSpan w:val="10"/>
            <w:tcBorders>
              <w:top w:val="single" w:color="auto" w:sz="4" w:space="0"/>
              <w:left w:val="single" w:color="auto" w:sz="4" w:space="0"/>
              <w:bottom w:val="single" w:color="auto" w:sz="4" w:space="0"/>
            </w:tcBorders>
            <w:vAlign w:val="center"/>
          </w:tcPr>
          <w:p w14:paraId="711EFDF5">
            <w:pPr>
              <w:keepNext w:val="0"/>
              <w:keepLines w:val="0"/>
              <w:suppressLineNumbers w:val="0"/>
              <w:spacing w:before="0" w:beforeAutospacing="0" w:after="0" w:afterAutospacing="0" w:line="360" w:lineRule="exact"/>
              <w:ind w:left="0" w:right="0"/>
              <w:rPr>
                <w:rFonts w:hint="eastAsia" w:ascii="宋体" w:hAnsi="宋体"/>
                <w:color w:val="auto"/>
                <w:spacing w:val="-6"/>
                <w:highlight w:val="none"/>
              </w:rPr>
            </w:pPr>
            <w:r>
              <w:rPr>
                <w:rFonts w:hint="eastAsia" w:ascii="宋体" w:hAnsi="宋体"/>
                <w:color w:val="auto"/>
                <w:spacing w:val="-6"/>
                <w:highlight w:val="none"/>
              </w:rPr>
              <w:t>本项目投标有效期为投标截止时间之日起90天。</w:t>
            </w:r>
          </w:p>
        </w:tc>
      </w:tr>
      <w:tr w14:paraId="0C9F03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9923" w:type="dxa"/>
            <w:gridSpan w:val="10"/>
            <w:tcBorders>
              <w:top w:val="single" w:color="auto" w:sz="4" w:space="0"/>
              <w:left w:val="single" w:color="auto" w:sz="4" w:space="0"/>
              <w:bottom w:val="single" w:color="auto" w:sz="4" w:space="0"/>
            </w:tcBorders>
            <w:vAlign w:val="center"/>
          </w:tcPr>
          <w:p w14:paraId="4EB18DF0">
            <w:pPr>
              <w:keepNext w:val="0"/>
              <w:keepLines w:val="0"/>
              <w:suppressLineNumbers w:val="0"/>
              <w:spacing w:before="0" w:beforeAutospacing="0" w:after="0" w:afterAutospacing="0" w:line="360" w:lineRule="exact"/>
              <w:ind w:left="0" w:right="0"/>
              <w:rPr>
                <w:rFonts w:hint="eastAsia" w:ascii="宋体" w:hAnsi="宋体"/>
                <w:color w:val="auto"/>
                <w:spacing w:val="-6"/>
                <w:highlight w:val="none"/>
              </w:rPr>
            </w:pPr>
            <w:r>
              <w:rPr>
                <w:rFonts w:hint="eastAsia" w:ascii="宋体" w:hAnsi="宋体"/>
                <w:color w:val="auto"/>
                <w:spacing w:val="-6"/>
                <w:highlight w:val="none"/>
              </w:rPr>
              <w:t>免费保修期:</w:t>
            </w:r>
          </w:p>
        </w:tc>
      </w:tr>
    </w:tbl>
    <w:p w14:paraId="4B5C2B35">
      <w:pPr>
        <w:pStyle w:val="27"/>
        <w:spacing w:line="400" w:lineRule="exact"/>
        <w:ind w:firstLine="210" w:firstLineChars="100"/>
        <w:rPr>
          <w:rFonts w:hint="eastAsia" w:hAnsi="宋体"/>
          <w:color w:val="auto"/>
          <w:highlight w:val="none"/>
        </w:rPr>
      </w:pPr>
      <w:r>
        <w:rPr>
          <w:rFonts w:hint="eastAsia" w:hAnsi="宋体"/>
          <w:color w:val="auto"/>
          <w:highlight w:val="none"/>
        </w:rPr>
        <w:t>与本投标有关的正式通讯地址为：</w:t>
      </w:r>
    </w:p>
    <w:p w14:paraId="29F26EAA">
      <w:pPr>
        <w:pStyle w:val="27"/>
        <w:spacing w:line="400" w:lineRule="exact"/>
        <w:ind w:firstLine="200"/>
        <w:rPr>
          <w:rFonts w:hint="eastAsia" w:hAnsi="宋体"/>
          <w:color w:val="auto"/>
          <w:highlight w:val="none"/>
          <w:u w:val="single"/>
        </w:rPr>
      </w:pPr>
      <w:r>
        <w:rPr>
          <w:rFonts w:hint="eastAsia" w:hAnsi="宋体"/>
          <w:color w:val="auto"/>
          <w:highlight w:val="none"/>
        </w:rPr>
        <w:t>地址：</w:t>
      </w:r>
      <w:r>
        <w:rPr>
          <w:rFonts w:hint="eastAsia" w:hAnsi="宋体"/>
          <w:color w:val="auto"/>
          <w:highlight w:val="none"/>
          <w:u w:val="single"/>
        </w:rPr>
        <w:t xml:space="preserve">                                   </w:t>
      </w:r>
      <w:r>
        <w:rPr>
          <w:rFonts w:hint="eastAsia" w:hAnsi="宋体"/>
          <w:color w:val="auto"/>
          <w:highlight w:val="none"/>
        </w:rPr>
        <w:t xml:space="preserve"> 邮编：</w:t>
      </w:r>
      <w:r>
        <w:rPr>
          <w:rFonts w:hint="eastAsia" w:hAnsi="宋体"/>
          <w:color w:val="auto"/>
          <w:highlight w:val="none"/>
          <w:u w:val="single"/>
        </w:rPr>
        <w:t xml:space="preserve">          </w:t>
      </w:r>
      <w:r>
        <w:rPr>
          <w:rFonts w:hint="eastAsia" w:hAnsi="宋体"/>
          <w:color w:val="auto"/>
          <w:highlight w:val="none"/>
        </w:rPr>
        <w:t xml:space="preserve">  电话、传真：</w:t>
      </w:r>
      <w:r>
        <w:rPr>
          <w:rFonts w:hint="eastAsia" w:hAnsi="宋体"/>
          <w:color w:val="auto"/>
          <w:highlight w:val="none"/>
          <w:u w:val="single"/>
        </w:rPr>
        <w:t xml:space="preserve">            .</w:t>
      </w:r>
    </w:p>
    <w:p w14:paraId="548C4480">
      <w:pPr>
        <w:pStyle w:val="27"/>
        <w:spacing w:line="400" w:lineRule="exact"/>
        <w:ind w:firstLine="200"/>
        <w:rPr>
          <w:rFonts w:hint="eastAsia" w:hAnsi="宋体"/>
          <w:color w:val="auto"/>
          <w:highlight w:val="none"/>
        </w:rPr>
      </w:pPr>
      <w:r>
        <w:rPr>
          <w:rFonts w:hint="eastAsia" w:hAnsi="宋体"/>
          <w:color w:val="auto"/>
          <w:highlight w:val="none"/>
        </w:rPr>
        <w:t>开户名称：</w:t>
      </w:r>
      <w:r>
        <w:rPr>
          <w:rFonts w:hint="eastAsia" w:hAnsi="宋体"/>
          <w:color w:val="auto"/>
          <w:highlight w:val="none"/>
          <w:u w:val="single"/>
        </w:rPr>
        <w:t xml:space="preserve">                               .         </w:t>
      </w:r>
    </w:p>
    <w:p w14:paraId="242CCD0D">
      <w:pPr>
        <w:pStyle w:val="27"/>
        <w:spacing w:line="400" w:lineRule="exact"/>
        <w:ind w:firstLine="200"/>
        <w:rPr>
          <w:rFonts w:hint="eastAsia" w:hAnsi="宋体"/>
          <w:color w:val="auto"/>
          <w:highlight w:val="none"/>
        </w:rPr>
      </w:pPr>
      <w:r>
        <w:rPr>
          <w:rFonts w:hint="eastAsia" w:hAnsi="宋体"/>
          <w:color w:val="auto"/>
          <w:highlight w:val="none"/>
        </w:rPr>
        <w:t>开户银行：</w:t>
      </w:r>
      <w:r>
        <w:rPr>
          <w:rFonts w:hint="eastAsia" w:hAnsi="宋体"/>
          <w:color w:val="auto"/>
          <w:highlight w:val="none"/>
          <w:u w:val="single"/>
        </w:rPr>
        <w:t xml:space="preserve">                               .　       </w:t>
      </w:r>
    </w:p>
    <w:p w14:paraId="65C32A70">
      <w:pPr>
        <w:pStyle w:val="27"/>
        <w:spacing w:line="400" w:lineRule="exact"/>
        <w:ind w:firstLine="200"/>
        <w:rPr>
          <w:rFonts w:hint="eastAsia" w:hAnsi="宋体"/>
          <w:color w:val="auto"/>
          <w:highlight w:val="none"/>
        </w:rPr>
      </w:pPr>
      <w:r>
        <w:rPr>
          <w:rFonts w:hint="eastAsia" w:hAnsi="宋体"/>
          <w:color w:val="auto"/>
          <w:highlight w:val="none"/>
        </w:rPr>
        <w:t>账号：</w:t>
      </w:r>
      <w:r>
        <w:rPr>
          <w:rFonts w:hint="eastAsia" w:hAnsi="宋体"/>
          <w:color w:val="auto"/>
          <w:highlight w:val="none"/>
          <w:u w:val="single"/>
        </w:rPr>
        <w:t xml:space="preserve">                                   .　　　   </w:t>
      </w:r>
    </w:p>
    <w:p w14:paraId="0B3FE5CE">
      <w:pPr>
        <w:pStyle w:val="27"/>
        <w:spacing w:line="400" w:lineRule="exact"/>
        <w:ind w:firstLine="200"/>
        <w:rPr>
          <w:rFonts w:hint="eastAsia" w:hAnsi="宋体"/>
          <w:color w:val="auto"/>
          <w:highlight w:val="none"/>
        </w:rPr>
      </w:pPr>
      <w:r>
        <w:rPr>
          <w:rFonts w:hint="eastAsia" w:hAnsi="宋体"/>
          <w:color w:val="auto"/>
          <w:highlight w:val="none"/>
        </w:rPr>
        <w:t>投标人名称（加盖CA证书签章，自然人除外）：</w:t>
      </w:r>
      <w:r>
        <w:rPr>
          <w:rFonts w:hint="eastAsia" w:hAnsi="宋体"/>
          <w:color w:val="auto"/>
          <w:highlight w:val="none"/>
          <w:u w:val="single"/>
        </w:rPr>
        <w:t xml:space="preserve">                     .                         </w:t>
      </w:r>
    </w:p>
    <w:p w14:paraId="2D5FBE85">
      <w:pPr>
        <w:pStyle w:val="27"/>
        <w:spacing w:line="400" w:lineRule="exact"/>
        <w:ind w:firstLine="200"/>
        <w:rPr>
          <w:rFonts w:hint="eastAsia" w:hAnsi="宋体"/>
          <w:color w:val="auto"/>
          <w:highlight w:val="none"/>
        </w:rPr>
      </w:pPr>
      <w:r>
        <w:rPr>
          <w:rFonts w:hint="eastAsia" w:hAnsi="宋体"/>
          <w:color w:val="auto"/>
          <w:highlight w:val="none"/>
        </w:rPr>
        <w:t>法定代表人或负责人或自然人或相应的委托代理人签字（或加盖</w:t>
      </w:r>
      <w:r>
        <w:rPr>
          <w:rFonts w:hint="eastAsia" w:hAnsi="宋体" w:cs="宋体"/>
          <w:color w:val="auto"/>
          <w:highlight w:val="none"/>
        </w:rPr>
        <w:t>个人CA证书签章</w:t>
      </w:r>
      <w:r>
        <w:rPr>
          <w:rFonts w:hint="eastAsia" w:hAnsi="宋体"/>
          <w:color w:val="auto"/>
          <w:highlight w:val="none"/>
        </w:rPr>
        <w:t>）：</w:t>
      </w:r>
      <w:r>
        <w:rPr>
          <w:rFonts w:hint="eastAsia" w:hAnsi="宋体"/>
          <w:color w:val="auto"/>
          <w:highlight w:val="none"/>
          <w:u w:val="single"/>
        </w:rPr>
        <w:t xml:space="preserve">       。</w:t>
      </w:r>
    </w:p>
    <w:p w14:paraId="4D1CAE03">
      <w:pPr>
        <w:pStyle w:val="27"/>
        <w:spacing w:line="400" w:lineRule="exact"/>
        <w:ind w:firstLine="200"/>
        <w:rPr>
          <w:rFonts w:hint="eastAsia" w:hAnsi="宋体"/>
          <w:color w:val="auto"/>
          <w:highlight w:val="none"/>
        </w:rPr>
      </w:pPr>
      <w:r>
        <w:rPr>
          <w:rFonts w:hint="eastAsia" w:hAnsi="宋体"/>
          <w:color w:val="auto"/>
          <w:highlight w:val="none"/>
        </w:rPr>
        <w:t>投标日期：</w:t>
      </w:r>
      <w:r>
        <w:rPr>
          <w:rFonts w:hint="eastAsia" w:hAnsi="宋体"/>
          <w:color w:val="auto"/>
          <w:highlight w:val="none"/>
          <w:u w:val="single"/>
        </w:rPr>
        <w:t xml:space="preserve">              。                </w:t>
      </w:r>
    </w:p>
    <w:p w14:paraId="604C7DAF">
      <w:pPr>
        <w:tabs>
          <w:tab w:val="left" w:pos="1305"/>
        </w:tabs>
        <w:spacing w:line="320" w:lineRule="exact"/>
        <w:ind w:firstLine="205" w:firstLineChars="98"/>
        <w:rPr>
          <w:rFonts w:hint="eastAsia" w:ascii="宋体" w:hAnsi="宋体"/>
          <w:bCs/>
          <w:color w:val="auto"/>
          <w:szCs w:val="21"/>
          <w:highlight w:val="none"/>
        </w:rPr>
      </w:pPr>
    </w:p>
    <w:p w14:paraId="717E7F2F">
      <w:pPr>
        <w:tabs>
          <w:tab w:val="left" w:pos="1305"/>
        </w:tabs>
        <w:spacing w:line="320" w:lineRule="exact"/>
        <w:ind w:firstLine="205" w:firstLineChars="98"/>
        <w:rPr>
          <w:rFonts w:hint="eastAsia" w:ascii="宋体" w:hAnsi="宋体"/>
          <w:color w:val="auto"/>
          <w:szCs w:val="21"/>
          <w:highlight w:val="none"/>
        </w:rPr>
      </w:pPr>
      <w:r>
        <w:rPr>
          <w:rFonts w:hint="eastAsia" w:ascii="宋体" w:hAnsi="宋体"/>
          <w:bCs/>
          <w:color w:val="auto"/>
          <w:szCs w:val="21"/>
          <w:highlight w:val="none"/>
        </w:rPr>
        <w:t>注</w:t>
      </w:r>
      <w:r>
        <w:rPr>
          <w:rFonts w:hint="eastAsia" w:ascii="宋体" w:hAnsi="宋体"/>
          <w:b/>
          <w:bCs/>
          <w:color w:val="auto"/>
          <w:szCs w:val="21"/>
          <w:highlight w:val="none"/>
        </w:rPr>
        <w:t>：</w:t>
      </w:r>
      <w:r>
        <w:rPr>
          <w:rFonts w:hint="eastAsia" w:ascii="宋体" w:hAnsi="宋体"/>
          <w:bCs/>
          <w:color w:val="auto"/>
          <w:szCs w:val="21"/>
          <w:highlight w:val="none"/>
        </w:rPr>
        <w:t>（1）各投标人</w:t>
      </w:r>
      <w:r>
        <w:rPr>
          <w:rFonts w:hint="eastAsia" w:ascii="宋体" w:hAnsi="宋体"/>
          <w:color w:val="auto"/>
          <w:szCs w:val="21"/>
          <w:highlight w:val="none"/>
        </w:rPr>
        <w:t>必须就“货物采购需求”中所有货物和服务内容作完整唯一报价，否则，其投标将被拒绝。投标文件只允许有一个报价。</w:t>
      </w:r>
    </w:p>
    <w:p w14:paraId="1CE21B66">
      <w:pPr>
        <w:tabs>
          <w:tab w:val="left" w:pos="1305"/>
        </w:tabs>
        <w:spacing w:line="320" w:lineRule="exact"/>
        <w:ind w:firstLine="205" w:firstLineChars="98"/>
        <w:rPr>
          <w:rFonts w:hint="eastAsia" w:ascii="宋体" w:hAnsi="宋体"/>
          <w:color w:val="auto"/>
          <w:highlight w:val="none"/>
        </w:rPr>
      </w:pPr>
      <w:r>
        <w:rPr>
          <w:rFonts w:hint="eastAsia" w:ascii="宋体" w:hAnsi="宋体"/>
          <w:color w:val="auto"/>
          <w:highlight w:val="none"/>
        </w:rPr>
        <w:t>（2）投标人应根据所投货物如实填写投标报价表的各项内容。</w:t>
      </w:r>
    </w:p>
    <w:p w14:paraId="2941CC22">
      <w:pPr>
        <w:tabs>
          <w:tab w:val="left" w:pos="1305"/>
        </w:tabs>
        <w:spacing w:line="320" w:lineRule="exact"/>
        <w:ind w:firstLine="205" w:firstLineChars="98"/>
        <w:rPr>
          <w:rFonts w:hint="eastAsia" w:ascii="宋体" w:hAnsi="宋体"/>
          <w:bCs/>
          <w:color w:val="auto"/>
          <w:szCs w:val="21"/>
          <w:highlight w:val="none"/>
        </w:rPr>
      </w:pPr>
      <w:r>
        <w:rPr>
          <w:rFonts w:hint="eastAsia" w:ascii="宋体" w:hAnsi="宋体"/>
          <w:color w:val="auto"/>
          <w:highlight w:val="none"/>
        </w:rPr>
        <w:t>（3）如投标的全部或部分产品属于《节能产品政府采购清单》或《环境标志产品政府采购清单》目录范围的，投标人应在本表备注栏内写明各分项货物属于节能（或环境标志）产品,同时以提供节能产品认证证书复印件或环境标志产品认证证书复印件，以便评标委员会作为优先采购或评分的依据。</w:t>
      </w:r>
    </w:p>
    <w:p w14:paraId="5C40F10B">
      <w:pPr>
        <w:pStyle w:val="27"/>
        <w:spacing w:line="320" w:lineRule="exact"/>
        <w:ind w:left="630" w:leftChars="300"/>
        <w:rPr>
          <w:rFonts w:hint="eastAsia" w:hAnsi="宋体"/>
          <w:b/>
          <w:bCs/>
          <w:color w:val="auto"/>
          <w:szCs w:val="21"/>
          <w:highlight w:val="none"/>
        </w:rPr>
      </w:pPr>
    </w:p>
    <w:p w14:paraId="426C11C8">
      <w:pPr>
        <w:pStyle w:val="27"/>
        <w:spacing w:line="320" w:lineRule="exact"/>
        <w:rPr>
          <w:rFonts w:hint="eastAsia" w:hAnsi="宋体"/>
          <w:b/>
          <w:bCs/>
          <w:color w:val="auto"/>
          <w:szCs w:val="21"/>
          <w:highlight w:val="none"/>
        </w:rPr>
      </w:pPr>
    </w:p>
    <w:p w14:paraId="46F2F6E1">
      <w:pPr>
        <w:widowControl/>
        <w:jc w:val="left"/>
        <w:rPr>
          <w:rFonts w:hint="eastAsia" w:ascii="宋体" w:hAnsi="宋体"/>
          <w:color w:val="auto"/>
          <w:highlight w:val="none"/>
        </w:rPr>
      </w:pPr>
    </w:p>
    <w:p w14:paraId="71F5EBAE">
      <w:pPr>
        <w:pStyle w:val="233"/>
        <w:ind w:firstLine="480"/>
        <w:rPr>
          <w:rFonts w:hint="eastAsia" w:hAnsi="宋体"/>
          <w:color w:val="auto"/>
          <w:highlight w:val="none"/>
        </w:rPr>
      </w:pPr>
    </w:p>
    <w:p w14:paraId="025F592B">
      <w:pPr>
        <w:rPr>
          <w:rFonts w:hint="eastAsia" w:ascii="宋体" w:hAnsi="宋体"/>
          <w:color w:val="auto"/>
          <w:highlight w:val="none"/>
        </w:rPr>
      </w:pPr>
    </w:p>
    <w:p w14:paraId="1EEC69EA">
      <w:pPr>
        <w:pStyle w:val="2"/>
        <w:spacing w:before="480"/>
        <w:rPr>
          <w:rFonts w:hint="eastAsia" w:ascii="宋体" w:hAnsi="宋体"/>
          <w:color w:val="auto"/>
          <w:sz w:val="24"/>
          <w:highlight w:val="none"/>
        </w:rPr>
      </w:pPr>
      <w:bookmarkStart w:id="25" w:name="_Toc90288711"/>
      <w:r>
        <w:rPr>
          <w:rFonts w:hint="eastAsia" w:ascii="宋体" w:hAnsi="宋体"/>
          <w:b/>
          <w:color w:val="auto"/>
          <w:highlight w:val="none"/>
        </w:rPr>
        <w:t>二、资格性响应证明材料（格式）</w:t>
      </w:r>
      <w:bookmarkEnd w:id="25"/>
    </w:p>
    <w:p w14:paraId="6EA7FEB0">
      <w:pPr>
        <w:pStyle w:val="27"/>
        <w:spacing w:line="400" w:lineRule="exact"/>
        <w:rPr>
          <w:rFonts w:hint="eastAsia" w:hAnsi="宋体"/>
          <w:b/>
          <w:color w:val="auto"/>
          <w:sz w:val="32"/>
          <w:szCs w:val="32"/>
          <w:highlight w:val="none"/>
        </w:rPr>
      </w:pPr>
    </w:p>
    <w:p w14:paraId="3DE29E1F">
      <w:pPr>
        <w:tabs>
          <w:tab w:val="left" w:pos="1305"/>
        </w:tabs>
        <w:spacing w:line="400" w:lineRule="exact"/>
        <w:ind w:firstLine="643" w:firstLineChars="200"/>
        <w:rPr>
          <w:rFonts w:hint="eastAsia" w:ascii="宋体" w:hAnsi="宋体"/>
          <w:color w:val="auto"/>
          <w:szCs w:val="21"/>
          <w:highlight w:val="none"/>
        </w:rPr>
      </w:pPr>
      <w:r>
        <w:rPr>
          <w:rFonts w:hint="eastAsia" w:ascii="宋体" w:hAnsi="宋体"/>
          <w:b/>
          <w:color w:val="auto"/>
          <w:sz w:val="32"/>
          <w:szCs w:val="32"/>
          <w:highlight w:val="none"/>
        </w:rPr>
        <w:t>1.投标人相应的法定代表人或负责人或自然人身份证正反面复印件（必须提供）；</w:t>
      </w:r>
    </w:p>
    <w:p w14:paraId="39D8F297">
      <w:pPr>
        <w:tabs>
          <w:tab w:val="left" w:pos="1305"/>
        </w:tabs>
        <w:spacing w:line="400" w:lineRule="exact"/>
        <w:ind w:firstLine="643" w:firstLineChars="200"/>
        <w:rPr>
          <w:rFonts w:hint="eastAsia" w:ascii="宋体" w:hAnsi="宋体"/>
          <w:b/>
          <w:color w:val="auto"/>
          <w:sz w:val="32"/>
          <w:szCs w:val="32"/>
          <w:highlight w:val="none"/>
        </w:rPr>
      </w:pPr>
    </w:p>
    <w:p w14:paraId="52DF50D6">
      <w:pPr>
        <w:pStyle w:val="27"/>
        <w:spacing w:line="400" w:lineRule="exact"/>
        <w:rPr>
          <w:rFonts w:hint="eastAsia" w:hAnsi="宋体"/>
          <w:b/>
          <w:color w:val="auto"/>
          <w:sz w:val="32"/>
          <w:szCs w:val="32"/>
          <w:highlight w:val="none"/>
        </w:rPr>
      </w:pPr>
    </w:p>
    <w:p w14:paraId="5C2D149B">
      <w:pPr>
        <w:pStyle w:val="27"/>
        <w:spacing w:line="400" w:lineRule="exact"/>
        <w:ind w:firstLine="643" w:firstLineChars="200"/>
        <w:rPr>
          <w:rFonts w:hint="eastAsia" w:hAnsi="宋体"/>
          <w:b/>
          <w:color w:val="auto"/>
          <w:sz w:val="32"/>
          <w:szCs w:val="32"/>
          <w:highlight w:val="none"/>
        </w:rPr>
      </w:pPr>
      <w:r>
        <w:rPr>
          <w:rFonts w:hint="eastAsia" w:hAnsi="宋体"/>
          <w:b/>
          <w:color w:val="auto"/>
          <w:sz w:val="32"/>
          <w:szCs w:val="32"/>
          <w:highlight w:val="none"/>
        </w:rPr>
        <w:t>2.投标人的授权委托书原件（格式见附件）、委托代理人身份证正反面复印件以及由县级以上（含县级）社会养老保险经办机构出具的投标人为委托代理人交纳递交截止之日前半年内任意连续三个月社保证明复印件</w:t>
      </w:r>
      <w:r>
        <w:rPr>
          <w:rFonts w:hint="eastAsia" w:hAnsi="宋体"/>
          <w:b/>
          <w:color w:val="auto"/>
          <w:sz w:val="28"/>
          <w:szCs w:val="28"/>
          <w:highlight w:val="none"/>
        </w:rPr>
        <w:t>【自然人投标的应提供由县级以上（含县级）社会养老保险经办机构出具的自然人本人及委托代理人所交纳的社保证明复印件】</w:t>
      </w:r>
      <w:r>
        <w:rPr>
          <w:rFonts w:hint="eastAsia" w:hAnsi="宋体"/>
          <w:b/>
          <w:color w:val="auto"/>
          <w:sz w:val="32"/>
          <w:szCs w:val="32"/>
          <w:highlight w:val="none"/>
        </w:rPr>
        <w:t>（委托代理时必须提供；若为新成立的企业，请根据实际情况提供）；</w:t>
      </w:r>
    </w:p>
    <w:p w14:paraId="487C699B">
      <w:pPr>
        <w:pStyle w:val="27"/>
        <w:spacing w:line="400" w:lineRule="exact"/>
        <w:ind w:left="420" w:leftChars="200" w:firstLine="157" w:firstLineChars="49"/>
        <w:rPr>
          <w:rFonts w:hint="eastAsia" w:hAnsi="宋体"/>
          <w:b/>
          <w:color w:val="auto"/>
          <w:sz w:val="32"/>
          <w:szCs w:val="32"/>
          <w:highlight w:val="none"/>
        </w:rPr>
      </w:pPr>
      <w:r>
        <w:rPr>
          <w:rFonts w:hint="eastAsia" w:hAnsi="宋体"/>
          <w:b/>
          <w:color w:val="auto"/>
          <w:sz w:val="32"/>
          <w:szCs w:val="32"/>
          <w:highlight w:val="none"/>
        </w:rPr>
        <w:t>附件：</w:t>
      </w:r>
    </w:p>
    <w:p w14:paraId="67EC3D57">
      <w:pPr>
        <w:pStyle w:val="27"/>
        <w:jc w:val="center"/>
        <w:rPr>
          <w:rFonts w:hint="eastAsia" w:hAnsi="宋体"/>
          <w:b/>
          <w:color w:val="auto"/>
          <w:sz w:val="32"/>
          <w:highlight w:val="none"/>
        </w:rPr>
      </w:pPr>
      <w:r>
        <w:rPr>
          <w:rFonts w:hint="eastAsia" w:hAnsi="宋体"/>
          <w:b/>
          <w:color w:val="auto"/>
          <w:sz w:val="32"/>
          <w:highlight w:val="none"/>
        </w:rPr>
        <w:t xml:space="preserve">  授权委托书（格式一）</w:t>
      </w:r>
    </w:p>
    <w:p w14:paraId="6CFA313B">
      <w:pPr>
        <w:snapToGrid w:val="0"/>
        <w:spacing w:line="400" w:lineRule="exact"/>
        <w:rPr>
          <w:rFonts w:hint="eastAsia" w:ascii="宋体" w:hAnsi="宋体"/>
          <w:color w:val="auto"/>
          <w:highlight w:val="none"/>
        </w:rPr>
      </w:pPr>
      <w:r>
        <w:rPr>
          <w:rFonts w:hint="eastAsia" w:ascii="宋体" w:hAnsi="宋体"/>
          <w:b/>
          <w:color w:val="auto"/>
          <w:szCs w:val="21"/>
          <w:highlight w:val="none"/>
        </w:rPr>
        <w:t>致</w:t>
      </w:r>
      <w:r>
        <w:rPr>
          <w:rFonts w:hint="eastAsia" w:ascii="宋体" w:hAnsi="宋体"/>
          <w:color w:val="auto"/>
          <w:szCs w:val="21"/>
          <w:highlight w:val="none"/>
        </w:rPr>
        <w:t>：</w:t>
      </w:r>
      <w:r>
        <w:rPr>
          <w:rFonts w:hint="eastAsia" w:ascii="宋体" w:hAnsi="宋体"/>
          <w:color w:val="auto"/>
          <w:highlight w:val="none"/>
          <w:u w:val="single"/>
        </w:rPr>
        <w:t>×××××公司</w:t>
      </w:r>
    </w:p>
    <w:p w14:paraId="553FA396">
      <w:pPr>
        <w:snapToGrid w:val="0"/>
        <w:spacing w:line="400" w:lineRule="exact"/>
        <w:rPr>
          <w:rFonts w:hint="eastAsia" w:ascii="宋体" w:hAnsi="宋体"/>
          <w:color w:val="auto"/>
          <w:szCs w:val="21"/>
          <w:highlight w:val="none"/>
          <w:u w:val="single"/>
        </w:rPr>
      </w:pPr>
    </w:p>
    <w:p w14:paraId="057394C7">
      <w:pPr>
        <w:pStyle w:val="27"/>
        <w:spacing w:line="400" w:lineRule="exact"/>
        <w:ind w:firstLine="525" w:firstLineChars="250"/>
        <w:rPr>
          <w:rFonts w:hint="eastAsia" w:hAnsi="宋体"/>
          <w:color w:val="auto"/>
          <w:highlight w:val="none"/>
        </w:rPr>
      </w:pPr>
      <w:r>
        <w:rPr>
          <w:rFonts w:hint="eastAsia" w:hAnsi="宋体"/>
          <w:color w:val="auto"/>
          <w:kern w:val="0"/>
          <w:highlight w:val="none"/>
        </w:rPr>
        <w:t>我</w:t>
      </w:r>
      <w:r>
        <w:rPr>
          <w:rFonts w:hint="eastAsia" w:hAnsi="宋体"/>
          <w:color w:val="auto"/>
          <w:kern w:val="0"/>
          <w:highlight w:val="none"/>
          <w:u w:val="single"/>
        </w:rPr>
        <w:t xml:space="preserve">              </w:t>
      </w:r>
      <w:r>
        <w:rPr>
          <w:rFonts w:hint="eastAsia" w:hAnsi="宋体"/>
          <w:color w:val="auto"/>
          <w:kern w:val="0"/>
          <w:highlight w:val="none"/>
        </w:rPr>
        <w:t>（姓名）系</w:t>
      </w:r>
      <w:r>
        <w:rPr>
          <w:rFonts w:hint="eastAsia" w:hAnsi="宋体"/>
          <w:color w:val="auto"/>
          <w:kern w:val="0"/>
          <w:highlight w:val="none"/>
          <w:u w:val="single"/>
        </w:rPr>
        <w:t xml:space="preserve">                              </w:t>
      </w:r>
      <w:r>
        <w:rPr>
          <w:rFonts w:hint="eastAsia" w:hAnsi="宋体"/>
          <w:color w:val="auto"/>
          <w:kern w:val="0"/>
          <w:highlight w:val="none"/>
        </w:rPr>
        <w:t>（投标人名称）的法定代表人（负责人），现授权委托本单位在职职工</w:t>
      </w:r>
      <w:r>
        <w:rPr>
          <w:rFonts w:hint="eastAsia" w:hAnsi="宋体"/>
          <w:color w:val="auto"/>
          <w:kern w:val="0"/>
          <w:highlight w:val="none"/>
          <w:u w:val="single"/>
        </w:rPr>
        <w:t xml:space="preserve">            </w:t>
      </w:r>
      <w:r>
        <w:rPr>
          <w:rFonts w:hint="eastAsia" w:hAnsi="宋体"/>
          <w:color w:val="auto"/>
          <w:kern w:val="0"/>
          <w:highlight w:val="none"/>
        </w:rPr>
        <w:t>（姓名）以我公司名义参加</w:t>
      </w:r>
      <w:r>
        <w:rPr>
          <w:rFonts w:hint="eastAsia" w:hAnsi="宋体"/>
          <w:color w:val="auto"/>
          <w:kern w:val="0"/>
          <w:highlight w:val="none"/>
          <w:u w:val="single"/>
        </w:rPr>
        <w:t xml:space="preserve">      </w:t>
      </w:r>
      <w:r>
        <w:rPr>
          <w:rFonts w:hint="eastAsia" w:hAnsi="宋体"/>
          <w:color w:val="auto"/>
          <w:highlight w:val="none"/>
          <w:u w:val="single"/>
        </w:rPr>
        <w:t xml:space="preserve">（项目名称及项目编号）        </w:t>
      </w:r>
      <w:r>
        <w:rPr>
          <w:rFonts w:hint="eastAsia" w:hAnsi="宋体"/>
          <w:color w:val="auto"/>
          <w:highlight w:val="none"/>
        </w:rPr>
        <w:t>项目的投标活动，并代表我方全权办理针对上述项目的投标、开标、评标、签约等具体事务和签署相关文件。</w:t>
      </w:r>
    </w:p>
    <w:p w14:paraId="3E1F3D42">
      <w:pPr>
        <w:pStyle w:val="27"/>
        <w:spacing w:line="400" w:lineRule="exact"/>
        <w:ind w:firstLine="420" w:firstLineChars="200"/>
        <w:rPr>
          <w:rFonts w:hint="eastAsia" w:hAnsi="宋体"/>
          <w:color w:val="auto"/>
          <w:highlight w:val="none"/>
        </w:rPr>
      </w:pPr>
      <w:r>
        <w:rPr>
          <w:rFonts w:hint="eastAsia" w:hAnsi="宋体"/>
          <w:color w:val="auto"/>
          <w:highlight w:val="none"/>
        </w:rPr>
        <w:t>我方对被授权人的签字事项负全部责任。</w:t>
      </w:r>
    </w:p>
    <w:p w14:paraId="4F7DD1D6">
      <w:pPr>
        <w:pStyle w:val="27"/>
        <w:spacing w:line="400" w:lineRule="exact"/>
        <w:ind w:firstLine="420" w:firstLineChars="200"/>
        <w:rPr>
          <w:rFonts w:hint="eastAsia" w:hAnsi="宋体"/>
          <w:color w:val="auto"/>
          <w:highlight w:val="none"/>
          <w:u w:val="single"/>
        </w:rPr>
      </w:pPr>
      <w:r>
        <w:rPr>
          <w:rFonts w:hint="eastAsia" w:hAnsi="宋体"/>
          <w:color w:val="auto"/>
          <w:highlight w:val="none"/>
        </w:rPr>
        <w:t>授权委托代理期限：</w:t>
      </w:r>
      <w:r>
        <w:rPr>
          <w:rFonts w:hint="eastAsia" w:hAnsi="宋体" w:cs="宋体"/>
          <w:color w:val="auto"/>
          <w:highlight w:val="none"/>
        </w:rPr>
        <w:t>自即日起至该项目政府采购活动结束</w:t>
      </w:r>
      <w:r>
        <w:rPr>
          <w:rFonts w:hint="eastAsia" w:hAnsi="宋体"/>
          <w:color w:val="auto"/>
          <w:highlight w:val="none"/>
        </w:rPr>
        <w:t>。</w:t>
      </w:r>
    </w:p>
    <w:p w14:paraId="28E7D5D0">
      <w:pPr>
        <w:pStyle w:val="27"/>
        <w:spacing w:line="400" w:lineRule="exact"/>
        <w:rPr>
          <w:rFonts w:hint="eastAsia" w:hAnsi="宋体"/>
          <w:color w:val="auto"/>
          <w:highlight w:val="none"/>
          <w:u w:val="single"/>
        </w:rPr>
      </w:pPr>
      <w:r>
        <w:rPr>
          <w:rFonts w:hint="eastAsia" w:hAnsi="宋体"/>
          <w:color w:val="auto"/>
          <w:highlight w:val="none"/>
        </w:rPr>
        <w:t xml:space="preserve">                                                                                             </w:t>
      </w:r>
    </w:p>
    <w:p w14:paraId="61024296">
      <w:pPr>
        <w:spacing w:line="400" w:lineRule="exact"/>
        <w:ind w:firstLine="420" w:firstLineChars="200"/>
        <w:rPr>
          <w:rFonts w:hint="eastAsia" w:ascii="宋体" w:hAnsi="宋体"/>
          <w:color w:val="auto"/>
          <w:kern w:val="0"/>
          <w:highlight w:val="none"/>
        </w:rPr>
      </w:pPr>
      <w:r>
        <w:rPr>
          <w:rFonts w:hint="eastAsia" w:ascii="宋体" w:hAnsi="宋体"/>
          <w:color w:val="auto"/>
          <w:kern w:val="0"/>
          <w:highlight w:val="none"/>
        </w:rPr>
        <w:t>代理人无转委托权,特此委托。</w:t>
      </w:r>
      <w:r>
        <w:rPr>
          <w:rFonts w:ascii="宋体" w:hAnsi="宋体"/>
          <w:color w:val="auto"/>
          <w:kern w:val="0"/>
          <w:highlight w:val="none"/>
        </w:rPr>
        <w:t xml:space="preserve"> </w:t>
      </w:r>
    </w:p>
    <w:p w14:paraId="2EC14CE9">
      <w:pPr>
        <w:snapToGrid w:val="0"/>
        <w:spacing w:line="400" w:lineRule="exact"/>
        <w:ind w:firstLine="525"/>
        <w:rPr>
          <w:rFonts w:hint="eastAsia" w:ascii="宋体" w:hAnsi="宋体"/>
          <w:color w:val="auto"/>
          <w:szCs w:val="21"/>
          <w:highlight w:val="none"/>
        </w:rPr>
      </w:pPr>
    </w:p>
    <w:p w14:paraId="48B04702">
      <w:pPr>
        <w:snapToGrid w:val="0"/>
        <w:spacing w:line="400" w:lineRule="exact"/>
        <w:ind w:firstLine="420"/>
        <w:rPr>
          <w:rFonts w:hint="eastAsia" w:ascii="宋体" w:hAnsi="宋体"/>
          <w:color w:val="auto"/>
          <w:szCs w:val="21"/>
          <w:highlight w:val="none"/>
        </w:rPr>
      </w:pPr>
      <w:r>
        <w:rPr>
          <w:rFonts w:hint="eastAsia" w:ascii="宋体" w:hAnsi="宋体"/>
          <w:color w:val="auto"/>
          <w:szCs w:val="21"/>
          <w:highlight w:val="none"/>
        </w:rPr>
        <w:t>我已在下面签字，以资证明。</w:t>
      </w:r>
    </w:p>
    <w:p w14:paraId="2DA0F2B1">
      <w:pPr>
        <w:snapToGrid w:val="0"/>
        <w:spacing w:line="400" w:lineRule="exact"/>
        <w:rPr>
          <w:rFonts w:hint="eastAsia" w:ascii="宋体" w:hAnsi="宋体"/>
          <w:color w:val="auto"/>
          <w:szCs w:val="21"/>
          <w:highlight w:val="none"/>
        </w:rPr>
      </w:pPr>
    </w:p>
    <w:p w14:paraId="128B3769">
      <w:pPr>
        <w:snapToGrid w:val="0"/>
        <w:spacing w:line="400" w:lineRule="exact"/>
        <w:ind w:firstLine="420"/>
        <w:rPr>
          <w:rFonts w:hint="eastAsia" w:ascii="宋体" w:hAnsi="宋体" w:cs="宋体"/>
          <w:color w:val="auto"/>
          <w:szCs w:val="21"/>
          <w:highlight w:val="none"/>
          <w:u w:val="single"/>
        </w:rPr>
      </w:pPr>
      <w:r>
        <w:rPr>
          <w:rFonts w:hint="eastAsia" w:ascii="宋体" w:hAnsi="宋体" w:cs="宋体"/>
          <w:color w:val="auto"/>
          <w:szCs w:val="21"/>
          <w:highlight w:val="none"/>
        </w:rPr>
        <w:t>投标人名称（加盖CA证书签章）：</w:t>
      </w:r>
      <w:r>
        <w:rPr>
          <w:rFonts w:hint="eastAsia" w:ascii="宋体" w:hAnsi="宋体" w:cs="宋体"/>
          <w:color w:val="auto"/>
          <w:szCs w:val="21"/>
          <w:highlight w:val="none"/>
          <w:u w:val="single"/>
        </w:rPr>
        <w:t xml:space="preserve">                  ；              </w:t>
      </w:r>
    </w:p>
    <w:p w14:paraId="01D97916">
      <w:pPr>
        <w:snapToGrid w:val="0"/>
        <w:spacing w:line="400" w:lineRule="exact"/>
        <w:ind w:firstLine="420"/>
        <w:rPr>
          <w:rFonts w:hint="eastAsia" w:ascii="宋体" w:hAnsi="宋体" w:cs="宋体"/>
          <w:color w:val="auto"/>
          <w:szCs w:val="21"/>
          <w:highlight w:val="none"/>
        </w:rPr>
      </w:pPr>
    </w:p>
    <w:p w14:paraId="0F06EE7A">
      <w:pPr>
        <w:snapToGrid w:val="0"/>
        <w:spacing w:line="400" w:lineRule="exact"/>
        <w:ind w:firstLine="420"/>
        <w:rPr>
          <w:rFonts w:hint="eastAsia" w:ascii="宋体" w:hAnsi="宋体"/>
          <w:color w:val="auto"/>
          <w:szCs w:val="21"/>
          <w:highlight w:val="none"/>
        </w:rPr>
      </w:pPr>
      <w:r>
        <w:rPr>
          <w:rFonts w:hint="eastAsia" w:ascii="宋体" w:hAnsi="宋体" w:cs="宋体"/>
          <w:color w:val="auto"/>
          <w:szCs w:val="21"/>
          <w:highlight w:val="none"/>
        </w:rPr>
        <w:t>法定代表人（负责人）签字（或加盖个人CA证书签章）：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17F77B9E">
      <w:pPr>
        <w:pStyle w:val="27"/>
        <w:spacing w:line="400" w:lineRule="exact"/>
        <w:ind w:firstLine="602" w:firstLineChars="250"/>
        <w:rPr>
          <w:rFonts w:hint="eastAsia" w:hAnsi="宋体"/>
          <w:b/>
          <w:color w:val="auto"/>
          <w:sz w:val="24"/>
          <w:szCs w:val="24"/>
          <w:highlight w:val="none"/>
        </w:rPr>
      </w:pPr>
    </w:p>
    <w:p w14:paraId="0C4E16D9">
      <w:pPr>
        <w:pStyle w:val="27"/>
        <w:spacing w:line="400" w:lineRule="exact"/>
        <w:ind w:firstLine="602" w:firstLineChars="250"/>
        <w:rPr>
          <w:rFonts w:hint="eastAsia" w:hAnsi="宋体"/>
          <w:b/>
          <w:color w:val="auto"/>
          <w:sz w:val="24"/>
          <w:szCs w:val="24"/>
          <w:highlight w:val="none"/>
        </w:rPr>
      </w:pPr>
      <w:r>
        <w:rPr>
          <w:rFonts w:hint="eastAsia" w:hAnsi="宋体"/>
          <w:b/>
          <w:color w:val="auto"/>
          <w:sz w:val="24"/>
          <w:szCs w:val="24"/>
          <w:highlight w:val="none"/>
        </w:rPr>
        <w:t>附：委托代理人身份证正反面复印件以及由县级以上（含县级）社会养老保险经办机构出具的投标人为委托代理人交纳递交截止之日前半年内任意连续三个月社保证明复印件（委托代理时必须提供）。</w:t>
      </w:r>
    </w:p>
    <w:p w14:paraId="2ACF2A05">
      <w:pPr>
        <w:snapToGrid w:val="0"/>
        <w:spacing w:line="400" w:lineRule="exact"/>
        <w:rPr>
          <w:rFonts w:hint="eastAsia" w:ascii="宋体" w:hAnsi="宋体"/>
          <w:color w:val="auto"/>
          <w:szCs w:val="21"/>
          <w:highlight w:val="none"/>
        </w:rPr>
      </w:pPr>
    </w:p>
    <w:p w14:paraId="688BDB94">
      <w:pPr>
        <w:pStyle w:val="27"/>
        <w:jc w:val="center"/>
        <w:rPr>
          <w:rFonts w:hint="eastAsia" w:hAnsi="宋体"/>
          <w:b/>
          <w:color w:val="auto"/>
          <w:sz w:val="32"/>
          <w:highlight w:val="none"/>
        </w:rPr>
      </w:pPr>
      <w:r>
        <w:rPr>
          <w:rFonts w:hint="eastAsia" w:hAnsi="宋体"/>
          <w:b/>
          <w:color w:val="auto"/>
          <w:sz w:val="32"/>
          <w:highlight w:val="none"/>
        </w:rPr>
        <w:t>授权委托书（格式二）（适用于自然人投标）</w:t>
      </w:r>
    </w:p>
    <w:p w14:paraId="5873ADD5">
      <w:pPr>
        <w:snapToGrid w:val="0"/>
        <w:spacing w:line="400" w:lineRule="exact"/>
        <w:rPr>
          <w:rFonts w:hint="eastAsia" w:ascii="宋体" w:hAnsi="宋体"/>
          <w:b/>
          <w:color w:val="auto"/>
          <w:szCs w:val="21"/>
          <w:highlight w:val="none"/>
        </w:rPr>
      </w:pPr>
    </w:p>
    <w:p w14:paraId="68E0A1E3">
      <w:pPr>
        <w:snapToGrid w:val="0"/>
        <w:spacing w:line="400" w:lineRule="exact"/>
        <w:rPr>
          <w:rFonts w:hint="eastAsia" w:ascii="宋体" w:hAnsi="宋体"/>
          <w:color w:val="auto"/>
          <w:highlight w:val="none"/>
        </w:rPr>
      </w:pPr>
      <w:r>
        <w:rPr>
          <w:rFonts w:hint="eastAsia" w:ascii="宋体" w:hAnsi="宋体"/>
          <w:b/>
          <w:color w:val="auto"/>
          <w:szCs w:val="21"/>
          <w:highlight w:val="none"/>
        </w:rPr>
        <w:t>致</w:t>
      </w:r>
      <w:r>
        <w:rPr>
          <w:rFonts w:hint="eastAsia" w:ascii="宋体" w:hAnsi="宋体"/>
          <w:color w:val="auto"/>
          <w:szCs w:val="21"/>
          <w:highlight w:val="none"/>
        </w:rPr>
        <w:t>：</w:t>
      </w:r>
      <w:r>
        <w:rPr>
          <w:rFonts w:hint="eastAsia" w:ascii="宋体" w:hAnsi="宋体"/>
          <w:color w:val="auto"/>
          <w:highlight w:val="none"/>
          <w:u w:val="single"/>
        </w:rPr>
        <w:t>×××××公司</w:t>
      </w:r>
    </w:p>
    <w:p w14:paraId="0CAF75AF">
      <w:pPr>
        <w:snapToGrid w:val="0"/>
        <w:spacing w:line="400" w:lineRule="exact"/>
        <w:rPr>
          <w:rFonts w:hint="eastAsia" w:ascii="宋体" w:hAnsi="宋体"/>
          <w:color w:val="auto"/>
          <w:szCs w:val="21"/>
          <w:highlight w:val="none"/>
          <w:u w:val="single"/>
        </w:rPr>
      </w:pPr>
    </w:p>
    <w:p w14:paraId="4242637C">
      <w:pPr>
        <w:pStyle w:val="27"/>
        <w:spacing w:line="340" w:lineRule="exact"/>
        <w:ind w:firstLine="420" w:firstLineChars="200"/>
        <w:rPr>
          <w:rFonts w:hint="eastAsia" w:hAnsi="宋体"/>
          <w:color w:val="auto"/>
          <w:highlight w:val="none"/>
        </w:rPr>
      </w:pPr>
      <w:r>
        <w:rPr>
          <w:rFonts w:hint="eastAsia" w:hAnsi="宋体"/>
          <w:color w:val="auto"/>
          <w:kern w:val="0"/>
          <w:highlight w:val="none"/>
        </w:rPr>
        <w:t>我</w:t>
      </w:r>
      <w:r>
        <w:rPr>
          <w:rFonts w:hint="eastAsia" w:hAnsi="宋体"/>
          <w:color w:val="auto"/>
          <w:kern w:val="0"/>
          <w:highlight w:val="none"/>
          <w:u w:val="single"/>
        </w:rPr>
        <w:t xml:space="preserve">              </w:t>
      </w:r>
      <w:r>
        <w:rPr>
          <w:rFonts w:hint="eastAsia" w:hAnsi="宋体"/>
          <w:color w:val="auto"/>
          <w:kern w:val="0"/>
          <w:highlight w:val="none"/>
        </w:rPr>
        <w:t>（姓名）系自然人，现授权委托</w:t>
      </w:r>
      <w:r>
        <w:rPr>
          <w:rFonts w:hint="eastAsia" w:hAnsi="宋体"/>
          <w:color w:val="auto"/>
          <w:kern w:val="0"/>
          <w:highlight w:val="none"/>
          <w:u w:val="single"/>
        </w:rPr>
        <w:t xml:space="preserve">            </w:t>
      </w:r>
      <w:r>
        <w:rPr>
          <w:rFonts w:hint="eastAsia" w:hAnsi="宋体"/>
          <w:color w:val="auto"/>
          <w:kern w:val="0"/>
          <w:highlight w:val="none"/>
        </w:rPr>
        <w:t>（姓 名）以本人名义参加</w:t>
      </w:r>
      <w:r>
        <w:rPr>
          <w:rFonts w:hint="eastAsia" w:hAnsi="宋体"/>
          <w:color w:val="auto"/>
          <w:kern w:val="0"/>
          <w:highlight w:val="none"/>
          <w:u w:val="single"/>
        </w:rPr>
        <w:t xml:space="preserve">      </w:t>
      </w:r>
      <w:r>
        <w:rPr>
          <w:rFonts w:hint="eastAsia" w:hAnsi="宋体"/>
          <w:color w:val="auto"/>
          <w:highlight w:val="none"/>
          <w:u w:val="single"/>
        </w:rPr>
        <w:t xml:space="preserve">（项目名称及项目编号）        </w:t>
      </w:r>
      <w:r>
        <w:rPr>
          <w:rFonts w:hint="eastAsia" w:hAnsi="宋体"/>
          <w:color w:val="auto"/>
          <w:highlight w:val="none"/>
        </w:rPr>
        <w:t>项目的投标活动，并代表本人全权办理针对上述项目的投标、开标、评标、签约等具体事务和签署相关文件。</w:t>
      </w:r>
    </w:p>
    <w:p w14:paraId="07EF6CA2">
      <w:pPr>
        <w:pStyle w:val="27"/>
        <w:spacing w:line="340" w:lineRule="exact"/>
        <w:ind w:firstLine="420" w:firstLineChars="200"/>
        <w:rPr>
          <w:rFonts w:hint="eastAsia" w:hAnsi="宋体"/>
          <w:color w:val="auto"/>
          <w:highlight w:val="none"/>
        </w:rPr>
      </w:pPr>
      <w:r>
        <w:rPr>
          <w:rFonts w:hint="eastAsia" w:hAnsi="宋体"/>
          <w:color w:val="auto"/>
          <w:highlight w:val="none"/>
        </w:rPr>
        <w:t>本人对被授权人的签字事项负全部责任。</w:t>
      </w:r>
    </w:p>
    <w:p w14:paraId="07273B80">
      <w:pPr>
        <w:pStyle w:val="27"/>
        <w:spacing w:line="340" w:lineRule="exact"/>
        <w:ind w:firstLine="420" w:firstLineChars="200"/>
        <w:rPr>
          <w:rFonts w:hint="eastAsia" w:hAnsi="宋体"/>
          <w:color w:val="auto"/>
          <w:highlight w:val="none"/>
          <w:u w:val="single"/>
        </w:rPr>
      </w:pPr>
      <w:r>
        <w:rPr>
          <w:rFonts w:hint="eastAsia" w:hAnsi="宋体"/>
          <w:color w:val="auto"/>
          <w:highlight w:val="none"/>
        </w:rPr>
        <w:t>授权委托代理期限：</w:t>
      </w:r>
      <w:r>
        <w:rPr>
          <w:rFonts w:hint="eastAsia" w:hAnsi="宋体" w:cs="宋体"/>
          <w:color w:val="auto"/>
          <w:highlight w:val="none"/>
        </w:rPr>
        <w:t>自即日起至该项目政府采购活动结束</w:t>
      </w:r>
      <w:r>
        <w:rPr>
          <w:rFonts w:hint="eastAsia" w:hAnsi="宋体"/>
          <w:color w:val="auto"/>
          <w:highlight w:val="none"/>
        </w:rPr>
        <w:t>。</w:t>
      </w:r>
    </w:p>
    <w:p w14:paraId="07225D45">
      <w:pPr>
        <w:pStyle w:val="27"/>
        <w:spacing w:line="340" w:lineRule="exact"/>
        <w:rPr>
          <w:rFonts w:hint="eastAsia" w:hAnsi="宋体"/>
          <w:color w:val="auto"/>
          <w:highlight w:val="none"/>
          <w:u w:val="single"/>
        </w:rPr>
      </w:pPr>
      <w:r>
        <w:rPr>
          <w:rFonts w:hint="eastAsia" w:hAnsi="宋体"/>
          <w:color w:val="auto"/>
          <w:highlight w:val="none"/>
        </w:rPr>
        <w:t xml:space="preserve">                                                                                             </w:t>
      </w:r>
    </w:p>
    <w:p w14:paraId="4C60C348">
      <w:pPr>
        <w:spacing w:line="340" w:lineRule="exact"/>
        <w:ind w:firstLine="420" w:firstLineChars="200"/>
        <w:rPr>
          <w:rFonts w:hint="eastAsia" w:ascii="宋体" w:hAnsi="宋体"/>
          <w:color w:val="auto"/>
          <w:kern w:val="0"/>
          <w:highlight w:val="none"/>
        </w:rPr>
      </w:pPr>
      <w:r>
        <w:rPr>
          <w:rFonts w:hint="eastAsia" w:ascii="宋体" w:hAnsi="宋体"/>
          <w:color w:val="auto"/>
          <w:kern w:val="0"/>
          <w:highlight w:val="none"/>
        </w:rPr>
        <w:t>代理人无转委托权,特此委托。</w:t>
      </w:r>
      <w:r>
        <w:rPr>
          <w:rFonts w:ascii="宋体" w:hAnsi="宋体"/>
          <w:color w:val="auto"/>
          <w:kern w:val="0"/>
          <w:highlight w:val="none"/>
        </w:rPr>
        <w:t xml:space="preserve"> </w:t>
      </w:r>
    </w:p>
    <w:p w14:paraId="3730893C">
      <w:pPr>
        <w:snapToGrid w:val="0"/>
        <w:spacing w:line="340" w:lineRule="exact"/>
        <w:ind w:firstLine="525"/>
        <w:rPr>
          <w:rFonts w:hint="eastAsia" w:ascii="宋体" w:hAnsi="宋体"/>
          <w:color w:val="auto"/>
          <w:szCs w:val="21"/>
          <w:highlight w:val="none"/>
        </w:rPr>
      </w:pPr>
    </w:p>
    <w:p w14:paraId="5C0D81BC">
      <w:pPr>
        <w:snapToGrid w:val="0"/>
        <w:spacing w:line="340" w:lineRule="exact"/>
        <w:ind w:firstLine="420"/>
        <w:rPr>
          <w:rFonts w:hint="eastAsia" w:ascii="宋体" w:hAnsi="宋体"/>
          <w:color w:val="auto"/>
          <w:szCs w:val="21"/>
          <w:highlight w:val="none"/>
        </w:rPr>
      </w:pPr>
      <w:r>
        <w:rPr>
          <w:rFonts w:hint="eastAsia" w:ascii="宋体" w:hAnsi="宋体"/>
          <w:color w:val="auto"/>
          <w:szCs w:val="21"/>
          <w:highlight w:val="none"/>
        </w:rPr>
        <w:t>我已在下面签字，以资证明。</w:t>
      </w:r>
    </w:p>
    <w:p w14:paraId="0D36F951">
      <w:pPr>
        <w:snapToGrid w:val="0"/>
        <w:spacing w:line="340" w:lineRule="exact"/>
        <w:ind w:firstLine="420"/>
        <w:rPr>
          <w:rFonts w:hint="eastAsia" w:ascii="宋体" w:hAnsi="宋体"/>
          <w:color w:val="auto"/>
          <w:szCs w:val="21"/>
          <w:highlight w:val="none"/>
        </w:rPr>
      </w:pPr>
    </w:p>
    <w:p w14:paraId="1107611C">
      <w:pPr>
        <w:snapToGrid w:val="0"/>
        <w:spacing w:line="340" w:lineRule="exact"/>
        <w:ind w:firstLine="420"/>
        <w:rPr>
          <w:rFonts w:hint="eastAsia" w:ascii="宋体" w:hAnsi="宋体"/>
          <w:color w:val="auto"/>
          <w:szCs w:val="21"/>
          <w:highlight w:val="none"/>
        </w:rPr>
      </w:pPr>
      <w:r>
        <w:rPr>
          <w:rFonts w:hint="eastAsia" w:ascii="宋体" w:hAnsi="宋体"/>
          <w:color w:val="auto"/>
          <w:szCs w:val="21"/>
          <w:highlight w:val="none"/>
        </w:rPr>
        <w:t>自然人签字并在签名处加盖食指指印</w:t>
      </w:r>
      <w:r>
        <w:rPr>
          <w:rFonts w:hint="eastAsia" w:ascii="宋体" w:hAnsi="宋体" w:cs="宋体"/>
          <w:color w:val="auto"/>
          <w:szCs w:val="21"/>
          <w:highlight w:val="none"/>
        </w:rPr>
        <w:t>或加盖个人CA证书签章</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632529FD">
      <w:pPr>
        <w:snapToGrid w:val="0"/>
        <w:spacing w:line="340" w:lineRule="exact"/>
        <w:ind w:firstLine="420"/>
        <w:rPr>
          <w:rFonts w:hint="eastAsia" w:ascii="宋体" w:hAnsi="宋体"/>
          <w:color w:val="auto"/>
          <w:szCs w:val="21"/>
          <w:highlight w:val="none"/>
        </w:rPr>
      </w:pPr>
    </w:p>
    <w:p w14:paraId="23C8BF4E">
      <w:pPr>
        <w:pStyle w:val="27"/>
        <w:spacing w:line="400" w:lineRule="exact"/>
        <w:ind w:firstLine="602" w:firstLineChars="250"/>
        <w:rPr>
          <w:rFonts w:hint="eastAsia" w:hAnsi="宋体"/>
          <w:b/>
          <w:color w:val="auto"/>
          <w:sz w:val="24"/>
          <w:szCs w:val="24"/>
          <w:highlight w:val="none"/>
        </w:rPr>
      </w:pPr>
      <w:r>
        <w:rPr>
          <w:rFonts w:hint="eastAsia" w:hAnsi="宋体"/>
          <w:b/>
          <w:color w:val="auto"/>
          <w:sz w:val="24"/>
          <w:szCs w:val="24"/>
          <w:highlight w:val="none"/>
        </w:rPr>
        <w:t>附：委托代理人身份证正反面复印件以及由县级以上（含县级）社会养老保险经办机构出具的自然人本人及委托代理人所交纳的社保证明复印件（委托代理时必须提供）。</w:t>
      </w:r>
    </w:p>
    <w:p w14:paraId="675FD87E">
      <w:pPr>
        <w:rPr>
          <w:rFonts w:hint="eastAsia" w:hAnsi="宋体"/>
          <w:color w:val="auto"/>
          <w:highlight w:val="none"/>
        </w:rPr>
      </w:pPr>
      <w:r>
        <w:rPr>
          <w:rFonts w:hint="eastAsia" w:hAnsi="宋体"/>
          <w:color w:val="auto"/>
          <w:highlight w:val="none"/>
        </w:rPr>
        <w:br w:type="page"/>
      </w:r>
    </w:p>
    <w:p w14:paraId="76684733">
      <w:pPr>
        <w:snapToGrid w:val="0"/>
        <w:spacing w:before="120" w:beforeLines="50" w:after="50"/>
        <w:ind w:firstLine="755" w:firstLineChars="236"/>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授权委托书（联合体投标格式）</w:t>
      </w:r>
    </w:p>
    <w:p w14:paraId="5E5C4F1F">
      <w:pPr>
        <w:snapToGrid w:val="0"/>
        <w:spacing w:before="120" w:beforeLines="50" w:after="50"/>
        <w:ind w:firstLine="755" w:firstLineChars="236"/>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（如有委托时）</w:t>
      </w:r>
    </w:p>
    <w:p w14:paraId="1DA08416">
      <w:pPr>
        <w:spacing w:line="440" w:lineRule="exact"/>
        <w:contextualSpacing/>
        <w:jc w:val="left"/>
        <w:rPr>
          <w:rFonts w:hint="eastAsia" w:ascii="宋体" w:hAnsi="宋体"/>
          <w:color w:val="auto"/>
          <w:sz w:val="21"/>
          <w:szCs w:val="21"/>
          <w:highlight w:val="none"/>
        </w:rPr>
      </w:pPr>
      <w:r>
        <w:rPr>
          <w:rFonts w:hint="eastAsia" w:ascii="宋体" w:hAnsi="宋体"/>
          <w:bCs/>
          <w:color w:val="auto"/>
          <w:sz w:val="21"/>
          <w:szCs w:val="21"/>
          <w:highlight w:val="none"/>
        </w:rPr>
        <w:t>致：</w:t>
      </w:r>
      <w:r>
        <w:rPr>
          <w:rFonts w:hint="eastAsia" w:ascii="宋体" w:hAnsi="宋体"/>
          <w:color w:val="auto"/>
          <w:sz w:val="21"/>
          <w:szCs w:val="21"/>
          <w:highlight w:val="none"/>
          <w:u w:val="single"/>
        </w:rPr>
        <w:t>采购人名称</w:t>
      </w:r>
      <w:r>
        <w:rPr>
          <w:rFonts w:hint="eastAsia" w:ascii="宋体" w:hAnsi="宋体"/>
          <w:color w:val="auto"/>
          <w:sz w:val="21"/>
          <w:szCs w:val="21"/>
          <w:highlight w:val="none"/>
        </w:rPr>
        <w:t>：</w:t>
      </w:r>
    </w:p>
    <w:p w14:paraId="3A6D226F">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 xml:space="preserve">根据 </w:t>
      </w:r>
      <w:r>
        <w:rPr>
          <w:rFonts w:hint="eastAsia" w:ascii="宋体" w:hAnsi="宋体"/>
          <w:color w:val="auto"/>
          <w:sz w:val="21"/>
          <w:szCs w:val="21"/>
          <w:highlight w:val="none"/>
          <w:u w:val="single"/>
        </w:rPr>
        <w:t xml:space="preserve"> （牵头人名称）</w:t>
      </w:r>
      <w:r>
        <w:rPr>
          <w:rFonts w:hint="eastAsia" w:ascii="宋体" w:hAnsi="宋体"/>
          <w:color w:val="auto"/>
          <w:sz w:val="21"/>
          <w:szCs w:val="21"/>
          <w:highlight w:val="none"/>
        </w:rPr>
        <w:t>与</w:t>
      </w:r>
      <w:r>
        <w:rPr>
          <w:rFonts w:hint="eastAsia" w:ascii="宋体" w:hAnsi="宋体"/>
          <w:color w:val="auto"/>
          <w:sz w:val="21"/>
          <w:szCs w:val="21"/>
          <w:highlight w:val="none"/>
          <w:u w:val="single"/>
        </w:rPr>
        <w:t>（联合体其他成员名称）</w:t>
      </w:r>
      <w:r>
        <w:rPr>
          <w:rFonts w:hint="eastAsia" w:ascii="宋体" w:hAnsi="宋体"/>
          <w:color w:val="auto"/>
          <w:sz w:val="21"/>
          <w:szCs w:val="21"/>
          <w:highlight w:val="none"/>
        </w:rPr>
        <w:t>签订的《联合体投标协议书》的内容，</w:t>
      </w:r>
      <w:r>
        <w:rPr>
          <w:rFonts w:hint="eastAsia" w:ascii="宋体" w:hAnsi="宋体"/>
          <w:color w:val="auto"/>
          <w:sz w:val="21"/>
          <w:szCs w:val="21"/>
          <w:highlight w:val="none"/>
          <w:u w:val="single"/>
        </w:rPr>
        <w:t>（牵头人名称）</w:t>
      </w:r>
      <w:r>
        <w:rPr>
          <w:rFonts w:hint="eastAsia" w:ascii="宋体" w:hAnsi="宋体"/>
          <w:color w:val="auto"/>
          <w:sz w:val="21"/>
          <w:szCs w:val="21"/>
          <w:highlight w:val="none"/>
        </w:rPr>
        <w:t>的法定代表人</w:t>
      </w:r>
      <w:r>
        <w:rPr>
          <w:rFonts w:hint="eastAsia" w:ascii="宋体" w:hAnsi="宋体"/>
          <w:color w:val="auto"/>
          <w:sz w:val="21"/>
          <w:szCs w:val="21"/>
          <w:highlight w:val="none"/>
          <w:u w:val="single"/>
        </w:rPr>
        <w:t>（姓名）</w:t>
      </w:r>
      <w:r>
        <w:rPr>
          <w:rFonts w:hint="eastAsia" w:ascii="宋体" w:hAnsi="宋体"/>
          <w:color w:val="auto"/>
          <w:sz w:val="21"/>
          <w:szCs w:val="21"/>
          <w:highlight w:val="none"/>
        </w:rPr>
        <w:t>现授权委托</w:t>
      </w:r>
      <w:r>
        <w:rPr>
          <w:rFonts w:hint="eastAsia" w:ascii="宋体" w:hAnsi="宋体"/>
          <w:color w:val="auto"/>
          <w:sz w:val="21"/>
          <w:szCs w:val="21"/>
          <w:highlight w:val="none"/>
          <w:u w:val="single"/>
        </w:rPr>
        <w:t xml:space="preserve">              （姓名）</w:t>
      </w:r>
      <w:r>
        <w:rPr>
          <w:rFonts w:hint="eastAsia" w:ascii="宋体" w:hAnsi="宋体"/>
          <w:color w:val="auto"/>
          <w:sz w:val="21"/>
          <w:szCs w:val="21"/>
          <w:highlight w:val="none"/>
        </w:rPr>
        <w:t>以我方的名义参加</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项目的投标活动，并代表我方全权办理针对上述项目的所有采购程序和环节的具体事务和签署相关文件。</w:t>
      </w:r>
    </w:p>
    <w:p w14:paraId="5D0728E2">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我方对委托代理人的签字或者电子签名事项负全部责任。</w:t>
      </w:r>
    </w:p>
    <w:p w14:paraId="4854118F">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本授权书自签署之日起生效，在撤销授权的书面通知以前，本授权书一直有效。委托代理人在授权书有效期内签署的所有文件不因授权的撤销而失效。</w:t>
      </w:r>
    </w:p>
    <w:p w14:paraId="7A21CF19">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委托代理人无转委托权，特此委托。</w:t>
      </w:r>
    </w:p>
    <w:p w14:paraId="64A2950E">
      <w:pPr>
        <w:spacing w:line="440" w:lineRule="exact"/>
        <w:ind w:firstLine="495" w:firstLineChars="236"/>
        <w:contextualSpacing/>
        <w:rPr>
          <w:rFonts w:ascii="宋体" w:hAnsi="宋体"/>
          <w:color w:val="auto"/>
          <w:sz w:val="21"/>
          <w:szCs w:val="21"/>
          <w:highlight w:val="none"/>
        </w:rPr>
      </w:pPr>
      <w:r>
        <w:rPr>
          <w:rFonts w:hint="eastAsia" w:ascii="宋体" w:hAnsi="宋体"/>
          <w:color w:val="auto"/>
          <w:sz w:val="21"/>
          <w:szCs w:val="21"/>
          <w:highlight w:val="none"/>
        </w:rPr>
        <w:t>附：牵头人法定代表人身份证明及委托代理人有效身份证正反面复印件</w:t>
      </w:r>
    </w:p>
    <w:p w14:paraId="6A27332F">
      <w:pPr>
        <w:spacing w:line="440" w:lineRule="exact"/>
        <w:ind w:firstLine="495" w:firstLineChars="236"/>
        <w:contextualSpacing/>
        <w:rPr>
          <w:rFonts w:hint="eastAsia" w:ascii="宋体" w:hAnsi="宋体"/>
          <w:color w:val="auto"/>
          <w:sz w:val="21"/>
          <w:szCs w:val="21"/>
          <w:highlight w:val="none"/>
        </w:rPr>
      </w:pPr>
    </w:p>
    <w:p w14:paraId="1F428CE3">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牵头人法定代表人（签字或者盖章或者电子签名）：</w:t>
      </w:r>
    </w:p>
    <w:p w14:paraId="1369EF9A">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牵头人（电子签章）：</w:t>
      </w:r>
    </w:p>
    <w:p w14:paraId="3C28C00C">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日期：    年   月   日</w:t>
      </w:r>
    </w:p>
    <w:p w14:paraId="2681B487">
      <w:pPr>
        <w:spacing w:line="440" w:lineRule="exact"/>
        <w:ind w:firstLine="495" w:firstLineChars="236"/>
        <w:contextualSpacing/>
        <w:rPr>
          <w:rFonts w:hint="eastAsia" w:ascii="宋体" w:hAnsi="宋体"/>
          <w:color w:val="auto"/>
          <w:sz w:val="21"/>
          <w:szCs w:val="21"/>
          <w:highlight w:val="none"/>
        </w:rPr>
      </w:pPr>
    </w:p>
    <w:p w14:paraId="24B36BC5">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被授权人（签字或者电子签名）：</w:t>
      </w:r>
    </w:p>
    <w:p w14:paraId="0F0EA664">
      <w:pPr>
        <w:spacing w:line="440" w:lineRule="exact"/>
        <w:ind w:firstLine="495" w:firstLineChars="236"/>
        <w:contextualSpacing/>
        <w:rPr>
          <w:rFonts w:hint="eastAsia" w:ascii="宋体" w:hAnsi="宋体" w:cs="仿宋_GB2312"/>
          <w:color w:val="auto"/>
          <w:sz w:val="21"/>
          <w:szCs w:val="21"/>
          <w:highlight w:val="none"/>
        </w:rPr>
      </w:pPr>
      <w:r>
        <w:rPr>
          <w:rFonts w:hint="eastAsia" w:ascii="宋体" w:hAnsi="宋体"/>
          <w:color w:val="auto"/>
          <w:sz w:val="21"/>
          <w:szCs w:val="21"/>
          <w:highlight w:val="none"/>
        </w:rPr>
        <w:t>日期：    年   月   日</w:t>
      </w:r>
    </w:p>
    <w:p w14:paraId="2A37C79F">
      <w:pPr>
        <w:spacing w:line="440" w:lineRule="exact"/>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注：1.法定代表人必须在授权委托书上签字或者盖章</w:t>
      </w:r>
      <w:r>
        <w:rPr>
          <w:rFonts w:hint="eastAsia" w:ascii="宋体" w:hAnsi="宋体"/>
          <w:color w:val="auto"/>
          <w:sz w:val="21"/>
          <w:szCs w:val="21"/>
          <w:highlight w:val="none"/>
        </w:rPr>
        <w:t>或者电子签名</w:t>
      </w:r>
      <w:r>
        <w:rPr>
          <w:rFonts w:hint="eastAsia" w:ascii="宋体" w:hAnsi="宋体" w:cs="仿宋_GB2312"/>
          <w:color w:val="auto"/>
          <w:sz w:val="21"/>
          <w:szCs w:val="21"/>
          <w:highlight w:val="none"/>
        </w:rPr>
        <w:t>，委托代理人必须在授权委托书上签字</w:t>
      </w:r>
      <w:r>
        <w:rPr>
          <w:rFonts w:hint="eastAsia" w:ascii="宋体" w:hAnsi="宋体"/>
          <w:color w:val="auto"/>
          <w:sz w:val="21"/>
          <w:szCs w:val="21"/>
          <w:highlight w:val="none"/>
        </w:rPr>
        <w:t>或者电子签名</w:t>
      </w:r>
      <w:r>
        <w:rPr>
          <w:rFonts w:hint="eastAsia" w:ascii="宋体" w:hAnsi="宋体" w:cs="仿宋_GB2312"/>
          <w:color w:val="auto"/>
          <w:sz w:val="21"/>
          <w:szCs w:val="21"/>
          <w:highlight w:val="none"/>
        </w:rPr>
        <w:t>，</w:t>
      </w:r>
      <w:r>
        <w:rPr>
          <w:rFonts w:hint="eastAsia" w:ascii="宋体" w:hAnsi="宋体" w:cs="仿宋_GB2312"/>
          <w:b/>
          <w:bCs/>
          <w:color w:val="auto"/>
          <w:sz w:val="21"/>
          <w:szCs w:val="21"/>
          <w:highlight w:val="none"/>
        </w:rPr>
        <w:t>否则按无效投标处理</w:t>
      </w:r>
      <w:r>
        <w:rPr>
          <w:rFonts w:hint="eastAsia" w:ascii="宋体" w:hAnsi="宋体" w:cs="仿宋_GB2312"/>
          <w:color w:val="auto"/>
          <w:sz w:val="21"/>
          <w:szCs w:val="21"/>
          <w:highlight w:val="none"/>
        </w:rPr>
        <w:t>；</w:t>
      </w:r>
    </w:p>
    <w:p w14:paraId="07F288AC">
      <w:pPr>
        <w:spacing w:line="440" w:lineRule="exact"/>
        <w:ind w:firstLine="420" w:firstLineChars="200"/>
        <w:contextualSpacing/>
        <w:jc w:val="left"/>
        <w:rPr>
          <w:rFonts w:hint="eastAsia" w:ascii="宋体" w:hAnsi="宋体"/>
          <w:color w:val="auto"/>
          <w:sz w:val="21"/>
          <w:szCs w:val="21"/>
          <w:highlight w:val="none"/>
        </w:rPr>
      </w:pPr>
      <w:r>
        <w:rPr>
          <w:rFonts w:hint="eastAsia" w:ascii="宋体" w:hAnsi="宋体" w:cs="仿宋_GB2312"/>
          <w:color w:val="auto"/>
          <w:sz w:val="21"/>
          <w:szCs w:val="21"/>
          <w:highlight w:val="none"/>
        </w:rPr>
        <w:t>2.法人、其他组织投标时“我方”是指“我单位”，自然人投标时“我方”是指“本人”。</w:t>
      </w:r>
    </w:p>
    <w:p w14:paraId="5115B8DB">
      <w:pPr>
        <w:pStyle w:val="27"/>
        <w:spacing w:line="400" w:lineRule="exact"/>
        <w:ind w:firstLine="602" w:firstLineChars="250"/>
        <w:rPr>
          <w:rFonts w:hint="eastAsia" w:hAnsi="宋体"/>
          <w:b/>
          <w:color w:val="auto"/>
          <w:sz w:val="24"/>
          <w:szCs w:val="24"/>
          <w:highlight w:val="none"/>
        </w:rPr>
      </w:pPr>
    </w:p>
    <w:p w14:paraId="5BFB3B26">
      <w:pPr>
        <w:pStyle w:val="27"/>
        <w:spacing w:line="400" w:lineRule="exact"/>
        <w:ind w:firstLine="602" w:firstLineChars="250"/>
        <w:rPr>
          <w:rFonts w:hint="eastAsia" w:hAnsi="宋体"/>
          <w:b/>
          <w:color w:val="auto"/>
          <w:sz w:val="24"/>
          <w:szCs w:val="24"/>
          <w:highlight w:val="none"/>
        </w:rPr>
      </w:pPr>
      <w:r>
        <w:rPr>
          <w:rFonts w:hint="eastAsia" w:hAnsi="宋体"/>
          <w:b/>
          <w:color w:val="auto"/>
          <w:sz w:val="24"/>
          <w:szCs w:val="24"/>
          <w:highlight w:val="none"/>
        </w:rPr>
        <w:t>附：委托代理人身份证正反面复印件以及由县级以上（含县级）社会养老保险经办机构出具的投标人为委托代理人交纳递交截止之日前半年内任意连续三个月社保证明复印件（委托代理时必须提供）。</w:t>
      </w:r>
    </w:p>
    <w:p w14:paraId="2E64743D">
      <w:pPr>
        <w:pStyle w:val="27"/>
        <w:spacing w:line="400" w:lineRule="exact"/>
        <w:rPr>
          <w:rFonts w:hint="eastAsia" w:hAnsi="宋体"/>
          <w:color w:val="auto"/>
          <w:highlight w:val="none"/>
        </w:rPr>
      </w:pPr>
    </w:p>
    <w:p w14:paraId="63014CB6">
      <w:pPr>
        <w:pStyle w:val="27"/>
        <w:spacing w:line="400" w:lineRule="exact"/>
        <w:rPr>
          <w:rFonts w:hint="eastAsia" w:hAnsi="宋体"/>
          <w:b/>
          <w:color w:val="auto"/>
          <w:sz w:val="32"/>
          <w:szCs w:val="32"/>
          <w:highlight w:val="none"/>
        </w:rPr>
      </w:pPr>
    </w:p>
    <w:p w14:paraId="43E8D462">
      <w:pPr>
        <w:pStyle w:val="27"/>
        <w:spacing w:line="400" w:lineRule="exact"/>
        <w:rPr>
          <w:rFonts w:hint="eastAsia" w:hAnsi="宋体"/>
          <w:b/>
          <w:color w:val="auto"/>
          <w:sz w:val="32"/>
          <w:szCs w:val="32"/>
          <w:highlight w:val="none"/>
        </w:rPr>
      </w:pPr>
    </w:p>
    <w:p w14:paraId="56288D84">
      <w:pPr>
        <w:pStyle w:val="27"/>
        <w:spacing w:line="400" w:lineRule="exact"/>
        <w:rPr>
          <w:rFonts w:hint="eastAsia" w:hAnsi="宋体"/>
          <w:b/>
          <w:color w:val="auto"/>
          <w:sz w:val="32"/>
          <w:szCs w:val="32"/>
          <w:highlight w:val="none"/>
        </w:rPr>
      </w:pPr>
    </w:p>
    <w:p w14:paraId="6CC9D997">
      <w:pPr>
        <w:pStyle w:val="27"/>
        <w:spacing w:line="400" w:lineRule="exact"/>
        <w:rPr>
          <w:rFonts w:hint="eastAsia" w:hAnsi="宋体"/>
          <w:b/>
          <w:color w:val="auto"/>
          <w:sz w:val="32"/>
          <w:szCs w:val="32"/>
          <w:highlight w:val="none"/>
        </w:rPr>
      </w:pPr>
    </w:p>
    <w:p w14:paraId="16AD717D">
      <w:pPr>
        <w:pStyle w:val="27"/>
        <w:spacing w:line="400" w:lineRule="exact"/>
        <w:rPr>
          <w:rFonts w:hint="eastAsia" w:hAnsi="宋体"/>
          <w:b/>
          <w:color w:val="auto"/>
          <w:sz w:val="32"/>
          <w:szCs w:val="32"/>
          <w:highlight w:val="none"/>
        </w:rPr>
      </w:pPr>
    </w:p>
    <w:p w14:paraId="16E7972A">
      <w:pPr>
        <w:pStyle w:val="27"/>
        <w:spacing w:line="400" w:lineRule="exact"/>
        <w:rPr>
          <w:rFonts w:hint="eastAsia" w:hAnsi="宋体"/>
          <w:b/>
          <w:color w:val="auto"/>
          <w:sz w:val="32"/>
          <w:szCs w:val="32"/>
          <w:highlight w:val="none"/>
        </w:rPr>
      </w:pPr>
    </w:p>
    <w:p w14:paraId="264403A6">
      <w:pPr>
        <w:pStyle w:val="27"/>
        <w:spacing w:line="400" w:lineRule="exact"/>
        <w:ind w:firstLine="472" w:firstLineChars="147"/>
        <w:rPr>
          <w:rFonts w:hint="eastAsia" w:hAnsi="宋体"/>
          <w:b/>
          <w:color w:val="auto"/>
          <w:sz w:val="32"/>
          <w:szCs w:val="32"/>
          <w:highlight w:val="none"/>
        </w:rPr>
      </w:pPr>
      <w:r>
        <w:rPr>
          <w:rFonts w:hint="eastAsia" w:hAnsi="宋体"/>
          <w:b/>
          <w:color w:val="auto"/>
          <w:sz w:val="32"/>
          <w:szCs w:val="32"/>
          <w:highlight w:val="none"/>
        </w:rPr>
        <w:t>3.投标人的法人或者其他组织营业执照等证明文件（必须提供，自然人除外）；</w:t>
      </w:r>
    </w:p>
    <w:p w14:paraId="1A4CAEFB">
      <w:pPr>
        <w:tabs>
          <w:tab w:val="left" w:pos="1305"/>
        </w:tabs>
        <w:spacing w:line="380" w:lineRule="exact"/>
        <w:ind w:firstLine="422" w:firstLineChars="200"/>
        <w:rPr>
          <w:rFonts w:hint="eastAsia" w:ascii="宋体" w:hAnsi="宋体"/>
          <w:color w:val="auto"/>
          <w:szCs w:val="21"/>
          <w:highlight w:val="none"/>
        </w:rPr>
      </w:pPr>
      <w:r>
        <w:rPr>
          <w:rFonts w:hint="eastAsia" w:ascii="宋体" w:hAnsi="宋体"/>
          <w:b/>
          <w:color w:val="auto"/>
          <w:szCs w:val="21"/>
          <w:highlight w:val="none"/>
        </w:rPr>
        <w:t>注：投标人为企业（包括合伙企业），应提供工商部门注册的有效“企业法人营业执照”或“营业执照；投标人为事业单位，应提供有效的“事业单位法人证书”；投标人为非企业专业服务机构的，应提供执业许可证等证明文件；投标人为个体工商户，应提供有效的“个体工商户营业执照”。</w:t>
      </w:r>
    </w:p>
    <w:p w14:paraId="0AE18517">
      <w:pPr>
        <w:pStyle w:val="27"/>
        <w:spacing w:line="400" w:lineRule="exact"/>
        <w:rPr>
          <w:rFonts w:hint="eastAsia" w:hAnsi="宋体"/>
          <w:b/>
          <w:color w:val="auto"/>
          <w:sz w:val="32"/>
          <w:szCs w:val="32"/>
          <w:highlight w:val="none"/>
        </w:rPr>
      </w:pPr>
    </w:p>
    <w:p w14:paraId="15778F83">
      <w:pPr>
        <w:pStyle w:val="27"/>
        <w:spacing w:line="400" w:lineRule="exact"/>
        <w:rPr>
          <w:rFonts w:hint="eastAsia" w:hAnsi="宋体"/>
          <w:b/>
          <w:color w:val="auto"/>
          <w:sz w:val="32"/>
          <w:szCs w:val="32"/>
          <w:highlight w:val="none"/>
        </w:rPr>
      </w:pPr>
    </w:p>
    <w:p w14:paraId="372D1BD8">
      <w:pPr>
        <w:pStyle w:val="27"/>
        <w:spacing w:line="400" w:lineRule="exact"/>
        <w:rPr>
          <w:rFonts w:hint="eastAsia" w:hAnsi="宋体"/>
          <w:b/>
          <w:color w:val="auto"/>
          <w:sz w:val="32"/>
          <w:szCs w:val="32"/>
          <w:highlight w:val="none"/>
        </w:rPr>
      </w:pPr>
    </w:p>
    <w:p w14:paraId="43AADB32">
      <w:pPr>
        <w:pStyle w:val="27"/>
        <w:spacing w:line="400" w:lineRule="exact"/>
        <w:ind w:firstLine="643" w:firstLineChars="200"/>
        <w:rPr>
          <w:rFonts w:hint="eastAsia" w:hAnsi="宋体"/>
          <w:b/>
          <w:color w:val="auto"/>
          <w:sz w:val="32"/>
          <w:szCs w:val="32"/>
          <w:highlight w:val="none"/>
        </w:rPr>
      </w:pPr>
      <w:r>
        <w:rPr>
          <w:rFonts w:hint="eastAsia" w:hAnsi="宋体"/>
          <w:b/>
          <w:color w:val="auto"/>
          <w:sz w:val="32"/>
          <w:szCs w:val="32"/>
          <w:highlight w:val="none"/>
        </w:rPr>
        <w:t>4</w:t>
      </w:r>
      <w:r>
        <w:rPr>
          <w:rFonts w:hint="eastAsia" w:hAnsi="宋体"/>
          <w:b/>
          <w:color w:val="auto"/>
          <w:sz w:val="32"/>
          <w:szCs w:val="32"/>
          <w:highlight w:val="none"/>
          <w:lang w:val="en-US" w:eastAsia="zh-CN"/>
        </w:rPr>
        <w:t>.</w:t>
      </w:r>
      <w:r>
        <w:rPr>
          <w:rFonts w:hint="eastAsia" w:hAnsi="宋体"/>
          <w:b/>
          <w:color w:val="auto"/>
          <w:sz w:val="32"/>
          <w:szCs w:val="32"/>
          <w:highlight w:val="none"/>
        </w:rPr>
        <w:t>标项二投标人须具备有效的《出版物经营许可证》（零售或批发资质均可）（必须提供）；</w:t>
      </w:r>
    </w:p>
    <w:p w14:paraId="1AA25CDD">
      <w:pPr>
        <w:pStyle w:val="27"/>
        <w:spacing w:line="400" w:lineRule="exact"/>
        <w:rPr>
          <w:rFonts w:hint="eastAsia" w:hAnsi="宋体"/>
          <w:b/>
          <w:color w:val="auto"/>
          <w:sz w:val="32"/>
          <w:szCs w:val="32"/>
          <w:highlight w:val="none"/>
        </w:rPr>
      </w:pPr>
    </w:p>
    <w:p w14:paraId="6AB9443A">
      <w:pPr>
        <w:pStyle w:val="27"/>
        <w:spacing w:line="400" w:lineRule="exact"/>
        <w:ind w:firstLine="630" w:firstLineChars="196"/>
        <w:rPr>
          <w:rFonts w:hint="eastAsia" w:hAnsi="宋体"/>
          <w:b/>
          <w:color w:val="auto"/>
          <w:sz w:val="32"/>
          <w:szCs w:val="32"/>
          <w:highlight w:val="none"/>
        </w:rPr>
      </w:pPr>
    </w:p>
    <w:p w14:paraId="69FA37DC">
      <w:pPr>
        <w:pStyle w:val="27"/>
        <w:spacing w:line="400" w:lineRule="exact"/>
        <w:ind w:firstLine="630" w:firstLineChars="196"/>
        <w:rPr>
          <w:rFonts w:hint="eastAsia" w:hAnsi="宋体"/>
          <w:b/>
          <w:color w:val="auto"/>
          <w:sz w:val="32"/>
          <w:szCs w:val="32"/>
          <w:highlight w:val="none"/>
        </w:rPr>
      </w:pPr>
    </w:p>
    <w:p w14:paraId="0E843E6E">
      <w:pPr>
        <w:pStyle w:val="27"/>
        <w:spacing w:line="400" w:lineRule="exact"/>
        <w:ind w:firstLine="630" w:firstLineChars="196"/>
        <w:rPr>
          <w:rFonts w:hint="eastAsia" w:hAnsi="宋体"/>
          <w:b/>
          <w:color w:val="auto"/>
          <w:sz w:val="32"/>
          <w:szCs w:val="32"/>
          <w:highlight w:val="none"/>
        </w:rPr>
      </w:pPr>
      <w:r>
        <w:rPr>
          <w:rFonts w:hint="eastAsia" w:hAnsi="宋体"/>
          <w:b/>
          <w:color w:val="auto"/>
          <w:sz w:val="32"/>
          <w:szCs w:val="32"/>
          <w:highlight w:val="none"/>
          <w:lang w:val="en-US" w:eastAsia="zh-CN"/>
        </w:rPr>
        <w:t>5</w:t>
      </w:r>
      <w:r>
        <w:rPr>
          <w:rFonts w:hint="eastAsia" w:hAnsi="宋体"/>
          <w:b/>
          <w:color w:val="auto"/>
          <w:sz w:val="32"/>
          <w:szCs w:val="32"/>
          <w:highlight w:val="none"/>
        </w:rPr>
        <w:t>.投标人的投标人参加政府采购活动前3年内在经营活动中没有重大违法记录及有关信用信息的书面声明（格式见附件，必须提供）；</w:t>
      </w:r>
    </w:p>
    <w:p w14:paraId="025BBB83">
      <w:pPr>
        <w:pStyle w:val="27"/>
        <w:spacing w:line="400" w:lineRule="exact"/>
        <w:rPr>
          <w:rFonts w:hint="eastAsia" w:hAnsi="宋体"/>
          <w:b/>
          <w:color w:val="auto"/>
          <w:sz w:val="32"/>
          <w:szCs w:val="32"/>
          <w:highlight w:val="none"/>
        </w:rPr>
      </w:pPr>
    </w:p>
    <w:p w14:paraId="143530E3">
      <w:pPr>
        <w:pStyle w:val="27"/>
        <w:spacing w:line="400" w:lineRule="exact"/>
        <w:ind w:left="420" w:leftChars="200" w:firstLine="157" w:firstLineChars="49"/>
        <w:rPr>
          <w:rFonts w:hint="eastAsia" w:hAnsi="宋体"/>
          <w:b/>
          <w:color w:val="auto"/>
          <w:sz w:val="32"/>
          <w:szCs w:val="32"/>
          <w:highlight w:val="none"/>
        </w:rPr>
      </w:pPr>
      <w:r>
        <w:rPr>
          <w:rFonts w:hint="eastAsia" w:hAnsi="宋体"/>
          <w:b/>
          <w:color w:val="auto"/>
          <w:sz w:val="32"/>
          <w:szCs w:val="32"/>
          <w:highlight w:val="none"/>
        </w:rPr>
        <w:t xml:space="preserve">                       </w:t>
      </w:r>
    </w:p>
    <w:p w14:paraId="57A132F5">
      <w:pPr>
        <w:pStyle w:val="27"/>
        <w:spacing w:line="400" w:lineRule="exact"/>
        <w:jc w:val="left"/>
        <w:rPr>
          <w:rFonts w:hint="eastAsia" w:hAnsi="宋体"/>
          <w:b/>
          <w:color w:val="auto"/>
          <w:sz w:val="32"/>
          <w:szCs w:val="32"/>
          <w:highlight w:val="none"/>
        </w:rPr>
      </w:pPr>
      <w:r>
        <w:rPr>
          <w:rFonts w:hint="eastAsia" w:hAnsi="宋体"/>
          <w:b/>
          <w:color w:val="auto"/>
          <w:sz w:val="24"/>
          <w:szCs w:val="24"/>
          <w:highlight w:val="none"/>
        </w:rPr>
        <w:t xml:space="preserve">附件：                            </w:t>
      </w:r>
      <w:r>
        <w:rPr>
          <w:rFonts w:hint="eastAsia" w:hAnsi="宋体"/>
          <w:b/>
          <w:color w:val="auto"/>
          <w:sz w:val="32"/>
          <w:szCs w:val="32"/>
          <w:highlight w:val="none"/>
        </w:rPr>
        <w:t>声明函（格式）</w:t>
      </w:r>
    </w:p>
    <w:p w14:paraId="5E2CBE37">
      <w:pPr>
        <w:snapToGrid w:val="0"/>
        <w:spacing w:line="400" w:lineRule="exact"/>
        <w:rPr>
          <w:rFonts w:hint="eastAsia" w:ascii="宋体" w:hAnsi="宋体"/>
          <w:b/>
          <w:color w:val="auto"/>
          <w:szCs w:val="21"/>
          <w:highlight w:val="none"/>
        </w:rPr>
      </w:pPr>
    </w:p>
    <w:p w14:paraId="758A1C51">
      <w:pPr>
        <w:snapToGrid w:val="0"/>
        <w:spacing w:line="400" w:lineRule="exact"/>
        <w:rPr>
          <w:rFonts w:hint="eastAsia" w:ascii="宋体" w:hAnsi="宋体"/>
          <w:color w:val="auto"/>
          <w:highlight w:val="none"/>
        </w:rPr>
      </w:pPr>
      <w:r>
        <w:rPr>
          <w:rFonts w:hint="eastAsia" w:ascii="宋体" w:hAnsi="宋体"/>
          <w:b/>
          <w:color w:val="auto"/>
          <w:szCs w:val="21"/>
          <w:highlight w:val="none"/>
        </w:rPr>
        <w:t>致</w:t>
      </w:r>
      <w:r>
        <w:rPr>
          <w:rFonts w:hint="eastAsia" w:ascii="宋体" w:hAnsi="宋体"/>
          <w:color w:val="auto"/>
          <w:szCs w:val="21"/>
          <w:highlight w:val="none"/>
        </w:rPr>
        <w:t>：</w:t>
      </w:r>
      <w:r>
        <w:rPr>
          <w:rFonts w:hint="eastAsia" w:ascii="宋体" w:hAnsi="宋体"/>
          <w:color w:val="auto"/>
          <w:highlight w:val="none"/>
          <w:u w:val="single"/>
        </w:rPr>
        <w:t>×××××公司</w:t>
      </w:r>
    </w:p>
    <w:p w14:paraId="4E6D558C">
      <w:pPr>
        <w:snapToGrid w:val="0"/>
        <w:spacing w:line="400" w:lineRule="exact"/>
        <w:rPr>
          <w:rFonts w:hint="eastAsia" w:ascii="宋体" w:hAnsi="宋体"/>
          <w:color w:val="auto"/>
          <w:szCs w:val="21"/>
          <w:highlight w:val="none"/>
          <w:u w:val="single"/>
        </w:rPr>
      </w:pPr>
    </w:p>
    <w:p w14:paraId="5377BB18">
      <w:pPr>
        <w:pStyle w:val="27"/>
        <w:spacing w:line="380" w:lineRule="exact"/>
        <w:ind w:firstLine="420" w:firstLineChars="200"/>
        <w:rPr>
          <w:rFonts w:hint="eastAsia" w:hAnsi="宋体"/>
          <w:color w:val="auto"/>
          <w:highlight w:val="none"/>
        </w:rPr>
      </w:pPr>
      <w:r>
        <w:rPr>
          <w:rFonts w:hint="eastAsia" w:hAnsi="宋体"/>
          <w:color w:val="auto"/>
          <w:highlight w:val="none"/>
        </w:rPr>
        <w:t>我（公司）郑重声明：</w:t>
      </w:r>
    </w:p>
    <w:p w14:paraId="33515C64">
      <w:pPr>
        <w:pStyle w:val="27"/>
        <w:spacing w:line="380" w:lineRule="exact"/>
        <w:ind w:firstLine="420" w:firstLineChars="200"/>
        <w:rPr>
          <w:rFonts w:hint="eastAsia" w:hAnsi="宋体"/>
          <w:color w:val="auto"/>
          <w:highlight w:val="none"/>
        </w:rPr>
      </w:pPr>
      <w:r>
        <w:rPr>
          <w:rFonts w:hint="eastAsia" w:hAnsi="宋体"/>
          <w:color w:val="auto"/>
          <w:highlight w:val="none"/>
        </w:rPr>
        <w:t>1.在参加本项目政府采购活动前3年内在经营活动中没有重大违法记录（重大违法记录是指投标人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投标人资格条件。</w:t>
      </w:r>
    </w:p>
    <w:p w14:paraId="5352258B">
      <w:pPr>
        <w:pStyle w:val="27"/>
        <w:spacing w:line="380" w:lineRule="exact"/>
        <w:ind w:firstLine="420" w:firstLineChars="200"/>
        <w:rPr>
          <w:rFonts w:hint="eastAsia" w:hAnsi="宋体"/>
          <w:color w:val="auto"/>
          <w:highlight w:val="none"/>
        </w:rPr>
      </w:pPr>
      <w:r>
        <w:rPr>
          <w:rFonts w:hint="eastAsia" w:hAnsi="宋体"/>
          <w:color w:val="auto"/>
          <w:highlight w:val="none"/>
        </w:rPr>
        <w:t>2. 在参加本项目政府采购活动前不属于</w:t>
      </w:r>
      <w:r>
        <w:rPr>
          <w:rFonts w:hint="eastAsia" w:hAnsi="宋体" w:cs="Arial"/>
          <w:color w:val="auto"/>
          <w:highlight w:val="none"/>
        </w:rPr>
        <w:t>为本采购项目提供整体设计、规范编制或者项目管理、监理、检测等服务的投标人。</w:t>
      </w:r>
    </w:p>
    <w:p w14:paraId="11772EB3">
      <w:pPr>
        <w:pStyle w:val="27"/>
        <w:spacing w:line="380" w:lineRule="exact"/>
        <w:ind w:firstLine="420" w:firstLineChars="200"/>
        <w:rPr>
          <w:rFonts w:hint="eastAsia" w:hAnsi="宋体"/>
          <w:color w:val="auto"/>
          <w:highlight w:val="none"/>
        </w:rPr>
      </w:pPr>
      <w:r>
        <w:rPr>
          <w:rFonts w:hint="eastAsia" w:hAnsi="宋体"/>
          <w:color w:val="auto"/>
          <w:highlight w:val="none"/>
        </w:rPr>
        <w:t>我方对此声明负全部法律责任。</w:t>
      </w:r>
    </w:p>
    <w:p w14:paraId="24473D67">
      <w:pPr>
        <w:pStyle w:val="27"/>
        <w:spacing w:line="380" w:lineRule="exact"/>
        <w:rPr>
          <w:rFonts w:hint="eastAsia" w:hAnsi="宋体"/>
          <w:color w:val="auto"/>
          <w:highlight w:val="none"/>
        </w:rPr>
      </w:pPr>
    </w:p>
    <w:p w14:paraId="5C0B70FB">
      <w:pPr>
        <w:snapToGrid w:val="0"/>
        <w:spacing w:line="400" w:lineRule="exact"/>
        <w:ind w:firstLine="4515" w:firstLineChars="2150"/>
        <w:rPr>
          <w:rFonts w:hint="eastAsia" w:ascii="宋体" w:hAnsi="宋体"/>
          <w:color w:val="auto"/>
          <w:szCs w:val="21"/>
          <w:highlight w:val="none"/>
        </w:rPr>
      </w:pPr>
    </w:p>
    <w:p w14:paraId="3DFA41D9">
      <w:pPr>
        <w:pStyle w:val="233"/>
        <w:ind w:firstLine="480"/>
        <w:rPr>
          <w:rFonts w:hint="eastAsia" w:hAnsi="宋体"/>
          <w:color w:val="auto"/>
          <w:highlight w:val="none"/>
        </w:rPr>
      </w:pPr>
    </w:p>
    <w:p w14:paraId="44BCF48E">
      <w:pPr>
        <w:pStyle w:val="27"/>
        <w:spacing w:line="500" w:lineRule="exact"/>
        <w:ind w:firstLine="3339" w:firstLineChars="1590"/>
        <w:rPr>
          <w:rFonts w:hint="eastAsia" w:hAnsi="宋体"/>
          <w:color w:val="auto"/>
          <w:highlight w:val="none"/>
        </w:rPr>
      </w:pPr>
      <w:r>
        <w:rPr>
          <w:rFonts w:hint="eastAsia" w:hAnsi="宋体"/>
          <w:color w:val="auto"/>
          <w:highlight w:val="none"/>
        </w:rPr>
        <w:t>投标人名称（加盖CA证书签章，自然人除外）：</w:t>
      </w:r>
      <w:r>
        <w:rPr>
          <w:rFonts w:hint="eastAsia" w:hAnsi="宋体"/>
          <w:color w:val="auto"/>
          <w:highlight w:val="none"/>
          <w:u w:val="single"/>
        </w:rPr>
        <w:t xml:space="preserve">          ；                        </w:t>
      </w:r>
    </w:p>
    <w:p w14:paraId="1FFEB372">
      <w:pPr>
        <w:pStyle w:val="27"/>
        <w:spacing w:line="500" w:lineRule="exact"/>
        <w:ind w:firstLine="2551" w:firstLineChars="1215"/>
        <w:rPr>
          <w:rFonts w:hint="eastAsia" w:hAnsi="宋体" w:cs="宋体"/>
          <w:color w:val="auto"/>
          <w:highlight w:val="none"/>
        </w:rPr>
      </w:pPr>
      <w:r>
        <w:rPr>
          <w:rFonts w:hint="eastAsia" w:hAnsi="宋体"/>
          <w:color w:val="auto"/>
          <w:highlight w:val="none"/>
        </w:rPr>
        <w:t>法定代表人或负责人或自然人或相应的委托代理人签字（或加盖</w:t>
      </w:r>
      <w:r>
        <w:rPr>
          <w:rFonts w:hint="eastAsia" w:hAnsi="宋体" w:cs="宋体"/>
          <w:color w:val="auto"/>
          <w:highlight w:val="none"/>
        </w:rPr>
        <w:t>个人CA</w:t>
      </w:r>
    </w:p>
    <w:p w14:paraId="0936D750">
      <w:pPr>
        <w:pStyle w:val="27"/>
        <w:spacing w:line="500" w:lineRule="exact"/>
        <w:ind w:firstLine="3234" w:firstLineChars="1540"/>
        <w:rPr>
          <w:rFonts w:hint="eastAsia" w:hAnsi="宋体"/>
          <w:color w:val="auto"/>
          <w:highlight w:val="none"/>
        </w:rPr>
      </w:pPr>
      <w:r>
        <w:rPr>
          <w:rFonts w:hint="eastAsia" w:hAnsi="宋体" w:cs="宋体"/>
          <w:color w:val="auto"/>
          <w:highlight w:val="none"/>
        </w:rPr>
        <w:t>证书签章</w:t>
      </w:r>
      <w:r>
        <w:rPr>
          <w:rFonts w:hint="eastAsia" w:hAnsi="宋体"/>
          <w:color w:val="auto"/>
          <w:highlight w:val="none"/>
        </w:rPr>
        <w:t>）：</w:t>
      </w:r>
      <w:r>
        <w:rPr>
          <w:rFonts w:hint="eastAsia" w:hAnsi="宋体"/>
          <w:color w:val="auto"/>
          <w:highlight w:val="none"/>
          <w:u w:val="single"/>
        </w:rPr>
        <w:t xml:space="preserve">                 ；</w:t>
      </w:r>
    </w:p>
    <w:p w14:paraId="17EEC2B3">
      <w:pPr>
        <w:pStyle w:val="27"/>
        <w:spacing w:line="500" w:lineRule="exact"/>
        <w:ind w:firstLine="3360" w:firstLineChars="1600"/>
        <w:rPr>
          <w:rFonts w:hint="eastAsia" w:hAnsi="宋体"/>
          <w:bCs/>
          <w:color w:val="auto"/>
          <w:szCs w:val="21"/>
          <w:highlight w:val="none"/>
          <w:u w:val="single"/>
        </w:rPr>
      </w:pPr>
      <w:r>
        <w:rPr>
          <w:rFonts w:hint="eastAsia" w:hAnsi="宋体"/>
          <w:bCs/>
          <w:color w:val="auto"/>
          <w:szCs w:val="21"/>
          <w:highlight w:val="none"/>
        </w:rPr>
        <w:t>日期：</w:t>
      </w:r>
      <w:r>
        <w:rPr>
          <w:rFonts w:hint="eastAsia" w:hAnsi="宋体"/>
          <w:bCs/>
          <w:color w:val="auto"/>
          <w:szCs w:val="21"/>
          <w:highlight w:val="none"/>
          <w:u w:val="single"/>
        </w:rPr>
        <w:t xml:space="preserve">                      ；</w:t>
      </w:r>
    </w:p>
    <w:p w14:paraId="3DB00E11">
      <w:pPr>
        <w:spacing w:line="340" w:lineRule="exact"/>
        <w:ind w:firstLine="1890" w:firstLineChars="900"/>
        <w:rPr>
          <w:rFonts w:hint="eastAsia" w:ascii="宋体" w:hAnsi="宋体"/>
          <w:color w:val="auto"/>
          <w:szCs w:val="21"/>
          <w:highlight w:val="none"/>
          <w:u w:val="single"/>
        </w:rPr>
      </w:pPr>
      <w:r>
        <w:rPr>
          <w:rFonts w:hint="eastAsia" w:ascii="宋体" w:hAnsi="宋体"/>
          <w:color w:val="auto"/>
          <w:highlight w:val="none"/>
          <w:u w:val="single"/>
        </w:rPr>
        <w:t xml:space="preserve">                          </w:t>
      </w:r>
    </w:p>
    <w:p w14:paraId="53080BAD">
      <w:pPr>
        <w:rPr>
          <w:rFonts w:hint="eastAsia" w:hAnsi="宋体"/>
          <w:b/>
          <w:color w:val="auto"/>
          <w:sz w:val="32"/>
          <w:szCs w:val="32"/>
          <w:highlight w:val="none"/>
        </w:rPr>
      </w:pPr>
    </w:p>
    <w:p w14:paraId="10880A07">
      <w:pPr>
        <w:rPr>
          <w:rFonts w:hint="eastAsia" w:hAnsi="宋体"/>
          <w:b/>
          <w:color w:val="auto"/>
          <w:sz w:val="32"/>
          <w:szCs w:val="32"/>
          <w:highlight w:val="none"/>
        </w:rPr>
      </w:pPr>
    </w:p>
    <w:p w14:paraId="0B3671E3">
      <w:pPr>
        <w:rPr>
          <w:rFonts w:hint="eastAsia" w:hAnsi="宋体"/>
          <w:b/>
          <w:color w:val="auto"/>
          <w:sz w:val="32"/>
          <w:szCs w:val="32"/>
          <w:highlight w:val="none"/>
        </w:rPr>
      </w:pPr>
    </w:p>
    <w:p w14:paraId="53843D3A">
      <w:pPr>
        <w:rPr>
          <w:rFonts w:hint="eastAsia" w:hAnsi="宋体"/>
          <w:b/>
          <w:color w:val="auto"/>
          <w:sz w:val="32"/>
          <w:szCs w:val="32"/>
          <w:highlight w:val="none"/>
        </w:rPr>
      </w:pPr>
    </w:p>
    <w:p w14:paraId="26186F21">
      <w:pPr>
        <w:pStyle w:val="27"/>
        <w:spacing w:line="400" w:lineRule="exact"/>
        <w:ind w:firstLine="643" w:firstLineChars="200"/>
        <w:rPr>
          <w:rFonts w:hint="eastAsia" w:hAnsi="宋体"/>
          <w:b/>
          <w:color w:val="auto"/>
          <w:sz w:val="32"/>
          <w:szCs w:val="32"/>
          <w:highlight w:val="none"/>
        </w:rPr>
      </w:pPr>
      <w:r>
        <w:rPr>
          <w:rFonts w:hint="eastAsia" w:hAnsi="宋体"/>
          <w:b/>
          <w:color w:val="auto"/>
          <w:sz w:val="32"/>
          <w:szCs w:val="32"/>
          <w:highlight w:val="none"/>
          <w:lang w:val="en-US" w:eastAsia="zh-CN"/>
        </w:rPr>
        <w:t>6</w:t>
      </w:r>
      <w:r>
        <w:rPr>
          <w:rFonts w:hint="eastAsia" w:hAnsi="宋体"/>
          <w:b/>
          <w:color w:val="auto"/>
          <w:sz w:val="32"/>
          <w:szCs w:val="32"/>
          <w:highlight w:val="none"/>
        </w:rPr>
        <w:t>、投标人202</w:t>
      </w:r>
      <w:r>
        <w:rPr>
          <w:rFonts w:hint="eastAsia" w:hAnsi="宋体"/>
          <w:b/>
          <w:color w:val="auto"/>
          <w:sz w:val="32"/>
          <w:szCs w:val="32"/>
          <w:highlight w:val="none"/>
          <w:lang w:val="en-US" w:eastAsia="zh-CN"/>
        </w:rPr>
        <w:t>5</w:t>
      </w:r>
      <w:r>
        <w:rPr>
          <w:rFonts w:hint="eastAsia" w:hAnsi="宋体"/>
          <w:b/>
          <w:color w:val="auto"/>
          <w:sz w:val="32"/>
          <w:szCs w:val="32"/>
          <w:highlight w:val="none"/>
        </w:rPr>
        <w:t>年财务状况报告复印件或银行出具的资信证明复印件 (财务状况报告的内容应包括：资产负债表、利润表、现金流量表，三表缺一不可，三表可以是投标人自行编制或是第三方审计的；若投标人为新成立的企业，请根据实际情况提供。)(必须提供)；</w:t>
      </w:r>
    </w:p>
    <w:p w14:paraId="126C0D5F">
      <w:pPr>
        <w:snapToGrid w:val="0"/>
        <w:spacing w:line="360" w:lineRule="exact"/>
        <w:ind w:left="937" w:leftChars="196" w:hanging="525" w:hangingChars="250"/>
        <w:jc w:val="left"/>
        <w:rPr>
          <w:rFonts w:hint="eastAsia" w:ascii="宋体" w:hAnsi="宋体"/>
          <w:color w:val="auto"/>
          <w:highlight w:val="none"/>
        </w:rPr>
      </w:pPr>
    </w:p>
    <w:p w14:paraId="5649BAD2">
      <w:pPr>
        <w:tabs>
          <w:tab w:val="left" w:pos="864"/>
        </w:tabs>
        <w:rPr>
          <w:rFonts w:hint="eastAsia" w:ascii="宋体" w:hAnsi="宋体"/>
          <w:color w:val="auto"/>
          <w:highlight w:val="none"/>
        </w:rPr>
      </w:pPr>
    </w:p>
    <w:p w14:paraId="6590E4CD">
      <w:pPr>
        <w:rPr>
          <w:color w:val="auto"/>
          <w:highlight w:val="none"/>
        </w:rPr>
      </w:pPr>
    </w:p>
    <w:p w14:paraId="02A67680">
      <w:pPr>
        <w:snapToGrid w:val="0"/>
        <w:spacing w:line="360" w:lineRule="exact"/>
        <w:ind w:left="937" w:leftChars="196" w:hanging="525" w:hangingChars="250"/>
        <w:jc w:val="left"/>
        <w:rPr>
          <w:rFonts w:hint="eastAsia" w:ascii="宋体" w:hAnsi="宋体"/>
          <w:color w:val="auto"/>
          <w:highlight w:val="none"/>
        </w:rPr>
      </w:pPr>
    </w:p>
    <w:p w14:paraId="471CC0CD">
      <w:pPr>
        <w:tabs>
          <w:tab w:val="left" w:pos="1305"/>
        </w:tabs>
        <w:spacing w:line="380" w:lineRule="exact"/>
        <w:rPr>
          <w:rFonts w:hint="eastAsia" w:ascii="宋体" w:hAnsi="宋体"/>
          <w:color w:val="auto"/>
          <w:kern w:val="0"/>
          <w:highlight w:val="none"/>
        </w:rPr>
      </w:pPr>
      <w:bookmarkStart w:id="26" w:name="_Toc90288712"/>
    </w:p>
    <w:p w14:paraId="351D4A13">
      <w:pPr>
        <w:rPr>
          <w:rFonts w:hint="eastAsia" w:ascii="宋体" w:hAnsi="宋体"/>
          <w:b/>
          <w:color w:val="auto"/>
          <w:spacing w:val="6"/>
          <w:sz w:val="32"/>
          <w:szCs w:val="32"/>
          <w:highlight w:val="none"/>
        </w:rPr>
      </w:pPr>
    </w:p>
    <w:p w14:paraId="3FAF7DF7">
      <w:pPr>
        <w:tabs>
          <w:tab w:val="left" w:pos="1305"/>
        </w:tabs>
        <w:spacing w:line="380" w:lineRule="exact"/>
        <w:ind w:firstLine="667" w:firstLineChars="200"/>
        <w:jc w:val="left"/>
        <w:rPr>
          <w:rFonts w:hint="eastAsia" w:ascii="宋体" w:hAnsi="宋体"/>
          <w:b/>
          <w:color w:val="auto"/>
          <w:spacing w:val="6"/>
          <w:sz w:val="32"/>
          <w:szCs w:val="32"/>
          <w:highlight w:val="none"/>
        </w:rPr>
      </w:pPr>
      <w:r>
        <w:rPr>
          <w:rFonts w:hint="eastAsia" w:ascii="宋体" w:hAnsi="宋体"/>
          <w:b/>
          <w:color w:val="auto"/>
          <w:spacing w:val="6"/>
          <w:sz w:val="32"/>
          <w:szCs w:val="32"/>
          <w:highlight w:val="none"/>
          <w:lang w:val="en-US" w:eastAsia="zh-CN"/>
        </w:rPr>
        <w:t>7</w:t>
      </w:r>
      <w:r>
        <w:rPr>
          <w:rFonts w:hint="eastAsia" w:ascii="宋体" w:hAnsi="宋体"/>
          <w:b/>
          <w:color w:val="auto"/>
          <w:spacing w:val="6"/>
          <w:sz w:val="32"/>
          <w:szCs w:val="32"/>
          <w:highlight w:val="none"/>
        </w:rPr>
        <w:t>、投标人截止开标时间前近半年内任意一个月或任一季度依法缴纳税收的证明材料【增值税发票(税收完税证明)或企业所得税完税证明或税务部门出具的免税证明】复印件（必须提供）；</w:t>
      </w:r>
    </w:p>
    <w:p w14:paraId="1459F88B">
      <w:pPr>
        <w:pStyle w:val="24"/>
        <w:rPr>
          <w:rFonts w:hint="eastAsia"/>
          <w:color w:val="auto"/>
          <w:highlight w:val="none"/>
        </w:rPr>
      </w:pPr>
    </w:p>
    <w:p w14:paraId="0283A83D">
      <w:pPr>
        <w:pStyle w:val="24"/>
        <w:rPr>
          <w:rFonts w:hint="eastAsia"/>
          <w:color w:val="auto"/>
          <w:highlight w:val="none"/>
        </w:rPr>
      </w:pPr>
    </w:p>
    <w:p w14:paraId="553E5507">
      <w:pPr>
        <w:pStyle w:val="24"/>
        <w:rPr>
          <w:rFonts w:hint="eastAsia"/>
          <w:color w:val="auto"/>
          <w:highlight w:val="none"/>
        </w:rPr>
      </w:pPr>
    </w:p>
    <w:p w14:paraId="3D068894">
      <w:pPr>
        <w:pStyle w:val="24"/>
        <w:rPr>
          <w:rFonts w:hint="eastAsia"/>
          <w:color w:val="auto"/>
          <w:highlight w:val="none"/>
        </w:rPr>
      </w:pPr>
    </w:p>
    <w:p w14:paraId="517BAF8D">
      <w:pPr>
        <w:tabs>
          <w:tab w:val="left" w:pos="1305"/>
        </w:tabs>
        <w:spacing w:line="380" w:lineRule="exact"/>
        <w:ind w:firstLine="667" w:firstLineChars="200"/>
        <w:jc w:val="left"/>
        <w:rPr>
          <w:rFonts w:hint="eastAsia" w:ascii="宋体" w:hAnsi="宋体" w:eastAsia="宋体" w:cs="Times New Roman"/>
          <w:b/>
          <w:bCs w:val="0"/>
          <w:color w:val="auto"/>
          <w:spacing w:val="6"/>
          <w:sz w:val="32"/>
          <w:szCs w:val="32"/>
          <w:highlight w:val="none"/>
        </w:rPr>
      </w:pPr>
    </w:p>
    <w:p w14:paraId="142FE560">
      <w:pP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p>
    <w:p w14:paraId="3464FB71">
      <w:pPr>
        <w:tabs>
          <w:tab w:val="left" w:pos="1305"/>
        </w:tabs>
        <w:spacing w:line="380" w:lineRule="exact"/>
        <w:ind w:firstLine="667" w:firstLineChars="200"/>
        <w:jc w:val="left"/>
        <w:rPr>
          <w:rFonts w:hint="eastAsia" w:ascii="宋体" w:hAnsi="宋体"/>
          <w:b/>
          <w:color w:val="auto"/>
          <w:spacing w:val="6"/>
          <w:sz w:val="32"/>
          <w:szCs w:val="32"/>
          <w:highlight w:val="none"/>
          <w:lang w:eastAsia="zh-CN"/>
        </w:rPr>
      </w:pPr>
      <w:r>
        <w:rPr>
          <w:rFonts w:hint="eastAsia" w:ascii="宋体" w:hAnsi="宋体"/>
          <w:b/>
          <w:color w:val="auto"/>
          <w:spacing w:val="6"/>
          <w:sz w:val="32"/>
          <w:szCs w:val="32"/>
          <w:highlight w:val="none"/>
          <w:lang w:val="en-US" w:eastAsia="zh-CN"/>
        </w:rPr>
        <w:t>8、</w:t>
      </w:r>
      <w:r>
        <w:rPr>
          <w:rFonts w:hint="eastAsia" w:ascii="宋体" w:hAnsi="宋体"/>
          <w:b/>
          <w:color w:val="auto"/>
          <w:spacing w:val="6"/>
          <w:sz w:val="32"/>
          <w:szCs w:val="32"/>
          <w:highlight w:val="none"/>
        </w:rPr>
        <w:t>联合体协议书（格式后附）（联合体投标时必须提供，否则按无效投标处理）</w:t>
      </w:r>
      <w:r>
        <w:rPr>
          <w:rFonts w:hint="eastAsia" w:ascii="宋体" w:hAnsi="宋体"/>
          <w:b/>
          <w:color w:val="auto"/>
          <w:spacing w:val="6"/>
          <w:sz w:val="32"/>
          <w:szCs w:val="32"/>
          <w:highlight w:val="none"/>
          <w:lang w:eastAsia="zh-CN"/>
        </w:rPr>
        <w:t>。</w:t>
      </w:r>
    </w:p>
    <w:p w14:paraId="2BAE4C8A">
      <w:pPr>
        <w:pStyle w:val="14"/>
        <w:overflowPunct w:val="0"/>
        <w:jc w:val="center"/>
        <w:rPr>
          <w:rFonts w:hint="eastAsia" w:ascii="方正小标宋简体" w:hAnsi="方正小标宋简体" w:eastAsia="方正小标宋简体" w:cs="方正小标宋简体"/>
          <w:color w:val="auto"/>
          <w:sz w:val="30"/>
          <w:szCs w:val="30"/>
          <w:highlight w:val="none"/>
        </w:rPr>
      </w:pPr>
    </w:p>
    <w:p w14:paraId="2FB38541">
      <w:pPr>
        <w:pStyle w:val="14"/>
        <w:overflowPunct w:val="0"/>
        <w:jc w:val="center"/>
        <w:rPr>
          <w:rFonts w:hint="eastAsia" w:ascii="方正小标宋简体" w:hAnsi="方正小标宋简体" w:eastAsia="方正小标宋简体" w:cs="方正小标宋简体"/>
          <w:color w:val="auto"/>
          <w:sz w:val="30"/>
          <w:szCs w:val="30"/>
          <w:highlight w:val="none"/>
        </w:rPr>
      </w:pPr>
    </w:p>
    <w:p w14:paraId="7CE29BF2">
      <w:pPr>
        <w:pStyle w:val="14"/>
        <w:overflowPunct w:val="0"/>
        <w:jc w:val="center"/>
        <w:rPr>
          <w:rFonts w:hint="eastAsia" w:ascii="方正小标宋简体" w:hAnsi="方正小标宋简体" w:eastAsia="方正小标宋简体" w:cs="方正小标宋简体"/>
          <w:color w:val="auto"/>
          <w:sz w:val="30"/>
          <w:szCs w:val="30"/>
          <w:highlight w:val="none"/>
        </w:rPr>
      </w:pPr>
      <w:r>
        <w:rPr>
          <w:rFonts w:hint="eastAsia" w:ascii="方正小标宋简体" w:hAnsi="方正小标宋简体" w:eastAsia="方正小标宋简体" w:cs="方正小标宋简体"/>
          <w:color w:val="auto"/>
          <w:sz w:val="30"/>
          <w:szCs w:val="30"/>
          <w:highlight w:val="none"/>
        </w:rPr>
        <w:t>联合体协议书</w:t>
      </w:r>
    </w:p>
    <w:p w14:paraId="75E86795">
      <w:pPr>
        <w:pStyle w:val="14"/>
        <w:overflowPunct w:val="0"/>
        <w:rPr>
          <w:rFonts w:ascii="宋体" w:hAnsi="宋体"/>
          <w:color w:val="auto"/>
          <w:sz w:val="24"/>
          <w:highlight w:val="none"/>
        </w:rPr>
      </w:pPr>
    </w:p>
    <w:p w14:paraId="5C1E20C1">
      <w:pPr>
        <w:pStyle w:val="14"/>
        <w:overflowPunct w:val="0"/>
        <w:spacing w:line="360" w:lineRule="auto"/>
        <w:contextualSpacing/>
        <w:rPr>
          <w:rFonts w:ascii="宋体" w:hAnsi="宋体"/>
          <w:color w:val="auto"/>
          <w:sz w:val="21"/>
          <w:szCs w:val="21"/>
          <w:highlight w:val="none"/>
        </w:rPr>
      </w:pPr>
      <w:r>
        <w:rPr>
          <w:rFonts w:ascii="宋体" w:hAnsi="宋体"/>
          <w:color w:val="auto"/>
          <w:sz w:val="21"/>
          <w:szCs w:val="21"/>
          <w:highlight w:val="none"/>
          <w:u w:val="single"/>
        </w:rPr>
        <w:t xml:space="preserve"> </w:t>
      </w:r>
      <w:r>
        <w:rPr>
          <w:rFonts w:ascii="宋体" w:hAnsi="宋体"/>
          <w:color w:val="auto"/>
          <w:sz w:val="21"/>
          <w:szCs w:val="21"/>
          <w:highlight w:val="none"/>
          <w:u w:val="single"/>
        </w:rPr>
        <w:tab/>
      </w:r>
      <w:r>
        <w:rPr>
          <w:rFonts w:hint="eastAsia" w:ascii="宋体" w:hAnsi="宋体"/>
          <w:color w:val="auto"/>
          <w:sz w:val="21"/>
          <w:szCs w:val="21"/>
          <w:highlight w:val="none"/>
        </w:rPr>
        <w:t>（所有成员单位名称）自愿组成</w:t>
      </w:r>
      <w:r>
        <w:rPr>
          <w:rFonts w:ascii="宋体" w:hAnsi="宋体"/>
          <w:color w:val="auto"/>
          <w:sz w:val="21"/>
          <w:szCs w:val="21"/>
          <w:highlight w:val="none"/>
          <w:u w:val="single"/>
        </w:rPr>
        <w:t xml:space="preserve"> </w:t>
      </w:r>
      <w:r>
        <w:rPr>
          <w:rFonts w:ascii="宋体" w:hAnsi="宋体"/>
          <w:color w:val="auto"/>
          <w:sz w:val="21"/>
          <w:szCs w:val="21"/>
          <w:highlight w:val="none"/>
          <w:u w:val="single"/>
        </w:rPr>
        <w:tab/>
      </w:r>
      <w:r>
        <w:rPr>
          <w:rFonts w:hint="eastAsia" w:ascii="宋体" w:hAnsi="宋体"/>
          <w:color w:val="auto"/>
          <w:sz w:val="21"/>
          <w:szCs w:val="21"/>
          <w:highlight w:val="none"/>
        </w:rPr>
        <w:t>（联合体名称）联合体，共同参加</w:t>
      </w:r>
      <w:r>
        <w:rPr>
          <w:rFonts w:ascii="宋体" w:hAnsi="宋体"/>
          <w:color w:val="auto"/>
          <w:sz w:val="21"/>
          <w:szCs w:val="21"/>
          <w:highlight w:val="none"/>
          <w:u w:val="single"/>
        </w:rPr>
        <w:t xml:space="preserve"> </w:t>
      </w:r>
      <w:r>
        <w:rPr>
          <w:rFonts w:ascii="宋体" w:hAnsi="宋体"/>
          <w:color w:val="auto"/>
          <w:sz w:val="21"/>
          <w:szCs w:val="21"/>
          <w:highlight w:val="none"/>
          <w:u w:val="single"/>
        </w:rPr>
        <w:tab/>
      </w:r>
      <w:r>
        <w:rPr>
          <w:rFonts w:hint="eastAsia" w:ascii="宋体" w:hAnsi="宋体"/>
          <w:color w:val="auto"/>
          <w:sz w:val="21"/>
          <w:szCs w:val="21"/>
          <w:highlight w:val="none"/>
          <w:u w:val="single"/>
        </w:rPr>
        <w:t>（项目名称）</w:t>
      </w:r>
      <w:r>
        <w:rPr>
          <w:rFonts w:hint="eastAsia" w:ascii="宋体" w:hAnsi="宋体"/>
          <w:color w:val="auto"/>
          <w:sz w:val="21"/>
          <w:szCs w:val="21"/>
          <w:highlight w:val="none"/>
        </w:rPr>
        <w:t>采购招标项目投标。现就联合体投标事宜订立如下协议。</w:t>
      </w:r>
    </w:p>
    <w:p w14:paraId="60D50F92">
      <w:pPr>
        <w:pStyle w:val="14"/>
        <w:overflowPunct w:val="0"/>
        <w:spacing w:line="360" w:lineRule="auto"/>
        <w:ind w:firstLineChars="175"/>
        <w:contextualSpacing/>
        <w:rPr>
          <w:rFonts w:ascii="宋体" w:hAnsi="宋体"/>
          <w:color w:val="auto"/>
          <w:sz w:val="21"/>
          <w:szCs w:val="21"/>
          <w:highlight w:val="none"/>
        </w:rPr>
      </w:pPr>
      <w:r>
        <w:rPr>
          <w:rFonts w:ascii="宋体" w:hAnsi="宋体"/>
          <w:color w:val="auto"/>
          <w:sz w:val="21"/>
          <w:szCs w:val="21"/>
          <w:highlight w:val="none"/>
        </w:rPr>
        <w:t xml:space="preserve">1.  </w:t>
      </w:r>
      <w:r>
        <w:rPr>
          <w:rFonts w:ascii="宋体" w:hAnsi="宋体"/>
          <w:color w:val="auto"/>
          <w:sz w:val="21"/>
          <w:szCs w:val="21"/>
          <w:highlight w:val="none"/>
          <w:u w:val="single"/>
        </w:rPr>
        <w:t xml:space="preserve"> </w:t>
      </w:r>
      <w:r>
        <w:rPr>
          <w:rFonts w:ascii="宋体" w:hAnsi="宋体"/>
          <w:color w:val="auto"/>
          <w:sz w:val="21"/>
          <w:szCs w:val="21"/>
          <w:highlight w:val="none"/>
          <w:u w:val="single"/>
        </w:rPr>
        <w:tab/>
      </w:r>
      <w:r>
        <w:rPr>
          <w:rFonts w:hint="eastAsia" w:ascii="宋体" w:hAnsi="宋体"/>
          <w:color w:val="auto"/>
          <w:sz w:val="21"/>
          <w:szCs w:val="21"/>
          <w:highlight w:val="none"/>
        </w:rPr>
        <w:t>（某成员单位名称）为</w:t>
      </w:r>
      <w:r>
        <w:rPr>
          <w:rFonts w:ascii="宋体" w:hAnsi="宋体"/>
          <w:color w:val="auto"/>
          <w:sz w:val="21"/>
          <w:szCs w:val="21"/>
          <w:highlight w:val="none"/>
          <w:u w:val="single"/>
        </w:rPr>
        <w:t xml:space="preserve"> </w:t>
      </w:r>
      <w:r>
        <w:rPr>
          <w:rFonts w:ascii="宋体" w:hAnsi="宋体"/>
          <w:color w:val="auto"/>
          <w:sz w:val="21"/>
          <w:szCs w:val="21"/>
          <w:highlight w:val="none"/>
          <w:u w:val="single"/>
        </w:rPr>
        <w:tab/>
      </w:r>
      <w:r>
        <w:rPr>
          <w:rFonts w:hint="eastAsia" w:ascii="宋体" w:hAnsi="宋体"/>
          <w:color w:val="auto"/>
          <w:sz w:val="21"/>
          <w:szCs w:val="21"/>
          <w:highlight w:val="none"/>
        </w:rPr>
        <w:t>（联合体名称）牵头人。</w:t>
      </w:r>
    </w:p>
    <w:p w14:paraId="4F166865">
      <w:pPr>
        <w:pStyle w:val="14"/>
        <w:overflowPunct w:val="0"/>
        <w:spacing w:line="360" w:lineRule="auto"/>
        <w:ind w:firstLineChars="175"/>
        <w:contextualSpacing/>
        <w:rPr>
          <w:rFonts w:ascii="宋体" w:hAnsi="宋体"/>
          <w:color w:val="auto"/>
          <w:sz w:val="21"/>
          <w:szCs w:val="21"/>
          <w:highlight w:val="none"/>
        </w:rPr>
      </w:pPr>
      <w:r>
        <w:rPr>
          <w:rFonts w:ascii="宋体" w:hAnsi="宋体"/>
          <w:color w:val="auto"/>
          <w:sz w:val="21"/>
          <w:szCs w:val="21"/>
          <w:highlight w:val="none"/>
        </w:rPr>
        <w:t>2.</w:t>
      </w:r>
      <w:r>
        <w:rPr>
          <w:rFonts w:hint="eastAsia" w:ascii="宋体" w:hAnsi="宋体"/>
          <w:color w:val="auto"/>
          <w:sz w:val="21"/>
          <w:szCs w:val="21"/>
          <w:highlight w:val="none"/>
        </w:rPr>
        <w:t>联合体各成员授权牵头人代表联合体参加投标活动，签署文件及对文件的盖章，提交和接收相关的资料、信息及指示，进行合同谈判活动，负责合同实施阶段的组织和协调工作，以及处理与本招标项目有关的一切事宜。</w:t>
      </w:r>
    </w:p>
    <w:p w14:paraId="07228058">
      <w:pPr>
        <w:pStyle w:val="14"/>
        <w:overflowPunct w:val="0"/>
        <w:spacing w:line="360" w:lineRule="auto"/>
        <w:ind w:firstLineChars="175"/>
        <w:contextualSpacing/>
        <w:rPr>
          <w:rFonts w:ascii="宋体" w:hAnsi="宋体"/>
          <w:color w:val="auto"/>
          <w:sz w:val="21"/>
          <w:szCs w:val="21"/>
          <w:highlight w:val="none"/>
        </w:rPr>
      </w:pPr>
      <w:r>
        <w:rPr>
          <w:rFonts w:ascii="宋体" w:hAnsi="宋体"/>
          <w:color w:val="auto"/>
          <w:sz w:val="21"/>
          <w:szCs w:val="21"/>
          <w:highlight w:val="none"/>
        </w:rPr>
        <w:t>3.</w:t>
      </w:r>
      <w:r>
        <w:rPr>
          <w:rFonts w:hint="eastAsia" w:ascii="宋体" w:hAnsi="宋体"/>
          <w:color w:val="auto"/>
          <w:sz w:val="21"/>
          <w:szCs w:val="21"/>
          <w:highlight w:val="none"/>
        </w:rPr>
        <w:t>联合体牵头人在本项目中签署和盖章的一切文件和处理的一切事宜，联合体各成员均予以承认。联合体各成员将严格按照招标文件、投标文件和合同的要求全面履行义务，并向采购人承担连带责任。</w:t>
      </w:r>
    </w:p>
    <w:p w14:paraId="666F2C46">
      <w:pPr>
        <w:pStyle w:val="14"/>
        <w:overflowPunct w:val="0"/>
        <w:spacing w:line="360" w:lineRule="auto"/>
        <w:ind w:firstLineChars="175"/>
        <w:contextualSpacing/>
        <w:rPr>
          <w:rFonts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联合体各成员单位内部的职责分工如下：</w:t>
      </w:r>
      <w:r>
        <w:rPr>
          <w:rFonts w:ascii="宋体" w:hAnsi="宋体"/>
          <w:color w:val="auto"/>
          <w:sz w:val="21"/>
          <w:szCs w:val="21"/>
          <w:highlight w:val="none"/>
          <w:u w:val="single"/>
        </w:rPr>
        <w:t xml:space="preserve"> </w:t>
      </w:r>
      <w:r>
        <w:rPr>
          <w:rFonts w:ascii="宋体" w:hAnsi="宋体"/>
          <w:color w:val="auto"/>
          <w:sz w:val="21"/>
          <w:szCs w:val="21"/>
          <w:highlight w:val="none"/>
          <w:u w:val="single"/>
        </w:rPr>
        <w:tab/>
      </w:r>
      <w:r>
        <w:rPr>
          <w:rFonts w:hint="eastAsia" w:ascii="宋体" w:hAnsi="宋体"/>
          <w:color w:val="auto"/>
          <w:sz w:val="21"/>
          <w:szCs w:val="21"/>
          <w:highlight w:val="none"/>
        </w:rPr>
        <w:t>。</w:t>
      </w:r>
    </w:p>
    <w:p w14:paraId="2AA6080B">
      <w:pPr>
        <w:pStyle w:val="14"/>
        <w:overflowPunct w:val="0"/>
        <w:spacing w:line="360" w:lineRule="auto"/>
        <w:ind w:firstLineChars="175"/>
        <w:contextualSpacing/>
        <w:rPr>
          <w:rFonts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本协议书自所有成员单位法定代表人或者其委托代理人签字（或者电子签名）或者盖公章之日起生效，合同履行完毕后自动失效。</w:t>
      </w:r>
    </w:p>
    <w:p w14:paraId="739FAD53">
      <w:pPr>
        <w:pStyle w:val="14"/>
        <w:overflowPunct w:val="0"/>
        <w:spacing w:line="360" w:lineRule="auto"/>
        <w:ind w:firstLineChars="175"/>
        <w:contextualSpacing/>
        <w:rPr>
          <w:rFonts w:ascii="宋体" w:hAnsi="宋体"/>
          <w:color w:val="auto"/>
          <w:sz w:val="21"/>
          <w:szCs w:val="21"/>
          <w:highlight w:val="none"/>
        </w:rPr>
      </w:pPr>
      <w:r>
        <w:rPr>
          <w:rFonts w:ascii="宋体" w:hAnsi="宋体"/>
          <w:color w:val="auto"/>
          <w:sz w:val="21"/>
          <w:szCs w:val="21"/>
          <w:highlight w:val="none"/>
        </w:rPr>
        <w:t>6.</w:t>
      </w:r>
      <w:r>
        <w:rPr>
          <w:rFonts w:hint="eastAsia" w:ascii="宋体" w:hAnsi="宋体"/>
          <w:color w:val="auto"/>
          <w:sz w:val="21"/>
          <w:szCs w:val="21"/>
          <w:highlight w:val="none"/>
        </w:rPr>
        <w:t>本协议书一式</w:t>
      </w:r>
      <w:r>
        <w:rPr>
          <w:rFonts w:ascii="宋体" w:hAnsi="宋体"/>
          <w:color w:val="auto"/>
          <w:sz w:val="21"/>
          <w:szCs w:val="21"/>
          <w:highlight w:val="none"/>
          <w:u w:val="single"/>
        </w:rPr>
        <w:t xml:space="preserve"> </w:t>
      </w:r>
      <w:r>
        <w:rPr>
          <w:rFonts w:ascii="宋体" w:hAnsi="宋体"/>
          <w:color w:val="auto"/>
          <w:sz w:val="21"/>
          <w:szCs w:val="21"/>
          <w:highlight w:val="none"/>
          <w:u w:val="single"/>
        </w:rPr>
        <w:tab/>
      </w:r>
      <w:r>
        <w:rPr>
          <w:rFonts w:hint="eastAsia" w:ascii="宋体" w:hAnsi="宋体"/>
          <w:color w:val="auto"/>
          <w:sz w:val="21"/>
          <w:szCs w:val="21"/>
          <w:highlight w:val="none"/>
        </w:rPr>
        <w:t>份，联合体成员和采购人各执一份。</w:t>
      </w:r>
    </w:p>
    <w:p w14:paraId="7C08652D">
      <w:pPr>
        <w:pStyle w:val="14"/>
        <w:overflowPunct w:val="0"/>
        <w:spacing w:line="360" w:lineRule="auto"/>
        <w:ind w:firstLineChars="175"/>
        <w:contextualSpacing/>
        <w:rPr>
          <w:rFonts w:ascii="宋体" w:hAnsi="宋体"/>
          <w:color w:val="auto"/>
          <w:sz w:val="21"/>
          <w:szCs w:val="21"/>
          <w:highlight w:val="none"/>
        </w:rPr>
      </w:pPr>
      <w:r>
        <w:rPr>
          <w:rFonts w:hint="eastAsia" w:ascii="宋体" w:hAnsi="宋体"/>
          <w:color w:val="auto"/>
          <w:sz w:val="21"/>
          <w:szCs w:val="21"/>
          <w:highlight w:val="none"/>
        </w:rPr>
        <w:t>注：本协议书应附法定代表人身份证明；有委托代理的，应附授权委托书</w:t>
      </w:r>
      <w:r>
        <w:rPr>
          <w:rFonts w:hint="eastAsia" w:ascii="宋体" w:hAnsi="宋体" w:cs="仿宋_GB2312"/>
          <w:color w:val="auto"/>
          <w:sz w:val="21"/>
          <w:szCs w:val="21"/>
          <w:highlight w:val="none"/>
        </w:rPr>
        <w:t>（格式自拟）</w:t>
      </w:r>
      <w:r>
        <w:rPr>
          <w:rFonts w:hint="eastAsia" w:ascii="宋体" w:hAnsi="宋体"/>
          <w:color w:val="auto"/>
          <w:sz w:val="21"/>
          <w:szCs w:val="21"/>
          <w:highlight w:val="none"/>
        </w:rPr>
        <w:t>。</w:t>
      </w:r>
    </w:p>
    <w:p w14:paraId="2C152C5A">
      <w:pPr>
        <w:pStyle w:val="14"/>
        <w:overflowPunct w:val="0"/>
        <w:spacing w:line="360" w:lineRule="auto"/>
        <w:ind w:firstLineChars="175"/>
        <w:contextualSpacing/>
        <w:rPr>
          <w:rFonts w:ascii="宋体" w:hAnsi="宋体"/>
          <w:color w:val="auto"/>
          <w:sz w:val="21"/>
          <w:szCs w:val="21"/>
          <w:highlight w:val="none"/>
        </w:rPr>
      </w:pPr>
    </w:p>
    <w:p w14:paraId="6A5FD7BF">
      <w:pPr>
        <w:pStyle w:val="14"/>
        <w:overflowPunct w:val="0"/>
        <w:spacing w:line="360" w:lineRule="auto"/>
        <w:ind w:firstLineChars="175"/>
        <w:contextualSpacing/>
        <w:rPr>
          <w:rFonts w:ascii="宋体" w:hAnsi="宋体"/>
          <w:color w:val="auto"/>
          <w:sz w:val="21"/>
          <w:szCs w:val="21"/>
          <w:highlight w:val="none"/>
        </w:rPr>
      </w:pPr>
      <w:r>
        <w:rPr>
          <w:rFonts w:hint="eastAsia" w:ascii="宋体" w:hAnsi="宋体"/>
          <w:color w:val="auto"/>
          <w:sz w:val="21"/>
          <w:szCs w:val="21"/>
          <w:highlight w:val="none"/>
        </w:rPr>
        <w:t>联合体牵头人名称（电子签章）：</w:t>
      </w:r>
    </w:p>
    <w:p w14:paraId="2D346511">
      <w:pPr>
        <w:pStyle w:val="14"/>
        <w:overflowPunct w:val="0"/>
        <w:spacing w:line="360" w:lineRule="auto"/>
        <w:ind w:firstLineChars="175"/>
        <w:contextualSpacing/>
        <w:rPr>
          <w:rFonts w:ascii="宋体" w:hAnsi="宋体"/>
          <w:color w:val="auto"/>
          <w:sz w:val="21"/>
          <w:szCs w:val="21"/>
          <w:highlight w:val="none"/>
        </w:rPr>
      </w:pPr>
      <w:r>
        <w:rPr>
          <w:rFonts w:hint="eastAsia" w:ascii="宋体" w:hAnsi="宋体"/>
          <w:color w:val="auto"/>
          <w:sz w:val="21"/>
          <w:szCs w:val="21"/>
          <w:highlight w:val="none"/>
        </w:rPr>
        <w:t>法定代表人或者其委托代理人：</w:t>
      </w:r>
      <w:r>
        <w:rPr>
          <w:rFonts w:ascii="宋体" w:hAnsi="宋体"/>
          <w:color w:val="auto"/>
          <w:sz w:val="21"/>
          <w:szCs w:val="21"/>
          <w:highlight w:val="none"/>
        </w:rPr>
        <w:t xml:space="preserve"> </w:t>
      </w:r>
      <w:r>
        <w:rPr>
          <w:rFonts w:ascii="宋体" w:hAnsi="宋体"/>
          <w:color w:val="auto"/>
          <w:sz w:val="21"/>
          <w:szCs w:val="21"/>
          <w:highlight w:val="none"/>
        </w:rPr>
        <w:tab/>
      </w:r>
      <w:r>
        <w:rPr>
          <w:rFonts w:hint="eastAsia" w:ascii="宋体" w:hAnsi="宋体"/>
          <w:color w:val="auto"/>
          <w:sz w:val="21"/>
          <w:szCs w:val="21"/>
          <w:highlight w:val="none"/>
        </w:rPr>
        <w:t>（签字或者电子签名）</w:t>
      </w:r>
    </w:p>
    <w:p w14:paraId="134C34D6">
      <w:pPr>
        <w:pStyle w:val="14"/>
        <w:overflowPunct w:val="0"/>
        <w:spacing w:line="360" w:lineRule="auto"/>
        <w:ind w:firstLineChars="175"/>
        <w:contextualSpacing/>
        <w:rPr>
          <w:rFonts w:ascii="宋体" w:hAnsi="宋体"/>
          <w:color w:val="auto"/>
          <w:sz w:val="21"/>
          <w:szCs w:val="21"/>
          <w:highlight w:val="none"/>
        </w:rPr>
      </w:pPr>
    </w:p>
    <w:p w14:paraId="2A22FB28">
      <w:pPr>
        <w:pStyle w:val="14"/>
        <w:overflowPunct w:val="0"/>
        <w:spacing w:line="360" w:lineRule="auto"/>
        <w:ind w:firstLineChars="175"/>
        <w:contextualSpacing/>
        <w:rPr>
          <w:rFonts w:ascii="宋体" w:hAnsi="宋体"/>
          <w:color w:val="auto"/>
          <w:sz w:val="21"/>
          <w:szCs w:val="21"/>
          <w:highlight w:val="none"/>
        </w:rPr>
      </w:pPr>
      <w:r>
        <w:rPr>
          <w:rFonts w:hint="eastAsia" w:ascii="宋体" w:hAnsi="宋体"/>
          <w:color w:val="auto"/>
          <w:sz w:val="21"/>
          <w:szCs w:val="21"/>
          <w:highlight w:val="none"/>
        </w:rPr>
        <w:t>联合体成员名称（</w:t>
      </w:r>
      <w:r>
        <w:rPr>
          <w:rFonts w:hint="eastAsia" w:ascii="宋体" w:hAnsi="宋体" w:cs="仿宋_GB2312"/>
          <w:color w:val="auto"/>
          <w:sz w:val="21"/>
          <w:szCs w:val="21"/>
          <w:highlight w:val="none"/>
        </w:rPr>
        <w:t>盖公章或者电子签章</w:t>
      </w:r>
      <w:r>
        <w:rPr>
          <w:rFonts w:hint="eastAsia" w:ascii="宋体" w:hAnsi="宋体"/>
          <w:color w:val="auto"/>
          <w:sz w:val="21"/>
          <w:szCs w:val="21"/>
          <w:highlight w:val="none"/>
        </w:rPr>
        <w:t>）：</w:t>
      </w:r>
    </w:p>
    <w:p w14:paraId="1237AC8B">
      <w:pPr>
        <w:pStyle w:val="14"/>
        <w:overflowPunct w:val="0"/>
        <w:spacing w:line="360" w:lineRule="auto"/>
        <w:ind w:firstLineChars="175"/>
        <w:contextualSpacing/>
        <w:rPr>
          <w:rFonts w:ascii="宋体" w:hAnsi="宋体"/>
          <w:color w:val="auto"/>
          <w:sz w:val="21"/>
          <w:szCs w:val="21"/>
          <w:highlight w:val="none"/>
        </w:rPr>
      </w:pPr>
      <w:r>
        <w:rPr>
          <w:rFonts w:hint="eastAsia" w:ascii="宋体" w:hAnsi="宋体"/>
          <w:color w:val="auto"/>
          <w:sz w:val="21"/>
          <w:szCs w:val="21"/>
          <w:highlight w:val="none"/>
        </w:rPr>
        <w:t>法定代表人或者其委托代理人：</w:t>
      </w:r>
      <w:r>
        <w:rPr>
          <w:rFonts w:ascii="宋体" w:hAnsi="宋体"/>
          <w:color w:val="auto"/>
          <w:sz w:val="21"/>
          <w:szCs w:val="21"/>
          <w:highlight w:val="none"/>
        </w:rPr>
        <w:t xml:space="preserve"> </w:t>
      </w:r>
      <w:r>
        <w:rPr>
          <w:rFonts w:ascii="宋体" w:hAnsi="宋体"/>
          <w:color w:val="auto"/>
          <w:sz w:val="21"/>
          <w:szCs w:val="21"/>
          <w:highlight w:val="none"/>
        </w:rPr>
        <w:tab/>
      </w:r>
      <w:r>
        <w:rPr>
          <w:rFonts w:hint="eastAsia" w:ascii="宋体" w:hAnsi="宋体"/>
          <w:color w:val="auto"/>
          <w:sz w:val="21"/>
          <w:szCs w:val="21"/>
          <w:highlight w:val="none"/>
        </w:rPr>
        <w:t>（签字或者电子签名）</w:t>
      </w:r>
    </w:p>
    <w:p w14:paraId="26B281B1">
      <w:pPr>
        <w:pStyle w:val="14"/>
        <w:overflowPunct w:val="0"/>
        <w:spacing w:line="360" w:lineRule="auto"/>
        <w:ind w:firstLineChars="175"/>
        <w:contextualSpacing/>
        <w:rPr>
          <w:rFonts w:ascii="宋体" w:hAnsi="宋体"/>
          <w:color w:val="auto"/>
          <w:sz w:val="21"/>
          <w:szCs w:val="21"/>
          <w:highlight w:val="none"/>
        </w:rPr>
      </w:pPr>
      <w:r>
        <w:rPr>
          <w:rFonts w:ascii="宋体" w:hAnsi="宋体"/>
          <w:color w:val="auto"/>
          <w:sz w:val="21"/>
          <w:szCs w:val="21"/>
          <w:highlight w:val="none"/>
        </w:rPr>
        <w:t>……</w:t>
      </w:r>
    </w:p>
    <w:p w14:paraId="4F799EE0">
      <w:pPr>
        <w:pStyle w:val="14"/>
        <w:overflowPunct w:val="0"/>
        <w:spacing w:line="360" w:lineRule="auto"/>
        <w:ind w:firstLineChars="175"/>
        <w:contextualSpacing/>
        <w:rPr>
          <w:rFonts w:ascii="宋体" w:hAnsi="宋体"/>
          <w:color w:val="auto"/>
          <w:sz w:val="21"/>
          <w:szCs w:val="21"/>
          <w:highlight w:val="none"/>
        </w:rPr>
      </w:pPr>
    </w:p>
    <w:p w14:paraId="30C23D3A">
      <w:pPr>
        <w:pStyle w:val="14"/>
        <w:overflowPunct w:val="0"/>
        <w:spacing w:line="360" w:lineRule="auto"/>
        <w:ind w:firstLineChars="175"/>
        <w:contextualSpacing/>
        <w:jc w:val="right"/>
        <w:rPr>
          <w:rFonts w:ascii="宋体" w:hAnsi="宋体"/>
          <w:b/>
          <w:color w:val="auto"/>
          <w:sz w:val="21"/>
          <w:szCs w:val="21"/>
          <w:highlight w:val="none"/>
        </w:rPr>
      </w:pPr>
      <w:r>
        <w:rPr>
          <w:rFonts w:ascii="宋体" w:hAnsi="宋体"/>
          <w:color w:val="auto"/>
          <w:sz w:val="21"/>
          <w:szCs w:val="21"/>
          <w:highlight w:val="none"/>
        </w:rPr>
        <w:t xml:space="preserve"> </w:t>
      </w:r>
      <w:r>
        <w:rPr>
          <w:rFonts w:ascii="宋体" w:hAnsi="宋体"/>
          <w:color w:val="auto"/>
          <w:sz w:val="21"/>
          <w:szCs w:val="21"/>
          <w:highlight w:val="none"/>
        </w:rPr>
        <w:tab/>
      </w:r>
      <w:r>
        <w:rPr>
          <w:rFonts w:hint="eastAsia" w:ascii="宋体" w:hAnsi="宋体"/>
          <w:color w:val="auto"/>
          <w:sz w:val="21"/>
          <w:szCs w:val="21"/>
          <w:highlight w:val="none"/>
        </w:rPr>
        <w:t>年</w:t>
      </w:r>
      <w:r>
        <w:rPr>
          <w:rFonts w:ascii="宋体" w:hAnsi="宋体"/>
          <w:color w:val="auto"/>
          <w:sz w:val="21"/>
          <w:szCs w:val="21"/>
          <w:highlight w:val="none"/>
        </w:rPr>
        <w:t xml:space="preserve"> </w:t>
      </w:r>
      <w:r>
        <w:rPr>
          <w:rFonts w:ascii="宋体" w:hAnsi="宋体"/>
          <w:color w:val="auto"/>
          <w:sz w:val="21"/>
          <w:szCs w:val="21"/>
          <w:highlight w:val="none"/>
        </w:rPr>
        <w:tab/>
      </w:r>
      <w:r>
        <w:rPr>
          <w:rFonts w:hint="eastAsia" w:ascii="宋体" w:hAnsi="宋体"/>
          <w:color w:val="auto"/>
          <w:sz w:val="21"/>
          <w:szCs w:val="21"/>
          <w:highlight w:val="none"/>
        </w:rPr>
        <w:t>月</w:t>
      </w:r>
      <w:r>
        <w:rPr>
          <w:rFonts w:ascii="宋体" w:hAnsi="宋体"/>
          <w:color w:val="auto"/>
          <w:sz w:val="21"/>
          <w:szCs w:val="21"/>
          <w:highlight w:val="none"/>
        </w:rPr>
        <w:t xml:space="preserve"> </w:t>
      </w:r>
      <w:r>
        <w:rPr>
          <w:rFonts w:ascii="宋体" w:hAnsi="宋体"/>
          <w:color w:val="auto"/>
          <w:sz w:val="21"/>
          <w:szCs w:val="21"/>
          <w:highlight w:val="none"/>
        </w:rPr>
        <w:tab/>
      </w:r>
      <w:r>
        <w:rPr>
          <w:rFonts w:hint="eastAsia" w:ascii="宋体" w:hAnsi="宋体"/>
          <w:color w:val="auto"/>
          <w:sz w:val="21"/>
          <w:szCs w:val="21"/>
          <w:highlight w:val="none"/>
        </w:rPr>
        <w:t>日</w:t>
      </w:r>
    </w:p>
    <w:p w14:paraId="4EEDE63F">
      <w:pPr>
        <w:pStyle w:val="24"/>
        <w:rPr>
          <w:rFonts w:hint="eastAsia"/>
          <w:color w:val="auto"/>
          <w:highlight w:val="none"/>
        </w:rPr>
      </w:pPr>
    </w:p>
    <w:p w14:paraId="4A803603">
      <w:pPr>
        <w:tabs>
          <w:tab w:val="left" w:pos="1305"/>
        </w:tabs>
        <w:spacing w:line="380" w:lineRule="exact"/>
        <w:ind w:firstLine="420" w:firstLineChars="200"/>
        <w:jc w:val="left"/>
        <w:rPr>
          <w:rFonts w:hint="eastAsia" w:ascii="宋体" w:hAnsi="宋体" w:cs="宋体"/>
          <w:color w:val="auto"/>
          <w:kern w:val="0"/>
          <w:highlight w:val="none"/>
        </w:rPr>
      </w:pPr>
    </w:p>
    <w:p w14:paraId="33A4DD4B">
      <w:pPr>
        <w:rPr>
          <w:rFonts w:hint="eastAsia" w:ascii="宋体" w:hAnsi="宋体"/>
          <w:b/>
          <w:color w:val="auto"/>
          <w:spacing w:val="6"/>
          <w:sz w:val="32"/>
          <w:szCs w:val="32"/>
          <w:highlight w:val="none"/>
        </w:rPr>
      </w:pPr>
    </w:p>
    <w:p w14:paraId="56CA55AB">
      <w:pPr>
        <w:tabs>
          <w:tab w:val="left" w:pos="1305"/>
        </w:tabs>
        <w:spacing w:line="380" w:lineRule="exact"/>
        <w:ind w:firstLine="667" w:firstLineChars="200"/>
        <w:jc w:val="left"/>
        <w:rPr>
          <w:rFonts w:hint="eastAsia" w:ascii="宋体" w:hAnsi="宋体"/>
          <w:b/>
          <w:color w:val="auto"/>
          <w:spacing w:val="6"/>
          <w:sz w:val="32"/>
          <w:szCs w:val="32"/>
          <w:highlight w:val="none"/>
        </w:rPr>
      </w:pPr>
    </w:p>
    <w:p w14:paraId="2B456FA4">
      <w:pPr>
        <w:tabs>
          <w:tab w:val="left" w:pos="1305"/>
        </w:tabs>
        <w:spacing w:line="380" w:lineRule="exact"/>
        <w:ind w:firstLine="667" w:firstLineChars="200"/>
        <w:jc w:val="left"/>
        <w:rPr>
          <w:rFonts w:hint="eastAsia" w:ascii="宋体" w:hAnsi="宋体"/>
          <w:b/>
          <w:color w:val="auto"/>
          <w:spacing w:val="6"/>
          <w:sz w:val="32"/>
          <w:szCs w:val="32"/>
          <w:highlight w:val="none"/>
        </w:rPr>
      </w:pPr>
    </w:p>
    <w:p w14:paraId="21D8BD59">
      <w:pPr>
        <w:rPr>
          <w:rFonts w:hint="eastAsia" w:ascii="宋体" w:hAnsi="宋体"/>
          <w:b/>
          <w:color w:val="auto"/>
          <w:spacing w:val="6"/>
          <w:sz w:val="32"/>
          <w:szCs w:val="32"/>
          <w:highlight w:val="none"/>
        </w:rPr>
      </w:pPr>
      <w:r>
        <w:rPr>
          <w:rFonts w:hint="eastAsia" w:ascii="宋体" w:hAnsi="宋体"/>
          <w:b/>
          <w:color w:val="auto"/>
          <w:spacing w:val="6"/>
          <w:sz w:val="32"/>
          <w:szCs w:val="32"/>
          <w:highlight w:val="none"/>
        </w:rPr>
        <w:br w:type="page"/>
      </w:r>
    </w:p>
    <w:p w14:paraId="12E4BFD9">
      <w:pPr>
        <w:pStyle w:val="2"/>
        <w:spacing w:before="480"/>
        <w:rPr>
          <w:rFonts w:hint="eastAsia" w:ascii="宋体" w:hAnsi="宋体"/>
          <w:b/>
          <w:color w:val="auto"/>
          <w:highlight w:val="none"/>
        </w:rPr>
      </w:pPr>
      <w:r>
        <w:rPr>
          <w:rFonts w:hint="eastAsia" w:ascii="宋体" w:hAnsi="宋体"/>
          <w:b/>
          <w:color w:val="auto"/>
          <w:highlight w:val="none"/>
        </w:rPr>
        <w:t>三、商务、技术性响应及其他有效证明材料（格式）</w:t>
      </w:r>
      <w:bookmarkEnd w:id="26"/>
    </w:p>
    <w:p w14:paraId="6CA0AA5E">
      <w:pPr>
        <w:pStyle w:val="27"/>
        <w:spacing w:line="400" w:lineRule="exact"/>
        <w:ind w:left="420" w:firstLine="643"/>
        <w:rPr>
          <w:rFonts w:hint="eastAsia" w:hAnsi="宋体"/>
          <w:b/>
          <w:color w:val="auto"/>
          <w:sz w:val="32"/>
          <w:szCs w:val="32"/>
          <w:highlight w:val="none"/>
        </w:rPr>
      </w:pPr>
    </w:p>
    <w:p w14:paraId="6AB4BD60">
      <w:pPr>
        <w:pStyle w:val="27"/>
        <w:spacing w:line="400" w:lineRule="exact"/>
        <w:ind w:left="420" w:firstLine="643"/>
        <w:rPr>
          <w:rFonts w:hint="eastAsia" w:hAnsi="宋体"/>
          <w:b/>
          <w:color w:val="auto"/>
          <w:sz w:val="32"/>
          <w:szCs w:val="32"/>
          <w:highlight w:val="none"/>
        </w:rPr>
      </w:pPr>
      <w:r>
        <w:rPr>
          <w:rFonts w:hint="eastAsia" w:hAnsi="宋体"/>
          <w:b/>
          <w:color w:val="auto"/>
          <w:sz w:val="32"/>
          <w:szCs w:val="32"/>
          <w:highlight w:val="none"/>
        </w:rPr>
        <w:t>1.</w:t>
      </w:r>
      <w:r>
        <w:rPr>
          <w:rFonts w:hint="eastAsia" w:hAnsi="宋体"/>
          <w:color w:val="auto"/>
          <w:highlight w:val="none"/>
        </w:rPr>
        <w:t xml:space="preserve"> </w:t>
      </w:r>
      <w:r>
        <w:rPr>
          <w:rFonts w:hint="eastAsia" w:hAnsi="宋体"/>
          <w:b/>
          <w:color w:val="auto"/>
          <w:sz w:val="32"/>
          <w:szCs w:val="32"/>
          <w:highlight w:val="none"/>
        </w:rPr>
        <w:t>技术规格响应偏离表（必须提供）</w:t>
      </w:r>
    </w:p>
    <w:p w14:paraId="32D1F500">
      <w:pPr>
        <w:pStyle w:val="27"/>
        <w:ind w:firstLine="354" w:firstLineChars="147"/>
        <w:rPr>
          <w:rFonts w:hint="eastAsia" w:hAnsi="宋体"/>
          <w:b/>
          <w:color w:val="auto"/>
          <w:sz w:val="24"/>
          <w:szCs w:val="24"/>
          <w:highlight w:val="none"/>
        </w:rPr>
      </w:pPr>
    </w:p>
    <w:p w14:paraId="3BB0D4C5">
      <w:pPr>
        <w:pStyle w:val="27"/>
        <w:ind w:firstLine="354" w:firstLineChars="147"/>
        <w:rPr>
          <w:rFonts w:hint="eastAsia" w:hAnsi="宋体"/>
          <w:b/>
          <w:color w:val="auto"/>
          <w:sz w:val="24"/>
          <w:szCs w:val="24"/>
          <w:highlight w:val="none"/>
        </w:rPr>
      </w:pPr>
      <w:r>
        <w:rPr>
          <w:rFonts w:hint="eastAsia" w:hAnsi="宋体"/>
          <w:b/>
          <w:color w:val="auto"/>
          <w:sz w:val="24"/>
          <w:szCs w:val="24"/>
          <w:highlight w:val="none"/>
        </w:rPr>
        <w:t xml:space="preserve">附件：            </w:t>
      </w:r>
    </w:p>
    <w:p w14:paraId="09DF6642">
      <w:pPr>
        <w:pStyle w:val="27"/>
        <w:ind w:firstLine="472" w:firstLineChars="147"/>
        <w:jc w:val="center"/>
        <w:rPr>
          <w:rFonts w:hint="eastAsia" w:hAnsi="宋体"/>
          <w:b/>
          <w:bCs/>
          <w:color w:val="auto"/>
          <w:sz w:val="32"/>
          <w:highlight w:val="none"/>
        </w:rPr>
      </w:pPr>
      <w:r>
        <w:rPr>
          <w:rFonts w:hint="eastAsia" w:hAnsi="宋体"/>
          <w:b/>
          <w:bCs/>
          <w:color w:val="auto"/>
          <w:sz w:val="32"/>
          <w:highlight w:val="none"/>
        </w:rPr>
        <w:t>技术规格响应偏离表（格式）</w:t>
      </w:r>
    </w:p>
    <w:p w14:paraId="5A62998A">
      <w:pPr>
        <w:pStyle w:val="27"/>
        <w:jc w:val="left"/>
        <w:rPr>
          <w:rFonts w:hint="eastAsia" w:hAnsi="宋体"/>
          <w:b/>
          <w:bCs/>
          <w:color w:val="auto"/>
          <w:szCs w:val="21"/>
          <w:highlight w:val="none"/>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766"/>
        <w:gridCol w:w="3022"/>
        <w:gridCol w:w="2264"/>
        <w:gridCol w:w="1822"/>
      </w:tblGrid>
      <w:tr w14:paraId="19441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54" w:type="dxa"/>
            <w:vAlign w:val="center"/>
          </w:tcPr>
          <w:p w14:paraId="13A91961">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项号</w:t>
            </w:r>
          </w:p>
        </w:tc>
        <w:tc>
          <w:tcPr>
            <w:tcW w:w="1766" w:type="dxa"/>
            <w:vAlign w:val="center"/>
          </w:tcPr>
          <w:p w14:paraId="593F5456">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货物名称</w:t>
            </w:r>
          </w:p>
        </w:tc>
        <w:tc>
          <w:tcPr>
            <w:tcW w:w="3022" w:type="dxa"/>
            <w:vAlign w:val="center"/>
          </w:tcPr>
          <w:p w14:paraId="6D9346A0">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招标采购需求（</w:t>
            </w:r>
            <w:r>
              <w:rPr>
                <w:rFonts w:hint="eastAsia" w:hAnsi="宋体" w:cs="宋体"/>
                <w:b/>
                <w:color w:val="auto"/>
                <w:szCs w:val="21"/>
                <w:highlight w:val="none"/>
              </w:rPr>
              <w:t>技术参数要求）</w:t>
            </w:r>
          </w:p>
        </w:tc>
        <w:tc>
          <w:tcPr>
            <w:tcW w:w="2264" w:type="dxa"/>
            <w:vAlign w:val="center"/>
          </w:tcPr>
          <w:p w14:paraId="46094ABB">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投标文件的响应情况</w:t>
            </w:r>
          </w:p>
        </w:tc>
        <w:tc>
          <w:tcPr>
            <w:tcW w:w="1822" w:type="dxa"/>
            <w:vAlign w:val="center"/>
          </w:tcPr>
          <w:p w14:paraId="6D84C345">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响应偏离情况</w:t>
            </w:r>
          </w:p>
        </w:tc>
      </w:tr>
      <w:tr w14:paraId="42EC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54" w:type="dxa"/>
            <w:vAlign w:val="center"/>
          </w:tcPr>
          <w:p w14:paraId="645A254C">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1</w:t>
            </w:r>
          </w:p>
        </w:tc>
        <w:tc>
          <w:tcPr>
            <w:tcW w:w="1766" w:type="dxa"/>
            <w:vAlign w:val="center"/>
          </w:tcPr>
          <w:p w14:paraId="7155B843">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3022" w:type="dxa"/>
            <w:vAlign w:val="center"/>
          </w:tcPr>
          <w:p w14:paraId="008AD283">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2264" w:type="dxa"/>
            <w:vAlign w:val="center"/>
          </w:tcPr>
          <w:p w14:paraId="68BA9BEB">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1822" w:type="dxa"/>
            <w:vAlign w:val="center"/>
          </w:tcPr>
          <w:p w14:paraId="59FC6647">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r>
      <w:tr w14:paraId="2DB14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54" w:type="dxa"/>
            <w:vAlign w:val="center"/>
          </w:tcPr>
          <w:p w14:paraId="0C4D42A2">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2</w:t>
            </w:r>
          </w:p>
        </w:tc>
        <w:tc>
          <w:tcPr>
            <w:tcW w:w="1766" w:type="dxa"/>
            <w:vAlign w:val="center"/>
          </w:tcPr>
          <w:p w14:paraId="0B01F65B">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3022" w:type="dxa"/>
            <w:vAlign w:val="center"/>
          </w:tcPr>
          <w:p w14:paraId="6554A8B2">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2264" w:type="dxa"/>
            <w:vAlign w:val="center"/>
          </w:tcPr>
          <w:p w14:paraId="7BD891DF">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1822" w:type="dxa"/>
            <w:vAlign w:val="center"/>
          </w:tcPr>
          <w:p w14:paraId="3E6116B7">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r>
      <w:tr w14:paraId="76BB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54" w:type="dxa"/>
            <w:vAlign w:val="center"/>
          </w:tcPr>
          <w:p w14:paraId="057CC51E">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3</w:t>
            </w:r>
          </w:p>
        </w:tc>
        <w:tc>
          <w:tcPr>
            <w:tcW w:w="1766" w:type="dxa"/>
            <w:vAlign w:val="center"/>
          </w:tcPr>
          <w:p w14:paraId="1EA2D283">
            <w:pPr>
              <w:pStyle w:val="27"/>
              <w:keepNext w:val="0"/>
              <w:keepLines w:val="0"/>
              <w:suppressLineNumbers w:val="0"/>
              <w:spacing w:before="0" w:beforeAutospacing="0" w:after="0" w:afterAutospacing="0" w:line="360" w:lineRule="exact"/>
              <w:ind w:left="0" w:right="0"/>
              <w:jc w:val="center"/>
              <w:rPr>
                <w:rFonts w:hint="eastAsia" w:hAnsi="宋体" w:cs="宋体"/>
                <w:bCs/>
                <w:color w:val="auto"/>
                <w:szCs w:val="21"/>
                <w:highlight w:val="none"/>
              </w:rPr>
            </w:pPr>
          </w:p>
        </w:tc>
        <w:tc>
          <w:tcPr>
            <w:tcW w:w="3022" w:type="dxa"/>
            <w:vAlign w:val="center"/>
          </w:tcPr>
          <w:p w14:paraId="6772B16C">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2264" w:type="dxa"/>
            <w:vAlign w:val="center"/>
          </w:tcPr>
          <w:p w14:paraId="360D612A">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1822" w:type="dxa"/>
            <w:vAlign w:val="center"/>
          </w:tcPr>
          <w:p w14:paraId="3A55556F">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r>
      <w:tr w14:paraId="7C5D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54" w:type="dxa"/>
          </w:tcPr>
          <w:p w14:paraId="0D761FFC">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w:t>
            </w:r>
          </w:p>
        </w:tc>
        <w:tc>
          <w:tcPr>
            <w:tcW w:w="1766" w:type="dxa"/>
            <w:vAlign w:val="center"/>
          </w:tcPr>
          <w:p w14:paraId="07B5BBD3">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3022" w:type="dxa"/>
            <w:vAlign w:val="center"/>
          </w:tcPr>
          <w:p w14:paraId="61F346BF">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2264" w:type="dxa"/>
            <w:vAlign w:val="center"/>
          </w:tcPr>
          <w:p w14:paraId="4CEDF6F6">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1822" w:type="dxa"/>
            <w:vAlign w:val="center"/>
          </w:tcPr>
          <w:p w14:paraId="60281295">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r>
    </w:tbl>
    <w:p w14:paraId="34DFDA51">
      <w:pPr>
        <w:pStyle w:val="27"/>
        <w:rPr>
          <w:rFonts w:hint="eastAsia" w:hAnsi="宋体"/>
          <w:color w:val="auto"/>
          <w:highlight w:val="none"/>
        </w:rPr>
      </w:pPr>
    </w:p>
    <w:p w14:paraId="0AC716B1">
      <w:pPr>
        <w:pStyle w:val="27"/>
        <w:ind w:firstLine="3465" w:firstLineChars="1650"/>
        <w:rPr>
          <w:rFonts w:hint="eastAsia" w:hAnsi="宋体"/>
          <w:color w:val="auto"/>
          <w:highlight w:val="none"/>
        </w:rPr>
      </w:pPr>
    </w:p>
    <w:p w14:paraId="12BE3FCC">
      <w:pPr>
        <w:pStyle w:val="27"/>
        <w:ind w:firstLine="3465" w:firstLineChars="1650"/>
        <w:rPr>
          <w:rFonts w:hint="eastAsia" w:hAnsi="宋体"/>
          <w:color w:val="auto"/>
          <w:highlight w:val="none"/>
        </w:rPr>
      </w:pPr>
    </w:p>
    <w:p w14:paraId="27A23121">
      <w:pPr>
        <w:pStyle w:val="27"/>
        <w:spacing w:line="500" w:lineRule="exact"/>
        <w:ind w:firstLine="3339" w:firstLineChars="1590"/>
        <w:rPr>
          <w:rFonts w:hint="eastAsia" w:hAnsi="宋体"/>
          <w:color w:val="auto"/>
          <w:highlight w:val="none"/>
        </w:rPr>
      </w:pPr>
      <w:r>
        <w:rPr>
          <w:rFonts w:hint="eastAsia" w:hAnsi="宋体"/>
          <w:color w:val="auto"/>
          <w:highlight w:val="none"/>
        </w:rPr>
        <w:t>投标人名称（加盖CA证书签章，自然人除外）：</w:t>
      </w:r>
      <w:r>
        <w:rPr>
          <w:rFonts w:hint="eastAsia" w:hAnsi="宋体"/>
          <w:color w:val="auto"/>
          <w:highlight w:val="none"/>
          <w:u w:val="single"/>
        </w:rPr>
        <w:t xml:space="preserve">          ；                        </w:t>
      </w:r>
    </w:p>
    <w:p w14:paraId="1443856D">
      <w:pPr>
        <w:pStyle w:val="27"/>
        <w:spacing w:line="500" w:lineRule="exact"/>
        <w:ind w:firstLine="2814" w:firstLineChars="1340"/>
        <w:jc w:val="center"/>
        <w:rPr>
          <w:rFonts w:hint="eastAsia" w:hAnsi="宋体"/>
          <w:color w:val="auto"/>
          <w:highlight w:val="none"/>
        </w:rPr>
      </w:pPr>
      <w:r>
        <w:rPr>
          <w:rFonts w:hint="eastAsia" w:hAnsi="宋体"/>
          <w:color w:val="auto"/>
          <w:highlight w:val="none"/>
        </w:rPr>
        <w:t>法定代表人或负责人或自然人或相应的委托代理人签字（或加盖</w:t>
      </w:r>
      <w:r>
        <w:rPr>
          <w:rFonts w:hint="eastAsia" w:hAnsi="宋体" w:cs="宋体"/>
          <w:color w:val="auto"/>
          <w:highlight w:val="none"/>
        </w:rPr>
        <w:t>个人CA证书签章</w:t>
      </w:r>
      <w:r>
        <w:rPr>
          <w:rFonts w:hint="eastAsia" w:hAnsi="宋体"/>
          <w:color w:val="auto"/>
          <w:highlight w:val="none"/>
        </w:rPr>
        <w:t>）：</w:t>
      </w:r>
      <w:r>
        <w:rPr>
          <w:rFonts w:hint="eastAsia" w:hAnsi="宋体"/>
          <w:color w:val="auto"/>
          <w:highlight w:val="none"/>
          <w:u w:val="single"/>
        </w:rPr>
        <w:t xml:space="preserve">                 ；</w:t>
      </w:r>
    </w:p>
    <w:p w14:paraId="7D62502E">
      <w:pPr>
        <w:pStyle w:val="27"/>
        <w:spacing w:line="500" w:lineRule="exact"/>
        <w:ind w:firstLine="3255" w:firstLineChars="1550"/>
        <w:rPr>
          <w:rFonts w:hint="eastAsia" w:hAnsi="宋体"/>
          <w:bCs/>
          <w:color w:val="auto"/>
          <w:szCs w:val="21"/>
          <w:highlight w:val="none"/>
          <w:u w:val="single"/>
        </w:rPr>
      </w:pPr>
      <w:r>
        <w:rPr>
          <w:rFonts w:hint="eastAsia" w:hAnsi="宋体"/>
          <w:bCs/>
          <w:color w:val="auto"/>
          <w:szCs w:val="21"/>
          <w:highlight w:val="none"/>
        </w:rPr>
        <w:t xml:space="preserve"> 日期：</w:t>
      </w:r>
      <w:r>
        <w:rPr>
          <w:rFonts w:hint="eastAsia" w:hAnsi="宋体"/>
          <w:bCs/>
          <w:color w:val="auto"/>
          <w:szCs w:val="21"/>
          <w:highlight w:val="none"/>
          <w:u w:val="single"/>
        </w:rPr>
        <w:t xml:space="preserve">                      ；</w:t>
      </w:r>
    </w:p>
    <w:p w14:paraId="3FAAEDA5">
      <w:pPr>
        <w:pStyle w:val="27"/>
        <w:spacing w:line="360" w:lineRule="exact"/>
        <w:ind w:left="3570" w:leftChars="1650" w:hanging="105" w:hangingChars="50"/>
        <w:rPr>
          <w:rFonts w:hint="eastAsia" w:hAnsi="宋体"/>
          <w:color w:val="auto"/>
          <w:szCs w:val="21"/>
          <w:highlight w:val="none"/>
          <w:u w:val="single"/>
        </w:rPr>
      </w:pPr>
      <w:r>
        <w:rPr>
          <w:rFonts w:hint="eastAsia" w:hAnsi="宋体"/>
          <w:color w:val="auto"/>
          <w:szCs w:val="21"/>
          <w:highlight w:val="none"/>
          <w:u w:val="single"/>
        </w:rPr>
        <w:t xml:space="preserve">        </w:t>
      </w:r>
    </w:p>
    <w:p w14:paraId="1B6BB360">
      <w:pPr>
        <w:pStyle w:val="27"/>
        <w:spacing w:line="360" w:lineRule="exact"/>
        <w:ind w:left="3570" w:leftChars="1650" w:hanging="105" w:hangingChars="50"/>
        <w:rPr>
          <w:rFonts w:hint="eastAsia" w:hAnsi="宋体"/>
          <w:color w:val="auto"/>
          <w:szCs w:val="21"/>
          <w:highlight w:val="none"/>
          <w:u w:val="single"/>
        </w:rPr>
      </w:pPr>
    </w:p>
    <w:p w14:paraId="0DCD3AF3">
      <w:pPr>
        <w:pStyle w:val="27"/>
        <w:spacing w:line="320" w:lineRule="exact"/>
        <w:ind w:firstLine="420" w:firstLineChars="200"/>
        <w:rPr>
          <w:rFonts w:hint="eastAsia" w:hAnsi="宋体"/>
          <w:bCs/>
          <w:color w:val="auto"/>
          <w:szCs w:val="21"/>
          <w:highlight w:val="none"/>
        </w:rPr>
      </w:pPr>
    </w:p>
    <w:p w14:paraId="155B4449">
      <w:pPr>
        <w:widowControl/>
        <w:jc w:val="left"/>
        <w:rPr>
          <w:rFonts w:hint="eastAsia" w:ascii="宋体" w:hAnsi="宋体"/>
          <w:color w:val="auto"/>
          <w:highlight w:val="none"/>
        </w:rPr>
      </w:pPr>
    </w:p>
    <w:p w14:paraId="69576D59">
      <w:pPr>
        <w:pStyle w:val="27"/>
        <w:spacing w:line="400" w:lineRule="atLeast"/>
        <w:ind w:firstLine="422" w:firstLineChars="200"/>
        <w:jc w:val="left"/>
        <w:rPr>
          <w:rFonts w:hint="eastAsia" w:hAnsi="宋体" w:cs="宋体"/>
          <w:b/>
          <w:color w:val="auto"/>
          <w:szCs w:val="21"/>
          <w:highlight w:val="none"/>
        </w:rPr>
      </w:pPr>
      <w:r>
        <w:rPr>
          <w:rFonts w:hint="eastAsia" w:hAnsi="宋体" w:cs="宋体"/>
          <w:b/>
          <w:color w:val="auto"/>
          <w:szCs w:val="21"/>
          <w:highlight w:val="none"/>
        </w:rPr>
        <w:t>注：①投标人应对照《货物采购需求》表中的技术参数要求在本表的“投标文件的响应情况（对技术参数要求的承诺）”栏中进行逐条内容响应，并在“响应偏离情况”栏注明无偏离、正偏离、负偏离，当出现“正偏离”情况时应对应填写偏离情况说明。</w:t>
      </w:r>
    </w:p>
    <w:p w14:paraId="5A0ADE73">
      <w:pPr>
        <w:pStyle w:val="27"/>
        <w:spacing w:line="400" w:lineRule="atLeast"/>
        <w:ind w:firstLine="422" w:firstLineChars="200"/>
        <w:jc w:val="left"/>
        <w:rPr>
          <w:rFonts w:hint="eastAsia" w:hAnsi="宋体"/>
          <w:b/>
          <w:bCs/>
          <w:color w:val="auto"/>
          <w:szCs w:val="21"/>
          <w:highlight w:val="none"/>
        </w:rPr>
      </w:pPr>
      <w:r>
        <w:rPr>
          <w:rFonts w:hint="eastAsia" w:hAnsi="宋体" w:cs="宋体"/>
          <w:b/>
          <w:color w:val="auto"/>
          <w:szCs w:val="21"/>
          <w:highlight w:val="none"/>
        </w:rPr>
        <w:t>②</w:t>
      </w:r>
      <w:r>
        <w:rPr>
          <w:rFonts w:hint="eastAsia" w:hAnsi="宋体"/>
          <w:b/>
          <w:bCs/>
          <w:color w:val="auto"/>
          <w:szCs w:val="21"/>
          <w:highlight w:val="none"/>
        </w:rPr>
        <w:t>本表须由法定代表人或负责人或自然人或相应的委托代理人签字（或加盖个人CA证书签章）并加盖投标人CA证书签章，自然人除外。</w:t>
      </w:r>
    </w:p>
    <w:p w14:paraId="6E04C9ED">
      <w:pPr>
        <w:pStyle w:val="233"/>
        <w:ind w:firstLine="480"/>
        <w:rPr>
          <w:rFonts w:hint="eastAsia" w:hAnsi="宋体"/>
          <w:color w:val="auto"/>
          <w:highlight w:val="none"/>
        </w:rPr>
      </w:pPr>
    </w:p>
    <w:p w14:paraId="48C3755E">
      <w:pPr>
        <w:snapToGrid w:val="0"/>
        <w:spacing w:line="400" w:lineRule="exact"/>
        <w:ind w:firstLine="643" w:firstLineChars="200"/>
        <w:rPr>
          <w:rFonts w:hint="eastAsia" w:ascii="宋体" w:hAnsi="宋体"/>
          <w:b/>
          <w:bCs/>
          <w:color w:val="auto"/>
          <w:sz w:val="32"/>
          <w:szCs w:val="20"/>
          <w:highlight w:val="none"/>
        </w:rPr>
      </w:pPr>
    </w:p>
    <w:p w14:paraId="0D7A8320">
      <w:pPr>
        <w:snapToGrid w:val="0"/>
        <w:spacing w:line="400" w:lineRule="exact"/>
        <w:ind w:firstLine="643" w:firstLineChars="200"/>
        <w:rPr>
          <w:rFonts w:hint="eastAsia" w:ascii="宋体" w:hAnsi="宋体"/>
          <w:b/>
          <w:bCs/>
          <w:color w:val="auto"/>
          <w:sz w:val="32"/>
          <w:szCs w:val="20"/>
          <w:highlight w:val="none"/>
        </w:rPr>
      </w:pPr>
    </w:p>
    <w:p w14:paraId="30050C49">
      <w:pPr>
        <w:pStyle w:val="233"/>
        <w:ind w:firstLine="480"/>
        <w:rPr>
          <w:rFonts w:ascii="Times New Roman"/>
          <w:color w:val="auto"/>
          <w:highlight w:val="none"/>
        </w:rPr>
      </w:pPr>
    </w:p>
    <w:p w14:paraId="4CB5260F">
      <w:pPr>
        <w:snapToGrid w:val="0"/>
        <w:spacing w:line="400" w:lineRule="exact"/>
        <w:ind w:firstLine="643" w:firstLineChars="200"/>
        <w:rPr>
          <w:rFonts w:hint="eastAsia" w:ascii="宋体" w:hAnsi="宋体"/>
          <w:b/>
          <w:bCs/>
          <w:color w:val="auto"/>
          <w:sz w:val="32"/>
          <w:szCs w:val="20"/>
          <w:highlight w:val="none"/>
        </w:rPr>
      </w:pPr>
    </w:p>
    <w:p w14:paraId="5C81E99C">
      <w:pPr>
        <w:snapToGrid w:val="0"/>
        <w:spacing w:line="400" w:lineRule="exact"/>
        <w:ind w:firstLine="643" w:firstLineChars="200"/>
        <w:outlineLvl w:val="4"/>
        <w:rPr>
          <w:rFonts w:hint="eastAsia" w:ascii="宋体" w:hAnsi="宋体"/>
          <w:b/>
          <w:bCs/>
          <w:color w:val="auto"/>
          <w:sz w:val="32"/>
          <w:szCs w:val="20"/>
          <w:highlight w:val="none"/>
        </w:rPr>
      </w:pPr>
      <w:r>
        <w:rPr>
          <w:rFonts w:hint="eastAsia" w:ascii="宋体" w:hAnsi="宋体"/>
          <w:b/>
          <w:bCs/>
          <w:color w:val="auto"/>
          <w:sz w:val="32"/>
          <w:szCs w:val="20"/>
          <w:highlight w:val="none"/>
        </w:rPr>
        <w:t>2.</w:t>
      </w:r>
      <w:r>
        <w:rPr>
          <w:rFonts w:hint="eastAsia" w:ascii="宋体" w:hAnsi="宋体"/>
          <w:color w:val="auto"/>
          <w:highlight w:val="none"/>
        </w:rPr>
        <w:t xml:space="preserve"> </w:t>
      </w:r>
      <w:r>
        <w:rPr>
          <w:rFonts w:hint="eastAsia" w:ascii="宋体" w:hAnsi="宋体"/>
          <w:b/>
          <w:bCs/>
          <w:color w:val="auto"/>
          <w:sz w:val="32"/>
          <w:szCs w:val="20"/>
          <w:highlight w:val="none"/>
        </w:rPr>
        <w:t>商务响应偏离表（必须提供）</w:t>
      </w:r>
    </w:p>
    <w:p w14:paraId="7EEBEF8B">
      <w:pPr>
        <w:pStyle w:val="27"/>
        <w:ind w:firstLine="354" w:firstLineChars="147"/>
        <w:rPr>
          <w:rFonts w:hint="eastAsia" w:hAnsi="宋体"/>
          <w:b/>
          <w:color w:val="auto"/>
          <w:sz w:val="24"/>
          <w:szCs w:val="24"/>
          <w:highlight w:val="none"/>
        </w:rPr>
      </w:pPr>
    </w:p>
    <w:p w14:paraId="3C519A96">
      <w:pPr>
        <w:pStyle w:val="27"/>
        <w:ind w:firstLine="354" w:firstLineChars="147"/>
        <w:rPr>
          <w:rFonts w:hint="eastAsia" w:hAnsi="宋体"/>
          <w:b/>
          <w:color w:val="auto"/>
          <w:sz w:val="24"/>
          <w:szCs w:val="24"/>
          <w:highlight w:val="none"/>
        </w:rPr>
      </w:pPr>
      <w:r>
        <w:rPr>
          <w:rFonts w:hint="eastAsia" w:hAnsi="宋体"/>
          <w:b/>
          <w:color w:val="auto"/>
          <w:sz w:val="24"/>
          <w:szCs w:val="24"/>
          <w:highlight w:val="none"/>
        </w:rPr>
        <w:t xml:space="preserve">附件：            </w:t>
      </w:r>
    </w:p>
    <w:p w14:paraId="21A44655">
      <w:pPr>
        <w:pStyle w:val="27"/>
        <w:ind w:firstLine="472" w:firstLineChars="147"/>
        <w:jc w:val="center"/>
        <w:rPr>
          <w:rFonts w:hint="eastAsia" w:hAnsi="宋体"/>
          <w:b/>
          <w:bCs/>
          <w:color w:val="auto"/>
          <w:sz w:val="32"/>
          <w:highlight w:val="none"/>
        </w:rPr>
      </w:pPr>
      <w:r>
        <w:rPr>
          <w:rFonts w:hint="eastAsia" w:hAnsi="宋体"/>
          <w:b/>
          <w:bCs/>
          <w:color w:val="auto"/>
          <w:sz w:val="32"/>
          <w:highlight w:val="none"/>
        </w:rPr>
        <w:t>商务响应偏离表（格式）</w:t>
      </w:r>
    </w:p>
    <w:p w14:paraId="362AFC8D">
      <w:pPr>
        <w:pStyle w:val="233"/>
        <w:ind w:firstLine="480"/>
        <w:rPr>
          <w:rFonts w:hint="eastAsia" w:hAnsi="宋体"/>
          <w:color w:val="auto"/>
          <w:highlight w:val="none"/>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766"/>
        <w:gridCol w:w="3022"/>
        <w:gridCol w:w="2264"/>
        <w:gridCol w:w="1822"/>
      </w:tblGrid>
      <w:tr w14:paraId="159E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54" w:type="dxa"/>
            <w:vAlign w:val="center"/>
          </w:tcPr>
          <w:p w14:paraId="2A27869D">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项号</w:t>
            </w:r>
          </w:p>
        </w:tc>
        <w:tc>
          <w:tcPr>
            <w:tcW w:w="1766" w:type="dxa"/>
            <w:vAlign w:val="center"/>
          </w:tcPr>
          <w:p w14:paraId="49640343">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条款名称</w:t>
            </w:r>
          </w:p>
        </w:tc>
        <w:tc>
          <w:tcPr>
            <w:tcW w:w="3022" w:type="dxa"/>
            <w:vAlign w:val="center"/>
          </w:tcPr>
          <w:p w14:paraId="1CDDED18">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招标采购要求</w:t>
            </w:r>
          </w:p>
        </w:tc>
        <w:tc>
          <w:tcPr>
            <w:tcW w:w="2264" w:type="dxa"/>
            <w:vAlign w:val="center"/>
          </w:tcPr>
          <w:p w14:paraId="08DD7DB3">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投标文件的响应情况</w:t>
            </w:r>
          </w:p>
        </w:tc>
        <w:tc>
          <w:tcPr>
            <w:tcW w:w="1822" w:type="dxa"/>
            <w:vAlign w:val="center"/>
          </w:tcPr>
          <w:p w14:paraId="342BF68C">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偏离情况说明</w:t>
            </w:r>
          </w:p>
        </w:tc>
      </w:tr>
      <w:tr w14:paraId="304DC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4" w:type="dxa"/>
            <w:vAlign w:val="center"/>
          </w:tcPr>
          <w:p w14:paraId="703FB7E1">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1</w:t>
            </w:r>
          </w:p>
        </w:tc>
        <w:tc>
          <w:tcPr>
            <w:tcW w:w="1766" w:type="dxa"/>
            <w:vAlign w:val="center"/>
          </w:tcPr>
          <w:p w14:paraId="577E242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3022" w:type="dxa"/>
          </w:tcPr>
          <w:p w14:paraId="1D3ED2DA">
            <w:pPr>
              <w:pStyle w:val="27"/>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2264" w:type="dxa"/>
          </w:tcPr>
          <w:p w14:paraId="0E2BBC61">
            <w:pPr>
              <w:pStyle w:val="27"/>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1822" w:type="dxa"/>
          </w:tcPr>
          <w:p w14:paraId="3EE69E25">
            <w:pPr>
              <w:pStyle w:val="27"/>
              <w:keepNext w:val="0"/>
              <w:keepLines w:val="0"/>
              <w:suppressLineNumbers w:val="0"/>
              <w:spacing w:before="0" w:beforeAutospacing="0" w:after="0" w:afterAutospacing="0" w:line="360" w:lineRule="exact"/>
              <w:ind w:left="0" w:right="0"/>
              <w:rPr>
                <w:rFonts w:hint="eastAsia" w:hAnsi="宋体"/>
                <w:color w:val="auto"/>
                <w:szCs w:val="24"/>
                <w:highlight w:val="none"/>
              </w:rPr>
            </w:pPr>
          </w:p>
        </w:tc>
      </w:tr>
      <w:tr w14:paraId="2D0D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654" w:type="dxa"/>
            <w:vAlign w:val="center"/>
          </w:tcPr>
          <w:p w14:paraId="31F84C4A">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2</w:t>
            </w:r>
          </w:p>
        </w:tc>
        <w:tc>
          <w:tcPr>
            <w:tcW w:w="1766" w:type="dxa"/>
            <w:vAlign w:val="center"/>
          </w:tcPr>
          <w:p w14:paraId="1D93792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3022" w:type="dxa"/>
          </w:tcPr>
          <w:p w14:paraId="3D9C28A2">
            <w:pPr>
              <w:pStyle w:val="27"/>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2264" w:type="dxa"/>
          </w:tcPr>
          <w:p w14:paraId="2ACFA9AB">
            <w:pPr>
              <w:pStyle w:val="27"/>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1822" w:type="dxa"/>
          </w:tcPr>
          <w:p w14:paraId="7BACBE4A">
            <w:pPr>
              <w:pStyle w:val="27"/>
              <w:keepNext w:val="0"/>
              <w:keepLines w:val="0"/>
              <w:suppressLineNumbers w:val="0"/>
              <w:spacing w:before="0" w:beforeAutospacing="0" w:after="0" w:afterAutospacing="0" w:line="360" w:lineRule="exact"/>
              <w:ind w:left="0" w:right="0"/>
              <w:rPr>
                <w:rFonts w:hint="eastAsia" w:hAnsi="宋体"/>
                <w:color w:val="auto"/>
                <w:szCs w:val="24"/>
                <w:highlight w:val="none"/>
              </w:rPr>
            </w:pPr>
          </w:p>
        </w:tc>
      </w:tr>
      <w:tr w14:paraId="614C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54" w:type="dxa"/>
            <w:vAlign w:val="center"/>
          </w:tcPr>
          <w:p w14:paraId="68C8E1D7">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3</w:t>
            </w:r>
          </w:p>
        </w:tc>
        <w:tc>
          <w:tcPr>
            <w:tcW w:w="1766" w:type="dxa"/>
            <w:vAlign w:val="center"/>
          </w:tcPr>
          <w:p w14:paraId="7D8CEDBD">
            <w:pPr>
              <w:keepNext w:val="0"/>
              <w:keepLines w:val="0"/>
              <w:suppressLineNumbers w:val="0"/>
              <w:adjustRightInd w:val="0"/>
              <w:spacing w:before="0" w:beforeAutospacing="0" w:after="0" w:afterAutospacing="0" w:line="380" w:lineRule="exact"/>
              <w:ind w:left="0" w:right="0"/>
              <w:jc w:val="center"/>
              <w:rPr>
                <w:rFonts w:hint="eastAsia" w:ascii="宋体" w:hAnsi="宋体"/>
                <w:color w:val="auto"/>
                <w:kern w:val="0"/>
                <w:szCs w:val="21"/>
                <w:highlight w:val="none"/>
              </w:rPr>
            </w:pPr>
          </w:p>
        </w:tc>
        <w:tc>
          <w:tcPr>
            <w:tcW w:w="3022" w:type="dxa"/>
          </w:tcPr>
          <w:p w14:paraId="2289566F">
            <w:pPr>
              <w:pStyle w:val="27"/>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2264" w:type="dxa"/>
          </w:tcPr>
          <w:p w14:paraId="09C5B406">
            <w:pPr>
              <w:pStyle w:val="27"/>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1822" w:type="dxa"/>
          </w:tcPr>
          <w:p w14:paraId="0097F98A">
            <w:pPr>
              <w:pStyle w:val="27"/>
              <w:keepNext w:val="0"/>
              <w:keepLines w:val="0"/>
              <w:suppressLineNumbers w:val="0"/>
              <w:spacing w:before="0" w:beforeAutospacing="0" w:after="0" w:afterAutospacing="0" w:line="360" w:lineRule="exact"/>
              <w:ind w:left="0" w:right="0"/>
              <w:rPr>
                <w:rFonts w:hint="eastAsia" w:hAnsi="宋体"/>
                <w:color w:val="auto"/>
                <w:szCs w:val="24"/>
                <w:highlight w:val="none"/>
              </w:rPr>
            </w:pPr>
          </w:p>
        </w:tc>
      </w:tr>
      <w:tr w14:paraId="5F716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654" w:type="dxa"/>
            <w:vAlign w:val="center"/>
          </w:tcPr>
          <w:p w14:paraId="5AA6FDCB">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4</w:t>
            </w:r>
          </w:p>
        </w:tc>
        <w:tc>
          <w:tcPr>
            <w:tcW w:w="1766" w:type="dxa"/>
            <w:vAlign w:val="center"/>
          </w:tcPr>
          <w:p w14:paraId="53634031">
            <w:pPr>
              <w:keepNext w:val="0"/>
              <w:keepLines w:val="0"/>
              <w:suppressLineNumbers w:val="0"/>
              <w:adjustRightInd w:val="0"/>
              <w:spacing w:before="0" w:beforeAutospacing="0" w:after="0" w:afterAutospacing="0" w:line="380" w:lineRule="exact"/>
              <w:ind w:left="0" w:right="0"/>
              <w:jc w:val="center"/>
              <w:rPr>
                <w:rFonts w:hint="eastAsia" w:ascii="宋体" w:hAnsi="宋体"/>
                <w:color w:val="auto"/>
                <w:kern w:val="0"/>
                <w:szCs w:val="21"/>
                <w:highlight w:val="none"/>
              </w:rPr>
            </w:pPr>
          </w:p>
        </w:tc>
        <w:tc>
          <w:tcPr>
            <w:tcW w:w="3022" w:type="dxa"/>
          </w:tcPr>
          <w:p w14:paraId="21A283C6">
            <w:pPr>
              <w:pStyle w:val="27"/>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2264" w:type="dxa"/>
          </w:tcPr>
          <w:p w14:paraId="72A612F3">
            <w:pPr>
              <w:pStyle w:val="27"/>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1822" w:type="dxa"/>
          </w:tcPr>
          <w:p w14:paraId="6831F42E">
            <w:pPr>
              <w:pStyle w:val="27"/>
              <w:keepNext w:val="0"/>
              <w:keepLines w:val="0"/>
              <w:suppressLineNumbers w:val="0"/>
              <w:spacing w:before="0" w:beforeAutospacing="0" w:after="0" w:afterAutospacing="0" w:line="360" w:lineRule="exact"/>
              <w:ind w:left="0" w:right="0"/>
              <w:rPr>
                <w:rFonts w:hint="eastAsia" w:hAnsi="宋体"/>
                <w:color w:val="auto"/>
                <w:szCs w:val="24"/>
                <w:highlight w:val="none"/>
              </w:rPr>
            </w:pPr>
          </w:p>
        </w:tc>
      </w:tr>
      <w:tr w14:paraId="0FD1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654" w:type="dxa"/>
            <w:vAlign w:val="center"/>
          </w:tcPr>
          <w:p w14:paraId="1C3A88C2">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5</w:t>
            </w:r>
          </w:p>
        </w:tc>
        <w:tc>
          <w:tcPr>
            <w:tcW w:w="1766" w:type="dxa"/>
            <w:vAlign w:val="center"/>
          </w:tcPr>
          <w:p w14:paraId="0C9D4316">
            <w:pPr>
              <w:keepNext w:val="0"/>
              <w:keepLines w:val="0"/>
              <w:suppressLineNumbers w:val="0"/>
              <w:adjustRightInd w:val="0"/>
              <w:spacing w:before="0" w:beforeAutospacing="0" w:after="0" w:afterAutospacing="0" w:line="380" w:lineRule="exact"/>
              <w:ind w:left="0" w:right="0"/>
              <w:jc w:val="center"/>
              <w:rPr>
                <w:rFonts w:hint="eastAsia" w:ascii="宋体" w:hAnsi="宋体"/>
                <w:color w:val="auto"/>
                <w:kern w:val="0"/>
                <w:szCs w:val="21"/>
                <w:highlight w:val="none"/>
              </w:rPr>
            </w:pPr>
          </w:p>
        </w:tc>
        <w:tc>
          <w:tcPr>
            <w:tcW w:w="3022" w:type="dxa"/>
          </w:tcPr>
          <w:p w14:paraId="082356D9">
            <w:pPr>
              <w:pStyle w:val="27"/>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2264" w:type="dxa"/>
          </w:tcPr>
          <w:p w14:paraId="4EC76A9E">
            <w:pPr>
              <w:pStyle w:val="27"/>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1822" w:type="dxa"/>
          </w:tcPr>
          <w:p w14:paraId="53521A8C">
            <w:pPr>
              <w:pStyle w:val="27"/>
              <w:keepNext w:val="0"/>
              <w:keepLines w:val="0"/>
              <w:suppressLineNumbers w:val="0"/>
              <w:spacing w:before="0" w:beforeAutospacing="0" w:after="0" w:afterAutospacing="0" w:line="360" w:lineRule="exact"/>
              <w:ind w:left="0" w:right="0"/>
              <w:rPr>
                <w:rFonts w:hint="eastAsia" w:hAnsi="宋体"/>
                <w:color w:val="auto"/>
                <w:szCs w:val="24"/>
                <w:highlight w:val="none"/>
              </w:rPr>
            </w:pPr>
          </w:p>
        </w:tc>
      </w:tr>
      <w:tr w14:paraId="20E3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54" w:type="dxa"/>
            <w:vAlign w:val="center"/>
          </w:tcPr>
          <w:p w14:paraId="691C6382">
            <w:pPr>
              <w:pStyle w:val="27"/>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6</w:t>
            </w:r>
          </w:p>
        </w:tc>
        <w:tc>
          <w:tcPr>
            <w:tcW w:w="1766" w:type="dxa"/>
            <w:vAlign w:val="center"/>
          </w:tcPr>
          <w:p w14:paraId="012270A2">
            <w:pPr>
              <w:keepNext w:val="0"/>
              <w:keepLines w:val="0"/>
              <w:suppressLineNumbers w:val="0"/>
              <w:spacing w:before="0" w:beforeAutospacing="0" w:after="0" w:afterAutospacing="0" w:line="380" w:lineRule="exact"/>
              <w:ind w:left="0" w:right="0"/>
              <w:jc w:val="center"/>
              <w:rPr>
                <w:rFonts w:hint="eastAsia" w:ascii="宋体" w:hAnsi="宋体"/>
                <w:color w:val="auto"/>
                <w:kern w:val="0"/>
                <w:szCs w:val="21"/>
                <w:highlight w:val="none"/>
              </w:rPr>
            </w:pPr>
          </w:p>
        </w:tc>
        <w:tc>
          <w:tcPr>
            <w:tcW w:w="3022" w:type="dxa"/>
          </w:tcPr>
          <w:p w14:paraId="2147BABD">
            <w:pPr>
              <w:pStyle w:val="27"/>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2264" w:type="dxa"/>
          </w:tcPr>
          <w:p w14:paraId="57D3ADDD">
            <w:pPr>
              <w:pStyle w:val="27"/>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1822" w:type="dxa"/>
          </w:tcPr>
          <w:p w14:paraId="6EC1EE62">
            <w:pPr>
              <w:pStyle w:val="27"/>
              <w:keepNext w:val="0"/>
              <w:keepLines w:val="0"/>
              <w:suppressLineNumbers w:val="0"/>
              <w:spacing w:before="0" w:beforeAutospacing="0" w:after="0" w:afterAutospacing="0" w:line="360" w:lineRule="exact"/>
              <w:ind w:left="0" w:right="0"/>
              <w:rPr>
                <w:rFonts w:hint="eastAsia" w:hAnsi="宋体"/>
                <w:color w:val="auto"/>
                <w:szCs w:val="24"/>
                <w:highlight w:val="none"/>
              </w:rPr>
            </w:pPr>
          </w:p>
        </w:tc>
      </w:tr>
    </w:tbl>
    <w:p w14:paraId="40AD7585">
      <w:pPr>
        <w:snapToGrid w:val="0"/>
        <w:spacing w:line="400" w:lineRule="exact"/>
        <w:rPr>
          <w:rFonts w:hint="eastAsia" w:ascii="宋体" w:hAnsi="宋体"/>
          <w:b/>
          <w:bCs/>
          <w:color w:val="auto"/>
          <w:sz w:val="32"/>
          <w:szCs w:val="20"/>
          <w:highlight w:val="none"/>
        </w:rPr>
      </w:pPr>
    </w:p>
    <w:p w14:paraId="59823333">
      <w:pPr>
        <w:pStyle w:val="27"/>
        <w:spacing w:line="500" w:lineRule="exact"/>
        <w:ind w:firstLine="3339" w:firstLineChars="1590"/>
        <w:rPr>
          <w:rFonts w:hint="eastAsia" w:hAnsi="宋体"/>
          <w:color w:val="auto"/>
          <w:highlight w:val="none"/>
        </w:rPr>
      </w:pPr>
      <w:r>
        <w:rPr>
          <w:rFonts w:hint="eastAsia" w:hAnsi="宋体"/>
          <w:color w:val="auto"/>
          <w:highlight w:val="none"/>
        </w:rPr>
        <w:t>投标人名称（加盖CA证书签章，自然人除外）：</w:t>
      </w:r>
      <w:r>
        <w:rPr>
          <w:rFonts w:hint="eastAsia" w:hAnsi="宋体"/>
          <w:color w:val="auto"/>
          <w:highlight w:val="none"/>
          <w:u w:val="single"/>
        </w:rPr>
        <w:t xml:space="preserve">          ；                        </w:t>
      </w:r>
    </w:p>
    <w:p w14:paraId="72F31B18">
      <w:pPr>
        <w:pStyle w:val="27"/>
        <w:spacing w:line="500" w:lineRule="exact"/>
        <w:ind w:firstLine="2814" w:firstLineChars="1340"/>
        <w:jc w:val="center"/>
        <w:rPr>
          <w:rFonts w:hint="eastAsia" w:hAnsi="宋体"/>
          <w:color w:val="auto"/>
          <w:highlight w:val="none"/>
        </w:rPr>
      </w:pPr>
      <w:r>
        <w:rPr>
          <w:rFonts w:hint="eastAsia" w:hAnsi="宋体"/>
          <w:color w:val="auto"/>
          <w:highlight w:val="none"/>
        </w:rPr>
        <w:t>法定代表人或负责人或自然人或相应的委托代理人签字（或加盖</w:t>
      </w:r>
      <w:r>
        <w:rPr>
          <w:rFonts w:hint="eastAsia" w:hAnsi="宋体" w:cs="宋体"/>
          <w:color w:val="auto"/>
          <w:highlight w:val="none"/>
        </w:rPr>
        <w:t>个人CA证书签章</w:t>
      </w:r>
      <w:r>
        <w:rPr>
          <w:rFonts w:hint="eastAsia" w:hAnsi="宋体"/>
          <w:color w:val="auto"/>
          <w:highlight w:val="none"/>
        </w:rPr>
        <w:t>）：</w:t>
      </w:r>
      <w:r>
        <w:rPr>
          <w:rFonts w:hint="eastAsia" w:hAnsi="宋体"/>
          <w:color w:val="auto"/>
          <w:highlight w:val="none"/>
          <w:u w:val="single"/>
        </w:rPr>
        <w:t xml:space="preserve">                 ；</w:t>
      </w:r>
    </w:p>
    <w:p w14:paraId="73635350">
      <w:pPr>
        <w:pStyle w:val="27"/>
        <w:spacing w:line="500" w:lineRule="exact"/>
        <w:ind w:firstLine="3360" w:firstLineChars="1600"/>
        <w:rPr>
          <w:rFonts w:hint="eastAsia" w:hAnsi="宋体"/>
          <w:bCs/>
          <w:color w:val="auto"/>
          <w:szCs w:val="21"/>
          <w:highlight w:val="none"/>
          <w:u w:val="single"/>
        </w:rPr>
      </w:pPr>
      <w:r>
        <w:rPr>
          <w:rFonts w:hint="eastAsia" w:hAnsi="宋体"/>
          <w:bCs/>
          <w:color w:val="auto"/>
          <w:szCs w:val="21"/>
          <w:highlight w:val="none"/>
        </w:rPr>
        <w:t>日期：</w:t>
      </w:r>
      <w:r>
        <w:rPr>
          <w:rFonts w:hint="eastAsia" w:hAnsi="宋体"/>
          <w:bCs/>
          <w:color w:val="auto"/>
          <w:szCs w:val="21"/>
          <w:highlight w:val="none"/>
          <w:u w:val="single"/>
        </w:rPr>
        <w:t xml:space="preserve">                      ；</w:t>
      </w:r>
    </w:p>
    <w:p w14:paraId="44801DF9">
      <w:pPr>
        <w:pStyle w:val="27"/>
        <w:spacing w:line="340" w:lineRule="exact"/>
        <w:rPr>
          <w:rFonts w:hint="eastAsia" w:hAnsi="宋体"/>
          <w:bCs/>
          <w:color w:val="auto"/>
          <w:szCs w:val="21"/>
          <w:highlight w:val="none"/>
        </w:rPr>
      </w:pPr>
    </w:p>
    <w:p w14:paraId="020AA151">
      <w:pPr>
        <w:widowControl/>
        <w:jc w:val="left"/>
        <w:rPr>
          <w:rFonts w:hint="eastAsia" w:ascii="宋体" w:hAnsi="宋体"/>
          <w:color w:val="auto"/>
          <w:highlight w:val="none"/>
        </w:rPr>
      </w:pPr>
    </w:p>
    <w:p w14:paraId="6CDB5B51">
      <w:pPr>
        <w:pStyle w:val="27"/>
        <w:spacing w:line="340" w:lineRule="exact"/>
        <w:rPr>
          <w:rFonts w:hint="eastAsia" w:hAnsi="宋体"/>
          <w:bCs/>
          <w:color w:val="auto"/>
          <w:szCs w:val="21"/>
          <w:highlight w:val="none"/>
        </w:rPr>
      </w:pPr>
    </w:p>
    <w:p w14:paraId="364B29CA">
      <w:pPr>
        <w:pStyle w:val="27"/>
        <w:spacing w:line="400" w:lineRule="atLeast"/>
        <w:ind w:firstLine="422" w:firstLineChars="200"/>
        <w:jc w:val="left"/>
        <w:rPr>
          <w:rFonts w:hint="eastAsia" w:hAnsi="宋体" w:cs="宋体"/>
          <w:b/>
          <w:color w:val="auto"/>
          <w:szCs w:val="21"/>
          <w:highlight w:val="none"/>
        </w:rPr>
      </w:pPr>
      <w:r>
        <w:rPr>
          <w:rFonts w:hint="eastAsia" w:hAnsi="宋体" w:cs="宋体"/>
          <w:b/>
          <w:color w:val="auto"/>
          <w:szCs w:val="21"/>
          <w:highlight w:val="none"/>
        </w:rPr>
        <w:t>注：①投标人应对照《货物采购需求》表中商务要求的内容在本表的“投标文件的响应情况（对商务要求的承诺）”栏中进行逐条内容响应，并在“响应偏离情况”栏注明无偏离、正偏离、负偏离，当出现“正偏离”情况时应对应填写偏离情况说明。</w:t>
      </w:r>
    </w:p>
    <w:p w14:paraId="7C8F026C">
      <w:pPr>
        <w:pStyle w:val="27"/>
        <w:spacing w:line="400" w:lineRule="atLeast"/>
        <w:ind w:firstLine="422" w:firstLineChars="200"/>
        <w:jc w:val="left"/>
        <w:rPr>
          <w:rFonts w:hint="eastAsia" w:hAnsi="宋体"/>
          <w:b/>
          <w:bCs/>
          <w:color w:val="auto"/>
          <w:szCs w:val="21"/>
          <w:highlight w:val="none"/>
        </w:rPr>
      </w:pPr>
      <w:r>
        <w:rPr>
          <w:rFonts w:hint="eastAsia" w:hAnsi="宋体" w:cs="宋体"/>
          <w:b/>
          <w:color w:val="auto"/>
          <w:szCs w:val="21"/>
          <w:highlight w:val="none"/>
        </w:rPr>
        <w:t>②</w:t>
      </w:r>
      <w:r>
        <w:rPr>
          <w:rFonts w:hint="eastAsia" w:hAnsi="宋体"/>
          <w:b/>
          <w:bCs/>
          <w:color w:val="auto"/>
          <w:szCs w:val="21"/>
          <w:highlight w:val="none"/>
        </w:rPr>
        <w:t>本表须由法定代表人或负责人或自然人或相应的委托代理人签字（或加盖个人CA证书签章）并加盖投标人CA证书签章，自然人除外。</w:t>
      </w:r>
    </w:p>
    <w:p w14:paraId="155CD37C">
      <w:pPr>
        <w:pStyle w:val="27"/>
        <w:spacing w:line="340" w:lineRule="exact"/>
        <w:rPr>
          <w:rFonts w:hint="eastAsia" w:hAnsi="宋体"/>
          <w:b/>
          <w:bCs/>
          <w:color w:val="auto"/>
          <w:sz w:val="32"/>
          <w:highlight w:val="none"/>
        </w:rPr>
      </w:pPr>
    </w:p>
    <w:p w14:paraId="252A0567">
      <w:pPr>
        <w:snapToGrid w:val="0"/>
        <w:spacing w:line="400" w:lineRule="exact"/>
        <w:ind w:firstLine="643" w:firstLineChars="200"/>
        <w:rPr>
          <w:rFonts w:hint="eastAsia" w:ascii="宋体" w:hAnsi="宋体"/>
          <w:b/>
          <w:bCs/>
          <w:color w:val="auto"/>
          <w:sz w:val="32"/>
          <w:szCs w:val="20"/>
          <w:highlight w:val="none"/>
        </w:rPr>
      </w:pPr>
    </w:p>
    <w:p w14:paraId="581E1396">
      <w:pPr>
        <w:snapToGrid w:val="0"/>
        <w:spacing w:line="360" w:lineRule="auto"/>
        <w:ind w:firstLine="643" w:firstLineChars="200"/>
        <w:outlineLvl w:val="4"/>
        <w:rPr>
          <w:rFonts w:hint="eastAsia" w:ascii="宋体" w:hAnsi="宋体"/>
          <w:b/>
          <w:bCs/>
          <w:color w:val="auto"/>
          <w:sz w:val="32"/>
          <w:szCs w:val="20"/>
          <w:highlight w:val="none"/>
        </w:rPr>
      </w:pPr>
      <w:r>
        <w:rPr>
          <w:rFonts w:hint="eastAsia" w:ascii="宋体" w:hAnsi="宋体"/>
          <w:b/>
          <w:bCs/>
          <w:color w:val="auto"/>
          <w:sz w:val="32"/>
          <w:szCs w:val="20"/>
          <w:highlight w:val="none"/>
        </w:rPr>
        <w:br w:type="page"/>
      </w:r>
      <w:r>
        <w:rPr>
          <w:rFonts w:hint="eastAsia" w:ascii="宋体" w:hAnsi="宋体"/>
          <w:b/>
          <w:bCs/>
          <w:color w:val="auto"/>
          <w:sz w:val="32"/>
          <w:szCs w:val="20"/>
          <w:highlight w:val="none"/>
        </w:rPr>
        <w:t xml:space="preserve">3.售后服务方案（根据评标方法自行编写，格式自拟）（必须提供） </w:t>
      </w:r>
    </w:p>
    <w:p w14:paraId="14E25329">
      <w:pPr>
        <w:snapToGrid w:val="0"/>
        <w:spacing w:line="400" w:lineRule="exact"/>
        <w:ind w:firstLine="643" w:firstLineChars="200"/>
        <w:rPr>
          <w:rFonts w:hint="eastAsia" w:ascii="宋体" w:hAnsi="宋体"/>
          <w:b/>
          <w:bCs/>
          <w:color w:val="auto"/>
          <w:sz w:val="32"/>
          <w:szCs w:val="20"/>
          <w:highlight w:val="none"/>
        </w:rPr>
      </w:pPr>
    </w:p>
    <w:p w14:paraId="499D146D">
      <w:pPr>
        <w:snapToGrid w:val="0"/>
        <w:spacing w:line="400" w:lineRule="exact"/>
        <w:ind w:firstLine="643" w:firstLineChars="200"/>
        <w:rPr>
          <w:rFonts w:hint="eastAsia" w:ascii="宋体" w:hAnsi="宋体"/>
          <w:b/>
          <w:bCs/>
          <w:color w:val="auto"/>
          <w:sz w:val="32"/>
          <w:szCs w:val="20"/>
          <w:highlight w:val="none"/>
        </w:rPr>
      </w:pPr>
    </w:p>
    <w:p w14:paraId="2A256CD8">
      <w:pPr>
        <w:pStyle w:val="27"/>
        <w:spacing w:line="400" w:lineRule="exact"/>
        <w:ind w:firstLine="3534" w:firstLineChars="1100"/>
        <w:rPr>
          <w:rFonts w:hint="eastAsia" w:hAnsi="宋体"/>
          <w:b/>
          <w:bCs/>
          <w:color w:val="auto"/>
          <w:sz w:val="32"/>
          <w:highlight w:val="none"/>
        </w:rPr>
      </w:pPr>
      <w:r>
        <w:rPr>
          <w:rFonts w:hint="eastAsia" w:hAnsi="宋体"/>
          <w:b/>
          <w:bCs/>
          <w:color w:val="auto"/>
          <w:sz w:val="32"/>
          <w:highlight w:val="none"/>
        </w:rPr>
        <w:t>（格式自拟）</w:t>
      </w:r>
    </w:p>
    <w:p w14:paraId="78CD6CBD">
      <w:pPr>
        <w:snapToGrid w:val="0"/>
        <w:spacing w:line="400" w:lineRule="exact"/>
        <w:ind w:firstLine="643" w:firstLineChars="200"/>
        <w:rPr>
          <w:rFonts w:hint="eastAsia" w:ascii="宋体" w:hAnsi="宋体"/>
          <w:b/>
          <w:bCs/>
          <w:color w:val="auto"/>
          <w:sz w:val="32"/>
          <w:szCs w:val="20"/>
          <w:highlight w:val="none"/>
        </w:rPr>
      </w:pPr>
    </w:p>
    <w:p w14:paraId="7BD1796E">
      <w:pPr>
        <w:snapToGrid w:val="0"/>
        <w:spacing w:line="400" w:lineRule="exact"/>
        <w:rPr>
          <w:rFonts w:hint="eastAsia" w:ascii="宋体" w:hAnsi="宋体"/>
          <w:b/>
          <w:bCs/>
          <w:color w:val="auto"/>
          <w:sz w:val="32"/>
          <w:szCs w:val="20"/>
          <w:highlight w:val="none"/>
        </w:rPr>
      </w:pPr>
    </w:p>
    <w:p w14:paraId="2E2C6B05">
      <w:pPr>
        <w:pStyle w:val="233"/>
        <w:ind w:firstLine="480"/>
        <w:rPr>
          <w:rFonts w:hint="eastAsia" w:hAnsi="宋体"/>
          <w:color w:val="auto"/>
          <w:highlight w:val="none"/>
        </w:rPr>
      </w:pPr>
    </w:p>
    <w:p w14:paraId="7912749B">
      <w:pPr>
        <w:rPr>
          <w:rFonts w:hint="eastAsia" w:ascii="宋体" w:hAnsi="宋体"/>
          <w:color w:val="auto"/>
          <w:highlight w:val="none"/>
        </w:rPr>
      </w:pPr>
    </w:p>
    <w:p w14:paraId="54105DB0">
      <w:pPr>
        <w:pStyle w:val="27"/>
        <w:spacing w:line="500" w:lineRule="exact"/>
        <w:ind w:firstLine="3339" w:firstLineChars="1590"/>
        <w:rPr>
          <w:rFonts w:hint="eastAsia" w:hAnsi="宋体"/>
          <w:color w:val="auto"/>
          <w:highlight w:val="none"/>
        </w:rPr>
      </w:pPr>
      <w:r>
        <w:rPr>
          <w:rFonts w:hint="eastAsia" w:hAnsi="宋体"/>
          <w:color w:val="auto"/>
          <w:highlight w:val="none"/>
        </w:rPr>
        <w:t>投标人名称（加盖CA证书签章，自然人除外）：</w:t>
      </w:r>
      <w:r>
        <w:rPr>
          <w:rFonts w:hint="eastAsia" w:hAnsi="宋体"/>
          <w:color w:val="auto"/>
          <w:highlight w:val="none"/>
          <w:u w:val="single"/>
        </w:rPr>
        <w:t xml:space="preserve">          ；                        </w:t>
      </w:r>
    </w:p>
    <w:p w14:paraId="12E6FAB0">
      <w:pPr>
        <w:pStyle w:val="27"/>
        <w:spacing w:line="500" w:lineRule="exact"/>
        <w:ind w:firstLine="2814" w:firstLineChars="1340"/>
        <w:jc w:val="center"/>
        <w:rPr>
          <w:rFonts w:hint="eastAsia" w:hAnsi="宋体"/>
          <w:color w:val="auto"/>
          <w:highlight w:val="none"/>
        </w:rPr>
      </w:pPr>
      <w:r>
        <w:rPr>
          <w:rFonts w:hint="eastAsia" w:hAnsi="宋体"/>
          <w:color w:val="auto"/>
          <w:highlight w:val="none"/>
        </w:rPr>
        <w:t>法定代表人或负责人或自然人或相应的委托代理人签字（或加盖</w:t>
      </w:r>
      <w:r>
        <w:rPr>
          <w:rFonts w:hint="eastAsia" w:hAnsi="宋体" w:cs="宋体"/>
          <w:color w:val="auto"/>
          <w:highlight w:val="none"/>
        </w:rPr>
        <w:t>个人CA证书签章</w:t>
      </w:r>
      <w:r>
        <w:rPr>
          <w:rFonts w:hint="eastAsia" w:hAnsi="宋体"/>
          <w:color w:val="auto"/>
          <w:highlight w:val="none"/>
        </w:rPr>
        <w:t>）：</w:t>
      </w:r>
      <w:r>
        <w:rPr>
          <w:rFonts w:hint="eastAsia" w:hAnsi="宋体"/>
          <w:color w:val="auto"/>
          <w:highlight w:val="none"/>
          <w:u w:val="single"/>
        </w:rPr>
        <w:t xml:space="preserve">                 ；</w:t>
      </w:r>
    </w:p>
    <w:p w14:paraId="422BEBEF">
      <w:pPr>
        <w:pStyle w:val="27"/>
        <w:spacing w:line="500" w:lineRule="exact"/>
        <w:ind w:firstLine="3360" w:firstLineChars="1600"/>
        <w:rPr>
          <w:rFonts w:hint="eastAsia" w:hAnsi="宋体"/>
          <w:bCs/>
          <w:color w:val="auto"/>
          <w:szCs w:val="21"/>
          <w:highlight w:val="none"/>
          <w:u w:val="single"/>
        </w:rPr>
      </w:pPr>
      <w:r>
        <w:rPr>
          <w:rFonts w:hint="eastAsia" w:hAnsi="宋体"/>
          <w:bCs/>
          <w:color w:val="auto"/>
          <w:szCs w:val="21"/>
          <w:highlight w:val="none"/>
        </w:rPr>
        <w:t>日期：</w:t>
      </w:r>
      <w:r>
        <w:rPr>
          <w:rFonts w:hint="eastAsia" w:hAnsi="宋体"/>
          <w:bCs/>
          <w:color w:val="auto"/>
          <w:szCs w:val="21"/>
          <w:highlight w:val="none"/>
          <w:u w:val="single"/>
        </w:rPr>
        <w:t xml:space="preserve">                      ；</w:t>
      </w:r>
    </w:p>
    <w:p w14:paraId="2A06F9EE">
      <w:pPr>
        <w:snapToGrid w:val="0"/>
        <w:spacing w:line="400" w:lineRule="exact"/>
        <w:ind w:firstLine="643" w:firstLineChars="200"/>
        <w:rPr>
          <w:rFonts w:hint="eastAsia" w:ascii="宋体" w:hAnsi="宋体"/>
          <w:b/>
          <w:bCs/>
          <w:color w:val="auto"/>
          <w:sz w:val="32"/>
          <w:szCs w:val="20"/>
          <w:highlight w:val="none"/>
        </w:rPr>
      </w:pPr>
    </w:p>
    <w:p w14:paraId="68AEEB96">
      <w:pPr>
        <w:widowControl/>
        <w:jc w:val="left"/>
        <w:rPr>
          <w:rFonts w:hint="eastAsia" w:ascii="宋体" w:hAnsi="宋体"/>
          <w:color w:val="auto"/>
          <w:highlight w:val="none"/>
        </w:rPr>
      </w:pPr>
    </w:p>
    <w:p w14:paraId="1990C850">
      <w:pPr>
        <w:widowControl/>
        <w:jc w:val="left"/>
        <w:rPr>
          <w:rFonts w:hint="eastAsia" w:ascii="宋体" w:hAnsi="宋体"/>
          <w:color w:val="auto"/>
          <w:highlight w:val="none"/>
        </w:rPr>
      </w:pPr>
    </w:p>
    <w:p w14:paraId="62617156">
      <w:pPr>
        <w:widowControl/>
        <w:jc w:val="left"/>
        <w:rPr>
          <w:rFonts w:hint="eastAsia" w:ascii="宋体" w:hAnsi="宋体"/>
          <w:color w:val="auto"/>
          <w:highlight w:val="none"/>
        </w:rPr>
      </w:pPr>
    </w:p>
    <w:p w14:paraId="4F45ECFF">
      <w:pPr>
        <w:snapToGrid w:val="0"/>
        <w:spacing w:line="360" w:lineRule="auto"/>
        <w:ind w:firstLine="643" w:firstLineChars="200"/>
        <w:outlineLvl w:val="4"/>
        <w:rPr>
          <w:rFonts w:hint="eastAsia" w:ascii="宋体" w:hAnsi="宋体"/>
          <w:b/>
          <w:bCs/>
          <w:color w:val="auto"/>
          <w:sz w:val="32"/>
          <w:szCs w:val="20"/>
          <w:highlight w:val="none"/>
        </w:rPr>
      </w:pPr>
      <w:r>
        <w:rPr>
          <w:rFonts w:hint="eastAsia" w:ascii="宋体" w:hAnsi="宋体"/>
          <w:b/>
          <w:bCs/>
          <w:color w:val="auto"/>
          <w:sz w:val="32"/>
          <w:szCs w:val="20"/>
          <w:highlight w:val="none"/>
        </w:rPr>
        <w:t xml:space="preserve">4.项目实施方案（根据评标方法自行编写，格式自拟）（必须提供） </w:t>
      </w:r>
    </w:p>
    <w:p w14:paraId="48A1DD09">
      <w:pPr>
        <w:widowControl/>
        <w:spacing w:line="360" w:lineRule="auto"/>
        <w:jc w:val="left"/>
        <w:rPr>
          <w:rFonts w:hint="eastAsia" w:ascii="宋体" w:hAnsi="宋体"/>
          <w:color w:val="auto"/>
          <w:highlight w:val="none"/>
        </w:rPr>
      </w:pPr>
    </w:p>
    <w:p w14:paraId="04A9796A">
      <w:pPr>
        <w:pStyle w:val="27"/>
        <w:spacing w:line="360" w:lineRule="auto"/>
        <w:ind w:firstLine="3534" w:firstLineChars="1100"/>
        <w:rPr>
          <w:rFonts w:hint="eastAsia" w:hAnsi="宋体"/>
          <w:b/>
          <w:bCs/>
          <w:color w:val="auto"/>
          <w:sz w:val="32"/>
          <w:highlight w:val="none"/>
        </w:rPr>
      </w:pPr>
      <w:r>
        <w:rPr>
          <w:rFonts w:hint="eastAsia" w:hAnsi="宋体"/>
          <w:b/>
          <w:bCs/>
          <w:color w:val="auto"/>
          <w:sz w:val="32"/>
          <w:highlight w:val="none"/>
        </w:rPr>
        <w:t>（格式自拟）</w:t>
      </w:r>
    </w:p>
    <w:p w14:paraId="74A3947F">
      <w:pPr>
        <w:snapToGrid w:val="0"/>
        <w:spacing w:line="360" w:lineRule="auto"/>
        <w:ind w:firstLine="643" w:firstLineChars="200"/>
        <w:rPr>
          <w:rFonts w:hint="eastAsia" w:ascii="宋体" w:hAnsi="宋体"/>
          <w:b/>
          <w:bCs/>
          <w:color w:val="auto"/>
          <w:sz w:val="32"/>
          <w:szCs w:val="20"/>
          <w:highlight w:val="none"/>
        </w:rPr>
      </w:pPr>
    </w:p>
    <w:p w14:paraId="4284C6CB">
      <w:pPr>
        <w:snapToGrid w:val="0"/>
        <w:spacing w:line="360" w:lineRule="auto"/>
        <w:rPr>
          <w:rFonts w:hint="eastAsia" w:ascii="宋体" w:hAnsi="宋体"/>
          <w:b/>
          <w:bCs/>
          <w:color w:val="auto"/>
          <w:sz w:val="32"/>
          <w:szCs w:val="20"/>
          <w:highlight w:val="none"/>
        </w:rPr>
      </w:pPr>
    </w:p>
    <w:p w14:paraId="7ACB40EB">
      <w:pPr>
        <w:pStyle w:val="233"/>
        <w:ind w:firstLine="480"/>
        <w:rPr>
          <w:rFonts w:hint="eastAsia" w:hAnsi="宋体"/>
          <w:color w:val="auto"/>
          <w:highlight w:val="none"/>
        </w:rPr>
      </w:pPr>
    </w:p>
    <w:p w14:paraId="62867C24">
      <w:pPr>
        <w:spacing w:line="360" w:lineRule="auto"/>
        <w:rPr>
          <w:rFonts w:hint="eastAsia" w:ascii="宋体" w:hAnsi="宋体"/>
          <w:color w:val="auto"/>
          <w:highlight w:val="none"/>
        </w:rPr>
      </w:pPr>
    </w:p>
    <w:p w14:paraId="5C556C2F">
      <w:pPr>
        <w:pStyle w:val="27"/>
        <w:spacing w:line="360" w:lineRule="auto"/>
        <w:ind w:firstLine="3339" w:firstLineChars="1590"/>
        <w:rPr>
          <w:rFonts w:hint="eastAsia" w:hAnsi="宋体"/>
          <w:color w:val="auto"/>
          <w:highlight w:val="none"/>
        </w:rPr>
      </w:pPr>
      <w:r>
        <w:rPr>
          <w:rFonts w:hint="eastAsia" w:hAnsi="宋体"/>
          <w:color w:val="auto"/>
          <w:highlight w:val="none"/>
        </w:rPr>
        <w:t>投标人名称（加盖CA证书签章，自然人除外）：</w:t>
      </w:r>
      <w:r>
        <w:rPr>
          <w:rFonts w:hint="eastAsia" w:hAnsi="宋体"/>
          <w:color w:val="auto"/>
          <w:highlight w:val="none"/>
          <w:u w:val="single"/>
        </w:rPr>
        <w:t xml:space="preserve">          ；                        </w:t>
      </w:r>
    </w:p>
    <w:p w14:paraId="5424319F">
      <w:pPr>
        <w:pStyle w:val="27"/>
        <w:spacing w:line="360" w:lineRule="auto"/>
        <w:ind w:firstLine="2814" w:firstLineChars="1340"/>
        <w:jc w:val="center"/>
        <w:rPr>
          <w:rFonts w:hint="eastAsia" w:hAnsi="宋体"/>
          <w:color w:val="auto"/>
          <w:highlight w:val="none"/>
        </w:rPr>
      </w:pPr>
      <w:r>
        <w:rPr>
          <w:rFonts w:hint="eastAsia" w:hAnsi="宋体"/>
          <w:color w:val="auto"/>
          <w:highlight w:val="none"/>
        </w:rPr>
        <w:t>法定代表人或负责人或自然人或相应的委托代理人签字（或加盖</w:t>
      </w:r>
      <w:r>
        <w:rPr>
          <w:rFonts w:hint="eastAsia" w:hAnsi="宋体" w:cs="宋体"/>
          <w:color w:val="auto"/>
          <w:highlight w:val="none"/>
        </w:rPr>
        <w:t>个人CA证书签章</w:t>
      </w:r>
      <w:r>
        <w:rPr>
          <w:rFonts w:hint="eastAsia" w:hAnsi="宋体"/>
          <w:color w:val="auto"/>
          <w:highlight w:val="none"/>
        </w:rPr>
        <w:t>）：</w:t>
      </w:r>
      <w:r>
        <w:rPr>
          <w:rFonts w:hint="eastAsia" w:hAnsi="宋体"/>
          <w:color w:val="auto"/>
          <w:highlight w:val="none"/>
          <w:u w:val="single"/>
        </w:rPr>
        <w:t xml:space="preserve">                 ；</w:t>
      </w:r>
    </w:p>
    <w:p w14:paraId="0B9085D8">
      <w:pPr>
        <w:pStyle w:val="27"/>
        <w:spacing w:line="360" w:lineRule="auto"/>
        <w:ind w:firstLine="3360" w:firstLineChars="1600"/>
        <w:rPr>
          <w:rFonts w:hint="eastAsia" w:hAnsi="宋体"/>
          <w:bCs/>
          <w:color w:val="auto"/>
          <w:szCs w:val="21"/>
          <w:highlight w:val="none"/>
          <w:u w:val="single"/>
        </w:rPr>
      </w:pPr>
      <w:r>
        <w:rPr>
          <w:rFonts w:hint="eastAsia" w:hAnsi="宋体"/>
          <w:bCs/>
          <w:color w:val="auto"/>
          <w:szCs w:val="21"/>
          <w:highlight w:val="none"/>
        </w:rPr>
        <w:t>日期：</w:t>
      </w:r>
      <w:r>
        <w:rPr>
          <w:rFonts w:hint="eastAsia" w:hAnsi="宋体"/>
          <w:bCs/>
          <w:color w:val="auto"/>
          <w:szCs w:val="21"/>
          <w:highlight w:val="none"/>
          <w:u w:val="single"/>
        </w:rPr>
        <w:t xml:space="preserve">                      ；</w:t>
      </w:r>
    </w:p>
    <w:p w14:paraId="426B6438">
      <w:pPr>
        <w:widowControl/>
        <w:spacing w:line="360" w:lineRule="auto"/>
        <w:jc w:val="left"/>
        <w:rPr>
          <w:rFonts w:hint="eastAsia" w:ascii="宋体" w:hAnsi="宋体"/>
          <w:color w:val="auto"/>
          <w:highlight w:val="none"/>
        </w:rPr>
      </w:pPr>
    </w:p>
    <w:p w14:paraId="2CF08D64">
      <w:pPr>
        <w:widowControl/>
        <w:spacing w:line="360" w:lineRule="auto"/>
        <w:jc w:val="left"/>
        <w:rPr>
          <w:rFonts w:hint="eastAsia" w:ascii="宋体" w:hAnsi="宋体"/>
          <w:color w:val="auto"/>
          <w:highlight w:val="none"/>
        </w:rPr>
      </w:pPr>
    </w:p>
    <w:p w14:paraId="013042C0">
      <w:pPr>
        <w:numPr>
          <w:ilvl w:val="0"/>
          <w:numId w:val="0"/>
        </w:numPr>
        <w:snapToGrid w:val="0"/>
        <w:spacing w:line="360" w:lineRule="auto"/>
        <w:outlineLvl w:val="4"/>
        <w:rPr>
          <w:rFonts w:hint="eastAsia" w:ascii="宋体" w:hAnsi="宋体"/>
          <w:b/>
          <w:bCs/>
          <w:color w:val="auto"/>
          <w:sz w:val="28"/>
          <w:szCs w:val="28"/>
          <w:highlight w:val="none"/>
        </w:rPr>
      </w:pPr>
      <w:r>
        <w:rPr>
          <w:rFonts w:hint="eastAsia" w:ascii="宋体" w:hAnsi="宋体"/>
          <w:b/>
          <w:bCs/>
          <w:color w:val="auto"/>
          <w:sz w:val="32"/>
          <w:szCs w:val="20"/>
          <w:highlight w:val="none"/>
          <w:lang w:val="en-US" w:eastAsia="zh-CN"/>
        </w:rPr>
        <w:t>5.</w:t>
      </w:r>
      <w:r>
        <w:rPr>
          <w:rFonts w:hint="eastAsia" w:ascii="宋体" w:hAnsi="宋体"/>
          <w:b/>
          <w:bCs/>
          <w:color w:val="auto"/>
          <w:sz w:val="32"/>
          <w:szCs w:val="20"/>
          <w:highlight w:val="none"/>
        </w:rPr>
        <w:t xml:space="preserve">“货物采购需求”需提供的有效证明文件（按货物采购需求要求提供） </w:t>
      </w:r>
    </w:p>
    <w:p w14:paraId="303CC3B8">
      <w:pPr>
        <w:snapToGrid w:val="0"/>
        <w:spacing w:line="360" w:lineRule="auto"/>
        <w:ind w:firstLine="643" w:firstLineChars="200"/>
        <w:jc w:val="center"/>
        <w:outlineLvl w:val="4"/>
        <w:rPr>
          <w:rFonts w:hint="eastAsia" w:ascii="宋体" w:hAnsi="宋体"/>
          <w:b/>
          <w:bCs/>
          <w:color w:val="auto"/>
          <w:sz w:val="32"/>
          <w:szCs w:val="32"/>
          <w:highlight w:val="none"/>
        </w:rPr>
      </w:pPr>
      <w:r>
        <w:rPr>
          <w:rFonts w:hint="eastAsia" w:ascii="宋体" w:hAnsi="宋体"/>
          <w:b/>
          <w:bCs/>
          <w:color w:val="auto"/>
          <w:sz w:val="32"/>
          <w:szCs w:val="20"/>
          <w:highlight w:val="none"/>
        </w:rPr>
        <w:t>（1）</w:t>
      </w:r>
      <w:r>
        <w:rPr>
          <w:rFonts w:hint="eastAsia" w:ascii="宋体" w:hAnsi="宋体"/>
          <w:b/>
          <w:bCs/>
          <w:color w:val="auto"/>
          <w:sz w:val="32"/>
          <w:szCs w:val="32"/>
          <w:highlight w:val="none"/>
          <w:lang w:val="en-US" w:eastAsia="zh-CN"/>
        </w:rPr>
        <w:t>强制节能产品</w:t>
      </w:r>
      <w:r>
        <w:rPr>
          <w:rFonts w:hint="eastAsia" w:ascii="宋体" w:hAnsi="宋体"/>
          <w:b/>
          <w:bCs/>
          <w:color w:val="auto"/>
          <w:sz w:val="32"/>
          <w:szCs w:val="20"/>
          <w:highlight w:val="none"/>
        </w:rPr>
        <w:t>（必须提供）</w:t>
      </w:r>
    </w:p>
    <w:tbl>
      <w:tblPr>
        <w:tblStyle w:val="51"/>
        <w:tblW w:w="901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7"/>
        <w:gridCol w:w="1579"/>
        <w:gridCol w:w="1728"/>
        <w:gridCol w:w="1148"/>
        <w:gridCol w:w="1475"/>
        <w:gridCol w:w="820"/>
        <w:gridCol w:w="655"/>
        <w:gridCol w:w="983"/>
      </w:tblGrid>
      <w:tr w14:paraId="463F5A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79" w:hRule="atLeast"/>
          <w:jc w:val="center"/>
        </w:trPr>
        <w:tc>
          <w:tcPr>
            <w:tcW w:w="627" w:type="dxa"/>
            <w:tcBorders>
              <w:top w:val="single" w:color="auto" w:sz="4" w:space="0"/>
              <w:left w:val="single" w:color="auto" w:sz="4" w:space="0"/>
              <w:bottom w:val="single" w:color="auto" w:sz="4" w:space="0"/>
              <w:right w:val="single" w:color="auto" w:sz="4" w:space="0"/>
            </w:tcBorders>
            <w:vAlign w:val="center"/>
          </w:tcPr>
          <w:p w14:paraId="09148D74">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项号</w:t>
            </w:r>
          </w:p>
        </w:tc>
        <w:tc>
          <w:tcPr>
            <w:tcW w:w="1579" w:type="dxa"/>
            <w:tcBorders>
              <w:top w:val="single" w:color="auto" w:sz="4" w:space="0"/>
              <w:left w:val="single" w:color="auto" w:sz="4" w:space="0"/>
              <w:bottom w:val="single" w:color="auto" w:sz="4" w:space="0"/>
              <w:right w:val="single" w:color="auto" w:sz="4" w:space="0"/>
            </w:tcBorders>
            <w:vAlign w:val="center"/>
          </w:tcPr>
          <w:p w14:paraId="3A7402FF">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货物名称</w:t>
            </w:r>
          </w:p>
        </w:tc>
        <w:tc>
          <w:tcPr>
            <w:tcW w:w="1728" w:type="dxa"/>
            <w:tcBorders>
              <w:top w:val="single" w:color="auto" w:sz="4" w:space="0"/>
              <w:left w:val="single" w:color="auto" w:sz="4" w:space="0"/>
              <w:bottom w:val="single" w:color="auto" w:sz="4" w:space="0"/>
              <w:right w:val="single" w:color="auto" w:sz="4" w:space="0"/>
            </w:tcBorders>
            <w:vAlign w:val="center"/>
          </w:tcPr>
          <w:p w14:paraId="5984F7A9">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生产厂家</w:t>
            </w:r>
          </w:p>
        </w:tc>
        <w:tc>
          <w:tcPr>
            <w:tcW w:w="1148" w:type="dxa"/>
            <w:tcBorders>
              <w:top w:val="single" w:color="auto" w:sz="4" w:space="0"/>
              <w:left w:val="single" w:color="auto" w:sz="4" w:space="0"/>
              <w:bottom w:val="single" w:color="auto" w:sz="4" w:space="0"/>
              <w:right w:val="single" w:color="auto" w:sz="4" w:space="0"/>
            </w:tcBorders>
            <w:vAlign w:val="center"/>
          </w:tcPr>
          <w:p w14:paraId="39A9B6C5">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品牌</w:t>
            </w:r>
          </w:p>
        </w:tc>
        <w:tc>
          <w:tcPr>
            <w:tcW w:w="1475" w:type="dxa"/>
            <w:tcBorders>
              <w:top w:val="single" w:color="auto" w:sz="4" w:space="0"/>
              <w:left w:val="single" w:color="auto" w:sz="4" w:space="0"/>
              <w:bottom w:val="single" w:color="auto" w:sz="4" w:space="0"/>
              <w:right w:val="single" w:color="auto" w:sz="4" w:space="0"/>
            </w:tcBorders>
            <w:vAlign w:val="center"/>
          </w:tcPr>
          <w:p w14:paraId="14CF935A">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规格型号</w:t>
            </w:r>
          </w:p>
        </w:tc>
        <w:tc>
          <w:tcPr>
            <w:tcW w:w="820" w:type="dxa"/>
            <w:tcBorders>
              <w:top w:val="single" w:color="auto" w:sz="4" w:space="0"/>
              <w:left w:val="single" w:color="auto" w:sz="4" w:space="0"/>
              <w:bottom w:val="single" w:color="auto" w:sz="4" w:space="0"/>
              <w:right w:val="single" w:color="auto" w:sz="4" w:space="0"/>
            </w:tcBorders>
            <w:vAlign w:val="center"/>
          </w:tcPr>
          <w:p w14:paraId="79CDDBC0">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数量</w:t>
            </w:r>
          </w:p>
          <w:p w14:paraId="1707CBDD">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szCs w:val="21"/>
                <w:highlight w:val="none"/>
              </w:rPr>
              <w:t>①</w:t>
            </w:r>
          </w:p>
        </w:tc>
        <w:tc>
          <w:tcPr>
            <w:tcW w:w="655" w:type="dxa"/>
            <w:tcBorders>
              <w:top w:val="single" w:color="auto" w:sz="4" w:space="0"/>
              <w:left w:val="single" w:color="auto" w:sz="4" w:space="0"/>
              <w:bottom w:val="single" w:color="auto" w:sz="4" w:space="0"/>
              <w:right w:val="single" w:color="auto" w:sz="4" w:space="0"/>
            </w:tcBorders>
            <w:vAlign w:val="center"/>
          </w:tcPr>
          <w:p w14:paraId="75241A61">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单位</w:t>
            </w:r>
          </w:p>
        </w:tc>
        <w:tc>
          <w:tcPr>
            <w:tcW w:w="983" w:type="dxa"/>
            <w:tcBorders>
              <w:top w:val="single" w:color="auto" w:sz="4" w:space="0"/>
              <w:left w:val="single" w:color="auto" w:sz="4" w:space="0"/>
              <w:bottom w:val="single" w:color="auto" w:sz="4" w:space="0"/>
            </w:tcBorders>
            <w:vAlign w:val="center"/>
          </w:tcPr>
          <w:p w14:paraId="517B42B2">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备注</w:t>
            </w:r>
          </w:p>
        </w:tc>
      </w:tr>
      <w:tr w14:paraId="40169E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7" w:hRule="atLeast"/>
          <w:jc w:val="center"/>
        </w:trPr>
        <w:tc>
          <w:tcPr>
            <w:tcW w:w="627" w:type="dxa"/>
            <w:tcBorders>
              <w:top w:val="single" w:color="auto" w:sz="4" w:space="0"/>
              <w:left w:val="single" w:color="auto" w:sz="4" w:space="0"/>
              <w:bottom w:val="single" w:color="auto" w:sz="4" w:space="0"/>
              <w:right w:val="single" w:color="auto" w:sz="4" w:space="0"/>
            </w:tcBorders>
            <w:vAlign w:val="center"/>
          </w:tcPr>
          <w:p w14:paraId="5BE539D2">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579" w:type="dxa"/>
            <w:tcBorders>
              <w:top w:val="single" w:color="auto" w:sz="4" w:space="0"/>
              <w:left w:val="single" w:color="auto" w:sz="4" w:space="0"/>
              <w:bottom w:val="single" w:color="auto" w:sz="4" w:space="0"/>
              <w:right w:val="single" w:color="auto" w:sz="4" w:space="0"/>
            </w:tcBorders>
            <w:vAlign w:val="center"/>
          </w:tcPr>
          <w:p w14:paraId="16B23E91">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728" w:type="dxa"/>
            <w:tcBorders>
              <w:top w:val="single" w:color="auto" w:sz="4" w:space="0"/>
              <w:left w:val="single" w:color="auto" w:sz="4" w:space="0"/>
              <w:bottom w:val="single" w:color="auto" w:sz="4" w:space="0"/>
              <w:right w:val="single" w:color="auto" w:sz="4" w:space="0"/>
            </w:tcBorders>
            <w:vAlign w:val="center"/>
          </w:tcPr>
          <w:p w14:paraId="5364A6A3">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3FFB1A1C">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475" w:type="dxa"/>
            <w:tcBorders>
              <w:top w:val="single" w:color="auto" w:sz="4" w:space="0"/>
              <w:left w:val="single" w:color="auto" w:sz="4" w:space="0"/>
              <w:bottom w:val="single" w:color="auto" w:sz="4" w:space="0"/>
              <w:right w:val="single" w:color="auto" w:sz="4" w:space="0"/>
            </w:tcBorders>
            <w:vAlign w:val="center"/>
          </w:tcPr>
          <w:p w14:paraId="080BB7FA">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820" w:type="dxa"/>
            <w:tcBorders>
              <w:top w:val="single" w:color="auto" w:sz="4" w:space="0"/>
              <w:left w:val="single" w:color="auto" w:sz="4" w:space="0"/>
              <w:bottom w:val="single" w:color="auto" w:sz="4" w:space="0"/>
              <w:right w:val="single" w:color="auto" w:sz="4" w:space="0"/>
            </w:tcBorders>
            <w:vAlign w:val="center"/>
          </w:tcPr>
          <w:p w14:paraId="0AF73633">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p>
        </w:tc>
        <w:tc>
          <w:tcPr>
            <w:tcW w:w="655" w:type="dxa"/>
            <w:tcBorders>
              <w:top w:val="single" w:color="auto" w:sz="4" w:space="0"/>
              <w:left w:val="single" w:color="auto" w:sz="4" w:space="0"/>
              <w:bottom w:val="single" w:color="auto" w:sz="4" w:space="0"/>
              <w:right w:val="single" w:color="auto" w:sz="4" w:space="0"/>
            </w:tcBorders>
            <w:vAlign w:val="center"/>
          </w:tcPr>
          <w:p w14:paraId="31E25BCE">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p>
        </w:tc>
        <w:tc>
          <w:tcPr>
            <w:tcW w:w="983" w:type="dxa"/>
            <w:tcBorders>
              <w:top w:val="single" w:color="auto" w:sz="4" w:space="0"/>
              <w:left w:val="single" w:color="auto" w:sz="4" w:space="0"/>
              <w:bottom w:val="single" w:color="auto" w:sz="4" w:space="0"/>
            </w:tcBorders>
          </w:tcPr>
          <w:p w14:paraId="0BD80173">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r>
      <w:tr w14:paraId="515B49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7" w:hRule="atLeast"/>
          <w:jc w:val="center"/>
        </w:trPr>
        <w:tc>
          <w:tcPr>
            <w:tcW w:w="627" w:type="dxa"/>
            <w:tcBorders>
              <w:top w:val="single" w:color="auto" w:sz="4" w:space="0"/>
              <w:left w:val="single" w:color="auto" w:sz="4" w:space="0"/>
              <w:right w:val="single" w:color="auto" w:sz="4" w:space="0"/>
            </w:tcBorders>
            <w:vAlign w:val="center"/>
          </w:tcPr>
          <w:p w14:paraId="74094C1E">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579" w:type="dxa"/>
            <w:tcBorders>
              <w:top w:val="single" w:color="auto" w:sz="4" w:space="0"/>
              <w:left w:val="single" w:color="auto" w:sz="4" w:space="0"/>
              <w:bottom w:val="single" w:color="auto" w:sz="4" w:space="0"/>
              <w:right w:val="single" w:color="auto" w:sz="4" w:space="0"/>
            </w:tcBorders>
            <w:vAlign w:val="center"/>
          </w:tcPr>
          <w:p w14:paraId="358B8266">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728" w:type="dxa"/>
            <w:tcBorders>
              <w:top w:val="single" w:color="auto" w:sz="4" w:space="0"/>
              <w:left w:val="single" w:color="auto" w:sz="4" w:space="0"/>
              <w:bottom w:val="single" w:color="auto" w:sz="4" w:space="0"/>
              <w:right w:val="single" w:color="auto" w:sz="4" w:space="0"/>
            </w:tcBorders>
            <w:vAlign w:val="center"/>
          </w:tcPr>
          <w:p w14:paraId="3EA4AEE5">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257BCBD5">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475" w:type="dxa"/>
            <w:tcBorders>
              <w:top w:val="single" w:color="auto" w:sz="4" w:space="0"/>
              <w:left w:val="single" w:color="auto" w:sz="4" w:space="0"/>
              <w:bottom w:val="single" w:color="auto" w:sz="4" w:space="0"/>
              <w:right w:val="single" w:color="auto" w:sz="4" w:space="0"/>
            </w:tcBorders>
            <w:vAlign w:val="center"/>
          </w:tcPr>
          <w:p w14:paraId="12307682">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820" w:type="dxa"/>
            <w:tcBorders>
              <w:top w:val="single" w:color="auto" w:sz="4" w:space="0"/>
              <w:left w:val="single" w:color="auto" w:sz="4" w:space="0"/>
              <w:bottom w:val="single" w:color="auto" w:sz="4" w:space="0"/>
              <w:right w:val="single" w:color="auto" w:sz="4" w:space="0"/>
            </w:tcBorders>
            <w:vAlign w:val="center"/>
          </w:tcPr>
          <w:p w14:paraId="17797E53">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p>
        </w:tc>
        <w:tc>
          <w:tcPr>
            <w:tcW w:w="655" w:type="dxa"/>
            <w:tcBorders>
              <w:top w:val="single" w:color="auto" w:sz="4" w:space="0"/>
              <w:left w:val="single" w:color="auto" w:sz="4" w:space="0"/>
              <w:bottom w:val="single" w:color="auto" w:sz="4" w:space="0"/>
              <w:right w:val="single" w:color="auto" w:sz="4" w:space="0"/>
            </w:tcBorders>
            <w:vAlign w:val="center"/>
          </w:tcPr>
          <w:p w14:paraId="48339EAE">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p>
        </w:tc>
        <w:tc>
          <w:tcPr>
            <w:tcW w:w="983" w:type="dxa"/>
            <w:tcBorders>
              <w:top w:val="single" w:color="auto" w:sz="4" w:space="0"/>
              <w:left w:val="single" w:color="auto" w:sz="4" w:space="0"/>
              <w:bottom w:val="single" w:color="auto" w:sz="4" w:space="0"/>
            </w:tcBorders>
          </w:tcPr>
          <w:p w14:paraId="1F58CAD7">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r>
      <w:tr w14:paraId="629236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0" w:hRule="atLeast"/>
          <w:jc w:val="center"/>
        </w:trPr>
        <w:tc>
          <w:tcPr>
            <w:tcW w:w="627" w:type="dxa"/>
            <w:tcBorders>
              <w:top w:val="single" w:color="auto" w:sz="4" w:space="0"/>
              <w:left w:val="single" w:color="auto" w:sz="4" w:space="0"/>
              <w:right w:val="single" w:color="auto" w:sz="4" w:space="0"/>
            </w:tcBorders>
            <w:vAlign w:val="center"/>
          </w:tcPr>
          <w:p w14:paraId="106E41C3">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1579" w:type="dxa"/>
            <w:tcBorders>
              <w:top w:val="single" w:color="auto" w:sz="4" w:space="0"/>
              <w:left w:val="single" w:color="auto" w:sz="4" w:space="0"/>
              <w:bottom w:val="single" w:color="auto" w:sz="4" w:space="0"/>
              <w:right w:val="single" w:color="auto" w:sz="4" w:space="0"/>
            </w:tcBorders>
            <w:vAlign w:val="center"/>
          </w:tcPr>
          <w:p w14:paraId="3473E141">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728" w:type="dxa"/>
            <w:tcBorders>
              <w:top w:val="single" w:color="auto" w:sz="4" w:space="0"/>
              <w:left w:val="single" w:color="auto" w:sz="4" w:space="0"/>
              <w:bottom w:val="single" w:color="auto" w:sz="4" w:space="0"/>
              <w:right w:val="single" w:color="auto" w:sz="4" w:space="0"/>
            </w:tcBorders>
            <w:vAlign w:val="center"/>
          </w:tcPr>
          <w:p w14:paraId="63A3EE8B">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6D901F70">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475" w:type="dxa"/>
            <w:tcBorders>
              <w:top w:val="single" w:color="auto" w:sz="4" w:space="0"/>
              <w:left w:val="single" w:color="auto" w:sz="4" w:space="0"/>
              <w:bottom w:val="single" w:color="auto" w:sz="4" w:space="0"/>
              <w:right w:val="single" w:color="auto" w:sz="4" w:space="0"/>
            </w:tcBorders>
            <w:vAlign w:val="center"/>
          </w:tcPr>
          <w:p w14:paraId="4D4AE68A">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820" w:type="dxa"/>
            <w:tcBorders>
              <w:top w:val="single" w:color="auto" w:sz="4" w:space="0"/>
              <w:left w:val="single" w:color="auto" w:sz="4" w:space="0"/>
              <w:bottom w:val="single" w:color="auto" w:sz="4" w:space="0"/>
              <w:right w:val="single" w:color="auto" w:sz="4" w:space="0"/>
            </w:tcBorders>
            <w:vAlign w:val="center"/>
          </w:tcPr>
          <w:p w14:paraId="2BD70DB2">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p>
        </w:tc>
        <w:tc>
          <w:tcPr>
            <w:tcW w:w="655" w:type="dxa"/>
            <w:tcBorders>
              <w:top w:val="single" w:color="auto" w:sz="4" w:space="0"/>
              <w:left w:val="single" w:color="auto" w:sz="4" w:space="0"/>
              <w:bottom w:val="single" w:color="auto" w:sz="4" w:space="0"/>
              <w:right w:val="single" w:color="auto" w:sz="4" w:space="0"/>
            </w:tcBorders>
            <w:vAlign w:val="center"/>
          </w:tcPr>
          <w:p w14:paraId="149F8176">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p>
        </w:tc>
        <w:tc>
          <w:tcPr>
            <w:tcW w:w="983" w:type="dxa"/>
            <w:tcBorders>
              <w:top w:val="single" w:color="auto" w:sz="4" w:space="0"/>
              <w:left w:val="single" w:color="auto" w:sz="4" w:space="0"/>
              <w:bottom w:val="single" w:color="auto" w:sz="4" w:space="0"/>
            </w:tcBorders>
          </w:tcPr>
          <w:p w14:paraId="286D8D35">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r>
    </w:tbl>
    <w:p w14:paraId="2F88F525">
      <w:pPr>
        <w:numPr>
          <w:ilvl w:val="0"/>
          <w:numId w:val="0"/>
        </w:numPr>
        <w:snapToGrid w:val="0"/>
        <w:spacing w:line="360" w:lineRule="auto"/>
        <w:ind w:firstLine="210" w:firstLineChars="100"/>
        <w:outlineLvl w:val="4"/>
        <w:rPr>
          <w:rFonts w:hint="default"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注：填写“货物采购需求”中强制节能产品证书明细，并附相关证明材料。</w:t>
      </w:r>
    </w:p>
    <w:p w14:paraId="0B69ED72">
      <w:pPr>
        <w:widowControl/>
        <w:spacing w:line="360" w:lineRule="auto"/>
        <w:jc w:val="center"/>
        <w:rPr>
          <w:rFonts w:hint="eastAsia" w:ascii="宋体" w:hAnsi="宋体"/>
          <w:b/>
          <w:bCs/>
          <w:color w:val="auto"/>
          <w:sz w:val="32"/>
          <w:szCs w:val="20"/>
          <w:highlight w:val="none"/>
        </w:rPr>
      </w:pPr>
    </w:p>
    <w:p w14:paraId="251A8DC7">
      <w:pPr>
        <w:widowControl/>
        <w:spacing w:line="360" w:lineRule="auto"/>
        <w:jc w:val="center"/>
        <w:rPr>
          <w:rFonts w:hint="default" w:ascii="宋体" w:hAnsi="宋体" w:eastAsia="宋体"/>
          <w:color w:val="auto"/>
          <w:highlight w:val="none"/>
          <w:lang w:val="en-US" w:eastAsia="zh-CN"/>
        </w:rPr>
      </w:pPr>
      <w:r>
        <w:rPr>
          <w:rFonts w:hint="eastAsia" w:ascii="宋体" w:hAnsi="宋体"/>
          <w:b/>
          <w:bCs/>
          <w:color w:val="auto"/>
          <w:sz w:val="32"/>
          <w:szCs w:val="20"/>
          <w:highlight w:val="none"/>
        </w:rPr>
        <w:t>（2）</w:t>
      </w:r>
      <w:r>
        <w:rPr>
          <w:rFonts w:hint="eastAsia" w:ascii="宋体" w:hAnsi="宋体"/>
          <w:b/>
          <w:bCs/>
          <w:color w:val="auto"/>
          <w:sz w:val="32"/>
          <w:szCs w:val="20"/>
          <w:highlight w:val="none"/>
          <w:lang w:val="en-US" w:eastAsia="zh-CN"/>
        </w:rPr>
        <w:t>其它证明文件</w:t>
      </w:r>
      <w:r>
        <w:rPr>
          <w:rFonts w:hint="eastAsia" w:ascii="宋体" w:hAnsi="宋体"/>
          <w:b/>
          <w:bCs/>
          <w:color w:val="auto"/>
          <w:sz w:val="32"/>
          <w:szCs w:val="20"/>
          <w:highlight w:val="none"/>
        </w:rPr>
        <w:t>（如有，请提供）；</w:t>
      </w:r>
    </w:p>
    <w:p w14:paraId="06BDC18B">
      <w:pPr>
        <w:widowControl/>
        <w:spacing w:line="360" w:lineRule="auto"/>
        <w:jc w:val="left"/>
        <w:rPr>
          <w:rFonts w:hint="eastAsia" w:ascii="宋体" w:hAnsi="宋体"/>
          <w:color w:val="auto"/>
          <w:highlight w:val="none"/>
        </w:rPr>
      </w:pPr>
    </w:p>
    <w:p w14:paraId="38B6B874">
      <w:pPr>
        <w:widowControl/>
        <w:jc w:val="left"/>
        <w:rPr>
          <w:rFonts w:hint="eastAsia" w:ascii="宋体" w:hAnsi="宋体"/>
          <w:color w:val="auto"/>
          <w:highlight w:val="none"/>
        </w:rPr>
      </w:pPr>
    </w:p>
    <w:p w14:paraId="54CF1481">
      <w:pPr>
        <w:widowControl/>
        <w:jc w:val="left"/>
        <w:rPr>
          <w:rFonts w:hint="eastAsia" w:ascii="宋体" w:hAnsi="宋体"/>
          <w:color w:val="auto"/>
          <w:highlight w:val="none"/>
        </w:rPr>
      </w:pPr>
    </w:p>
    <w:p w14:paraId="275274F4">
      <w:pPr>
        <w:widowControl/>
        <w:jc w:val="left"/>
        <w:rPr>
          <w:rFonts w:hint="eastAsia" w:ascii="宋体" w:hAnsi="宋体"/>
          <w:color w:val="auto"/>
          <w:highlight w:val="none"/>
        </w:rPr>
      </w:pPr>
    </w:p>
    <w:p w14:paraId="215D712F">
      <w:pPr>
        <w:widowControl/>
        <w:jc w:val="left"/>
        <w:rPr>
          <w:rFonts w:hint="eastAsia" w:ascii="宋体" w:hAnsi="宋体"/>
          <w:color w:val="auto"/>
          <w:highlight w:val="none"/>
        </w:rPr>
      </w:pPr>
    </w:p>
    <w:p w14:paraId="18CBE8ED">
      <w:pPr>
        <w:widowControl/>
        <w:jc w:val="left"/>
        <w:rPr>
          <w:rFonts w:hint="eastAsia" w:ascii="宋体" w:hAnsi="宋体"/>
          <w:color w:val="auto"/>
          <w:highlight w:val="none"/>
        </w:rPr>
      </w:pPr>
    </w:p>
    <w:p w14:paraId="61B37F32">
      <w:pPr>
        <w:widowControl/>
        <w:jc w:val="left"/>
        <w:rPr>
          <w:rFonts w:hint="eastAsia" w:ascii="宋体" w:hAnsi="宋体"/>
          <w:color w:val="auto"/>
          <w:highlight w:val="none"/>
        </w:rPr>
      </w:pPr>
    </w:p>
    <w:p w14:paraId="3E239CB9">
      <w:pPr>
        <w:tabs>
          <w:tab w:val="left" w:pos="1305"/>
        </w:tabs>
        <w:spacing w:line="400" w:lineRule="exact"/>
        <w:ind w:firstLine="643" w:firstLineChars="200"/>
        <w:rPr>
          <w:rFonts w:hint="eastAsia" w:ascii="宋体" w:hAnsi="宋体"/>
          <w:b/>
          <w:bCs/>
          <w:color w:val="auto"/>
          <w:sz w:val="32"/>
          <w:szCs w:val="20"/>
          <w:highlight w:val="none"/>
        </w:rPr>
      </w:pPr>
      <w:r>
        <w:rPr>
          <w:rFonts w:hint="eastAsia" w:ascii="宋体" w:hAnsi="宋体"/>
          <w:b/>
          <w:bCs/>
          <w:color w:val="auto"/>
          <w:sz w:val="32"/>
          <w:szCs w:val="20"/>
          <w:highlight w:val="none"/>
        </w:rPr>
        <w:t xml:space="preserve">6.项目实施人员一览表（如有，请提供） </w:t>
      </w:r>
    </w:p>
    <w:p w14:paraId="77402CD6">
      <w:pPr>
        <w:tabs>
          <w:tab w:val="left" w:pos="1305"/>
        </w:tabs>
        <w:spacing w:line="400" w:lineRule="exact"/>
        <w:ind w:firstLine="643" w:firstLineChars="200"/>
        <w:rPr>
          <w:rFonts w:hint="eastAsia" w:ascii="宋体" w:hAnsi="宋体"/>
          <w:b/>
          <w:bCs/>
          <w:color w:val="auto"/>
          <w:sz w:val="32"/>
          <w:szCs w:val="20"/>
          <w:highlight w:val="none"/>
        </w:rPr>
      </w:pPr>
    </w:p>
    <w:p w14:paraId="74050074">
      <w:pPr>
        <w:ind w:firstLine="1102" w:firstLineChars="343"/>
        <w:rPr>
          <w:rFonts w:hint="eastAsia" w:ascii="宋体" w:hAnsi="宋体"/>
          <w:b/>
          <w:color w:val="auto"/>
          <w:sz w:val="32"/>
          <w:szCs w:val="32"/>
          <w:highlight w:val="none"/>
        </w:rPr>
      </w:pPr>
      <w:r>
        <w:rPr>
          <w:rFonts w:hint="eastAsia" w:ascii="宋体" w:hAnsi="宋体"/>
          <w:b/>
          <w:color w:val="auto"/>
          <w:sz w:val="32"/>
          <w:szCs w:val="32"/>
          <w:highlight w:val="none"/>
        </w:rPr>
        <w:t xml:space="preserve">附件                           </w:t>
      </w:r>
    </w:p>
    <w:p w14:paraId="7EEF65F0">
      <w:pPr>
        <w:ind w:firstLine="1102" w:firstLineChars="343"/>
        <w:rPr>
          <w:rFonts w:hint="eastAsia" w:ascii="宋体" w:hAnsi="宋体"/>
          <w:b/>
          <w:color w:val="auto"/>
          <w:sz w:val="32"/>
          <w:szCs w:val="32"/>
          <w:highlight w:val="none"/>
        </w:rPr>
      </w:pPr>
      <w:r>
        <w:rPr>
          <w:rFonts w:hint="eastAsia" w:ascii="宋体" w:hAnsi="宋体"/>
          <w:b/>
          <w:color w:val="auto"/>
          <w:sz w:val="32"/>
          <w:szCs w:val="32"/>
          <w:highlight w:val="none"/>
        </w:rPr>
        <w:t xml:space="preserve"> </w:t>
      </w:r>
    </w:p>
    <w:p w14:paraId="41269582">
      <w:pPr>
        <w:ind w:firstLine="1102" w:firstLineChars="343"/>
        <w:jc w:val="center"/>
        <w:rPr>
          <w:rFonts w:hint="eastAsia" w:ascii="宋体" w:hAnsi="宋体"/>
          <w:b/>
          <w:color w:val="auto"/>
          <w:sz w:val="32"/>
          <w:szCs w:val="32"/>
          <w:highlight w:val="none"/>
        </w:rPr>
      </w:pPr>
      <w:r>
        <w:rPr>
          <w:rFonts w:hint="eastAsia" w:ascii="宋体" w:hAnsi="宋体"/>
          <w:b/>
          <w:color w:val="auto"/>
          <w:sz w:val="32"/>
          <w:szCs w:val="32"/>
          <w:highlight w:val="none"/>
        </w:rPr>
        <w:t>项目实施人员一览表</w:t>
      </w:r>
    </w:p>
    <w:p w14:paraId="004276AB">
      <w:pPr>
        <w:ind w:firstLine="630" w:firstLineChars="300"/>
        <w:rPr>
          <w:rFonts w:hint="eastAsia" w:ascii="宋体" w:hAnsi="宋体"/>
          <w:color w:val="auto"/>
          <w:szCs w:val="21"/>
          <w:highlight w:val="none"/>
        </w:rPr>
      </w:pPr>
      <w:r>
        <w:rPr>
          <w:rFonts w:hint="eastAsia" w:ascii="宋体" w:hAnsi="宋体"/>
          <w:color w:val="auto"/>
          <w:szCs w:val="21"/>
          <w:highlight w:val="none"/>
        </w:rPr>
        <w:t xml:space="preserve"> </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2"/>
        <w:gridCol w:w="806"/>
        <w:gridCol w:w="1537"/>
        <w:gridCol w:w="1371"/>
        <w:gridCol w:w="2163"/>
        <w:gridCol w:w="2000"/>
      </w:tblGrid>
      <w:tr w14:paraId="4F738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vAlign w:val="center"/>
          </w:tcPr>
          <w:p w14:paraId="10CF3AD1">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姓 名</w:t>
            </w:r>
          </w:p>
        </w:tc>
        <w:tc>
          <w:tcPr>
            <w:tcW w:w="806" w:type="dxa"/>
            <w:vAlign w:val="center"/>
          </w:tcPr>
          <w:p w14:paraId="79101C58">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职务</w:t>
            </w:r>
          </w:p>
        </w:tc>
        <w:tc>
          <w:tcPr>
            <w:tcW w:w="1537" w:type="dxa"/>
            <w:vAlign w:val="center"/>
          </w:tcPr>
          <w:p w14:paraId="7A1C61EB">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专业技术资格</w:t>
            </w:r>
          </w:p>
        </w:tc>
        <w:tc>
          <w:tcPr>
            <w:tcW w:w="1371" w:type="dxa"/>
            <w:vAlign w:val="center"/>
          </w:tcPr>
          <w:p w14:paraId="2DE573D3">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证书编号</w:t>
            </w:r>
          </w:p>
        </w:tc>
        <w:tc>
          <w:tcPr>
            <w:tcW w:w="2163" w:type="dxa"/>
            <w:vAlign w:val="center"/>
          </w:tcPr>
          <w:p w14:paraId="56993E71">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参加本单位</w:t>
            </w:r>
          </w:p>
          <w:p w14:paraId="4FFD5841">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工作时间</w:t>
            </w:r>
          </w:p>
        </w:tc>
        <w:tc>
          <w:tcPr>
            <w:tcW w:w="2000" w:type="dxa"/>
            <w:vAlign w:val="center"/>
          </w:tcPr>
          <w:p w14:paraId="452FA256">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备注</w:t>
            </w:r>
          </w:p>
        </w:tc>
      </w:tr>
      <w:tr w14:paraId="78C41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tcPr>
          <w:p w14:paraId="1DF10F67">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806" w:type="dxa"/>
          </w:tcPr>
          <w:p w14:paraId="43E89BF7">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1537" w:type="dxa"/>
          </w:tcPr>
          <w:p w14:paraId="4DB41963">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1371" w:type="dxa"/>
          </w:tcPr>
          <w:p w14:paraId="113ECFD2">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2163" w:type="dxa"/>
          </w:tcPr>
          <w:p w14:paraId="31B77180">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2000" w:type="dxa"/>
          </w:tcPr>
          <w:p w14:paraId="6589F68B">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r>
      <w:tr w14:paraId="22137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tcPr>
          <w:p w14:paraId="14DD881F">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806" w:type="dxa"/>
          </w:tcPr>
          <w:p w14:paraId="11BBDB1E">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1537" w:type="dxa"/>
          </w:tcPr>
          <w:p w14:paraId="6ED1B6CF">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1371" w:type="dxa"/>
          </w:tcPr>
          <w:p w14:paraId="7E5F03C7">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2163" w:type="dxa"/>
          </w:tcPr>
          <w:p w14:paraId="1E20EEBE">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2000" w:type="dxa"/>
          </w:tcPr>
          <w:p w14:paraId="7073B5D4">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r>
      <w:tr w14:paraId="43FF8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tcPr>
          <w:p w14:paraId="600E5B2A">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806" w:type="dxa"/>
          </w:tcPr>
          <w:p w14:paraId="21CC3C6B">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1537" w:type="dxa"/>
          </w:tcPr>
          <w:p w14:paraId="33368666">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1371" w:type="dxa"/>
          </w:tcPr>
          <w:p w14:paraId="4DCED35E">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2163" w:type="dxa"/>
          </w:tcPr>
          <w:p w14:paraId="128F8E99">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2000" w:type="dxa"/>
          </w:tcPr>
          <w:p w14:paraId="285E4811">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r>
    </w:tbl>
    <w:p w14:paraId="3E14BFD5">
      <w:pPr>
        <w:spacing w:line="400" w:lineRule="exact"/>
        <w:rPr>
          <w:rFonts w:hint="eastAsia" w:ascii="宋体" w:hAnsi="宋体"/>
          <w:color w:val="auto"/>
          <w:szCs w:val="21"/>
          <w:highlight w:val="none"/>
        </w:rPr>
      </w:pPr>
      <w:r>
        <w:rPr>
          <w:rFonts w:hint="eastAsia" w:ascii="宋体" w:hAnsi="宋体"/>
          <w:color w:val="auto"/>
          <w:szCs w:val="21"/>
          <w:highlight w:val="none"/>
        </w:rPr>
        <w:t>注：在填写时，如本表格不适合投标单位的实际情况，可根据本表格式自行制表填写。</w:t>
      </w:r>
    </w:p>
    <w:p w14:paraId="3D1024EC">
      <w:pPr>
        <w:tabs>
          <w:tab w:val="left" w:pos="1305"/>
        </w:tabs>
        <w:spacing w:line="400" w:lineRule="exact"/>
        <w:rPr>
          <w:rFonts w:hint="eastAsia" w:ascii="宋体" w:hAnsi="宋体"/>
          <w:b/>
          <w:bCs/>
          <w:color w:val="auto"/>
          <w:sz w:val="32"/>
          <w:szCs w:val="20"/>
          <w:highlight w:val="none"/>
        </w:rPr>
      </w:pPr>
    </w:p>
    <w:p w14:paraId="2F6543B5">
      <w:pPr>
        <w:pStyle w:val="233"/>
        <w:ind w:firstLine="480"/>
        <w:rPr>
          <w:rFonts w:hint="eastAsia" w:hAnsi="宋体"/>
          <w:color w:val="auto"/>
          <w:highlight w:val="none"/>
        </w:rPr>
      </w:pPr>
    </w:p>
    <w:p w14:paraId="5AE345A7">
      <w:pPr>
        <w:rPr>
          <w:rFonts w:hint="eastAsia" w:ascii="宋体" w:hAnsi="宋体"/>
          <w:color w:val="auto"/>
          <w:highlight w:val="none"/>
        </w:rPr>
      </w:pPr>
    </w:p>
    <w:p w14:paraId="5BF3FBC5">
      <w:pPr>
        <w:pStyle w:val="27"/>
        <w:spacing w:line="500" w:lineRule="exact"/>
        <w:ind w:firstLine="3339" w:firstLineChars="1590"/>
        <w:rPr>
          <w:rFonts w:hint="eastAsia" w:hAnsi="宋体"/>
          <w:color w:val="auto"/>
          <w:highlight w:val="none"/>
        </w:rPr>
      </w:pPr>
      <w:r>
        <w:rPr>
          <w:rFonts w:hint="eastAsia" w:hAnsi="宋体"/>
          <w:color w:val="auto"/>
          <w:highlight w:val="none"/>
        </w:rPr>
        <w:t>投标人名称（加盖CA证书签章，自然人除外）：</w:t>
      </w:r>
      <w:r>
        <w:rPr>
          <w:rFonts w:hint="eastAsia" w:hAnsi="宋体"/>
          <w:color w:val="auto"/>
          <w:highlight w:val="none"/>
          <w:u w:val="single"/>
        </w:rPr>
        <w:t xml:space="preserve">          ；                        </w:t>
      </w:r>
    </w:p>
    <w:p w14:paraId="3A0EA82E">
      <w:pPr>
        <w:pStyle w:val="27"/>
        <w:spacing w:line="500" w:lineRule="exact"/>
        <w:ind w:firstLine="2814" w:firstLineChars="1340"/>
        <w:rPr>
          <w:rFonts w:hint="eastAsia" w:hAnsi="宋体" w:cs="宋体"/>
          <w:color w:val="auto"/>
          <w:highlight w:val="none"/>
        </w:rPr>
      </w:pPr>
      <w:r>
        <w:rPr>
          <w:rFonts w:hint="eastAsia" w:hAnsi="宋体"/>
          <w:color w:val="auto"/>
          <w:highlight w:val="none"/>
        </w:rPr>
        <w:t>法代表人或负责人或自然人或相应的委托代理人签字（或加盖</w:t>
      </w:r>
      <w:r>
        <w:rPr>
          <w:rFonts w:hint="eastAsia" w:hAnsi="宋体" w:cs="宋体"/>
          <w:color w:val="auto"/>
          <w:highlight w:val="none"/>
        </w:rPr>
        <w:t>个人CA</w:t>
      </w:r>
    </w:p>
    <w:p w14:paraId="5F56D0F7">
      <w:pPr>
        <w:pStyle w:val="27"/>
        <w:spacing w:line="500" w:lineRule="exact"/>
        <w:ind w:firstLine="3234" w:firstLineChars="1540"/>
        <w:rPr>
          <w:rFonts w:hint="eastAsia" w:hAnsi="宋体"/>
          <w:color w:val="auto"/>
          <w:highlight w:val="none"/>
        </w:rPr>
      </w:pPr>
      <w:r>
        <w:rPr>
          <w:rFonts w:hint="eastAsia" w:hAnsi="宋体" w:cs="宋体"/>
          <w:color w:val="auto"/>
          <w:highlight w:val="none"/>
        </w:rPr>
        <w:t>证书签章</w:t>
      </w:r>
      <w:r>
        <w:rPr>
          <w:rFonts w:hint="eastAsia" w:hAnsi="宋体"/>
          <w:color w:val="auto"/>
          <w:highlight w:val="none"/>
        </w:rPr>
        <w:t>）：</w:t>
      </w:r>
      <w:r>
        <w:rPr>
          <w:rFonts w:hint="eastAsia" w:hAnsi="宋体"/>
          <w:color w:val="auto"/>
          <w:highlight w:val="none"/>
          <w:u w:val="single"/>
        </w:rPr>
        <w:t xml:space="preserve">                 ；</w:t>
      </w:r>
    </w:p>
    <w:p w14:paraId="209B6EEC">
      <w:pPr>
        <w:pStyle w:val="27"/>
        <w:spacing w:line="500" w:lineRule="exact"/>
        <w:ind w:firstLine="3360" w:firstLineChars="1600"/>
        <w:rPr>
          <w:rFonts w:hint="eastAsia" w:hAnsi="宋体"/>
          <w:bCs/>
          <w:color w:val="auto"/>
          <w:szCs w:val="21"/>
          <w:highlight w:val="none"/>
          <w:u w:val="single"/>
        </w:rPr>
      </w:pPr>
      <w:r>
        <w:rPr>
          <w:rFonts w:hint="eastAsia" w:hAnsi="宋体"/>
          <w:bCs/>
          <w:color w:val="auto"/>
          <w:szCs w:val="21"/>
          <w:highlight w:val="none"/>
        </w:rPr>
        <w:t>日期：</w:t>
      </w:r>
      <w:r>
        <w:rPr>
          <w:rFonts w:hint="eastAsia" w:hAnsi="宋体"/>
          <w:bCs/>
          <w:color w:val="auto"/>
          <w:szCs w:val="21"/>
          <w:highlight w:val="none"/>
          <w:u w:val="single"/>
        </w:rPr>
        <w:t xml:space="preserve">                      ；</w:t>
      </w:r>
    </w:p>
    <w:p w14:paraId="05FB0963">
      <w:pPr>
        <w:pStyle w:val="233"/>
        <w:ind w:firstLine="480"/>
        <w:rPr>
          <w:rFonts w:hint="eastAsia" w:hAnsi="宋体"/>
          <w:color w:val="auto"/>
          <w:highlight w:val="none"/>
        </w:rPr>
      </w:pPr>
    </w:p>
    <w:p w14:paraId="0AA3D08B">
      <w:pPr>
        <w:rPr>
          <w:rFonts w:hint="eastAsia" w:ascii="宋体" w:hAnsi="宋体"/>
          <w:color w:val="auto"/>
          <w:highlight w:val="none"/>
        </w:rPr>
      </w:pPr>
    </w:p>
    <w:p w14:paraId="4984131A">
      <w:pPr>
        <w:tabs>
          <w:tab w:val="left" w:pos="1305"/>
        </w:tabs>
        <w:spacing w:line="380" w:lineRule="exact"/>
        <w:rPr>
          <w:rFonts w:hint="eastAsia" w:ascii="宋体" w:hAnsi="宋体"/>
          <w:b/>
          <w:bCs/>
          <w:color w:val="auto"/>
          <w:sz w:val="32"/>
          <w:szCs w:val="20"/>
          <w:highlight w:val="none"/>
        </w:rPr>
      </w:pPr>
    </w:p>
    <w:p w14:paraId="6ADDA588">
      <w:pPr>
        <w:pStyle w:val="233"/>
        <w:ind w:firstLine="480"/>
        <w:rPr>
          <w:rFonts w:hint="eastAsia" w:hAnsi="宋体"/>
          <w:color w:val="auto"/>
          <w:highlight w:val="none"/>
        </w:rPr>
      </w:pPr>
    </w:p>
    <w:p w14:paraId="5424517C">
      <w:pPr>
        <w:rPr>
          <w:rFonts w:hint="eastAsia" w:ascii="宋体" w:hAnsi="宋体"/>
          <w:color w:val="auto"/>
          <w:highlight w:val="none"/>
        </w:rPr>
      </w:pPr>
    </w:p>
    <w:p w14:paraId="1056DE49">
      <w:pPr>
        <w:pStyle w:val="233"/>
        <w:ind w:firstLine="480"/>
        <w:rPr>
          <w:rFonts w:hint="eastAsia" w:hAnsi="宋体"/>
          <w:color w:val="auto"/>
          <w:highlight w:val="none"/>
        </w:rPr>
      </w:pPr>
    </w:p>
    <w:p w14:paraId="6F9A60FF">
      <w:pPr>
        <w:rPr>
          <w:rFonts w:hint="eastAsia" w:ascii="宋体" w:hAnsi="宋体"/>
          <w:color w:val="auto"/>
          <w:highlight w:val="none"/>
        </w:rPr>
      </w:pPr>
    </w:p>
    <w:p w14:paraId="1088059C">
      <w:pPr>
        <w:tabs>
          <w:tab w:val="left" w:pos="1305"/>
        </w:tabs>
        <w:spacing w:line="360" w:lineRule="auto"/>
        <w:ind w:firstLine="210" w:firstLineChars="100"/>
        <w:rPr>
          <w:rFonts w:hint="eastAsia" w:ascii="宋体" w:hAnsi="宋体"/>
          <w:b/>
          <w:bCs/>
          <w:color w:val="auto"/>
          <w:sz w:val="32"/>
          <w:szCs w:val="20"/>
          <w:highlight w:val="none"/>
        </w:rPr>
      </w:pPr>
      <w:r>
        <w:rPr>
          <w:rFonts w:hint="eastAsia" w:hAnsi="宋体"/>
          <w:color w:val="auto"/>
          <w:highlight w:val="none"/>
        </w:rPr>
        <w:t xml:space="preserve"> </w:t>
      </w:r>
      <w:r>
        <w:rPr>
          <w:rFonts w:hint="eastAsia" w:ascii="宋体" w:hAnsi="宋体"/>
          <w:b/>
          <w:bCs/>
          <w:color w:val="auto"/>
          <w:sz w:val="32"/>
          <w:szCs w:val="20"/>
          <w:highlight w:val="none"/>
        </w:rPr>
        <w:t>7.履约能力（根据评标办法</w:t>
      </w:r>
      <w:r>
        <w:rPr>
          <w:rFonts w:hint="eastAsia" w:ascii="宋体" w:hAnsi="宋体"/>
          <w:b/>
          <w:color w:val="auto"/>
          <w:sz w:val="32"/>
          <w:szCs w:val="21"/>
          <w:highlight w:val="none"/>
        </w:rPr>
        <w:t>自行提供</w:t>
      </w:r>
      <w:r>
        <w:rPr>
          <w:rFonts w:hint="eastAsia" w:ascii="宋体" w:hAnsi="宋体"/>
          <w:b/>
          <w:color w:val="auto"/>
          <w:sz w:val="32"/>
          <w:szCs w:val="32"/>
          <w:highlight w:val="none"/>
        </w:rPr>
        <w:t>）</w:t>
      </w:r>
      <w:r>
        <w:rPr>
          <w:rFonts w:hint="eastAsia" w:ascii="宋体" w:hAnsi="宋体"/>
          <w:color w:val="auto"/>
          <w:sz w:val="32"/>
          <w:szCs w:val="32"/>
          <w:highlight w:val="none"/>
        </w:rPr>
        <w:t>（</w:t>
      </w:r>
      <w:r>
        <w:rPr>
          <w:rFonts w:hint="eastAsia" w:ascii="宋体" w:hAnsi="宋体"/>
          <w:b/>
          <w:bCs/>
          <w:color w:val="auto"/>
          <w:sz w:val="32"/>
          <w:szCs w:val="32"/>
          <w:highlight w:val="none"/>
        </w:rPr>
        <w:t>如</w:t>
      </w:r>
      <w:r>
        <w:rPr>
          <w:rFonts w:hint="eastAsia" w:ascii="宋体" w:hAnsi="宋体"/>
          <w:b/>
          <w:bCs/>
          <w:color w:val="auto"/>
          <w:sz w:val="32"/>
          <w:szCs w:val="20"/>
          <w:highlight w:val="none"/>
        </w:rPr>
        <w:t xml:space="preserve">有，请提供） </w:t>
      </w:r>
    </w:p>
    <w:p w14:paraId="4D4BE599">
      <w:pPr>
        <w:tabs>
          <w:tab w:val="left" w:pos="1305"/>
        </w:tabs>
        <w:spacing w:line="380" w:lineRule="exact"/>
        <w:ind w:firstLine="643" w:firstLineChars="200"/>
        <w:rPr>
          <w:rFonts w:hint="eastAsia" w:ascii="宋体" w:hAnsi="宋体"/>
          <w:b/>
          <w:bCs/>
          <w:color w:val="auto"/>
          <w:sz w:val="32"/>
          <w:szCs w:val="20"/>
          <w:highlight w:val="none"/>
        </w:rPr>
      </w:pPr>
      <w:r>
        <w:rPr>
          <w:rFonts w:hint="eastAsia" w:ascii="宋体" w:hAnsi="宋体"/>
          <w:b/>
          <w:bCs/>
          <w:color w:val="auto"/>
          <w:sz w:val="32"/>
          <w:szCs w:val="20"/>
          <w:highlight w:val="none"/>
        </w:rPr>
        <w:t>（1）投标人相关认证证书等复印件（如有，请提供）；</w:t>
      </w:r>
    </w:p>
    <w:p w14:paraId="73B3F3B3">
      <w:pPr>
        <w:pStyle w:val="233"/>
        <w:ind w:firstLine="480"/>
        <w:rPr>
          <w:rFonts w:ascii="Times New Roman"/>
          <w:color w:val="auto"/>
          <w:highlight w:val="none"/>
        </w:rPr>
      </w:pPr>
    </w:p>
    <w:p w14:paraId="5999010D">
      <w:pPr>
        <w:rPr>
          <w:color w:val="auto"/>
          <w:highlight w:val="none"/>
        </w:rPr>
      </w:pPr>
    </w:p>
    <w:p w14:paraId="5DCA46A2">
      <w:pPr>
        <w:pStyle w:val="233"/>
        <w:ind w:firstLine="480"/>
        <w:rPr>
          <w:rFonts w:ascii="Times New Roman"/>
          <w:color w:val="auto"/>
          <w:highlight w:val="none"/>
        </w:rPr>
      </w:pPr>
    </w:p>
    <w:p w14:paraId="340498CF">
      <w:pPr>
        <w:rPr>
          <w:color w:val="auto"/>
          <w:highlight w:val="none"/>
        </w:rPr>
      </w:pPr>
      <w:r>
        <w:rPr>
          <w:rFonts w:hint="eastAsia"/>
          <w:color w:val="auto"/>
          <w:highlight w:val="none"/>
        </w:rPr>
        <w:t xml:space="preserve"> </w:t>
      </w:r>
    </w:p>
    <w:p w14:paraId="2F66FC84">
      <w:pPr>
        <w:pStyle w:val="233"/>
        <w:ind w:firstLine="480"/>
        <w:rPr>
          <w:rFonts w:ascii="Times New Roman"/>
          <w:color w:val="auto"/>
          <w:highlight w:val="none"/>
        </w:rPr>
      </w:pPr>
    </w:p>
    <w:p w14:paraId="1CF21A17">
      <w:pPr>
        <w:tabs>
          <w:tab w:val="left" w:pos="1305"/>
        </w:tabs>
        <w:spacing w:line="380" w:lineRule="exact"/>
        <w:ind w:firstLine="643" w:firstLineChars="200"/>
        <w:rPr>
          <w:rFonts w:hint="eastAsia" w:ascii="宋体" w:hAnsi="宋体"/>
          <w:b/>
          <w:bCs/>
          <w:color w:val="auto"/>
          <w:sz w:val="32"/>
          <w:szCs w:val="20"/>
          <w:highlight w:val="none"/>
        </w:rPr>
      </w:pPr>
    </w:p>
    <w:p w14:paraId="0EDF986F">
      <w:pPr>
        <w:tabs>
          <w:tab w:val="left" w:pos="1305"/>
        </w:tabs>
        <w:spacing w:line="360" w:lineRule="auto"/>
        <w:ind w:firstLine="643" w:firstLineChars="200"/>
        <w:rPr>
          <w:rFonts w:hint="eastAsia" w:ascii="宋体" w:hAnsi="宋体"/>
          <w:b/>
          <w:bCs/>
          <w:color w:val="auto"/>
          <w:sz w:val="32"/>
          <w:szCs w:val="20"/>
          <w:highlight w:val="none"/>
        </w:rPr>
      </w:pPr>
      <w:r>
        <w:rPr>
          <w:rFonts w:hint="eastAsia" w:ascii="宋体" w:hAnsi="宋体"/>
          <w:b/>
          <w:bCs/>
          <w:color w:val="auto"/>
          <w:sz w:val="32"/>
          <w:szCs w:val="20"/>
          <w:highlight w:val="none"/>
        </w:rPr>
        <w:t>（2）投标人202</w:t>
      </w:r>
      <w:r>
        <w:rPr>
          <w:rFonts w:hint="eastAsia" w:ascii="宋体" w:hAnsi="宋体"/>
          <w:b/>
          <w:bCs/>
          <w:color w:val="auto"/>
          <w:sz w:val="32"/>
          <w:szCs w:val="20"/>
          <w:highlight w:val="none"/>
          <w:lang w:val="en-US" w:eastAsia="zh-CN"/>
        </w:rPr>
        <w:t>3</w:t>
      </w:r>
      <w:r>
        <w:rPr>
          <w:rFonts w:hint="eastAsia" w:ascii="宋体" w:hAnsi="宋体"/>
          <w:b/>
          <w:bCs/>
          <w:color w:val="auto"/>
          <w:sz w:val="32"/>
          <w:szCs w:val="20"/>
          <w:highlight w:val="none"/>
        </w:rPr>
        <w:t>年以来具有同类产品的销售业绩的相关证明材料【以中标（成交）通知书和签订的销售合同复印件为准，须附有采购货物清单及金额，并能清晰反映所销售的货物名称、种类、时间等内容】（如有，请提供）；</w:t>
      </w:r>
    </w:p>
    <w:p w14:paraId="32E79704">
      <w:pPr>
        <w:widowControl/>
        <w:jc w:val="left"/>
        <w:rPr>
          <w:rFonts w:hint="eastAsia" w:ascii="宋体" w:hAnsi="宋体"/>
          <w:color w:val="auto"/>
          <w:highlight w:val="none"/>
        </w:rPr>
      </w:pPr>
    </w:p>
    <w:p w14:paraId="7999533C">
      <w:pPr>
        <w:widowControl/>
        <w:jc w:val="left"/>
        <w:rPr>
          <w:rFonts w:hint="eastAsia" w:ascii="宋体" w:hAnsi="宋体"/>
          <w:color w:val="auto"/>
          <w:highlight w:val="none"/>
        </w:rPr>
      </w:pPr>
    </w:p>
    <w:p w14:paraId="0A1B1C63">
      <w:pPr>
        <w:pStyle w:val="233"/>
        <w:ind w:firstLine="480"/>
        <w:rPr>
          <w:rFonts w:hint="eastAsia" w:hAnsi="宋体"/>
          <w:color w:val="auto"/>
          <w:highlight w:val="none"/>
        </w:rPr>
      </w:pPr>
    </w:p>
    <w:p w14:paraId="4D1CB18B">
      <w:pPr>
        <w:rPr>
          <w:color w:val="auto"/>
          <w:highlight w:val="none"/>
        </w:rPr>
      </w:pPr>
    </w:p>
    <w:p w14:paraId="60D40872">
      <w:pPr>
        <w:pStyle w:val="233"/>
        <w:ind w:firstLine="480"/>
        <w:rPr>
          <w:rFonts w:ascii="Times New Roman"/>
          <w:color w:val="auto"/>
          <w:highlight w:val="none"/>
        </w:rPr>
      </w:pPr>
    </w:p>
    <w:p w14:paraId="4154ED48">
      <w:pPr>
        <w:tabs>
          <w:tab w:val="left" w:pos="1305"/>
        </w:tabs>
        <w:spacing w:line="360" w:lineRule="auto"/>
        <w:rPr>
          <w:rFonts w:hint="eastAsia" w:ascii="宋体" w:hAnsi="宋体"/>
          <w:b/>
          <w:bCs/>
          <w:color w:val="auto"/>
          <w:sz w:val="32"/>
          <w:szCs w:val="20"/>
          <w:highlight w:val="none"/>
        </w:rPr>
      </w:pPr>
      <w:r>
        <w:rPr>
          <w:rFonts w:hint="eastAsia" w:ascii="宋体" w:hAnsi="宋体"/>
          <w:b/>
          <w:bCs/>
          <w:color w:val="auto"/>
          <w:sz w:val="32"/>
          <w:szCs w:val="20"/>
          <w:highlight w:val="none"/>
        </w:rPr>
        <w:t>8.政策功能（节能、环保）相关证书复印件（根据评标办法</w:t>
      </w:r>
      <w:r>
        <w:rPr>
          <w:rFonts w:hint="eastAsia" w:ascii="宋体" w:hAnsi="宋体"/>
          <w:b/>
          <w:color w:val="auto"/>
          <w:sz w:val="32"/>
          <w:szCs w:val="21"/>
          <w:highlight w:val="none"/>
        </w:rPr>
        <w:t>自行提供</w:t>
      </w:r>
      <w:r>
        <w:rPr>
          <w:rFonts w:hint="eastAsia" w:ascii="宋体" w:hAnsi="宋体"/>
          <w:b/>
          <w:color w:val="auto"/>
          <w:sz w:val="32"/>
          <w:szCs w:val="32"/>
          <w:highlight w:val="none"/>
        </w:rPr>
        <w:t>）</w:t>
      </w:r>
      <w:r>
        <w:rPr>
          <w:rFonts w:hint="eastAsia" w:ascii="宋体" w:hAnsi="宋体"/>
          <w:b/>
          <w:bCs/>
          <w:color w:val="auto"/>
          <w:sz w:val="32"/>
          <w:szCs w:val="20"/>
          <w:highlight w:val="none"/>
        </w:rPr>
        <w:t>（如有，请提供）</w:t>
      </w:r>
    </w:p>
    <w:p w14:paraId="721FC443">
      <w:pPr>
        <w:tabs>
          <w:tab w:val="left" w:pos="1305"/>
        </w:tabs>
        <w:spacing w:line="380" w:lineRule="exact"/>
        <w:ind w:firstLine="643" w:firstLineChars="200"/>
        <w:rPr>
          <w:rFonts w:hint="eastAsia" w:ascii="宋体" w:hAnsi="宋体"/>
          <w:b/>
          <w:bCs/>
          <w:color w:val="auto"/>
          <w:sz w:val="32"/>
          <w:szCs w:val="20"/>
          <w:highlight w:val="none"/>
        </w:rPr>
      </w:pPr>
    </w:p>
    <w:p w14:paraId="47B927C4">
      <w:pPr>
        <w:tabs>
          <w:tab w:val="left" w:pos="1305"/>
        </w:tabs>
        <w:spacing w:line="380" w:lineRule="exact"/>
        <w:ind w:firstLine="643" w:firstLineChars="200"/>
        <w:rPr>
          <w:rFonts w:hint="eastAsia" w:ascii="宋体" w:hAnsi="宋体"/>
          <w:b/>
          <w:bCs/>
          <w:color w:val="auto"/>
          <w:sz w:val="32"/>
          <w:szCs w:val="20"/>
          <w:highlight w:val="none"/>
        </w:rPr>
      </w:pPr>
      <w:r>
        <w:rPr>
          <w:rFonts w:hint="eastAsia" w:ascii="宋体" w:hAnsi="宋体"/>
          <w:b/>
          <w:bCs/>
          <w:color w:val="auto"/>
          <w:sz w:val="32"/>
          <w:szCs w:val="20"/>
          <w:highlight w:val="none"/>
        </w:rPr>
        <w:t xml:space="preserve">（1）节能方面的证书复印件（如有，请提供） </w:t>
      </w:r>
    </w:p>
    <w:p w14:paraId="2537538F">
      <w:pPr>
        <w:widowControl/>
        <w:jc w:val="left"/>
        <w:rPr>
          <w:rFonts w:hint="eastAsia" w:ascii="宋体" w:hAnsi="宋体"/>
          <w:color w:val="auto"/>
          <w:highlight w:val="none"/>
        </w:rPr>
      </w:pPr>
    </w:p>
    <w:p w14:paraId="568D681E">
      <w:pPr>
        <w:widowControl/>
        <w:jc w:val="left"/>
        <w:rPr>
          <w:rFonts w:hint="eastAsia" w:ascii="宋体" w:hAnsi="宋体"/>
          <w:color w:val="auto"/>
          <w:highlight w:val="none"/>
        </w:rPr>
      </w:pPr>
    </w:p>
    <w:p w14:paraId="09E03891">
      <w:pPr>
        <w:widowControl/>
        <w:jc w:val="left"/>
        <w:rPr>
          <w:rFonts w:hint="eastAsia" w:ascii="宋体" w:hAnsi="宋体"/>
          <w:color w:val="auto"/>
          <w:highlight w:val="none"/>
        </w:rPr>
      </w:pPr>
    </w:p>
    <w:p w14:paraId="79E6DB34">
      <w:pPr>
        <w:widowControl/>
        <w:jc w:val="left"/>
        <w:rPr>
          <w:rFonts w:hint="eastAsia" w:ascii="宋体" w:hAnsi="宋体"/>
          <w:color w:val="auto"/>
          <w:highlight w:val="none"/>
        </w:rPr>
      </w:pPr>
    </w:p>
    <w:p w14:paraId="28745380">
      <w:pPr>
        <w:widowControl/>
        <w:jc w:val="left"/>
        <w:rPr>
          <w:rFonts w:hint="eastAsia" w:ascii="宋体" w:hAnsi="宋体"/>
          <w:color w:val="auto"/>
          <w:highlight w:val="none"/>
        </w:rPr>
      </w:pPr>
    </w:p>
    <w:p w14:paraId="11B427D9">
      <w:pPr>
        <w:pStyle w:val="233"/>
        <w:ind w:firstLine="480"/>
        <w:rPr>
          <w:rFonts w:ascii="Times New Roman"/>
          <w:color w:val="auto"/>
          <w:highlight w:val="none"/>
        </w:rPr>
      </w:pPr>
    </w:p>
    <w:p w14:paraId="47697B36">
      <w:pPr>
        <w:rPr>
          <w:color w:val="auto"/>
          <w:highlight w:val="none"/>
        </w:rPr>
      </w:pPr>
    </w:p>
    <w:p w14:paraId="34A8961E">
      <w:pPr>
        <w:tabs>
          <w:tab w:val="left" w:pos="1305"/>
        </w:tabs>
        <w:spacing w:line="380" w:lineRule="exact"/>
        <w:ind w:firstLine="643" w:firstLineChars="200"/>
        <w:rPr>
          <w:rFonts w:hint="eastAsia" w:ascii="宋体" w:hAnsi="宋体"/>
          <w:b/>
          <w:bCs/>
          <w:color w:val="auto"/>
          <w:sz w:val="32"/>
          <w:szCs w:val="20"/>
          <w:highlight w:val="none"/>
        </w:rPr>
      </w:pPr>
    </w:p>
    <w:p w14:paraId="4293CC06">
      <w:pPr>
        <w:tabs>
          <w:tab w:val="left" w:pos="1305"/>
        </w:tabs>
        <w:spacing w:line="380" w:lineRule="exact"/>
        <w:ind w:firstLine="643" w:firstLineChars="200"/>
        <w:rPr>
          <w:rFonts w:hint="eastAsia" w:ascii="宋体" w:hAnsi="宋体"/>
          <w:b/>
          <w:bCs/>
          <w:color w:val="auto"/>
          <w:sz w:val="32"/>
          <w:szCs w:val="20"/>
          <w:highlight w:val="none"/>
        </w:rPr>
      </w:pPr>
      <w:r>
        <w:rPr>
          <w:rFonts w:hint="eastAsia" w:ascii="宋体" w:hAnsi="宋体"/>
          <w:b/>
          <w:bCs/>
          <w:color w:val="auto"/>
          <w:sz w:val="32"/>
          <w:szCs w:val="20"/>
          <w:highlight w:val="none"/>
        </w:rPr>
        <w:t xml:space="preserve">（2）环保方面的证书复印件（如有，请提供） </w:t>
      </w:r>
    </w:p>
    <w:p w14:paraId="3B06D4D4">
      <w:pPr>
        <w:tabs>
          <w:tab w:val="left" w:pos="1305"/>
        </w:tabs>
        <w:spacing w:line="360" w:lineRule="auto"/>
        <w:ind w:firstLine="643" w:firstLineChars="200"/>
        <w:rPr>
          <w:rFonts w:hint="eastAsia" w:ascii="宋体" w:hAnsi="宋体"/>
          <w:b/>
          <w:bCs/>
          <w:color w:val="auto"/>
          <w:sz w:val="32"/>
          <w:szCs w:val="20"/>
          <w:highlight w:val="none"/>
        </w:rPr>
      </w:pPr>
    </w:p>
    <w:p w14:paraId="101F89E8">
      <w:pPr>
        <w:tabs>
          <w:tab w:val="left" w:pos="1305"/>
        </w:tabs>
        <w:spacing w:line="360" w:lineRule="auto"/>
        <w:ind w:firstLine="643" w:firstLineChars="200"/>
        <w:rPr>
          <w:rFonts w:hint="eastAsia" w:ascii="宋体" w:hAnsi="宋体"/>
          <w:b/>
          <w:bCs/>
          <w:color w:val="auto"/>
          <w:sz w:val="32"/>
          <w:szCs w:val="20"/>
          <w:highlight w:val="none"/>
        </w:rPr>
      </w:pPr>
    </w:p>
    <w:p w14:paraId="30B45C3C">
      <w:pPr>
        <w:tabs>
          <w:tab w:val="left" w:pos="1305"/>
        </w:tabs>
        <w:spacing w:line="360" w:lineRule="auto"/>
        <w:ind w:firstLine="321" w:firstLineChars="100"/>
        <w:rPr>
          <w:rFonts w:hint="eastAsia" w:ascii="宋体" w:hAnsi="宋体"/>
          <w:b/>
          <w:bCs/>
          <w:color w:val="auto"/>
          <w:sz w:val="32"/>
          <w:szCs w:val="20"/>
          <w:highlight w:val="none"/>
        </w:rPr>
      </w:pPr>
      <w:r>
        <w:rPr>
          <w:rFonts w:hint="eastAsia" w:ascii="宋体" w:hAnsi="宋体"/>
          <w:b/>
          <w:bCs/>
          <w:color w:val="auto"/>
          <w:sz w:val="32"/>
          <w:szCs w:val="20"/>
          <w:highlight w:val="none"/>
        </w:rPr>
        <w:t xml:space="preserve">9.投标人为生产厂家的，投标人的生产制造设备清单及专业技术能力说明（如有，请提供） </w:t>
      </w:r>
    </w:p>
    <w:p w14:paraId="12432E5C">
      <w:pPr>
        <w:widowControl/>
        <w:spacing w:line="360" w:lineRule="auto"/>
        <w:jc w:val="left"/>
        <w:rPr>
          <w:rFonts w:hint="eastAsia" w:ascii="宋体" w:hAnsi="宋体"/>
          <w:color w:val="auto"/>
          <w:highlight w:val="none"/>
        </w:rPr>
      </w:pPr>
    </w:p>
    <w:p w14:paraId="36563A9E">
      <w:pPr>
        <w:tabs>
          <w:tab w:val="left" w:pos="1305"/>
        </w:tabs>
        <w:spacing w:line="380" w:lineRule="exact"/>
        <w:ind w:firstLine="667" w:firstLineChars="200"/>
        <w:jc w:val="left"/>
        <w:rPr>
          <w:rFonts w:hint="eastAsia" w:ascii="宋体" w:hAnsi="宋体"/>
          <w:b/>
          <w:color w:val="auto"/>
          <w:spacing w:val="6"/>
          <w:sz w:val="32"/>
          <w:szCs w:val="32"/>
          <w:highlight w:val="none"/>
        </w:rPr>
      </w:pPr>
    </w:p>
    <w:p w14:paraId="251385E8">
      <w:pPr>
        <w:tabs>
          <w:tab w:val="left" w:pos="1305"/>
        </w:tabs>
        <w:spacing w:line="380" w:lineRule="exact"/>
        <w:ind w:firstLine="667" w:firstLineChars="200"/>
        <w:jc w:val="left"/>
        <w:rPr>
          <w:rFonts w:hint="eastAsia" w:ascii="宋体" w:hAnsi="宋体"/>
          <w:b/>
          <w:color w:val="auto"/>
          <w:spacing w:val="6"/>
          <w:sz w:val="32"/>
          <w:szCs w:val="32"/>
          <w:highlight w:val="none"/>
        </w:rPr>
      </w:pPr>
    </w:p>
    <w:p w14:paraId="7904EC32">
      <w:pPr>
        <w:tabs>
          <w:tab w:val="left" w:pos="1305"/>
        </w:tabs>
        <w:spacing w:line="380" w:lineRule="exact"/>
        <w:ind w:firstLine="667" w:firstLineChars="200"/>
        <w:jc w:val="left"/>
        <w:rPr>
          <w:rFonts w:hint="eastAsia" w:ascii="宋体" w:hAnsi="宋体"/>
          <w:b/>
          <w:color w:val="auto"/>
          <w:spacing w:val="6"/>
          <w:sz w:val="32"/>
          <w:szCs w:val="32"/>
          <w:highlight w:val="none"/>
        </w:rPr>
      </w:pPr>
    </w:p>
    <w:p w14:paraId="4CE62EFA">
      <w:pPr>
        <w:tabs>
          <w:tab w:val="left" w:pos="1305"/>
        </w:tabs>
        <w:spacing w:line="380" w:lineRule="exact"/>
        <w:ind w:firstLine="667" w:firstLineChars="200"/>
        <w:jc w:val="left"/>
        <w:rPr>
          <w:rFonts w:hint="eastAsia" w:ascii="宋体" w:hAnsi="宋体"/>
          <w:b/>
          <w:color w:val="auto"/>
          <w:spacing w:val="6"/>
          <w:sz w:val="32"/>
          <w:szCs w:val="32"/>
          <w:highlight w:val="none"/>
        </w:rPr>
      </w:pPr>
    </w:p>
    <w:p w14:paraId="35A50D8E">
      <w:pPr>
        <w:tabs>
          <w:tab w:val="left" w:pos="1305"/>
        </w:tabs>
        <w:spacing w:line="380" w:lineRule="exact"/>
        <w:ind w:firstLine="667" w:firstLineChars="200"/>
        <w:jc w:val="left"/>
        <w:rPr>
          <w:rFonts w:hint="eastAsia" w:ascii="宋体" w:hAnsi="宋体"/>
          <w:b/>
          <w:color w:val="auto"/>
          <w:spacing w:val="6"/>
          <w:sz w:val="32"/>
          <w:szCs w:val="32"/>
          <w:highlight w:val="none"/>
        </w:rPr>
      </w:pPr>
    </w:p>
    <w:p w14:paraId="1E9FF949">
      <w:pPr>
        <w:tabs>
          <w:tab w:val="left" w:pos="1305"/>
        </w:tabs>
        <w:spacing w:line="380" w:lineRule="exact"/>
        <w:ind w:firstLine="667" w:firstLineChars="200"/>
        <w:jc w:val="left"/>
        <w:rPr>
          <w:rFonts w:hint="eastAsia" w:ascii="宋体" w:hAnsi="宋体"/>
          <w:b/>
          <w:color w:val="auto"/>
          <w:spacing w:val="6"/>
          <w:sz w:val="32"/>
          <w:szCs w:val="32"/>
          <w:highlight w:val="none"/>
        </w:rPr>
      </w:pPr>
      <w:r>
        <w:rPr>
          <w:rFonts w:hint="eastAsia" w:ascii="宋体" w:hAnsi="宋体"/>
          <w:b/>
          <w:color w:val="auto"/>
          <w:spacing w:val="6"/>
          <w:sz w:val="32"/>
          <w:szCs w:val="32"/>
          <w:highlight w:val="none"/>
          <w:lang w:val="en-US" w:eastAsia="zh-CN"/>
        </w:rPr>
        <w:t>10</w:t>
      </w:r>
      <w:r>
        <w:rPr>
          <w:rFonts w:hint="eastAsia" w:ascii="宋体" w:hAnsi="宋体"/>
          <w:b/>
          <w:color w:val="auto"/>
          <w:spacing w:val="6"/>
          <w:sz w:val="32"/>
          <w:szCs w:val="32"/>
          <w:highlight w:val="none"/>
        </w:rPr>
        <w:t>、《中小企业声明函》或《残疾人福利性单位声明函》或属于监狱企业的证明文件（如有，请提供）；</w:t>
      </w:r>
    </w:p>
    <w:p w14:paraId="1805C72C">
      <w:pPr>
        <w:tabs>
          <w:tab w:val="left" w:pos="1305"/>
        </w:tabs>
        <w:spacing w:line="380" w:lineRule="exact"/>
        <w:ind w:firstLine="667" w:firstLineChars="200"/>
        <w:jc w:val="left"/>
        <w:rPr>
          <w:rFonts w:hint="eastAsia" w:ascii="宋体" w:hAnsi="宋体"/>
          <w:b/>
          <w:color w:val="auto"/>
          <w:spacing w:val="6"/>
          <w:sz w:val="32"/>
          <w:szCs w:val="32"/>
          <w:highlight w:val="none"/>
        </w:rPr>
      </w:pPr>
      <w:r>
        <w:rPr>
          <w:rFonts w:hint="eastAsia" w:ascii="宋体" w:hAnsi="宋体"/>
          <w:b/>
          <w:color w:val="auto"/>
          <w:spacing w:val="6"/>
          <w:sz w:val="32"/>
          <w:szCs w:val="32"/>
          <w:highlight w:val="none"/>
        </w:rPr>
        <w:t>【①属于中小型、微型企业【中小微型企业划分标准按照《国家统计局关于印发《统计上大中小微型企业划分办法〔2017〕》的通知》（国统字〔2017〕213号）执行，具体划分标准见第四章评标办法中附表《统计上大中小微型企业划分标准》】，以提供的《中小企业声明函》（见附件）为准；②如属于监狱企业的，应当提供由省级以上监狱管理局、戒毒管理局(含新疆生产建设兵团)出具的属于监狱企业的证明文件复印件；③如符合条件的残疾人福利性单位在参加政府采购活动时，应当提供《残疾人福利性单位声明函》（格式见附件），并对声明的真实性负责】。</w:t>
      </w:r>
    </w:p>
    <w:p w14:paraId="30B69A82">
      <w:pPr>
        <w:pStyle w:val="27"/>
        <w:spacing w:line="360" w:lineRule="auto"/>
        <w:jc w:val="center"/>
        <w:rPr>
          <w:rFonts w:hint="eastAsia" w:hAnsi="宋体"/>
          <w:b/>
          <w:bCs/>
          <w:color w:val="auto"/>
          <w:sz w:val="28"/>
          <w:szCs w:val="28"/>
          <w:highlight w:val="none"/>
        </w:rPr>
      </w:pPr>
      <w:r>
        <w:rPr>
          <w:rFonts w:hint="eastAsia" w:hAnsi="宋体"/>
          <w:b/>
          <w:bCs/>
          <w:color w:val="auto"/>
          <w:sz w:val="28"/>
          <w:szCs w:val="28"/>
          <w:highlight w:val="none"/>
        </w:rPr>
        <w:t>①</w:t>
      </w:r>
      <w:r>
        <w:rPr>
          <w:rFonts w:hAnsi="宋体"/>
          <w:b/>
          <w:bCs/>
          <w:color w:val="auto"/>
          <w:sz w:val="28"/>
          <w:szCs w:val="28"/>
          <w:highlight w:val="none"/>
        </w:rPr>
        <w:t>中小企业声明函</w:t>
      </w:r>
    </w:p>
    <w:p w14:paraId="6852378E">
      <w:pPr>
        <w:pStyle w:val="19"/>
        <w:spacing w:line="360" w:lineRule="auto"/>
        <w:ind w:right="142" w:firstLine="440" w:firstLineChars="200"/>
        <w:contextualSpacing/>
        <w:rPr>
          <w:rFonts w:hint="eastAsia" w:ascii="宋体" w:hAnsi="宋体" w:cs="宋体"/>
          <w:color w:val="auto"/>
          <w:kern w:val="24"/>
          <w:sz w:val="22"/>
          <w:szCs w:val="22"/>
          <w:highlight w:val="none"/>
        </w:rPr>
      </w:pPr>
      <w:r>
        <w:rPr>
          <w:rFonts w:hint="eastAsia" w:ascii="宋体" w:hAnsi="宋体" w:cs="宋体"/>
          <w:color w:val="auto"/>
          <w:kern w:val="24"/>
          <w:sz w:val="22"/>
          <w:szCs w:val="22"/>
          <w:highlight w:val="none"/>
        </w:rPr>
        <w:t>本公司（联合体）郑重声明，根据《政府采购促进中小企业发展管理办法》（财库﹝2020﹞46号）的规定，本公司（联合体）参加</w:t>
      </w:r>
      <w:r>
        <w:rPr>
          <w:rFonts w:hint="eastAsia" w:ascii="宋体" w:hAnsi="宋体" w:cs="宋体"/>
          <w:color w:val="auto"/>
          <w:kern w:val="24"/>
          <w:sz w:val="22"/>
          <w:szCs w:val="22"/>
          <w:highlight w:val="none"/>
          <w:u w:val="single"/>
        </w:rPr>
        <w:t>（单位名称）</w:t>
      </w:r>
      <w:r>
        <w:rPr>
          <w:rFonts w:hint="eastAsia" w:ascii="宋体" w:hAnsi="宋体" w:cs="宋体"/>
          <w:color w:val="auto"/>
          <w:kern w:val="24"/>
          <w:sz w:val="22"/>
          <w:szCs w:val="22"/>
          <w:highlight w:val="none"/>
        </w:rPr>
        <w:t>的</w:t>
      </w:r>
      <w:r>
        <w:rPr>
          <w:rFonts w:hint="eastAsia" w:ascii="宋体" w:hAnsi="宋体" w:cs="宋体"/>
          <w:color w:val="auto"/>
          <w:kern w:val="24"/>
          <w:sz w:val="22"/>
          <w:szCs w:val="22"/>
          <w:highlight w:val="none"/>
          <w:u w:val="single"/>
        </w:rPr>
        <w:t>（项目名称）</w:t>
      </w:r>
      <w:r>
        <w:rPr>
          <w:rFonts w:hint="eastAsia" w:ascii="宋体" w:hAnsi="宋体" w:cs="宋体"/>
          <w:color w:val="auto"/>
          <w:kern w:val="24"/>
          <w:sz w:val="22"/>
          <w:szCs w:val="22"/>
          <w:highlight w:val="none"/>
        </w:rPr>
        <w:t>采购活动，提供的货物全部由符合政策要求的中小企业制造。相关企业（含联合体中的中小企业、签订分包意向协议的中小企业）的具体情况如下：</w:t>
      </w:r>
    </w:p>
    <w:p w14:paraId="352A239E">
      <w:pPr>
        <w:tabs>
          <w:tab w:val="left" w:pos="1384"/>
          <w:tab w:val="left" w:pos="4562"/>
          <w:tab w:val="left" w:pos="6803"/>
        </w:tabs>
        <w:spacing w:line="360" w:lineRule="auto"/>
        <w:ind w:right="-58" w:firstLine="440" w:firstLineChars="200"/>
        <w:contextualSpacing/>
        <w:rPr>
          <w:rFonts w:hint="eastAsia" w:ascii="宋体" w:hAnsi="宋体" w:cs="宋体"/>
          <w:color w:val="auto"/>
          <w:kern w:val="24"/>
          <w:sz w:val="22"/>
          <w:szCs w:val="22"/>
          <w:highlight w:val="none"/>
        </w:rPr>
      </w:pPr>
      <w:r>
        <w:rPr>
          <w:rFonts w:hint="eastAsia" w:ascii="宋体" w:hAnsi="宋体" w:cs="宋体"/>
          <w:color w:val="auto"/>
          <w:kern w:val="24"/>
          <w:sz w:val="22"/>
          <w:szCs w:val="22"/>
          <w:highlight w:val="none"/>
        </w:rPr>
        <w:t>1.</w:t>
      </w:r>
      <w:r>
        <w:rPr>
          <w:rFonts w:hint="eastAsia" w:ascii="宋体" w:hAnsi="宋体" w:cs="宋体"/>
          <w:color w:val="auto"/>
          <w:kern w:val="24"/>
          <w:sz w:val="22"/>
          <w:szCs w:val="22"/>
          <w:highlight w:val="none"/>
          <w:u w:val="single"/>
        </w:rPr>
        <w:t>（标的名称）</w:t>
      </w:r>
      <w:r>
        <w:rPr>
          <w:rFonts w:hint="eastAsia" w:ascii="宋体" w:hAnsi="宋体" w:cs="宋体"/>
          <w:color w:val="auto"/>
          <w:kern w:val="24"/>
          <w:sz w:val="22"/>
          <w:szCs w:val="22"/>
          <w:highlight w:val="none"/>
        </w:rPr>
        <w:t>，属于</w:t>
      </w:r>
      <w:r>
        <w:rPr>
          <w:rFonts w:hint="eastAsia" w:ascii="宋体" w:hAnsi="宋体" w:cs="宋体"/>
          <w:color w:val="auto"/>
          <w:kern w:val="24"/>
          <w:sz w:val="22"/>
          <w:szCs w:val="22"/>
          <w:highlight w:val="none"/>
          <w:u w:val="single"/>
        </w:rPr>
        <w:t>（采购文件中明确的所属行业）</w:t>
      </w:r>
      <w:r>
        <w:rPr>
          <w:rFonts w:hint="eastAsia" w:ascii="宋体" w:hAnsi="宋体" w:cs="宋体"/>
          <w:color w:val="auto"/>
          <w:kern w:val="24"/>
          <w:sz w:val="22"/>
          <w:szCs w:val="22"/>
          <w:highlight w:val="none"/>
        </w:rPr>
        <w:t>行业；制造商为</w:t>
      </w:r>
      <w:r>
        <w:rPr>
          <w:rFonts w:hint="eastAsia" w:ascii="宋体" w:hAnsi="宋体" w:cs="宋体"/>
          <w:color w:val="auto"/>
          <w:kern w:val="24"/>
          <w:sz w:val="22"/>
          <w:szCs w:val="22"/>
          <w:highlight w:val="none"/>
          <w:u w:val="single"/>
        </w:rPr>
        <w:t>（企业名称）</w:t>
      </w:r>
      <w:r>
        <w:rPr>
          <w:rFonts w:hint="eastAsia" w:ascii="宋体" w:hAnsi="宋体" w:cs="宋体"/>
          <w:color w:val="auto"/>
          <w:kern w:val="24"/>
          <w:sz w:val="22"/>
          <w:szCs w:val="22"/>
          <w:highlight w:val="none"/>
        </w:rPr>
        <w:t>，从业人员</w:t>
      </w:r>
      <w:r>
        <w:rPr>
          <w:rFonts w:hint="eastAsia" w:ascii="宋体" w:hAnsi="宋体" w:cs="宋体"/>
          <w:color w:val="auto"/>
          <w:kern w:val="24"/>
          <w:sz w:val="22"/>
          <w:szCs w:val="22"/>
          <w:highlight w:val="none"/>
          <w:u w:val="single"/>
        </w:rPr>
        <w:t xml:space="preserve">      </w:t>
      </w:r>
      <w:r>
        <w:rPr>
          <w:rFonts w:hint="eastAsia" w:ascii="宋体" w:hAnsi="宋体" w:cs="宋体"/>
          <w:color w:val="auto"/>
          <w:kern w:val="24"/>
          <w:sz w:val="22"/>
          <w:szCs w:val="22"/>
          <w:highlight w:val="none"/>
        </w:rPr>
        <w:t>人，营业收入为</w:t>
      </w:r>
      <w:r>
        <w:rPr>
          <w:rFonts w:hint="eastAsia" w:ascii="宋体" w:hAnsi="宋体" w:cs="宋体"/>
          <w:color w:val="auto"/>
          <w:kern w:val="24"/>
          <w:sz w:val="22"/>
          <w:szCs w:val="22"/>
          <w:highlight w:val="none"/>
          <w:u w:val="single"/>
        </w:rPr>
        <w:t xml:space="preserve">      </w:t>
      </w:r>
      <w:r>
        <w:rPr>
          <w:rFonts w:hint="eastAsia" w:ascii="宋体" w:hAnsi="宋体" w:cs="宋体"/>
          <w:color w:val="auto"/>
          <w:kern w:val="24"/>
          <w:sz w:val="22"/>
          <w:szCs w:val="22"/>
          <w:highlight w:val="none"/>
        </w:rPr>
        <w:t>万元，资产总额为</w:t>
      </w:r>
      <w:r>
        <w:rPr>
          <w:rFonts w:hint="eastAsia" w:ascii="宋体" w:hAnsi="宋体" w:cs="宋体"/>
          <w:color w:val="auto"/>
          <w:kern w:val="24"/>
          <w:sz w:val="22"/>
          <w:szCs w:val="22"/>
          <w:highlight w:val="none"/>
          <w:u w:val="single"/>
        </w:rPr>
        <w:t xml:space="preserve">      </w:t>
      </w:r>
      <w:r>
        <w:rPr>
          <w:rFonts w:hint="eastAsia" w:ascii="宋体" w:hAnsi="宋体" w:cs="宋体"/>
          <w:color w:val="auto"/>
          <w:kern w:val="24"/>
          <w:sz w:val="22"/>
          <w:szCs w:val="22"/>
          <w:highlight w:val="none"/>
        </w:rPr>
        <w:t>万元，属于</w:t>
      </w:r>
      <w:r>
        <w:rPr>
          <w:rFonts w:hint="eastAsia" w:ascii="宋体" w:hAnsi="宋体" w:cs="宋体"/>
          <w:color w:val="auto"/>
          <w:kern w:val="24"/>
          <w:sz w:val="22"/>
          <w:szCs w:val="22"/>
          <w:highlight w:val="none"/>
          <w:u w:val="single"/>
        </w:rPr>
        <w:t>（中型企业、小型企业、微型企业）</w:t>
      </w:r>
      <w:r>
        <w:rPr>
          <w:rFonts w:hint="eastAsia" w:ascii="宋体" w:hAnsi="宋体" w:cs="宋体"/>
          <w:color w:val="auto"/>
          <w:kern w:val="24"/>
          <w:sz w:val="22"/>
          <w:szCs w:val="22"/>
          <w:highlight w:val="none"/>
        </w:rPr>
        <w:t>；</w:t>
      </w:r>
    </w:p>
    <w:p w14:paraId="2CA546DB">
      <w:pPr>
        <w:tabs>
          <w:tab w:val="left" w:pos="1065"/>
          <w:tab w:val="left" w:pos="6477"/>
        </w:tabs>
        <w:spacing w:line="360" w:lineRule="auto"/>
        <w:ind w:right="-58" w:firstLine="440" w:firstLineChars="200"/>
        <w:contextualSpacing/>
        <w:rPr>
          <w:rFonts w:hint="eastAsia" w:ascii="宋体" w:hAnsi="宋体" w:cs="宋体"/>
          <w:color w:val="auto"/>
          <w:kern w:val="24"/>
          <w:sz w:val="22"/>
          <w:szCs w:val="22"/>
          <w:highlight w:val="none"/>
        </w:rPr>
      </w:pPr>
      <w:r>
        <w:rPr>
          <w:rFonts w:hint="eastAsia" w:ascii="宋体" w:hAnsi="宋体" w:cs="宋体"/>
          <w:color w:val="auto"/>
          <w:kern w:val="24"/>
          <w:sz w:val="22"/>
          <w:szCs w:val="22"/>
          <w:highlight w:val="none"/>
        </w:rPr>
        <w:t>2.</w:t>
      </w:r>
      <w:r>
        <w:rPr>
          <w:rFonts w:hint="eastAsia" w:ascii="宋体" w:hAnsi="宋体" w:cs="宋体"/>
          <w:color w:val="auto"/>
          <w:kern w:val="24"/>
          <w:sz w:val="22"/>
          <w:szCs w:val="22"/>
          <w:highlight w:val="none"/>
          <w:u w:val="single"/>
        </w:rPr>
        <w:t>（标的名称）</w:t>
      </w:r>
      <w:r>
        <w:rPr>
          <w:rFonts w:hint="eastAsia" w:ascii="宋体" w:hAnsi="宋体" w:cs="宋体"/>
          <w:color w:val="auto"/>
          <w:kern w:val="24"/>
          <w:sz w:val="22"/>
          <w:szCs w:val="22"/>
          <w:highlight w:val="none"/>
        </w:rPr>
        <w:t>，属于</w:t>
      </w:r>
      <w:r>
        <w:rPr>
          <w:rFonts w:hint="eastAsia" w:ascii="宋体" w:hAnsi="宋体" w:cs="宋体"/>
          <w:color w:val="auto"/>
          <w:kern w:val="24"/>
          <w:sz w:val="22"/>
          <w:szCs w:val="22"/>
          <w:highlight w:val="none"/>
          <w:u w:val="single"/>
        </w:rPr>
        <w:t>（采购文件中明确的所属行业）</w:t>
      </w:r>
      <w:r>
        <w:rPr>
          <w:rFonts w:hint="eastAsia" w:ascii="宋体" w:hAnsi="宋体" w:cs="宋体"/>
          <w:color w:val="auto"/>
          <w:kern w:val="24"/>
          <w:sz w:val="22"/>
          <w:szCs w:val="22"/>
          <w:highlight w:val="none"/>
        </w:rPr>
        <w:t>行业；制造商为</w:t>
      </w:r>
      <w:r>
        <w:rPr>
          <w:rFonts w:hint="eastAsia" w:ascii="宋体" w:hAnsi="宋体" w:cs="宋体"/>
          <w:color w:val="auto"/>
          <w:kern w:val="24"/>
          <w:sz w:val="22"/>
          <w:szCs w:val="22"/>
          <w:highlight w:val="none"/>
          <w:u w:val="single"/>
        </w:rPr>
        <w:t>（企业名称）</w:t>
      </w:r>
      <w:r>
        <w:rPr>
          <w:rFonts w:hint="eastAsia" w:ascii="宋体" w:hAnsi="宋体" w:cs="宋体"/>
          <w:color w:val="auto"/>
          <w:kern w:val="24"/>
          <w:sz w:val="22"/>
          <w:szCs w:val="22"/>
          <w:highlight w:val="none"/>
        </w:rPr>
        <w:t>，从业人员</w:t>
      </w:r>
      <w:r>
        <w:rPr>
          <w:rFonts w:hint="eastAsia" w:ascii="宋体" w:hAnsi="宋体" w:cs="宋体"/>
          <w:color w:val="auto"/>
          <w:kern w:val="24"/>
          <w:sz w:val="22"/>
          <w:szCs w:val="22"/>
          <w:highlight w:val="none"/>
          <w:u w:val="single"/>
        </w:rPr>
        <w:t xml:space="preserve">      </w:t>
      </w:r>
      <w:r>
        <w:rPr>
          <w:rFonts w:hint="eastAsia" w:ascii="宋体" w:hAnsi="宋体" w:cs="宋体"/>
          <w:color w:val="auto"/>
          <w:kern w:val="24"/>
          <w:sz w:val="22"/>
          <w:szCs w:val="22"/>
          <w:highlight w:val="none"/>
        </w:rPr>
        <w:t>人，营业收入为</w:t>
      </w:r>
      <w:r>
        <w:rPr>
          <w:rFonts w:hint="eastAsia" w:ascii="宋体" w:hAnsi="宋体" w:cs="宋体"/>
          <w:color w:val="auto"/>
          <w:kern w:val="24"/>
          <w:sz w:val="22"/>
          <w:szCs w:val="22"/>
          <w:highlight w:val="none"/>
          <w:u w:val="single"/>
        </w:rPr>
        <w:t xml:space="preserve">      </w:t>
      </w:r>
      <w:r>
        <w:rPr>
          <w:rFonts w:hint="eastAsia" w:ascii="宋体" w:hAnsi="宋体" w:cs="宋体"/>
          <w:color w:val="auto"/>
          <w:kern w:val="24"/>
          <w:sz w:val="22"/>
          <w:szCs w:val="22"/>
          <w:highlight w:val="none"/>
        </w:rPr>
        <w:t>万元，资产总额为</w:t>
      </w:r>
      <w:r>
        <w:rPr>
          <w:rFonts w:hint="eastAsia" w:ascii="宋体" w:hAnsi="宋体" w:cs="宋体"/>
          <w:color w:val="auto"/>
          <w:kern w:val="24"/>
          <w:sz w:val="22"/>
          <w:szCs w:val="22"/>
          <w:highlight w:val="none"/>
          <w:u w:val="single"/>
        </w:rPr>
        <w:t xml:space="preserve">      </w:t>
      </w:r>
      <w:r>
        <w:rPr>
          <w:rFonts w:hint="eastAsia" w:ascii="宋体" w:hAnsi="宋体" w:cs="宋体"/>
          <w:color w:val="auto"/>
          <w:kern w:val="24"/>
          <w:sz w:val="22"/>
          <w:szCs w:val="22"/>
          <w:highlight w:val="none"/>
        </w:rPr>
        <w:t>万元，属于</w:t>
      </w:r>
      <w:r>
        <w:rPr>
          <w:rFonts w:hint="eastAsia" w:ascii="宋体" w:hAnsi="宋体" w:cs="宋体"/>
          <w:color w:val="auto"/>
          <w:kern w:val="24"/>
          <w:sz w:val="22"/>
          <w:szCs w:val="22"/>
          <w:highlight w:val="none"/>
          <w:u w:val="single"/>
        </w:rPr>
        <w:t>（中型企业、小型企业、微型企业）</w:t>
      </w:r>
      <w:r>
        <w:rPr>
          <w:rFonts w:hint="eastAsia" w:ascii="宋体" w:hAnsi="宋体" w:cs="宋体"/>
          <w:color w:val="auto"/>
          <w:kern w:val="24"/>
          <w:sz w:val="22"/>
          <w:szCs w:val="22"/>
          <w:highlight w:val="none"/>
        </w:rPr>
        <w:t>；</w:t>
      </w:r>
    </w:p>
    <w:p w14:paraId="5B9C0CF5">
      <w:pPr>
        <w:pStyle w:val="19"/>
        <w:spacing w:line="360" w:lineRule="auto"/>
        <w:ind w:right="142" w:firstLine="440" w:firstLineChars="200"/>
        <w:contextualSpacing/>
        <w:rPr>
          <w:rFonts w:hint="eastAsia" w:ascii="宋体" w:hAnsi="宋体" w:cs="宋体"/>
          <w:color w:val="auto"/>
          <w:kern w:val="24"/>
          <w:sz w:val="22"/>
          <w:szCs w:val="22"/>
          <w:highlight w:val="none"/>
        </w:rPr>
      </w:pPr>
      <w:r>
        <w:rPr>
          <w:rFonts w:hint="eastAsia" w:ascii="宋体" w:hAnsi="宋体" w:cs="宋体"/>
          <w:color w:val="auto"/>
          <w:kern w:val="24"/>
          <w:sz w:val="22"/>
          <w:szCs w:val="22"/>
          <w:highlight w:val="none"/>
        </w:rPr>
        <w:t xml:space="preserve">…… </w:t>
      </w:r>
    </w:p>
    <w:p w14:paraId="0CAA0533">
      <w:pPr>
        <w:pStyle w:val="19"/>
        <w:spacing w:line="360" w:lineRule="auto"/>
        <w:ind w:right="142" w:firstLine="440" w:firstLineChars="200"/>
        <w:contextualSpacing/>
        <w:rPr>
          <w:rFonts w:hint="eastAsia" w:ascii="宋体" w:hAnsi="宋体" w:cs="宋体"/>
          <w:color w:val="auto"/>
          <w:kern w:val="24"/>
          <w:sz w:val="22"/>
          <w:szCs w:val="22"/>
          <w:highlight w:val="none"/>
        </w:rPr>
      </w:pPr>
      <w:r>
        <w:rPr>
          <w:rFonts w:hint="eastAsia" w:ascii="宋体" w:hAnsi="宋体" w:cs="宋体"/>
          <w:color w:val="auto"/>
          <w:kern w:val="24"/>
          <w:sz w:val="22"/>
          <w:szCs w:val="22"/>
          <w:highlight w:val="none"/>
        </w:rPr>
        <w:t>以上企业，不属于大企业的分支机构，不存在控股股东为大企业的情形，也不存在与大企业的负责人为同一人的情形。</w:t>
      </w:r>
    </w:p>
    <w:p w14:paraId="7196221B">
      <w:pPr>
        <w:pStyle w:val="19"/>
        <w:spacing w:line="360" w:lineRule="auto"/>
        <w:ind w:right="142" w:firstLine="440" w:firstLineChars="200"/>
        <w:contextualSpacing/>
        <w:rPr>
          <w:rFonts w:hint="eastAsia" w:ascii="宋体" w:hAnsi="宋体" w:cs="宋体"/>
          <w:color w:val="auto"/>
          <w:kern w:val="24"/>
          <w:sz w:val="22"/>
          <w:szCs w:val="22"/>
          <w:highlight w:val="none"/>
        </w:rPr>
      </w:pPr>
      <w:r>
        <w:rPr>
          <w:rFonts w:hint="eastAsia" w:ascii="宋体" w:hAnsi="宋体" w:cs="宋体"/>
          <w:color w:val="auto"/>
          <w:kern w:val="24"/>
          <w:sz w:val="22"/>
          <w:szCs w:val="22"/>
          <w:highlight w:val="none"/>
        </w:rPr>
        <w:t>本企业对上述声明内容的真实性负责。如有虚假，将依法承担相应责任。</w:t>
      </w:r>
    </w:p>
    <w:p w14:paraId="27A768EF">
      <w:pPr>
        <w:widowControl/>
        <w:spacing w:line="360" w:lineRule="auto"/>
        <w:ind w:firstLine="464" w:firstLineChars="200"/>
        <w:jc w:val="left"/>
        <w:rPr>
          <w:rFonts w:hint="eastAsia" w:ascii="宋体" w:hAnsi="宋体" w:cs="宋体"/>
          <w:color w:val="auto"/>
          <w:spacing w:val="6"/>
          <w:sz w:val="22"/>
          <w:highlight w:val="none"/>
        </w:rPr>
      </w:pPr>
      <w:r>
        <w:rPr>
          <w:rFonts w:hint="eastAsia" w:ascii="宋体" w:hAnsi="宋体" w:cs="宋体"/>
          <w:color w:val="auto"/>
          <w:spacing w:val="6"/>
          <w:sz w:val="22"/>
          <w:highlight w:val="none"/>
        </w:rPr>
        <w:t xml:space="preserve"> </w:t>
      </w:r>
    </w:p>
    <w:p w14:paraId="5C716DDE">
      <w:pPr>
        <w:widowControl/>
        <w:spacing w:line="360" w:lineRule="auto"/>
        <w:ind w:firstLine="5336" w:firstLineChars="2300"/>
        <w:jc w:val="left"/>
        <w:rPr>
          <w:rFonts w:hint="eastAsia" w:ascii="宋体" w:hAnsi="宋体" w:cs="宋体"/>
          <w:color w:val="auto"/>
          <w:spacing w:val="6"/>
          <w:sz w:val="22"/>
          <w:highlight w:val="none"/>
        </w:rPr>
      </w:pPr>
      <w:r>
        <w:rPr>
          <w:rFonts w:hint="eastAsia" w:ascii="宋体" w:hAnsi="宋体" w:cs="宋体"/>
          <w:color w:val="auto"/>
          <w:spacing w:val="6"/>
          <w:sz w:val="22"/>
          <w:highlight w:val="none"/>
        </w:rPr>
        <w:t xml:space="preserve">企业名称（加盖CA证书签章）： </w:t>
      </w:r>
    </w:p>
    <w:p w14:paraId="0690BDB6">
      <w:pPr>
        <w:widowControl/>
        <w:spacing w:line="360" w:lineRule="auto"/>
        <w:ind w:firstLine="5336" w:firstLineChars="2300"/>
        <w:jc w:val="left"/>
        <w:rPr>
          <w:rFonts w:hint="eastAsia" w:ascii="宋体" w:hAnsi="宋体" w:cs="宋体"/>
          <w:color w:val="auto"/>
          <w:spacing w:val="6"/>
          <w:sz w:val="22"/>
          <w:highlight w:val="none"/>
        </w:rPr>
      </w:pPr>
      <w:r>
        <w:rPr>
          <w:rFonts w:hint="eastAsia" w:ascii="宋体" w:hAnsi="宋体" w:cs="宋体"/>
          <w:color w:val="auto"/>
          <w:spacing w:val="6"/>
          <w:sz w:val="22"/>
          <w:highlight w:val="none"/>
        </w:rPr>
        <w:t>日 期：</w:t>
      </w:r>
    </w:p>
    <w:p w14:paraId="79CA9D58">
      <w:pPr>
        <w:pStyle w:val="27"/>
        <w:spacing w:line="360" w:lineRule="exact"/>
        <w:rPr>
          <w:rFonts w:hint="eastAsia" w:hAnsi="宋体" w:cs="宋体"/>
          <w:b/>
          <w:bCs/>
          <w:color w:val="auto"/>
          <w:szCs w:val="21"/>
          <w:highlight w:val="none"/>
        </w:rPr>
      </w:pPr>
      <w:r>
        <w:rPr>
          <w:rFonts w:hint="eastAsia" w:hAnsi="宋体" w:cs="宋体"/>
          <w:b/>
          <w:bCs/>
          <w:color w:val="auto"/>
          <w:szCs w:val="21"/>
          <w:highlight w:val="none"/>
        </w:rPr>
        <w:t>注：1、从业人员、营业收入、资产总额填报上一年度数据，无上一年度数据的新成立企业可不填报。</w:t>
      </w:r>
    </w:p>
    <w:p w14:paraId="6D033BF1">
      <w:pPr>
        <w:pStyle w:val="27"/>
        <w:spacing w:line="360" w:lineRule="exact"/>
        <w:rPr>
          <w:rFonts w:hint="eastAsia" w:hAnsi="宋体"/>
          <w:b/>
          <w:bCs/>
          <w:color w:val="auto"/>
          <w:szCs w:val="21"/>
          <w:highlight w:val="none"/>
        </w:rPr>
      </w:pPr>
      <w:r>
        <w:rPr>
          <w:rFonts w:hint="eastAsia" w:hAnsi="宋体"/>
          <w:b/>
          <w:color w:val="auto"/>
          <w:szCs w:val="21"/>
          <w:highlight w:val="none"/>
        </w:rPr>
        <w:t>2、所属行业依照《中小企业划型标准规定》（工信部联企业〔2011〕300号）及《国民经济行业分类》（GB/T4754-2017）的有关规定执行，本项目货物在《统计上大中小微型企业划分标准》中所属行业均</w:t>
      </w:r>
      <w:r>
        <w:rPr>
          <w:rFonts w:hint="eastAsia" w:hAnsi="宋体"/>
          <w:b/>
          <w:color w:val="auto"/>
          <w:szCs w:val="21"/>
          <w:highlight w:val="none"/>
          <w:u w:val="single"/>
        </w:rPr>
        <w:t>为</w:t>
      </w:r>
      <w:r>
        <w:rPr>
          <w:rFonts w:hint="eastAsia" w:hAnsi="宋体"/>
          <w:b/>
          <w:bCs/>
          <w:color w:val="auto"/>
          <w:szCs w:val="21"/>
          <w:highlight w:val="none"/>
          <w:u w:val="single"/>
        </w:rPr>
        <w:t xml:space="preserve"> </w:t>
      </w:r>
      <w:r>
        <w:rPr>
          <w:rFonts w:hint="eastAsia" w:hAnsi="宋体"/>
          <w:b/>
          <w:color w:val="auto"/>
          <w:szCs w:val="21"/>
          <w:highlight w:val="none"/>
          <w:u w:val="single"/>
        </w:rPr>
        <w:t>工业</w:t>
      </w:r>
      <w:r>
        <w:rPr>
          <w:rFonts w:hint="eastAsia" w:hAnsi="宋体"/>
          <w:b/>
          <w:bCs/>
          <w:color w:val="auto"/>
          <w:szCs w:val="21"/>
          <w:highlight w:val="none"/>
          <w:u w:val="single"/>
        </w:rPr>
        <w:t xml:space="preserve"> </w:t>
      </w:r>
      <w:r>
        <w:rPr>
          <w:rFonts w:hint="eastAsia" w:hAnsi="宋体"/>
          <w:b/>
          <w:bCs/>
          <w:color w:val="auto"/>
          <w:szCs w:val="21"/>
          <w:highlight w:val="none"/>
        </w:rPr>
        <w:t>。</w:t>
      </w:r>
    </w:p>
    <w:p w14:paraId="301F79DF">
      <w:pPr>
        <w:rPr>
          <w:rFonts w:hint="eastAsia" w:ascii="宋体" w:hAnsi="宋体" w:cs="宋体"/>
          <w:b/>
          <w:bCs/>
          <w:color w:val="auto"/>
          <w:kern w:val="0"/>
          <w:sz w:val="30"/>
          <w:szCs w:val="30"/>
          <w:highlight w:val="none"/>
        </w:rPr>
      </w:pPr>
      <w:r>
        <w:rPr>
          <w:rFonts w:hint="eastAsia" w:ascii="宋体" w:hAnsi="宋体" w:cs="宋体"/>
          <w:b/>
          <w:bCs/>
          <w:color w:val="auto"/>
          <w:kern w:val="0"/>
          <w:sz w:val="30"/>
          <w:szCs w:val="30"/>
          <w:highlight w:val="none"/>
        </w:rPr>
        <w:br w:type="page"/>
      </w:r>
    </w:p>
    <w:p w14:paraId="42933A73">
      <w:pPr>
        <w:widowControl/>
        <w:spacing w:before="120" w:beforeLines="50" w:after="120" w:afterLines="50" w:line="400" w:lineRule="exact"/>
        <w:jc w:val="center"/>
        <w:rPr>
          <w:rFonts w:hint="eastAsia"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统计上大中小微型企业划分标准</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7"/>
        <w:gridCol w:w="1358"/>
        <w:gridCol w:w="704"/>
        <w:gridCol w:w="1116"/>
        <w:gridCol w:w="1688"/>
        <w:gridCol w:w="1415"/>
        <w:gridCol w:w="984"/>
      </w:tblGrid>
      <w:tr w14:paraId="2317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exact"/>
          <w:tblHeader/>
          <w:jc w:val="center"/>
        </w:trPr>
        <w:tc>
          <w:tcPr>
            <w:tcW w:w="2097" w:type="dxa"/>
            <w:shd w:val="clear" w:color="auto" w:fill="FFFFFF"/>
            <w:vAlign w:val="center"/>
          </w:tcPr>
          <w:p w14:paraId="253630D6">
            <w:pPr>
              <w:keepNext w:val="0"/>
              <w:keepLines w:val="0"/>
              <w:widowControl/>
              <w:suppressLineNumbers w:val="0"/>
              <w:spacing w:before="0" w:beforeAutospacing="0" w:after="0" w:afterAutospacing="0" w:line="240" w:lineRule="exact"/>
              <w:ind w:left="0" w:right="0"/>
              <w:jc w:val="center"/>
              <w:rPr>
                <w:rFonts w:hint="eastAsia" w:ascii="宋体" w:hAnsi="宋体"/>
                <w:b/>
                <w:bCs/>
                <w:color w:val="auto"/>
                <w:kern w:val="0"/>
                <w:sz w:val="18"/>
                <w:szCs w:val="21"/>
                <w:highlight w:val="none"/>
              </w:rPr>
            </w:pPr>
            <w:r>
              <w:rPr>
                <w:rFonts w:hint="default" w:ascii="宋体" w:hAnsi="宋体"/>
                <w:b/>
                <w:bCs/>
                <w:color w:val="auto"/>
                <w:kern w:val="0"/>
                <w:sz w:val="18"/>
                <w:szCs w:val="21"/>
                <w:highlight w:val="none"/>
              </w:rPr>
              <w:t>行业名称</w:t>
            </w:r>
          </w:p>
        </w:tc>
        <w:tc>
          <w:tcPr>
            <w:tcW w:w="1358" w:type="dxa"/>
            <w:shd w:val="clear" w:color="auto" w:fill="FFFFFF"/>
            <w:vAlign w:val="center"/>
          </w:tcPr>
          <w:p w14:paraId="2AFC3A2A">
            <w:pPr>
              <w:keepNext w:val="0"/>
              <w:keepLines w:val="0"/>
              <w:widowControl/>
              <w:suppressLineNumbers w:val="0"/>
              <w:spacing w:before="0" w:beforeAutospacing="0" w:after="0" w:afterAutospacing="0"/>
              <w:ind w:left="0" w:right="0"/>
              <w:jc w:val="center"/>
              <w:rPr>
                <w:rFonts w:hint="eastAsia" w:ascii="宋体" w:hAnsi="宋体"/>
                <w:b/>
                <w:bCs/>
                <w:color w:val="auto"/>
                <w:kern w:val="0"/>
                <w:sz w:val="18"/>
                <w:szCs w:val="18"/>
                <w:highlight w:val="none"/>
              </w:rPr>
            </w:pPr>
            <w:r>
              <w:rPr>
                <w:rFonts w:hint="default" w:ascii="宋体" w:hAnsi="宋体"/>
                <w:b/>
                <w:bCs/>
                <w:color w:val="auto"/>
                <w:kern w:val="0"/>
                <w:sz w:val="18"/>
                <w:szCs w:val="18"/>
                <w:highlight w:val="none"/>
              </w:rPr>
              <w:t>指标名称</w:t>
            </w:r>
          </w:p>
        </w:tc>
        <w:tc>
          <w:tcPr>
            <w:tcW w:w="704" w:type="dxa"/>
            <w:shd w:val="clear" w:color="auto" w:fill="FFFFFF"/>
            <w:vAlign w:val="center"/>
          </w:tcPr>
          <w:p w14:paraId="29502E7B">
            <w:pPr>
              <w:keepNext w:val="0"/>
              <w:keepLines w:val="0"/>
              <w:widowControl/>
              <w:suppressLineNumbers w:val="0"/>
              <w:spacing w:before="0" w:beforeAutospacing="0" w:after="0" w:afterAutospacing="0"/>
              <w:ind w:left="0" w:right="0"/>
              <w:jc w:val="center"/>
              <w:rPr>
                <w:rFonts w:hint="eastAsia" w:ascii="宋体" w:hAnsi="宋体"/>
                <w:b/>
                <w:bCs/>
                <w:color w:val="auto"/>
                <w:kern w:val="0"/>
                <w:sz w:val="18"/>
                <w:szCs w:val="18"/>
                <w:highlight w:val="none"/>
              </w:rPr>
            </w:pPr>
            <w:r>
              <w:rPr>
                <w:rFonts w:hint="default" w:ascii="宋体" w:hAnsi="宋体"/>
                <w:b/>
                <w:bCs/>
                <w:color w:val="auto"/>
                <w:kern w:val="0"/>
                <w:sz w:val="18"/>
                <w:szCs w:val="18"/>
                <w:highlight w:val="none"/>
              </w:rPr>
              <w:t>计量</w:t>
            </w:r>
          </w:p>
          <w:p w14:paraId="0413FAA1">
            <w:pPr>
              <w:keepNext w:val="0"/>
              <w:keepLines w:val="0"/>
              <w:widowControl/>
              <w:suppressLineNumbers w:val="0"/>
              <w:spacing w:before="0" w:beforeAutospacing="0" w:after="0" w:afterAutospacing="0"/>
              <w:ind w:left="0" w:right="0"/>
              <w:jc w:val="center"/>
              <w:rPr>
                <w:rFonts w:hint="eastAsia" w:ascii="宋体" w:hAnsi="宋体"/>
                <w:b/>
                <w:bCs/>
                <w:color w:val="auto"/>
                <w:kern w:val="0"/>
                <w:sz w:val="18"/>
                <w:szCs w:val="18"/>
                <w:highlight w:val="none"/>
              </w:rPr>
            </w:pPr>
            <w:r>
              <w:rPr>
                <w:rFonts w:hint="default" w:ascii="宋体" w:hAnsi="宋体"/>
                <w:b/>
                <w:bCs/>
                <w:color w:val="auto"/>
                <w:kern w:val="0"/>
                <w:sz w:val="18"/>
                <w:szCs w:val="18"/>
                <w:highlight w:val="none"/>
              </w:rPr>
              <w:t>单位</w:t>
            </w:r>
          </w:p>
        </w:tc>
        <w:tc>
          <w:tcPr>
            <w:tcW w:w="1116" w:type="dxa"/>
            <w:shd w:val="clear" w:color="auto" w:fill="FFFFFF"/>
            <w:vAlign w:val="center"/>
          </w:tcPr>
          <w:p w14:paraId="0D82B314">
            <w:pPr>
              <w:keepNext w:val="0"/>
              <w:keepLines w:val="0"/>
              <w:widowControl/>
              <w:suppressLineNumbers w:val="0"/>
              <w:spacing w:before="0" w:beforeAutospacing="0" w:after="0" w:afterAutospacing="0"/>
              <w:ind w:left="0" w:right="0"/>
              <w:jc w:val="center"/>
              <w:rPr>
                <w:rFonts w:hint="eastAsia" w:ascii="宋体" w:hAnsi="宋体"/>
                <w:b/>
                <w:bCs/>
                <w:color w:val="auto"/>
                <w:kern w:val="0"/>
                <w:sz w:val="18"/>
                <w:szCs w:val="18"/>
                <w:highlight w:val="none"/>
              </w:rPr>
            </w:pPr>
            <w:r>
              <w:rPr>
                <w:rFonts w:hint="default" w:ascii="宋体" w:hAnsi="宋体"/>
                <w:b/>
                <w:bCs/>
                <w:color w:val="auto"/>
                <w:kern w:val="0"/>
                <w:sz w:val="18"/>
                <w:szCs w:val="18"/>
                <w:highlight w:val="none"/>
              </w:rPr>
              <w:t>大型</w:t>
            </w:r>
          </w:p>
        </w:tc>
        <w:tc>
          <w:tcPr>
            <w:tcW w:w="1688" w:type="dxa"/>
            <w:shd w:val="clear" w:color="auto" w:fill="FFFFFF"/>
            <w:vAlign w:val="center"/>
          </w:tcPr>
          <w:p w14:paraId="6A1CCFC5">
            <w:pPr>
              <w:keepNext w:val="0"/>
              <w:keepLines w:val="0"/>
              <w:widowControl/>
              <w:suppressLineNumbers w:val="0"/>
              <w:spacing w:before="0" w:beforeAutospacing="0" w:after="0" w:afterAutospacing="0"/>
              <w:ind w:left="0" w:right="0"/>
              <w:jc w:val="center"/>
              <w:rPr>
                <w:rFonts w:hint="eastAsia" w:ascii="宋体" w:hAnsi="宋体"/>
                <w:b/>
                <w:bCs/>
                <w:color w:val="auto"/>
                <w:kern w:val="0"/>
                <w:sz w:val="18"/>
                <w:szCs w:val="18"/>
                <w:highlight w:val="none"/>
              </w:rPr>
            </w:pPr>
            <w:r>
              <w:rPr>
                <w:rFonts w:hint="default" w:ascii="宋体" w:hAnsi="宋体"/>
                <w:b/>
                <w:bCs/>
                <w:color w:val="auto"/>
                <w:kern w:val="0"/>
                <w:sz w:val="18"/>
                <w:szCs w:val="18"/>
                <w:highlight w:val="none"/>
              </w:rPr>
              <w:t>中型</w:t>
            </w:r>
          </w:p>
        </w:tc>
        <w:tc>
          <w:tcPr>
            <w:tcW w:w="1415" w:type="dxa"/>
            <w:shd w:val="clear" w:color="auto" w:fill="FFFFFF"/>
            <w:vAlign w:val="center"/>
          </w:tcPr>
          <w:p w14:paraId="6E5B99AC">
            <w:pPr>
              <w:keepNext w:val="0"/>
              <w:keepLines w:val="0"/>
              <w:widowControl/>
              <w:suppressLineNumbers w:val="0"/>
              <w:spacing w:before="0" w:beforeAutospacing="0" w:after="0" w:afterAutospacing="0"/>
              <w:ind w:left="0" w:right="0"/>
              <w:jc w:val="center"/>
              <w:rPr>
                <w:rFonts w:hint="eastAsia" w:ascii="宋体" w:hAnsi="宋体"/>
                <w:b/>
                <w:bCs/>
                <w:color w:val="auto"/>
                <w:kern w:val="0"/>
                <w:sz w:val="18"/>
                <w:szCs w:val="18"/>
                <w:highlight w:val="none"/>
              </w:rPr>
            </w:pPr>
            <w:r>
              <w:rPr>
                <w:rFonts w:hint="default" w:ascii="宋体" w:hAnsi="宋体"/>
                <w:b/>
                <w:bCs/>
                <w:color w:val="auto"/>
                <w:kern w:val="0"/>
                <w:sz w:val="18"/>
                <w:szCs w:val="18"/>
                <w:highlight w:val="none"/>
              </w:rPr>
              <w:t>小型</w:t>
            </w:r>
          </w:p>
        </w:tc>
        <w:tc>
          <w:tcPr>
            <w:tcW w:w="984" w:type="dxa"/>
            <w:shd w:val="clear" w:color="auto" w:fill="FFFFFF"/>
            <w:vAlign w:val="center"/>
          </w:tcPr>
          <w:p w14:paraId="4B2344E8">
            <w:pPr>
              <w:keepNext w:val="0"/>
              <w:keepLines w:val="0"/>
              <w:widowControl/>
              <w:suppressLineNumbers w:val="0"/>
              <w:spacing w:before="0" w:beforeAutospacing="0" w:after="0" w:afterAutospacing="0"/>
              <w:ind w:left="0" w:right="0"/>
              <w:jc w:val="center"/>
              <w:rPr>
                <w:rFonts w:hint="eastAsia" w:ascii="宋体" w:hAnsi="宋体"/>
                <w:b/>
                <w:bCs/>
                <w:color w:val="auto"/>
                <w:kern w:val="0"/>
                <w:sz w:val="18"/>
                <w:szCs w:val="18"/>
                <w:highlight w:val="none"/>
              </w:rPr>
            </w:pPr>
            <w:r>
              <w:rPr>
                <w:rFonts w:hint="default" w:ascii="宋体" w:hAnsi="宋体"/>
                <w:b/>
                <w:bCs/>
                <w:color w:val="auto"/>
                <w:kern w:val="0"/>
                <w:sz w:val="18"/>
                <w:szCs w:val="18"/>
                <w:highlight w:val="none"/>
              </w:rPr>
              <w:t>微型</w:t>
            </w:r>
          </w:p>
        </w:tc>
      </w:tr>
      <w:tr w14:paraId="2149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Align w:val="center"/>
          </w:tcPr>
          <w:p w14:paraId="53FD9B2B">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农、林、牧、渔业</w:t>
            </w:r>
          </w:p>
        </w:tc>
        <w:tc>
          <w:tcPr>
            <w:tcW w:w="1358" w:type="dxa"/>
            <w:vAlign w:val="center"/>
          </w:tcPr>
          <w:p w14:paraId="4336B24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2462896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733E7AC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Y≥20000</w:t>
            </w:r>
          </w:p>
        </w:tc>
        <w:tc>
          <w:tcPr>
            <w:tcW w:w="1688" w:type="dxa"/>
            <w:vAlign w:val="center"/>
          </w:tcPr>
          <w:p w14:paraId="3EF8106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500≤Y＜20000</w:t>
            </w:r>
          </w:p>
        </w:tc>
        <w:tc>
          <w:tcPr>
            <w:tcW w:w="1415" w:type="dxa"/>
            <w:vAlign w:val="center"/>
          </w:tcPr>
          <w:p w14:paraId="4D996A86">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50≤Y＜500</w:t>
            </w:r>
          </w:p>
        </w:tc>
        <w:tc>
          <w:tcPr>
            <w:tcW w:w="984" w:type="dxa"/>
            <w:vAlign w:val="center"/>
          </w:tcPr>
          <w:p w14:paraId="1198783D">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Y＜50</w:t>
            </w:r>
          </w:p>
        </w:tc>
      </w:tr>
      <w:tr w14:paraId="0C42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1C26B10A">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工业 *</w:t>
            </w:r>
          </w:p>
        </w:tc>
        <w:tc>
          <w:tcPr>
            <w:tcW w:w="1358" w:type="dxa"/>
            <w:vAlign w:val="center"/>
          </w:tcPr>
          <w:p w14:paraId="13629B16">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48E4554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7AA8B77E">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X≥1000</w:t>
            </w:r>
          </w:p>
        </w:tc>
        <w:tc>
          <w:tcPr>
            <w:tcW w:w="1688" w:type="dxa"/>
            <w:vAlign w:val="center"/>
          </w:tcPr>
          <w:p w14:paraId="3594652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300≤X＜1000</w:t>
            </w:r>
          </w:p>
        </w:tc>
        <w:tc>
          <w:tcPr>
            <w:tcW w:w="1415" w:type="dxa"/>
            <w:vAlign w:val="center"/>
          </w:tcPr>
          <w:p w14:paraId="18F90666">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20≤X＜300</w:t>
            </w:r>
          </w:p>
        </w:tc>
        <w:tc>
          <w:tcPr>
            <w:tcW w:w="984" w:type="dxa"/>
            <w:vAlign w:val="center"/>
          </w:tcPr>
          <w:p w14:paraId="2477353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X＜20</w:t>
            </w:r>
          </w:p>
        </w:tc>
      </w:tr>
      <w:tr w14:paraId="16352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6E988004">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6B741D40">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60930D9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047C747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Y≥40000</w:t>
            </w:r>
          </w:p>
        </w:tc>
        <w:tc>
          <w:tcPr>
            <w:tcW w:w="1688" w:type="dxa"/>
            <w:vAlign w:val="center"/>
          </w:tcPr>
          <w:p w14:paraId="358D4F6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2000≤Y＜40000</w:t>
            </w:r>
          </w:p>
        </w:tc>
        <w:tc>
          <w:tcPr>
            <w:tcW w:w="1415" w:type="dxa"/>
            <w:vAlign w:val="center"/>
          </w:tcPr>
          <w:p w14:paraId="092AF4A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300≤Y＜2000</w:t>
            </w:r>
          </w:p>
        </w:tc>
        <w:tc>
          <w:tcPr>
            <w:tcW w:w="984" w:type="dxa"/>
            <w:vAlign w:val="center"/>
          </w:tcPr>
          <w:p w14:paraId="4FF8C89E">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Y＜300</w:t>
            </w:r>
          </w:p>
        </w:tc>
      </w:tr>
      <w:tr w14:paraId="24FB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10CC8F8F">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建筑业</w:t>
            </w:r>
          </w:p>
        </w:tc>
        <w:tc>
          <w:tcPr>
            <w:tcW w:w="1358" w:type="dxa"/>
            <w:vAlign w:val="center"/>
          </w:tcPr>
          <w:p w14:paraId="12AC2A7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71E5853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0D35AB5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Y≥80000</w:t>
            </w:r>
          </w:p>
        </w:tc>
        <w:tc>
          <w:tcPr>
            <w:tcW w:w="1688" w:type="dxa"/>
            <w:vAlign w:val="center"/>
          </w:tcPr>
          <w:p w14:paraId="5EF9E56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6000≤Y＜80000</w:t>
            </w:r>
          </w:p>
        </w:tc>
        <w:tc>
          <w:tcPr>
            <w:tcW w:w="1415" w:type="dxa"/>
            <w:vAlign w:val="center"/>
          </w:tcPr>
          <w:p w14:paraId="33E30D0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300≤Y＜6000</w:t>
            </w:r>
          </w:p>
        </w:tc>
        <w:tc>
          <w:tcPr>
            <w:tcW w:w="984" w:type="dxa"/>
            <w:vAlign w:val="center"/>
          </w:tcPr>
          <w:p w14:paraId="28782A4D">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Y＜300</w:t>
            </w:r>
          </w:p>
        </w:tc>
      </w:tr>
      <w:tr w14:paraId="6453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627CEC1B">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6D7AC071">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资产总额（Z）</w:t>
            </w:r>
          </w:p>
        </w:tc>
        <w:tc>
          <w:tcPr>
            <w:tcW w:w="704" w:type="dxa"/>
            <w:vAlign w:val="center"/>
          </w:tcPr>
          <w:p w14:paraId="193599D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385B075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Z≥80000</w:t>
            </w:r>
          </w:p>
        </w:tc>
        <w:tc>
          <w:tcPr>
            <w:tcW w:w="1688" w:type="dxa"/>
            <w:vAlign w:val="center"/>
          </w:tcPr>
          <w:p w14:paraId="1735B70E">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5000≤Z＜80000</w:t>
            </w:r>
          </w:p>
        </w:tc>
        <w:tc>
          <w:tcPr>
            <w:tcW w:w="1415" w:type="dxa"/>
            <w:vAlign w:val="center"/>
          </w:tcPr>
          <w:p w14:paraId="02BC3FC6">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300≤Z＜5000</w:t>
            </w:r>
          </w:p>
        </w:tc>
        <w:tc>
          <w:tcPr>
            <w:tcW w:w="984" w:type="dxa"/>
            <w:vAlign w:val="center"/>
          </w:tcPr>
          <w:p w14:paraId="0AE73E7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Z＜300</w:t>
            </w:r>
          </w:p>
        </w:tc>
      </w:tr>
      <w:tr w14:paraId="50B0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6072A351">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批发业</w:t>
            </w:r>
          </w:p>
        </w:tc>
        <w:tc>
          <w:tcPr>
            <w:tcW w:w="1358" w:type="dxa"/>
            <w:vAlign w:val="center"/>
          </w:tcPr>
          <w:p w14:paraId="28F0492C">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2533E24C">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527D31C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X≥200</w:t>
            </w:r>
          </w:p>
        </w:tc>
        <w:tc>
          <w:tcPr>
            <w:tcW w:w="1688" w:type="dxa"/>
            <w:vAlign w:val="center"/>
          </w:tcPr>
          <w:p w14:paraId="27EAC98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20≤X＜200</w:t>
            </w:r>
          </w:p>
        </w:tc>
        <w:tc>
          <w:tcPr>
            <w:tcW w:w="1415" w:type="dxa"/>
            <w:vAlign w:val="center"/>
          </w:tcPr>
          <w:p w14:paraId="75410E2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5≤X＜20</w:t>
            </w:r>
          </w:p>
        </w:tc>
        <w:tc>
          <w:tcPr>
            <w:tcW w:w="984" w:type="dxa"/>
            <w:vAlign w:val="center"/>
          </w:tcPr>
          <w:p w14:paraId="5BC932D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X＜5</w:t>
            </w:r>
          </w:p>
        </w:tc>
      </w:tr>
      <w:tr w14:paraId="1B81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29DDC867">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3C5DDEAD">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783462B8">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0CBC1ED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Y≥40000</w:t>
            </w:r>
          </w:p>
        </w:tc>
        <w:tc>
          <w:tcPr>
            <w:tcW w:w="1688" w:type="dxa"/>
            <w:vAlign w:val="center"/>
          </w:tcPr>
          <w:p w14:paraId="27F6CFAE">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5000≤Y＜40000</w:t>
            </w:r>
          </w:p>
        </w:tc>
        <w:tc>
          <w:tcPr>
            <w:tcW w:w="1415" w:type="dxa"/>
            <w:vAlign w:val="center"/>
          </w:tcPr>
          <w:p w14:paraId="428A0FF1">
            <w:pPr>
              <w:keepNext w:val="0"/>
              <w:keepLines w:val="0"/>
              <w:widowControl/>
              <w:suppressLineNumbers w:val="0"/>
              <w:spacing w:before="0" w:beforeAutospacing="0" w:after="0" w:afterAutospacing="0"/>
              <w:ind w:left="-1" w:leftChars="-1" w:right="0" w:hanging="1"/>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1000≤Y＜5000</w:t>
            </w:r>
          </w:p>
        </w:tc>
        <w:tc>
          <w:tcPr>
            <w:tcW w:w="984" w:type="dxa"/>
            <w:vAlign w:val="center"/>
          </w:tcPr>
          <w:p w14:paraId="4592603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Y＜1000</w:t>
            </w:r>
          </w:p>
        </w:tc>
      </w:tr>
      <w:tr w14:paraId="2A4F1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4D89A842">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零售业</w:t>
            </w:r>
          </w:p>
        </w:tc>
        <w:tc>
          <w:tcPr>
            <w:tcW w:w="1358" w:type="dxa"/>
            <w:vAlign w:val="center"/>
          </w:tcPr>
          <w:p w14:paraId="3508D3F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2EB8FC28">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09AE584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X≥300</w:t>
            </w:r>
          </w:p>
        </w:tc>
        <w:tc>
          <w:tcPr>
            <w:tcW w:w="1688" w:type="dxa"/>
            <w:vAlign w:val="center"/>
          </w:tcPr>
          <w:p w14:paraId="007E970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50≤X＜300</w:t>
            </w:r>
          </w:p>
        </w:tc>
        <w:tc>
          <w:tcPr>
            <w:tcW w:w="1415" w:type="dxa"/>
            <w:vAlign w:val="center"/>
          </w:tcPr>
          <w:p w14:paraId="1373E612">
            <w:pPr>
              <w:keepNext w:val="0"/>
              <w:keepLines w:val="0"/>
              <w:widowControl/>
              <w:suppressLineNumbers w:val="0"/>
              <w:spacing w:before="0" w:beforeAutospacing="0" w:after="0" w:afterAutospacing="0"/>
              <w:ind w:left="-1" w:leftChars="-1" w:right="0" w:hanging="1"/>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 xml:space="preserve">10≤X＜50 </w:t>
            </w:r>
          </w:p>
        </w:tc>
        <w:tc>
          <w:tcPr>
            <w:tcW w:w="984" w:type="dxa"/>
            <w:vAlign w:val="center"/>
          </w:tcPr>
          <w:p w14:paraId="604DF8C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w:t>
            </w:r>
          </w:p>
        </w:tc>
      </w:tr>
      <w:tr w14:paraId="0D5B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367FCD21">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5FED3AEF">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2AFADBC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74CD81C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Y≥20000</w:t>
            </w:r>
          </w:p>
        </w:tc>
        <w:tc>
          <w:tcPr>
            <w:tcW w:w="1688" w:type="dxa"/>
            <w:vAlign w:val="center"/>
          </w:tcPr>
          <w:p w14:paraId="0AF7D8F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500≤Y＜20000</w:t>
            </w:r>
          </w:p>
        </w:tc>
        <w:tc>
          <w:tcPr>
            <w:tcW w:w="1415" w:type="dxa"/>
            <w:vAlign w:val="center"/>
          </w:tcPr>
          <w:p w14:paraId="614BBF11">
            <w:pPr>
              <w:keepNext w:val="0"/>
              <w:keepLines w:val="0"/>
              <w:widowControl/>
              <w:suppressLineNumbers w:val="0"/>
              <w:spacing w:before="0" w:beforeAutospacing="0" w:after="0" w:afterAutospacing="0"/>
              <w:ind w:left="-1" w:leftChars="-1" w:right="0" w:hanging="1"/>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100≤Y＜500</w:t>
            </w:r>
          </w:p>
        </w:tc>
        <w:tc>
          <w:tcPr>
            <w:tcW w:w="984" w:type="dxa"/>
            <w:vAlign w:val="center"/>
          </w:tcPr>
          <w:p w14:paraId="31EDDD9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w:t>
            </w:r>
          </w:p>
        </w:tc>
      </w:tr>
      <w:tr w14:paraId="1B1E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1A8F14F3">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交通运输业 *</w:t>
            </w:r>
          </w:p>
        </w:tc>
        <w:tc>
          <w:tcPr>
            <w:tcW w:w="1358" w:type="dxa"/>
            <w:vAlign w:val="center"/>
          </w:tcPr>
          <w:p w14:paraId="7E23707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309D617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20AFDD2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X≥1000</w:t>
            </w:r>
          </w:p>
        </w:tc>
        <w:tc>
          <w:tcPr>
            <w:tcW w:w="1688" w:type="dxa"/>
            <w:vAlign w:val="center"/>
          </w:tcPr>
          <w:p w14:paraId="15C313D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300≤X＜1000</w:t>
            </w:r>
          </w:p>
        </w:tc>
        <w:tc>
          <w:tcPr>
            <w:tcW w:w="1415" w:type="dxa"/>
            <w:vAlign w:val="center"/>
          </w:tcPr>
          <w:p w14:paraId="77DD7C5E">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20≤X＜300</w:t>
            </w:r>
          </w:p>
        </w:tc>
        <w:tc>
          <w:tcPr>
            <w:tcW w:w="984" w:type="dxa"/>
            <w:vAlign w:val="center"/>
          </w:tcPr>
          <w:p w14:paraId="06F90AC1">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X＜20</w:t>
            </w:r>
          </w:p>
        </w:tc>
      </w:tr>
      <w:tr w14:paraId="7279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704EABFA">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1528877D">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4EE28F0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649566A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Y≥30000</w:t>
            </w:r>
          </w:p>
        </w:tc>
        <w:tc>
          <w:tcPr>
            <w:tcW w:w="1688" w:type="dxa"/>
            <w:vAlign w:val="center"/>
          </w:tcPr>
          <w:p w14:paraId="52907C4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3000≤Y＜30000</w:t>
            </w:r>
          </w:p>
        </w:tc>
        <w:tc>
          <w:tcPr>
            <w:tcW w:w="1415" w:type="dxa"/>
            <w:vAlign w:val="center"/>
          </w:tcPr>
          <w:p w14:paraId="0BFC4E38">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200≤Y＜3000</w:t>
            </w:r>
          </w:p>
        </w:tc>
        <w:tc>
          <w:tcPr>
            <w:tcW w:w="984" w:type="dxa"/>
            <w:vAlign w:val="center"/>
          </w:tcPr>
          <w:p w14:paraId="6951641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Y＜200</w:t>
            </w:r>
          </w:p>
        </w:tc>
      </w:tr>
      <w:tr w14:paraId="1112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2EC40AF9">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仓储业*</w:t>
            </w:r>
          </w:p>
        </w:tc>
        <w:tc>
          <w:tcPr>
            <w:tcW w:w="1358" w:type="dxa"/>
            <w:vAlign w:val="center"/>
          </w:tcPr>
          <w:p w14:paraId="31E5B66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5493F70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4B79487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X≥200</w:t>
            </w:r>
          </w:p>
        </w:tc>
        <w:tc>
          <w:tcPr>
            <w:tcW w:w="1688" w:type="dxa"/>
            <w:vAlign w:val="center"/>
          </w:tcPr>
          <w:p w14:paraId="06DE1DE1">
            <w:pPr>
              <w:keepNext w:val="0"/>
              <w:keepLines w:val="0"/>
              <w:widowControl/>
              <w:suppressLineNumbers w:val="0"/>
              <w:spacing w:before="0" w:beforeAutospacing="0" w:after="0" w:afterAutospacing="0"/>
              <w:ind w:left="1" w:leftChars="-51" w:right="0" w:hanging="108" w:hangingChars="6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100≤X＜200</w:t>
            </w:r>
          </w:p>
        </w:tc>
        <w:tc>
          <w:tcPr>
            <w:tcW w:w="1415" w:type="dxa"/>
            <w:vAlign w:val="center"/>
          </w:tcPr>
          <w:p w14:paraId="122D050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20≤X＜100</w:t>
            </w:r>
          </w:p>
        </w:tc>
        <w:tc>
          <w:tcPr>
            <w:tcW w:w="984" w:type="dxa"/>
            <w:vAlign w:val="center"/>
          </w:tcPr>
          <w:p w14:paraId="642596AE">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X＜20</w:t>
            </w:r>
          </w:p>
        </w:tc>
      </w:tr>
      <w:tr w14:paraId="59EA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0FF42619">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24664342">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022EFAF8">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5F5EB437">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Y≥30000</w:t>
            </w:r>
          </w:p>
        </w:tc>
        <w:tc>
          <w:tcPr>
            <w:tcW w:w="1688" w:type="dxa"/>
            <w:vAlign w:val="center"/>
          </w:tcPr>
          <w:p w14:paraId="4F347DB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1000≤Y＜30000</w:t>
            </w:r>
          </w:p>
        </w:tc>
        <w:tc>
          <w:tcPr>
            <w:tcW w:w="1415" w:type="dxa"/>
            <w:vAlign w:val="center"/>
          </w:tcPr>
          <w:p w14:paraId="2BC6ECB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100≤Y＜1000</w:t>
            </w:r>
          </w:p>
        </w:tc>
        <w:tc>
          <w:tcPr>
            <w:tcW w:w="984" w:type="dxa"/>
            <w:vAlign w:val="center"/>
          </w:tcPr>
          <w:p w14:paraId="09749E5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w:t>
            </w:r>
          </w:p>
        </w:tc>
      </w:tr>
      <w:tr w14:paraId="67BF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1578199F">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邮政业</w:t>
            </w:r>
          </w:p>
        </w:tc>
        <w:tc>
          <w:tcPr>
            <w:tcW w:w="1358" w:type="dxa"/>
            <w:vAlign w:val="center"/>
          </w:tcPr>
          <w:p w14:paraId="3B7B9D5D">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1050BFE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04DE762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X≥1000</w:t>
            </w:r>
          </w:p>
        </w:tc>
        <w:tc>
          <w:tcPr>
            <w:tcW w:w="1688" w:type="dxa"/>
            <w:vAlign w:val="center"/>
          </w:tcPr>
          <w:p w14:paraId="6566A3D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300≤X＜1000</w:t>
            </w:r>
          </w:p>
        </w:tc>
        <w:tc>
          <w:tcPr>
            <w:tcW w:w="1415" w:type="dxa"/>
            <w:vAlign w:val="center"/>
          </w:tcPr>
          <w:p w14:paraId="2DA8060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20≤X＜300</w:t>
            </w:r>
          </w:p>
        </w:tc>
        <w:tc>
          <w:tcPr>
            <w:tcW w:w="984" w:type="dxa"/>
            <w:vAlign w:val="center"/>
          </w:tcPr>
          <w:p w14:paraId="21FC511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X＜20</w:t>
            </w:r>
          </w:p>
        </w:tc>
      </w:tr>
      <w:tr w14:paraId="637F3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29B5F342">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4441F5C1">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317DD198">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42DE7DF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Y≥30000</w:t>
            </w:r>
          </w:p>
        </w:tc>
        <w:tc>
          <w:tcPr>
            <w:tcW w:w="1688" w:type="dxa"/>
            <w:vAlign w:val="center"/>
          </w:tcPr>
          <w:p w14:paraId="6C92A2EC">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2000≤Y＜30000</w:t>
            </w:r>
          </w:p>
        </w:tc>
        <w:tc>
          <w:tcPr>
            <w:tcW w:w="1415" w:type="dxa"/>
            <w:vAlign w:val="center"/>
          </w:tcPr>
          <w:p w14:paraId="50813B28">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100≤Y＜2000</w:t>
            </w:r>
          </w:p>
        </w:tc>
        <w:tc>
          <w:tcPr>
            <w:tcW w:w="984" w:type="dxa"/>
            <w:vAlign w:val="center"/>
          </w:tcPr>
          <w:p w14:paraId="08C75E7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w:t>
            </w:r>
          </w:p>
        </w:tc>
      </w:tr>
      <w:tr w14:paraId="3780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21951FCA">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住宿业</w:t>
            </w:r>
          </w:p>
        </w:tc>
        <w:tc>
          <w:tcPr>
            <w:tcW w:w="1358" w:type="dxa"/>
            <w:vAlign w:val="center"/>
          </w:tcPr>
          <w:p w14:paraId="70F156E8">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759FE9E7">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12DD4B37">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X≥300</w:t>
            </w:r>
          </w:p>
        </w:tc>
        <w:tc>
          <w:tcPr>
            <w:tcW w:w="1688" w:type="dxa"/>
            <w:vAlign w:val="center"/>
          </w:tcPr>
          <w:p w14:paraId="4E9B400A">
            <w:pPr>
              <w:keepNext w:val="0"/>
              <w:keepLines w:val="0"/>
              <w:widowControl/>
              <w:suppressLineNumbers w:val="0"/>
              <w:spacing w:before="0" w:beforeAutospacing="0" w:after="0" w:afterAutospacing="0"/>
              <w:ind w:left="1" w:leftChars="-51" w:right="0" w:hanging="108" w:hangingChars="6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100≤X＜300</w:t>
            </w:r>
          </w:p>
        </w:tc>
        <w:tc>
          <w:tcPr>
            <w:tcW w:w="1415" w:type="dxa"/>
            <w:vAlign w:val="center"/>
          </w:tcPr>
          <w:p w14:paraId="34F4AF47">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10≤X＜100</w:t>
            </w:r>
          </w:p>
        </w:tc>
        <w:tc>
          <w:tcPr>
            <w:tcW w:w="984" w:type="dxa"/>
            <w:vAlign w:val="center"/>
          </w:tcPr>
          <w:p w14:paraId="29F502F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w:t>
            </w:r>
          </w:p>
        </w:tc>
      </w:tr>
      <w:tr w14:paraId="70DA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6154EDF7">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123A19DD">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59FEF3CC">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24DBC20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Y≥10000</w:t>
            </w:r>
          </w:p>
        </w:tc>
        <w:tc>
          <w:tcPr>
            <w:tcW w:w="1688" w:type="dxa"/>
            <w:vAlign w:val="center"/>
          </w:tcPr>
          <w:p w14:paraId="1DAEABF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2000≤Y＜10000</w:t>
            </w:r>
          </w:p>
        </w:tc>
        <w:tc>
          <w:tcPr>
            <w:tcW w:w="1415" w:type="dxa"/>
            <w:vAlign w:val="center"/>
          </w:tcPr>
          <w:p w14:paraId="510798B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100≤Y＜2000</w:t>
            </w:r>
          </w:p>
        </w:tc>
        <w:tc>
          <w:tcPr>
            <w:tcW w:w="984" w:type="dxa"/>
            <w:vAlign w:val="center"/>
          </w:tcPr>
          <w:p w14:paraId="2B798B1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w:t>
            </w:r>
          </w:p>
        </w:tc>
      </w:tr>
      <w:tr w14:paraId="7196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009F9C2B">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餐饮业</w:t>
            </w:r>
          </w:p>
        </w:tc>
        <w:tc>
          <w:tcPr>
            <w:tcW w:w="1358" w:type="dxa"/>
            <w:vAlign w:val="center"/>
          </w:tcPr>
          <w:p w14:paraId="0636D11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00007DC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2DE53A0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X≥300</w:t>
            </w:r>
          </w:p>
        </w:tc>
        <w:tc>
          <w:tcPr>
            <w:tcW w:w="1688" w:type="dxa"/>
            <w:vAlign w:val="center"/>
          </w:tcPr>
          <w:p w14:paraId="4DEEE73F">
            <w:pPr>
              <w:keepNext w:val="0"/>
              <w:keepLines w:val="0"/>
              <w:widowControl/>
              <w:suppressLineNumbers w:val="0"/>
              <w:spacing w:before="0" w:beforeAutospacing="0" w:after="0" w:afterAutospacing="0"/>
              <w:ind w:left="1" w:leftChars="-51" w:right="0" w:hanging="108" w:hangingChars="6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 xml:space="preserve">100≤X＜300 </w:t>
            </w:r>
          </w:p>
        </w:tc>
        <w:tc>
          <w:tcPr>
            <w:tcW w:w="1415" w:type="dxa"/>
            <w:vAlign w:val="center"/>
          </w:tcPr>
          <w:p w14:paraId="612A387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10≤X＜100</w:t>
            </w:r>
          </w:p>
        </w:tc>
        <w:tc>
          <w:tcPr>
            <w:tcW w:w="984" w:type="dxa"/>
            <w:vAlign w:val="center"/>
          </w:tcPr>
          <w:p w14:paraId="2BC64D7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w:t>
            </w:r>
          </w:p>
        </w:tc>
      </w:tr>
      <w:tr w14:paraId="49E37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304F2FBD">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68E72246">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061AD59D">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4E81970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Y≥10000</w:t>
            </w:r>
          </w:p>
        </w:tc>
        <w:tc>
          <w:tcPr>
            <w:tcW w:w="1688" w:type="dxa"/>
            <w:vAlign w:val="center"/>
          </w:tcPr>
          <w:p w14:paraId="5C8B4A0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2000≤Y＜10000</w:t>
            </w:r>
          </w:p>
        </w:tc>
        <w:tc>
          <w:tcPr>
            <w:tcW w:w="1415" w:type="dxa"/>
            <w:vAlign w:val="center"/>
          </w:tcPr>
          <w:p w14:paraId="66A38C4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100≤Y＜2000</w:t>
            </w:r>
          </w:p>
        </w:tc>
        <w:tc>
          <w:tcPr>
            <w:tcW w:w="984" w:type="dxa"/>
            <w:vAlign w:val="center"/>
          </w:tcPr>
          <w:p w14:paraId="2B49D0F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w:t>
            </w:r>
          </w:p>
        </w:tc>
      </w:tr>
      <w:tr w14:paraId="29A4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379F72E5">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信息传输业 *</w:t>
            </w:r>
          </w:p>
        </w:tc>
        <w:tc>
          <w:tcPr>
            <w:tcW w:w="1358" w:type="dxa"/>
            <w:vAlign w:val="center"/>
          </w:tcPr>
          <w:p w14:paraId="7B079EC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6E62D4C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60893DF1">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X≥2000</w:t>
            </w:r>
          </w:p>
        </w:tc>
        <w:tc>
          <w:tcPr>
            <w:tcW w:w="1688" w:type="dxa"/>
            <w:vAlign w:val="center"/>
          </w:tcPr>
          <w:p w14:paraId="0C1A1F3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100≤X＜2000</w:t>
            </w:r>
          </w:p>
        </w:tc>
        <w:tc>
          <w:tcPr>
            <w:tcW w:w="1415" w:type="dxa"/>
            <w:vAlign w:val="center"/>
          </w:tcPr>
          <w:p w14:paraId="612B7011">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10≤X＜100</w:t>
            </w:r>
          </w:p>
        </w:tc>
        <w:tc>
          <w:tcPr>
            <w:tcW w:w="984" w:type="dxa"/>
            <w:vAlign w:val="center"/>
          </w:tcPr>
          <w:p w14:paraId="5A77312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w:t>
            </w:r>
          </w:p>
        </w:tc>
      </w:tr>
      <w:tr w14:paraId="0B9A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3923866F">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22E93315">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67596F8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6D18E2D6">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Y≥100000</w:t>
            </w:r>
          </w:p>
        </w:tc>
        <w:tc>
          <w:tcPr>
            <w:tcW w:w="1688" w:type="dxa"/>
            <w:vAlign w:val="center"/>
          </w:tcPr>
          <w:p w14:paraId="6EC3268C">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1000≤Y＜100000</w:t>
            </w:r>
          </w:p>
        </w:tc>
        <w:tc>
          <w:tcPr>
            <w:tcW w:w="1415" w:type="dxa"/>
            <w:vAlign w:val="center"/>
          </w:tcPr>
          <w:p w14:paraId="4FAABDF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100≤Y＜1000</w:t>
            </w:r>
          </w:p>
        </w:tc>
        <w:tc>
          <w:tcPr>
            <w:tcW w:w="984" w:type="dxa"/>
            <w:vAlign w:val="center"/>
          </w:tcPr>
          <w:p w14:paraId="6446CFB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w:t>
            </w:r>
          </w:p>
        </w:tc>
      </w:tr>
      <w:tr w14:paraId="78CEE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2097" w:type="dxa"/>
            <w:vMerge w:val="restart"/>
            <w:vAlign w:val="center"/>
          </w:tcPr>
          <w:p w14:paraId="4FEFB4CB">
            <w:pPr>
              <w:keepNext w:val="0"/>
              <w:keepLines w:val="0"/>
              <w:widowControl/>
              <w:suppressLineNumbers w:val="0"/>
              <w:spacing w:before="0" w:beforeAutospacing="0" w:after="0" w:afterAutospacing="0" w:line="240" w:lineRule="exact"/>
              <w:ind w:left="0" w:right="0"/>
              <w:jc w:val="left"/>
              <w:rPr>
                <w:rFonts w:hint="eastAsia" w:ascii="宋体" w:hAnsi="宋体"/>
                <w:color w:val="auto"/>
                <w:spacing w:val="-12"/>
                <w:kern w:val="0"/>
                <w:sz w:val="18"/>
                <w:szCs w:val="18"/>
                <w:highlight w:val="none"/>
              </w:rPr>
            </w:pPr>
            <w:r>
              <w:rPr>
                <w:rFonts w:hint="default" w:ascii="宋体" w:hAnsi="宋体"/>
                <w:color w:val="auto"/>
                <w:spacing w:val="-12"/>
                <w:kern w:val="0"/>
                <w:sz w:val="18"/>
                <w:szCs w:val="18"/>
                <w:highlight w:val="none"/>
              </w:rPr>
              <w:t>软件和信息技术服</w:t>
            </w:r>
            <w:r>
              <w:rPr>
                <w:rFonts w:hint="default" w:ascii="宋体" w:hAnsi="宋体"/>
                <w:color w:val="auto"/>
                <w:kern w:val="0"/>
                <w:sz w:val="18"/>
                <w:szCs w:val="18"/>
                <w:highlight w:val="none"/>
              </w:rPr>
              <w:t>务业</w:t>
            </w:r>
          </w:p>
        </w:tc>
        <w:tc>
          <w:tcPr>
            <w:tcW w:w="1358" w:type="dxa"/>
            <w:vAlign w:val="center"/>
          </w:tcPr>
          <w:p w14:paraId="39F7B25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6E820208">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0C94D6DC">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X≥300</w:t>
            </w:r>
          </w:p>
        </w:tc>
        <w:tc>
          <w:tcPr>
            <w:tcW w:w="1688" w:type="dxa"/>
            <w:vAlign w:val="center"/>
          </w:tcPr>
          <w:p w14:paraId="45036367">
            <w:pPr>
              <w:keepNext w:val="0"/>
              <w:keepLines w:val="0"/>
              <w:widowControl/>
              <w:suppressLineNumbers w:val="0"/>
              <w:spacing w:before="0" w:beforeAutospacing="0" w:after="0" w:afterAutospacing="0"/>
              <w:ind w:left="1" w:leftChars="-51" w:right="0" w:hanging="108" w:hangingChars="6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 xml:space="preserve">100≤X＜300 </w:t>
            </w:r>
          </w:p>
        </w:tc>
        <w:tc>
          <w:tcPr>
            <w:tcW w:w="1415" w:type="dxa"/>
            <w:vAlign w:val="center"/>
          </w:tcPr>
          <w:p w14:paraId="2E094A1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10≤X＜100</w:t>
            </w:r>
          </w:p>
        </w:tc>
        <w:tc>
          <w:tcPr>
            <w:tcW w:w="984" w:type="dxa"/>
            <w:vAlign w:val="center"/>
          </w:tcPr>
          <w:p w14:paraId="356B84B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w:t>
            </w:r>
          </w:p>
        </w:tc>
      </w:tr>
      <w:tr w14:paraId="65F8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2097" w:type="dxa"/>
            <w:vMerge w:val="continue"/>
            <w:vAlign w:val="center"/>
          </w:tcPr>
          <w:p w14:paraId="35021774">
            <w:pPr>
              <w:keepNext w:val="0"/>
              <w:keepLines w:val="0"/>
              <w:widowControl/>
              <w:suppressLineNumbers w:val="0"/>
              <w:spacing w:before="0" w:beforeAutospacing="0" w:after="0" w:afterAutospacing="0"/>
              <w:ind w:left="0" w:right="0"/>
              <w:jc w:val="left"/>
              <w:rPr>
                <w:rFonts w:hint="eastAsia" w:ascii="宋体" w:hAnsi="宋体"/>
                <w:color w:val="auto"/>
                <w:spacing w:val="-12"/>
                <w:kern w:val="0"/>
                <w:sz w:val="18"/>
                <w:szCs w:val="18"/>
                <w:highlight w:val="none"/>
              </w:rPr>
            </w:pPr>
          </w:p>
        </w:tc>
        <w:tc>
          <w:tcPr>
            <w:tcW w:w="1358" w:type="dxa"/>
            <w:vAlign w:val="center"/>
          </w:tcPr>
          <w:p w14:paraId="2C4A87F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425006B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131EACD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Y≥10000</w:t>
            </w:r>
          </w:p>
        </w:tc>
        <w:tc>
          <w:tcPr>
            <w:tcW w:w="1688" w:type="dxa"/>
            <w:vAlign w:val="center"/>
          </w:tcPr>
          <w:p w14:paraId="1AD89DF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1000≤Y＜10000</w:t>
            </w:r>
          </w:p>
        </w:tc>
        <w:tc>
          <w:tcPr>
            <w:tcW w:w="1415" w:type="dxa"/>
            <w:vAlign w:val="center"/>
          </w:tcPr>
          <w:p w14:paraId="03304CD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50≤Y＜1000</w:t>
            </w:r>
          </w:p>
        </w:tc>
        <w:tc>
          <w:tcPr>
            <w:tcW w:w="984" w:type="dxa"/>
            <w:vAlign w:val="center"/>
          </w:tcPr>
          <w:p w14:paraId="6EFFCA16">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Y＜50</w:t>
            </w:r>
          </w:p>
        </w:tc>
      </w:tr>
      <w:tr w14:paraId="2775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2097" w:type="dxa"/>
            <w:vMerge w:val="restart"/>
            <w:vAlign w:val="center"/>
          </w:tcPr>
          <w:p w14:paraId="0CE70362">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房地产开发经营</w:t>
            </w:r>
          </w:p>
        </w:tc>
        <w:tc>
          <w:tcPr>
            <w:tcW w:w="1358" w:type="dxa"/>
            <w:vAlign w:val="center"/>
          </w:tcPr>
          <w:p w14:paraId="1579710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6EF1529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3AFA1DC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Y≥200000</w:t>
            </w:r>
          </w:p>
        </w:tc>
        <w:tc>
          <w:tcPr>
            <w:tcW w:w="1688" w:type="dxa"/>
            <w:vAlign w:val="center"/>
          </w:tcPr>
          <w:p w14:paraId="2856557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1000≤Y＜200000</w:t>
            </w:r>
          </w:p>
        </w:tc>
        <w:tc>
          <w:tcPr>
            <w:tcW w:w="1415" w:type="dxa"/>
            <w:vAlign w:val="center"/>
          </w:tcPr>
          <w:p w14:paraId="13193961">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100≤Y＜1000</w:t>
            </w:r>
          </w:p>
        </w:tc>
        <w:tc>
          <w:tcPr>
            <w:tcW w:w="984" w:type="dxa"/>
            <w:vAlign w:val="center"/>
          </w:tcPr>
          <w:p w14:paraId="49BB09D7">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w:t>
            </w:r>
          </w:p>
        </w:tc>
      </w:tr>
      <w:tr w14:paraId="3384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2097" w:type="dxa"/>
            <w:vMerge w:val="continue"/>
            <w:vAlign w:val="center"/>
          </w:tcPr>
          <w:p w14:paraId="5D2AA159">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477CCD77">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资产总额（Z）</w:t>
            </w:r>
          </w:p>
        </w:tc>
        <w:tc>
          <w:tcPr>
            <w:tcW w:w="704" w:type="dxa"/>
            <w:vAlign w:val="center"/>
          </w:tcPr>
          <w:p w14:paraId="19E32AE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3AF2474C">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Z≥10000</w:t>
            </w:r>
          </w:p>
        </w:tc>
        <w:tc>
          <w:tcPr>
            <w:tcW w:w="1688" w:type="dxa"/>
            <w:vAlign w:val="center"/>
          </w:tcPr>
          <w:p w14:paraId="7BA604D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5000≤Z＜10000</w:t>
            </w:r>
          </w:p>
        </w:tc>
        <w:tc>
          <w:tcPr>
            <w:tcW w:w="1415" w:type="dxa"/>
            <w:vAlign w:val="center"/>
          </w:tcPr>
          <w:p w14:paraId="2B14FBA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2000≤Z＜5000</w:t>
            </w:r>
          </w:p>
        </w:tc>
        <w:tc>
          <w:tcPr>
            <w:tcW w:w="984" w:type="dxa"/>
            <w:vAlign w:val="center"/>
          </w:tcPr>
          <w:p w14:paraId="5F073B9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Z＜2000</w:t>
            </w:r>
          </w:p>
        </w:tc>
      </w:tr>
      <w:tr w14:paraId="60B5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2097" w:type="dxa"/>
            <w:vMerge w:val="restart"/>
            <w:vAlign w:val="center"/>
          </w:tcPr>
          <w:p w14:paraId="0E8BEBA8">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物业管理</w:t>
            </w:r>
          </w:p>
        </w:tc>
        <w:tc>
          <w:tcPr>
            <w:tcW w:w="1358" w:type="dxa"/>
            <w:vAlign w:val="center"/>
          </w:tcPr>
          <w:p w14:paraId="28DC505E">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2703F2CD">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5D867558">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X≥1000</w:t>
            </w:r>
          </w:p>
        </w:tc>
        <w:tc>
          <w:tcPr>
            <w:tcW w:w="1688" w:type="dxa"/>
            <w:vAlign w:val="center"/>
          </w:tcPr>
          <w:p w14:paraId="0A5086C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300≤X＜1000</w:t>
            </w:r>
          </w:p>
        </w:tc>
        <w:tc>
          <w:tcPr>
            <w:tcW w:w="1415" w:type="dxa"/>
            <w:vAlign w:val="center"/>
          </w:tcPr>
          <w:p w14:paraId="4E4EBFD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100≤X＜300</w:t>
            </w:r>
          </w:p>
        </w:tc>
        <w:tc>
          <w:tcPr>
            <w:tcW w:w="984" w:type="dxa"/>
            <w:vAlign w:val="center"/>
          </w:tcPr>
          <w:p w14:paraId="3E23064E">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X＜100</w:t>
            </w:r>
          </w:p>
        </w:tc>
      </w:tr>
      <w:tr w14:paraId="55F0A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2097" w:type="dxa"/>
            <w:vMerge w:val="continue"/>
            <w:vAlign w:val="center"/>
          </w:tcPr>
          <w:p w14:paraId="37617CC5">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31FC5DB2">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39A33E1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4692F78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Y≥5000</w:t>
            </w:r>
          </w:p>
        </w:tc>
        <w:tc>
          <w:tcPr>
            <w:tcW w:w="1688" w:type="dxa"/>
            <w:vAlign w:val="center"/>
          </w:tcPr>
          <w:p w14:paraId="0F2F3F87">
            <w:pPr>
              <w:keepNext w:val="0"/>
              <w:keepLines w:val="0"/>
              <w:widowControl/>
              <w:suppressLineNumbers w:val="0"/>
              <w:spacing w:before="0" w:beforeAutospacing="0" w:after="0" w:afterAutospacing="0"/>
              <w:ind w:left="1" w:leftChars="-51" w:right="0" w:hanging="108" w:hangingChars="6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1000≤Y＜5000</w:t>
            </w:r>
          </w:p>
        </w:tc>
        <w:tc>
          <w:tcPr>
            <w:tcW w:w="1415" w:type="dxa"/>
            <w:vAlign w:val="center"/>
          </w:tcPr>
          <w:p w14:paraId="22A4E21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500≤Y＜1000</w:t>
            </w:r>
          </w:p>
        </w:tc>
        <w:tc>
          <w:tcPr>
            <w:tcW w:w="984" w:type="dxa"/>
            <w:vAlign w:val="center"/>
          </w:tcPr>
          <w:p w14:paraId="2A81F06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Y＜500</w:t>
            </w:r>
          </w:p>
        </w:tc>
      </w:tr>
      <w:tr w14:paraId="566A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2097" w:type="dxa"/>
            <w:vMerge w:val="restart"/>
            <w:vAlign w:val="center"/>
          </w:tcPr>
          <w:p w14:paraId="0C957803">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租赁和商务服务业</w:t>
            </w:r>
          </w:p>
        </w:tc>
        <w:tc>
          <w:tcPr>
            <w:tcW w:w="1358" w:type="dxa"/>
            <w:vAlign w:val="center"/>
          </w:tcPr>
          <w:p w14:paraId="5D29CBD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277D5B7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0F2A705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X≥300</w:t>
            </w:r>
          </w:p>
        </w:tc>
        <w:tc>
          <w:tcPr>
            <w:tcW w:w="1688" w:type="dxa"/>
            <w:vAlign w:val="center"/>
          </w:tcPr>
          <w:p w14:paraId="6A25B052">
            <w:pPr>
              <w:keepNext w:val="0"/>
              <w:keepLines w:val="0"/>
              <w:widowControl/>
              <w:suppressLineNumbers w:val="0"/>
              <w:spacing w:before="0" w:beforeAutospacing="0" w:after="0" w:afterAutospacing="0"/>
              <w:ind w:left="1" w:leftChars="-51" w:right="0" w:hanging="108" w:hangingChars="6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100≤X＜300</w:t>
            </w:r>
          </w:p>
        </w:tc>
        <w:tc>
          <w:tcPr>
            <w:tcW w:w="1415" w:type="dxa"/>
            <w:vAlign w:val="center"/>
          </w:tcPr>
          <w:p w14:paraId="42EA226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10≤X＜100</w:t>
            </w:r>
          </w:p>
        </w:tc>
        <w:tc>
          <w:tcPr>
            <w:tcW w:w="984" w:type="dxa"/>
            <w:vAlign w:val="center"/>
          </w:tcPr>
          <w:p w14:paraId="2B361FA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w:t>
            </w:r>
          </w:p>
        </w:tc>
      </w:tr>
      <w:tr w14:paraId="6862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2097" w:type="dxa"/>
            <w:vMerge w:val="continue"/>
            <w:vAlign w:val="center"/>
          </w:tcPr>
          <w:p w14:paraId="47821DB1">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65B9D7D4">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资产总额（Z）</w:t>
            </w:r>
          </w:p>
        </w:tc>
        <w:tc>
          <w:tcPr>
            <w:tcW w:w="704" w:type="dxa"/>
            <w:vAlign w:val="center"/>
          </w:tcPr>
          <w:p w14:paraId="2599D9A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1A3EA166">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Z≥120000</w:t>
            </w:r>
          </w:p>
        </w:tc>
        <w:tc>
          <w:tcPr>
            <w:tcW w:w="1688" w:type="dxa"/>
            <w:vAlign w:val="center"/>
          </w:tcPr>
          <w:p w14:paraId="6FC28A76">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8000≤Z＜120000</w:t>
            </w:r>
          </w:p>
        </w:tc>
        <w:tc>
          <w:tcPr>
            <w:tcW w:w="1415" w:type="dxa"/>
            <w:vAlign w:val="center"/>
          </w:tcPr>
          <w:p w14:paraId="1546CAD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100≤Z＜8000</w:t>
            </w:r>
          </w:p>
        </w:tc>
        <w:tc>
          <w:tcPr>
            <w:tcW w:w="984" w:type="dxa"/>
            <w:vAlign w:val="center"/>
          </w:tcPr>
          <w:p w14:paraId="57E0DBF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Z＜100</w:t>
            </w:r>
          </w:p>
        </w:tc>
      </w:tr>
      <w:tr w14:paraId="1A2D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Align w:val="center"/>
          </w:tcPr>
          <w:p w14:paraId="2BFD6020">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其他未列明行业 *</w:t>
            </w:r>
          </w:p>
        </w:tc>
        <w:tc>
          <w:tcPr>
            <w:tcW w:w="1358" w:type="dxa"/>
            <w:vAlign w:val="center"/>
          </w:tcPr>
          <w:p w14:paraId="325D68C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4489096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583BC62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X≥300</w:t>
            </w:r>
          </w:p>
        </w:tc>
        <w:tc>
          <w:tcPr>
            <w:tcW w:w="1688" w:type="dxa"/>
            <w:vAlign w:val="center"/>
          </w:tcPr>
          <w:p w14:paraId="082ED145">
            <w:pPr>
              <w:keepNext w:val="0"/>
              <w:keepLines w:val="0"/>
              <w:widowControl/>
              <w:suppressLineNumbers w:val="0"/>
              <w:spacing w:before="0" w:beforeAutospacing="0" w:after="0" w:afterAutospacing="0"/>
              <w:ind w:left="1" w:leftChars="-51" w:right="0" w:hanging="108" w:hangingChars="6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100≤X＜300</w:t>
            </w:r>
          </w:p>
        </w:tc>
        <w:tc>
          <w:tcPr>
            <w:tcW w:w="1415" w:type="dxa"/>
            <w:vAlign w:val="center"/>
          </w:tcPr>
          <w:p w14:paraId="071EEF87">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10≤X＜100</w:t>
            </w:r>
          </w:p>
        </w:tc>
        <w:tc>
          <w:tcPr>
            <w:tcW w:w="984" w:type="dxa"/>
            <w:vAlign w:val="center"/>
          </w:tcPr>
          <w:p w14:paraId="48D7CF01">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w:t>
            </w:r>
          </w:p>
        </w:tc>
      </w:tr>
    </w:tbl>
    <w:p w14:paraId="55D8239E">
      <w:pPr>
        <w:pStyle w:val="27"/>
        <w:adjustRightInd w:val="0"/>
        <w:spacing w:line="380" w:lineRule="exact"/>
        <w:ind w:firstLine="452" w:firstLineChars="200"/>
        <w:contextualSpacing/>
        <w:rPr>
          <w:rFonts w:hint="eastAsia" w:hAnsi="宋体" w:cs="宋体"/>
          <w:color w:val="auto"/>
          <w:spacing w:val="8"/>
          <w:szCs w:val="21"/>
          <w:highlight w:val="none"/>
        </w:rPr>
      </w:pPr>
      <w:r>
        <w:rPr>
          <w:rFonts w:hint="eastAsia" w:hAnsi="宋体" w:cs="宋体"/>
          <w:color w:val="auto"/>
          <w:spacing w:val="8"/>
          <w:szCs w:val="21"/>
          <w:highlight w:val="none"/>
        </w:rPr>
        <w:t>1.大型、中型和小型企业须同时满足所列指标的下限，否则下划一档；微型企业只须满足所列指标中的一项即可。</w:t>
      </w:r>
    </w:p>
    <w:p w14:paraId="5FDB4FB2">
      <w:pPr>
        <w:pStyle w:val="27"/>
        <w:adjustRightInd w:val="0"/>
        <w:spacing w:line="380" w:lineRule="exact"/>
        <w:ind w:firstLine="452" w:firstLineChars="200"/>
        <w:contextualSpacing/>
        <w:rPr>
          <w:rFonts w:hint="eastAsia" w:hAnsi="宋体" w:cs="宋体"/>
          <w:color w:val="auto"/>
          <w:spacing w:val="8"/>
          <w:szCs w:val="21"/>
          <w:highlight w:val="none"/>
        </w:rPr>
      </w:pPr>
      <w:r>
        <w:rPr>
          <w:rFonts w:hint="eastAsia" w:hAnsi="宋体" w:cs="宋体"/>
          <w:color w:val="auto"/>
          <w:spacing w:val="8"/>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B8D3DB2">
      <w:pPr>
        <w:pStyle w:val="27"/>
        <w:spacing w:line="380" w:lineRule="exact"/>
        <w:ind w:firstLine="452" w:firstLineChars="200"/>
        <w:rPr>
          <w:rFonts w:hint="eastAsia" w:hAnsi="宋体"/>
          <w:color w:val="auto"/>
          <w:szCs w:val="21"/>
          <w:highlight w:val="none"/>
        </w:rPr>
      </w:pPr>
      <w:r>
        <w:rPr>
          <w:rFonts w:hint="eastAsia" w:hAnsi="宋体"/>
          <w:color w:val="auto"/>
          <w:spacing w:val="8"/>
          <w:szCs w:val="21"/>
          <w:highlight w:val="none"/>
        </w:rPr>
        <w:t>3.</w:t>
      </w:r>
      <w:r>
        <w:rPr>
          <w:rFonts w:hint="eastAsia" w:hAnsi="宋体" w:cs="宋体"/>
          <w:color w:val="auto"/>
          <w:spacing w:val="8"/>
          <w:szCs w:val="21"/>
          <w:highlight w:val="none"/>
        </w:rPr>
        <w:t>企业划分指标以现行统计制度为准。（</w:t>
      </w:r>
      <w:r>
        <w:rPr>
          <w:rFonts w:hint="eastAsia" w:hAnsi="宋体"/>
          <w:color w:val="auto"/>
          <w:spacing w:val="8"/>
          <w:szCs w:val="21"/>
          <w:highlight w:val="none"/>
        </w:rPr>
        <w:t>1</w:t>
      </w:r>
      <w:r>
        <w:rPr>
          <w:rFonts w:hint="eastAsia" w:hAnsi="宋体" w:cs="宋体"/>
          <w:color w:val="auto"/>
          <w:spacing w:val="8"/>
          <w:szCs w:val="21"/>
          <w:highlight w:val="none"/>
        </w:rPr>
        <w:t>）从业人员，是指期末从业人员数，没有期末从业人员数的，采用全年平均人员数代替。（</w:t>
      </w:r>
      <w:r>
        <w:rPr>
          <w:rFonts w:hint="eastAsia" w:hAnsi="宋体"/>
          <w:color w:val="auto"/>
          <w:spacing w:val="8"/>
          <w:szCs w:val="21"/>
          <w:highlight w:val="none"/>
        </w:rPr>
        <w:t>2</w:t>
      </w:r>
      <w:r>
        <w:rPr>
          <w:rFonts w:hint="eastAsia" w:hAnsi="宋体" w:cs="宋体"/>
          <w:color w:val="auto"/>
          <w:spacing w:val="8"/>
          <w:szCs w:val="21"/>
          <w:highlight w:val="none"/>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hAnsi="宋体"/>
          <w:color w:val="auto"/>
          <w:spacing w:val="8"/>
          <w:szCs w:val="21"/>
          <w:highlight w:val="none"/>
        </w:rPr>
        <w:t>3</w:t>
      </w:r>
      <w:r>
        <w:rPr>
          <w:rFonts w:hint="eastAsia" w:hAnsi="宋体" w:cs="宋体"/>
          <w:color w:val="auto"/>
          <w:spacing w:val="8"/>
          <w:szCs w:val="21"/>
          <w:highlight w:val="none"/>
        </w:rPr>
        <w:t>）资产总额，采用资产总计代替。</w:t>
      </w:r>
    </w:p>
    <w:p w14:paraId="7484D44A">
      <w:pPr>
        <w:rPr>
          <w:rFonts w:hint="eastAsia" w:ascii="宋体" w:hAnsi="宋体"/>
          <w:b/>
          <w:color w:val="auto"/>
          <w:highlight w:val="none"/>
        </w:rPr>
      </w:pPr>
      <w:r>
        <w:rPr>
          <w:rFonts w:hint="eastAsia" w:ascii="宋体" w:hAnsi="宋体"/>
          <w:b/>
          <w:color w:val="auto"/>
          <w:highlight w:val="none"/>
        </w:rPr>
        <w:br w:type="page"/>
      </w:r>
    </w:p>
    <w:p w14:paraId="26D11A30">
      <w:pP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②如提供服务的投标人属于监狱企业的，应当提供由省级以上监狱管理局、戒毒管理局等（含新疆生产建设兵团）出具的属于监狱企业的证明文件, 否则不予享受优惠政策（如投标人属于监狱企业的，则必须提供）；</w:t>
      </w:r>
    </w:p>
    <w:p w14:paraId="3EE66E4B">
      <w:pPr>
        <w:pStyle w:val="19"/>
        <w:autoSpaceDE w:val="0"/>
        <w:autoSpaceDN w:val="0"/>
        <w:rPr>
          <w:rFonts w:hint="eastAsia" w:ascii="宋体" w:hAnsi="宋体" w:cs="宋体"/>
          <w:color w:val="auto"/>
          <w:szCs w:val="21"/>
          <w:highlight w:val="none"/>
        </w:rPr>
      </w:pPr>
    </w:p>
    <w:p w14:paraId="2921F855">
      <w:pPr>
        <w:pStyle w:val="19"/>
        <w:autoSpaceDE w:val="0"/>
        <w:autoSpaceDN w:val="0"/>
        <w:rPr>
          <w:rFonts w:hint="eastAsia" w:ascii="宋体" w:hAnsi="宋体" w:cs="宋体"/>
          <w:color w:val="auto"/>
          <w:szCs w:val="21"/>
          <w:highlight w:val="none"/>
        </w:rPr>
      </w:pPr>
    </w:p>
    <w:p w14:paraId="17409A7D">
      <w:pPr>
        <w:rPr>
          <w:rFonts w:hint="eastAsia" w:ascii="宋体" w:hAnsi="宋体" w:cs="宋体"/>
          <w:b/>
          <w:bCs/>
          <w:color w:val="auto"/>
          <w:szCs w:val="21"/>
          <w:highlight w:val="none"/>
        </w:rPr>
      </w:pPr>
    </w:p>
    <w:p w14:paraId="24737D70">
      <w:pPr>
        <w:pStyle w:val="19"/>
        <w:rPr>
          <w:rFonts w:hint="eastAsia" w:ascii="宋体" w:hAnsi="宋体" w:cs="宋体"/>
          <w:b/>
          <w:bCs/>
          <w:color w:val="auto"/>
          <w:szCs w:val="21"/>
          <w:highlight w:val="none"/>
        </w:rPr>
      </w:pPr>
    </w:p>
    <w:p w14:paraId="7D9FE4DC">
      <w:pPr>
        <w:rPr>
          <w:rFonts w:hint="eastAsia" w:ascii="宋体" w:hAnsi="宋体" w:cs="宋体"/>
          <w:color w:val="auto"/>
          <w:szCs w:val="21"/>
          <w:highlight w:val="none"/>
        </w:rPr>
      </w:pPr>
    </w:p>
    <w:p w14:paraId="7A1BCE72">
      <w:pPr>
        <w:pStyle w:val="19"/>
        <w:rPr>
          <w:rFonts w:hint="eastAsia" w:ascii="宋体" w:hAnsi="宋体" w:cs="宋体"/>
          <w:color w:val="auto"/>
          <w:szCs w:val="21"/>
          <w:highlight w:val="none"/>
        </w:rPr>
      </w:pPr>
    </w:p>
    <w:p w14:paraId="17CBD571">
      <w:pPr>
        <w:rPr>
          <w:rFonts w:hint="eastAsia" w:ascii="宋体" w:hAnsi="宋体" w:cs="宋体"/>
          <w:color w:val="auto"/>
          <w:szCs w:val="21"/>
          <w:highlight w:val="none"/>
        </w:rPr>
      </w:pPr>
    </w:p>
    <w:p w14:paraId="01C8046E">
      <w:pPr>
        <w:rPr>
          <w:rFonts w:hint="eastAsia" w:ascii="宋体" w:hAnsi="宋体" w:cs="宋体"/>
          <w:color w:val="auto"/>
          <w:szCs w:val="21"/>
          <w:highlight w:val="none"/>
        </w:rPr>
      </w:pPr>
    </w:p>
    <w:p w14:paraId="715EA229">
      <w:pPr>
        <w:rPr>
          <w:rFonts w:hint="eastAsia" w:ascii="宋体" w:hAnsi="宋体" w:cs="宋体"/>
          <w:color w:val="auto"/>
          <w:szCs w:val="21"/>
          <w:highlight w:val="none"/>
        </w:rPr>
      </w:pPr>
    </w:p>
    <w:p w14:paraId="567FF38F">
      <w:pPr>
        <w:pStyle w:val="19"/>
        <w:rPr>
          <w:rFonts w:hint="eastAsia" w:ascii="宋体" w:hAnsi="宋体" w:cs="宋体"/>
          <w:color w:val="auto"/>
          <w:szCs w:val="21"/>
          <w:highlight w:val="none"/>
        </w:rPr>
      </w:pPr>
    </w:p>
    <w:p w14:paraId="05AF9EAD">
      <w:pPr>
        <w:rPr>
          <w:rFonts w:hint="eastAsia" w:ascii="宋体" w:hAnsi="宋体" w:cs="宋体"/>
          <w:color w:val="auto"/>
          <w:highlight w:val="none"/>
        </w:rPr>
      </w:pPr>
    </w:p>
    <w:p w14:paraId="3D6711A3">
      <w:pP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③符合条件的残疾人福利性单位在参加政府采购活动时，应当提供《残疾人福利性单位声明函》（见附件），并对声明的真实性负责（如投标人属于残疾人福利性单位的，则必须提供）。</w:t>
      </w:r>
    </w:p>
    <w:p w14:paraId="361C7C4C">
      <w:pPr>
        <w:spacing w:line="588" w:lineRule="exact"/>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DD94087">
      <w:pPr>
        <w:spacing w:line="588" w:lineRule="exact"/>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本单位对上述声明的真实性负责。如有虚假，将依法承担相应责任。</w:t>
      </w:r>
    </w:p>
    <w:p w14:paraId="128D81D8">
      <w:pPr>
        <w:spacing w:line="588" w:lineRule="exact"/>
        <w:rPr>
          <w:rFonts w:hint="eastAsia" w:ascii="宋体" w:hAnsi="宋体" w:cs="宋体"/>
          <w:color w:val="auto"/>
          <w:spacing w:val="6"/>
          <w:szCs w:val="21"/>
          <w:highlight w:val="none"/>
        </w:rPr>
      </w:pPr>
    </w:p>
    <w:p w14:paraId="59BAE640">
      <w:pPr>
        <w:spacing w:line="588" w:lineRule="exact"/>
        <w:ind w:firstLine="5550" w:firstLineChars="2500"/>
        <w:rPr>
          <w:rFonts w:hint="eastAsia" w:ascii="宋体" w:hAnsi="宋体" w:cs="宋体"/>
          <w:color w:val="auto"/>
          <w:spacing w:val="6"/>
          <w:szCs w:val="21"/>
          <w:highlight w:val="none"/>
        </w:rPr>
      </w:pPr>
      <w:r>
        <w:rPr>
          <w:rFonts w:hint="eastAsia" w:ascii="宋体" w:hAnsi="宋体" w:cs="宋体"/>
          <w:color w:val="auto"/>
          <w:spacing w:val="6"/>
          <w:szCs w:val="21"/>
          <w:highlight w:val="none"/>
        </w:rPr>
        <w:t>单位名称[盖公章(CA签章)]：</w:t>
      </w:r>
    </w:p>
    <w:p w14:paraId="72201A96">
      <w:pPr>
        <w:pStyle w:val="19"/>
        <w:rPr>
          <w:rFonts w:hint="eastAsia" w:ascii="宋体" w:hAnsi="宋体" w:cs="宋体"/>
          <w:color w:val="auto"/>
          <w:szCs w:val="21"/>
          <w:highlight w:val="none"/>
        </w:rPr>
      </w:pPr>
      <w:r>
        <w:rPr>
          <w:rFonts w:hint="eastAsia" w:ascii="宋体" w:hAnsi="宋体" w:cs="宋体"/>
          <w:color w:val="auto"/>
          <w:spacing w:val="6"/>
          <w:szCs w:val="21"/>
          <w:highlight w:val="none"/>
        </w:rPr>
        <w:t xml:space="preserve">                                                              日  期：</w:t>
      </w:r>
    </w:p>
    <w:p w14:paraId="54A8D790">
      <w:pPr>
        <w:rPr>
          <w:rFonts w:hint="eastAsia" w:ascii="宋体" w:hAnsi="宋体" w:cs="宋体"/>
          <w:color w:val="auto"/>
          <w:highlight w:val="none"/>
        </w:rPr>
      </w:pPr>
    </w:p>
    <w:p w14:paraId="6C629EE1">
      <w:pPr>
        <w:snapToGrid w:val="0"/>
        <w:spacing w:line="400" w:lineRule="exact"/>
        <w:ind w:firstLine="482" w:firstLineChars="150"/>
        <w:outlineLvl w:val="4"/>
        <w:rPr>
          <w:rFonts w:hint="eastAsia" w:ascii="宋体" w:hAnsi="宋体"/>
          <w:b/>
          <w:bCs/>
          <w:color w:val="auto"/>
          <w:sz w:val="32"/>
          <w:szCs w:val="20"/>
          <w:highlight w:val="none"/>
        </w:rPr>
      </w:pPr>
    </w:p>
    <w:p w14:paraId="1E760956">
      <w:pPr>
        <w:snapToGrid w:val="0"/>
        <w:spacing w:line="400" w:lineRule="exact"/>
        <w:ind w:firstLine="482" w:firstLineChars="150"/>
        <w:rPr>
          <w:rFonts w:hint="eastAsia" w:ascii="宋体" w:hAnsi="宋体"/>
          <w:b/>
          <w:bCs/>
          <w:color w:val="auto"/>
          <w:sz w:val="32"/>
          <w:szCs w:val="20"/>
          <w:highlight w:val="none"/>
        </w:rPr>
      </w:pPr>
    </w:p>
    <w:p w14:paraId="3150FBCA">
      <w:pPr>
        <w:snapToGrid w:val="0"/>
        <w:spacing w:line="400" w:lineRule="exact"/>
        <w:ind w:firstLine="482" w:firstLineChars="150"/>
        <w:rPr>
          <w:rFonts w:hint="eastAsia" w:ascii="宋体" w:hAnsi="宋体"/>
          <w:b/>
          <w:bCs/>
          <w:color w:val="auto"/>
          <w:sz w:val="32"/>
          <w:szCs w:val="20"/>
          <w:highlight w:val="none"/>
        </w:rPr>
      </w:pPr>
    </w:p>
    <w:p w14:paraId="0AD83C2B">
      <w:pPr>
        <w:snapToGrid w:val="0"/>
        <w:spacing w:line="400" w:lineRule="exact"/>
        <w:ind w:firstLine="482" w:firstLineChars="150"/>
        <w:rPr>
          <w:rFonts w:hint="eastAsia" w:ascii="宋体" w:hAnsi="宋体"/>
          <w:b/>
          <w:bCs/>
          <w:color w:val="auto"/>
          <w:sz w:val="32"/>
          <w:szCs w:val="20"/>
          <w:highlight w:val="none"/>
        </w:rPr>
      </w:pPr>
    </w:p>
    <w:p w14:paraId="2488F18C">
      <w:pPr>
        <w:snapToGrid w:val="0"/>
        <w:spacing w:line="400" w:lineRule="exact"/>
        <w:ind w:firstLine="482" w:firstLineChars="150"/>
        <w:rPr>
          <w:rFonts w:hint="eastAsia" w:ascii="宋体" w:hAnsi="宋体"/>
          <w:b/>
          <w:bCs/>
          <w:color w:val="auto"/>
          <w:sz w:val="32"/>
          <w:szCs w:val="20"/>
          <w:highlight w:val="none"/>
        </w:rPr>
      </w:pPr>
    </w:p>
    <w:p w14:paraId="34A75CFB">
      <w:pPr>
        <w:snapToGrid w:val="0"/>
        <w:spacing w:line="400" w:lineRule="exact"/>
        <w:ind w:firstLine="482" w:firstLineChars="150"/>
        <w:rPr>
          <w:rFonts w:hint="eastAsia" w:ascii="宋体" w:hAnsi="宋体"/>
          <w:b/>
          <w:bCs/>
          <w:color w:val="auto"/>
          <w:sz w:val="32"/>
          <w:szCs w:val="20"/>
          <w:highlight w:val="none"/>
        </w:rPr>
      </w:pPr>
    </w:p>
    <w:p w14:paraId="13A6C9DA">
      <w:pPr>
        <w:snapToGrid w:val="0"/>
        <w:spacing w:line="400" w:lineRule="exact"/>
        <w:ind w:firstLine="482" w:firstLineChars="150"/>
        <w:rPr>
          <w:rFonts w:hint="eastAsia" w:ascii="宋体" w:hAnsi="宋体"/>
          <w:b/>
          <w:bCs/>
          <w:color w:val="auto"/>
          <w:sz w:val="32"/>
          <w:szCs w:val="20"/>
          <w:highlight w:val="none"/>
        </w:rPr>
      </w:pPr>
    </w:p>
    <w:p w14:paraId="009A5A4F">
      <w:pPr>
        <w:snapToGrid w:val="0"/>
        <w:spacing w:line="400" w:lineRule="exact"/>
        <w:ind w:firstLine="482" w:firstLineChars="150"/>
        <w:rPr>
          <w:rFonts w:hint="eastAsia" w:ascii="宋体" w:hAnsi="宋体"/>
          <w:b/>
          <w:bCs/>
          <w:color w:val="auto"/>
          <w:sz w:val="32"/>
          <w:szCs w:val="20"/>
          <w:highlight w:val="none"/>
        </w:rPr>
      </w:pPr>
    </w:p>
    <w:p w14:paraId="3C873F53">
      <w:pPr>
        <w:tabs>
          <w:tab w:val="left" w:pos="1305"/>
        </w:tabs>
        <w:spacing w:line="360" w:lineRule="auto"/>
        <w:ind w:firstLine="321" w:firstLineChars="100"/>
        <w:rPr>
          <w:rFonts w:hint="eastAsia" w:ascii="宋体" w:hAnsi="宋体"/>
          <w:b/>
          <w:bCs/>
          <w:color w:val="auto"/>
          <w:sz w:val="32"/>
          <w:szCs w:val="32"/>
          <w:highlight w:val="none"/>
        </w:rPr>
      </w:pPr>
      <w:r>
        <w:rPr>
          <w:rFonts w:hint="eastAsia" w:ascii="宋体" w:hAnsi="宋体"/>
          <w:b/>
          <w:bCs/>
          <w:color w:val="auto"/>
          <w:sz w:val="32"/>
          <w:szCs w:val="20"/>
          <w:highlight w:val="none"/>
          <w:lang w:val="en-US" w:eastAsia="zh-CN"/>
        </w:rPr>
        <w:t>11</w:t>
      </w:r>
      <w:r>
        <w:rPr>
          <w:rFonts w:hint="eastAsia" w:ascii="宋体" w:hAnsi="宋体"/>
          <w:b/>
          <w:bCs/>
          <w:color w:val="auto"/>
          <w:sz w:val="32"/>
          <w:szCs w:val="20"/>
          <w:highlight w:val="none"/>
        </w:rPr>
        <w:t>.投标人可结合本项目的评标办法视自身情况自行提交相关证明</w:t>
      </w:r>
      <w:r>
        <w:rPr>
          <w:rFonts w:hint="eastAsia" w:ascii="宋体" w:hAnsi="宋体"/>
          <w:b/>
          <w:bCs/>
          <w:color w:val="auto"/>
          <w:sz w:val="32"/>
          <w:szCs w:val="32"/>
          <w:highlight w:val="none"/>
        </w:rPr>
        <w:t>（如有，请提供）</w:t>
      </w:r>
    </w:p>
    <w:p w14:paraId="2B951697">
      <w:pPr>
        <w:snapToGrid w:val="0"/>
        <w:spacing w:line="400" w:lineRule="exact"/>
        <w:outlineLvl w:val="4"/>
        <w:rPr>
          <w:rFonts w:hint="eastAsia" w:ascii="宋体" w:hAnsi="宋体"/>
          <w:b/>
          <w:bCs/>
          <w:color w:val="auto"/>
          <w:sz w:val="32"/>
          <w:szCs w:val="20"/>
          <w:highlight w:val="none"/>
        </w:rPr>
      </w:pPr>
    </w:p>
    <w:p w14:paraId="11907015">
      <w:pPr>
        <w:spacing w:line="380" w:lineRule="exact"/>
        <w:rPr>
          <w:rFonts w:hint="eastAsia" w:ascii="宋体" w:hAnsi="宋体"/>
          <w:b/>
          <w:color w:val="auto"/>
          <w:sz w:val="32"/>
          <w:szCs w:val="32"/>
          <w:highlight w:val="none"/>
        </w:rPr>
      </w:pPr>
    </w:p>
    <w:p w14:paraId="6D288535">
      <w:pPr>
        <w:spacing w:line="380" w:lineRule="exact"/>
        <w:rPr>
          <w:rFonts w:hint="eastAsia" w:ascii="宋体" w:hAnsi="宋体"/>
          <w:b/>
          <w:color w:val="auto"/>
          <w:sz w:val="32"/>
          <w:szCs w:val="32"/>
          <w:highlight w:val="none"/>
        </w:rPr>
      </w:pPr>
    </w:p>
    <w:p w14:paraId="468B2935">
      <w:pPr>
        <w:widowControl/>
        <w:jc w:val="left"/>
        <w:rPr>
          <w:rFonts w:hint="eastAsia" w:ascii="宋体" w:hAnsi="宋体"/>
          <w:color w:val="auto"/>
          <w:highlight w:val="none"/>
        </w:rPr>
      </w:pPr>
    </w:p>
    <w:p w14:paraId="63B89FE8">
      <w:pPr>
        <w:pStyle w:val="27"/>
        <w:rPr>
          <w:rFonts w:hint="eastAsia" w:hAnsi="宋体"/>
          <w:b/>
          <w:color w:val="auto"/>
          <w:sz w:val="32"/>
          <w:szCs w:val="32"/>
          <w:highlight w:val="none"/>
        </w:rPr>
      </w:pPr>
    </w:p>
    <w:p w14:paraId="3CDB7653">
      <w:pPr>
        <w:pStyle w:val="27"/>
        <w:rPr>
          <w:rFonts w:hint="eastAsia" w:hAnsi="宋体"/>
          <w:b/>
          <w:color w:val="auto"/>
          <w:sz w:val="32"/>
          <w:szCs w:val="32"/>
          <w:highlight w:val="none"/>
        </w:rPr>
      </w:pPr>
    </w:p>
    <w:p w14:paraId="4A572F56">
      <w:pPr>
        <w:pStyle w:val="27"/>
        <w:rPr>
          <w:rFonts w:hint="eastAsia" w:hAnsi="宋体"/>
          <w:b/>
          <w:color w:val="auto"/>
          <w:sz w:val="32"/>
          <w:szCs w:val="32"/>
          <w:highlight w:val="none"/>
        </w:rPr>
      </w:pPr>
    </w:p>
    <w:p w14:paraId="0DBFC046">
      <w:pPr>
        <w:rPr>
          <w:rFonts w:hint="eastAsia" w:hAnsi="宋体"/>
          <w:b/>
          <w:color w:val="auto"/>
          <w:sz w:val="32"/>
          <w:szCs w:val="32"/>
          <w:highlight w:val="none"/>
        </w:rPr>
      </w:pPr>
      <w:r>
        <w:rPr>
          <w:rFonts w:hint="eastAsia" w:hAnsi="宋体"/>
          <w:b/>
          <w:color w:val="auto"/>
          <w:sz w:val="32"/>
          <w:szCs w:val="32"/>
          <w:highlight w:val="none"/>
        </w:rPr>
        <w:br w:type="page"/>
      </w:r>
    </w:p>
    <w:p w14:paraId="10400297">
      <w:pPr>
        <w:pStyle w:val="27"/>
        <w:rPr>
          <w:rFonts w:hint="eastAsia" w:hAnsi="宋体"/>
          <w:b/>
          <w:color w:val="auto"/>
          <w:sz w:val="32"/>
          <w:szCs w:val="32"/>
          <w:highlight w:val="none"/>
        </w:rPr>
      </w:pPr>
      <w:r>
        <w:rPr>
          <w:rFonts w:hint="eastAsia" w:hAnsi="宋体"/>
          <w:b/>
          <w:color w:val="auto"/>
          <w:sz w:val="32"/>
          <w:szCs w:val="32"/>
          <w:highlight w:val="none"/>
        </w:rPr>
        <w:t>附件：</w:t>
      </w:r>
    </w:p>
    <w:p w14:paraId="02B02770">
      <w:pPr>
        <w:jc w:val="center"/>
        <w:rPr>
          <w:rFonts w:hint="eastAsia" w:ascii="宋体" w:hAnsi="宋体" w:cs="仿宋"/>
          <w:b/>
          <w:bCs/>
          <w:color w:val="auto"/>
          <w:sz w:val="24"/>
          <w:highlight w:val="none"/>
        </w:rPr>
      </w:pPr>
    </w:p>
    <w:p w14:paraId="3AE5993A">
      <w:pPr>
        <w:jc w:val="center"/>
        <w:rPr>
          <w:rFonts w:hint="eastAsia" w:ascii="宋体" w:hAnsi="宋体" w:cs="仿宋"/>
          <w:b/>
          <w:bCs/>
          <w:color w:val="auto"/>
          <w:sz w:val="32"/>
          <w:szCs w:val="32"/>
          <w:highlight w:val="none"/>
        </w:rPr>
      </w:pPr>
      <w:r>
        <w:rPr>
          <w:rFonts w:hint="eastAsia" w:ascii="宋体" w:hAnsi="宋体" w:cs="仿宋"/>
          <w:b/>
          <w:bCs/>
          <w:color w:val="auto"/>
          <w:sz w:val="32"/>
          <w:szCs w:val="32"/>
          <w:highlight w:val="none"/>
        </w:rPr>
        <w:t>质疑函范本</w:t>
      </w:r>
    </w:p>
    <w:p w14:paraId="15341FFD">
      <w:pPr>
        <w:adjustRightInd w:val="0"/>
        <w:snapToGrid w:val="0"/>
        <w:spacing w:before="240" w:beforeLines="100" w:line="360" w:lineRule="auto"/>
        <w:rPr>
          <w:rFonts w:hint="eastAsia" w:ascii="宋体" w:hAnsi="宋体" w:cs="仿宋"/>
          <w:bCs/>
          <w:color w:val="auto"/>
          <w:sz w:val="24"/>
          <w:highlight w:val="none"/>
        </w:rPr>
      </w:pPr>
      <w:r>
        <w:rPr>
          <w:rFonts w:hint="eastAsia" w:ascii="宋体" w:hAnsi="宋体" w:cs="仿宋"/>
          <w:bCs/>
          <w:color w:val="auto"/>
          <w:sz w:val="24"/>
          <w:highlight w:val="none"/>
        </w:rPr>
        <w:t>一、质疑投标人基本信息</w:t>
      </w:r>
    </w:p>
    <w:p w14:paraId="0BBBF632">
      <w:pPr>
        <w:adjustRightInd w:val="0"/>
        <w:snapToGrid w:val="0"/>
        <w:spacing w:line="360" w:lineRule="auto"/>
        <w:rPr>
          <w:rFonts w:hint="eastAsia" w:ascii="宋体" w:hAnsi="宋体" w:cs="仿宋"/>
          <w:color w:val="auto"/>
          <w:sz w:val="24"/>
          <w:highlight w:val="none"/>
          <w:u w:val="dotted"/>
        </w:rPr>
      </w:pPr>
      <w:r>
        <w:rPr>
          <w:rFonts w:hint="eastAsia" w:ascii="宋体" w:hAnsi="宋体" w:cs="仿宋"/>
          <w:color w:val="auto"/>
          <w:sz w:val="24"/>
          <w:highlight w:val="none"/>
        </w:rPr>
        <w:t>质疑投标人：</w:t>
      </w:r>
      <w:r>
        <w:rPr>
          <w:rFonts w:hint="eastAsia" w:ascii="宋体" w:hAnsi="宋体" w:cs="仿宋"/>
          <w:color w:val="auto"/>
          <w:sz w:val="24"/>
          <w:highlight w:val="none"/>
          <w:u w:val="dotted"/>
        </w:rPr>
        <w:t xml:space="preserve">                                        </w:t>
      </w:r>
    </w:p>
    <w:p w14:paraId="44E08201">
      <w:pPr>
        <w:adjustRightInd w:val="0"/>
        <w:snapToGrid w:val="0"/>
        <w:spacing w:line="360" w:lineRule="auto"/>
        <w:rPr>
          <w:rFonts w:hint="eastAsia" w:ascii="宋体" w:hAnsi="宋体" w:cs="仿宋"/>
          <w:color w:val="auto"/>
          <w:sz w:val="24"/>
          <w:highlight w:val="none"/>
        </w:rPr>
      </w:pPr>
      <w:r>
        <w:rPr>
          <w:rFonts w:hint="eastAsia" w:ascii="宋体" w:hAnsi="宋体" w:cs="仿宋"/>
          <w:color w:val="auto"/>
          <w:sz w:val="24"/>
          <w:highlight w:val="none"/>
        </w:rPr>
        <w:t>地址：</w:t>
      </w:r>
      <w:r>
        <w:rPr>
          <w:rFonts w:hint="eastAsia" w:ascii="宋体" w:hAnsi="宋体" w:cs="仿宋"/>
          <w:color w:val="auto"/>
          <w:sz w:val="24"/>
          <w:highlight w:val="none"/>
          <w:u w:val="dotted"/>
        </w:rPr>
        <w:t xml:space="preserve">                          </w:t>
      </w:r>
      <w:r>
        <w:rPr>
          <w:rFonts w:hint="eastAsia" w:ascii="宋体" w:hAnsi="宋体" w:cs="仿宋"/>
          <w:color w:val="auto"/>
          <w:sz w:val="24"/>
          <w:highlight w:val="none"/>
        </w:rPr>
        <w:t>邮编：</w:t>
      </w:r>
      <w:r>
        <w:rPr>
          <w:rFonts w:hint="eastAsia" w:ascii="宋体" w:hAnsi="宋体" w:cs="仿宋"/>
          <w:color w:val="auto"/>
          <w:sz w:val="24"/>
          <w:highlight w:val="none"/>
          <w:u w:val="dotted"/>
        </w:rPr>
        <w:t xml:space="preserve">                                                   </w:t>
      </w:r>
    </w:p>
    <w:p w14:paraId="73E82FC9">
      <w:pPr>
        <w:adjustRightInd w:val="0"/>
        <w:snapToGrid w:val="0"/>
        <w:spacing w:line="360" w:lineRule="auto"/>
        <w:rPr>
          <w:rFonts w:hint="eastAsia" w:ascii="宋体" w:hAnsi="宋体" w:cs="仿宋"/>
          <w:color w:val="auto"/>
          <w:sz w:val="24"/>
          <w:highlight w:val="none"/>
        </w:rPr>
      </w:pPr>
      <w:r>
        <w:rPr>
          <w:rFonts w:hint="eastAsia" w:ascii="宋体" w:hAnsi="宋体" w:cs="仿宋"/>
          <w:color w:val="auto"/>
          <w:sz w:val="24"/>
          <w:highlight w:val="none"/>
        </w:rPr>
        <w:t>联系人：</w:t>
      </w:r>
      <w:r>
        <w:rPr>
          <w:rFonts w:hint="eastAsia" w:ascii="宋体" w:hAnsi="宋体" w:cs="仿宋"/>
          <w:color w:val="auto"/>
          <w:sz w:val="24"/>
          <w:highlight w:val="none"/>
          <w:u w:val="dotted"/>
        </w:rPr>
        <w:t xml:space="preserve">                      </w:t>
      </w:r>
      <w:r>
        <w:rPr>
          <w:rFonts w:hint="eastAsia" w:ascii="宋体" w:hAnsi="宋体" w:cs="仿宋"/>
          <w:color w:val="auto"/>
          <w:sz w:val="24"/>
          <w:highlight w:val="none"/>
        </w:rPr>
        <w:t>联系电话：</w:t>
      </w:r>
      <w:r>
        <w:rPr>
          <w:rFonts w:hint="eastAsia" w:ascii="宋体" w:hAnsi="宋体" w:cs="仿宋"/>
          <w:color w:val="auto"/>
          <w:sz w:val="24"/>
          <w:highlight w:val="none"/>
          <w:u w:val="dotted"/>
        </w:rPr>
        <w:t xml:space="preserve">                              </w:t>
      </w:r>
    </w:p>
    <w:p w14:paraId="2D7E208A">
      <w:pPr>
        <w:adjustRightInd w:val="0"/>
        <w:snapToGrid w:val="0"/>
        <w:spacing w:line="360" w:lineRule="auto"/>
        <w:rPr>
          <w:rFonts w:hint="eastAsia" w:ascii="宋体" w:hAnsi="宋体" w:cs="仿宋"/>
          <w:color w:val="auto"/>
          <w:sz w:val="24"/>
          <w:highlight w:val="none"/>
          <w:u w:val="dotted"/>
        </w:rPr>
      </w:pPr>
      <w:r>
        <w:rPr>
          <w:rFonts w:hint="eastAsia" w:ascii="宋体" w:hAnsi="宋体" w:cs="仿宋"/>
          <w:color w:val="auto"/>
          <w:sz w:val="24"/>
          <w:highlight w:val="none"/>
        </w:rPr>
        <w:t>授权代表：</w:t>
      </w:r>
      <w:r>
        <w:rPr>
          <w:rFonts w:hint="eastAsia" w:ascii="宋体" w:hAnsi="宋体" w:cs="仿宋"/>
          <w:color w:val="auto"/>
          <w:sz w:val="24"/>
          <w:highlight w:val="none"/>
          <w:u w:val="dotted"/>
        </w:rPr>
        <w:t xml:space="preserve">                                          </w:t>
      </w:r>
    </w:p>
    <w:p w14:paraId="5AB324F9">
      <w:pPr>
        <w:adjustRightInd w:val="0"/>
        <w:snapToGrid w:val="0"/>
        <w:spacing w:line="360" w:lineRule="auto"/>
        <w:rPr>
          <w:rFonts w:hint="eastAsia" w:ascii="宋体" w:hAnsi="宋体" w:cs="仿宋"/>
          <w:color w:val="auto"/>
          <w:sz w:val="24"/>
          <w:highlight w:val="none"/>
        </w:rPr>
      </w:pPr>
      <w:r>
        <w:rPr>
          <w:rFonts w:hint="eastAsia" w:ascii="宋体" w:hAnsi="宋体" w:cs="仿宋"/>
          <w:color w:val="auto"/>
          <w:sz w:val="24"/>
          <w:highlight w:val="none"/>
        </w:rPr>
        <w:t>联系电话：</w:t>
      </w:r>
      <w:r>
        <w:rPr>
          <w:rFonts w:hint="eastAsia" w:ascii="宋体" w:hAnsi="宋体" w:cs="仿宋"/>
          <w:color w:val="auto"/>
          <w:sz w:val="24"/>
          <w:highlight w:val="none"/>
          <w:u w:val="dotted"/>
        </w:rPr>
        <w:t xml:space="preserve">                                           </w:t>
      </w:r>
      <w:r>
        <w:rPr>
          <w:rFonts w:ascii="宋体" w:hAnsi="宋体" w:cs="仿宋"/>
          <w:color w:val="auto"/>
          <w:sz w:val="24"/>
          <w:highlight w:val="none"/>
        </w:rPr>
        <w:t xml:space="preserve"> </w:t>
      </w:r>
    </w:p>
    <w:p w14:paraId="259E524E">
      <w:pPr>
        <w:adjustRightInd w:val="0"/>
        <w:snapToGrid w:val="0"/>
        <w:spacing w:line="360" w:lineRule="auto"/>
        <w:rPr>
          <w:rFonts w:hint="eastAsia" w:ascii="宋体" w:hAnsi="宋体" w:cs="仿宋"/>
          <w:color w:val="auto"/>
          <w:sz w:val="24"/>
          <w:highlight w:val="none"/>
        </w:rPr>
      </w:pPr>
      <w:r>
        <w:rPr>
          <w:rFonts w:hint="eastAsia" w:ascii="宋体" w:hAnsi="宋体" w:cs="仿宋"/>
          <w:color w:val="auto"/>
          <w:sz w:val="24"/>
          <w:highlight w:val="none"/>
        </w:rPr>
        <w:t>地址：</w:t>
      </w:r>
      <w:r>
        <w:rPr>
          <w:rFonts w:ascii="宋体" w:hAnsi="宋体" w:cs="仿宋"/>
          <w:color w:val="auto"/>
          <w:sz w:val="24"/>
          <w:highlight w:val="none"/>
        </w:rPr>
        <w:t xml:space="preserve"> </w:t>
      </w:r>
      <w:r>
        <w:rPr>
          <w:rFonts w:hint="eastAsia" w:ascii="宋体" w:hAnsi="宋体" w:cs="仿宋"/>
          <w:color w:val="auto"/>
          <w:sz w:val="24"/>
          <w:highlight w:val="none"/>
          <w:u w:val="dotted"/>
        </w:rPr>
        <w:t xml:space="preserve">                        </w:t>
      </w:r>
      <w:r>
        <w:rPr>
          <w:rFonts w:hint="eastAsia" w:ascii="宋体" w:hAnsi="宋体" w:cs="仿宋"/>
          <w:color w:val="auto"/>
          <w:sz w:val="24"/>
          <w:highlight w:val="none"/>
        </w:rPr>
        <w:t>邮编：</w:t>
      </w:r>
      <w:r>
        <w:rPr>
          <w:rFonts w:hint="eastAsia" w:ascii="宋体" w:hAnsi="宋体" w:cs="仿宋"/>
          <w:color w:val="auto"/>
          <w:sz w:val="24"/>
          <w:highlight w:val="none"/>
          <w:u w:val="dotted"/>
        </w:rPr>
        <w:t xml:space="preserve">                                                </w:t>
      </w:r>
    </w:p>
    <w:p w14:paraId="45C838C0">
      <w:pPr>
        <w:adjustRightInd w:val="0"/>
        <w:snapToGrid w:val="0"/>
        <w:spacing w:line="360" w:lineRule="auto"/>
        <w:rPr>
          <w:rFonts w:hint="eastAsia" w:ascii="宋体" w:hAnsi="宋体" w:cs="仿宋"/>
          <w:bCs/>
          <w:color w:val="auto"/>
          <w:sz w:val="24"/>
          <w:highlight w:val="none"/>
        </w:rPr>
      </w:pPr>
      <w:r>
        <w:rPr>
          <w:rFonts w:hint="eastAsia" w:ascii="宋体" w:hAnsi="宋体" w:cs="仿宋"/>
          <w:bCs/>
          <w:color w:val="auto"/>
          <w:sz w:val="24"/>
          <w:highlight w:val="none"/>
        </w:rPr>
        <w:t>二、质疑项目基本情况</w:t>
      </w:r>
    </w:p>
    <w:p w14:paraId="2D36035B">
      <w:pPr>
        <w:adjustRightInd w:val="0"/>
        <w:snapToGrid w:val="0"/>
        <w:spacing w:line="360" w:lineRule="auto"/>
        <w:rPr>
          <w:rFonts w:hint="eastAsia" w:ascii="宋体" w:hAnsi="宋体" w:cs="仿宋"/>
          <w:color w:val="auto"/>
          <w:sz w:val="24"/>
          <w:highlight w:val="none"/>
        </w:rPr>
      </w:pPr>
      <w:r>
        <w:rPr>
          <w:rFonts w:hint="eastAsia" w:ascii="宋体" w:hAnsi="宋体" w:cs="仿宋"/>
          <w:color w:val="auto"/>
          <w:sz w:val="24"/>
          <w:highlight w:val="none"/>
        </w:rPr>
        <w:t>质疑项目的名称：</w:t>
      </w:r>
      <w:r>
        <w:rPr>
          <w:rFonts w:hint="eastAsia" w:ascii="宋体" w:hAnsi="宋体" w:cs="仿宋"/>
          <w:color w:val="auto"/>
          <w:sz w:val="24"/>
          <w:highlight w:val="none"/>
          <w:u w:val="dotted"/>
        </w:rPr>
        <w:t xml:space="preserve">                                      </w:t>
      </w:r>
    </w:p>
    <w:p w14:paraId="0C2B793A">
      <w:pPr>
        <w:adjustRightInd w:val="0"/>
        <w:snapToGrid w:val="0"/>
        <w:spacing w:line="360" w:lineRule="auto"/>
        <w:rPr>
          <w:rFonts w:hint="eastAsia" w:ascii="宋体" w:hAnsi="宋体" w:cs="仿宋"/>
          <w:color w:val="auto"/>
          <w:sz w:val="24"/>
          <w:highlight w:val="none"/>
        </w:rPr>
      </w:pPr>
      <w:r>
        <w:rPr>
          <w:rFonts w:hint="eastAsia" w:ascii="宋体" w:hAnsi="宋体" w:cs="仿宋"/>
          <w:color w:val="auto"/>
          <w:sz w:val="24"/>
          <w:highlight w:val="none"/>
        </w:rPr>
        <w:t>质疑项目的编号：</w:t>
      </w:r>
      <w:r>
        <w:rPr>
          <w:rFonts w:hint="eastAsia" w:ascii="宋体" w:hAnsi="宋体" w:cs="仿宋"/>
          <w:color w:val="auto"/>
          <w:sz w:val="24"/>
          <w:highlight w:val="none"/>
          <w:u w:val="dotted"/>
        </w:rPr>
        <w:t xml:space="preserve">               </w:t>
      </w:r>
      <w:r>
        <w:rPr>
          <w:rFonts w:hint="eastAsia" w:ascii="宋体" w:hAnsi="宋体" w:cs="仿宋"/>
          <w:color w:val="auto"/>
          <w:sz w:val="24"/>
          <w:highlight w:val="none"/>
        </w:rPr>
        <w:t>包号：</w:t>
      </w:r>
      <w:r>
        <w:rPr>
          <w:rFonts w:hint="eastAsia" w:ascii="宋体" w:hAnsi="宋体" w:cs="仿宋"/>
          <w:color w:val="auto"/>
          <w:sz w:val="24"/>
          <w:highlight w:val="none"/>
          <w:u w:val="dotted"/>
        </w:rPr>
        <w:t xml:space="preserve">                 </w:t>
      </w:r>
    </w:p>
    <w:p w14:paraId="7AD65E43">
      <w:pPr>
        <w:adjustRightInd w:val="0"/>
        <w:snapToGrid w:val="0"/>
        <w:spacing w:line="360" w:lineRule="auto"/>
        <w:rPr>
          <w:rFonts w:hint="eastAsia" w:ascii="宋体" w:hAnsi="宋体" w:cs="仿宋"/>
          <w:color w:val="auto"/>
          <w:sz w:val="24"/>
          <w:highlight w:val="none"/>
          <w:u w:val="dotted"/>
        </w:rPr>
      </w:pPr>
      <w:r>
        <w:rPr>
          <w:rFonts w:hint="eastAsia" w:ascii="宋体" w:hAnsi="宋体" w:cs="仿宋"/>
          <w:color w:val="auto"/>
          <w:sz w:val="24"/>
          <w:highlight w:val="none"/>
        </w:rPr>
        <w:t>采购人名称：</w:t>
      </w:r>
      <w:r>
        <w:rPr>
          <w:rFonts w:hint="eastAsia" w:ascii="宋体" w:hAnsi="宋体" w:cs="仿宋"/>
          <w:color w:val="auto"/>
          <w:sz w:val="24"/>
          <w:highlight w:val="none"/>
          <w:u w:val="dotted"/>
        </w:rPr>
        <w:t xml:space="preserve">                                         </w:t>
      </w:r>
    </w:p>
    <w:p w14:paraId="0CEB3963">
      <w:pPr>
        <w:adjustRightInd w:val="0"/>
        <w:snapToGrid w:val="0"/>
        <w:spacing w:line="360" w:lineRule="auto"/>
        <w:rPr>
          <w:rFonts w:hint="eastAsia" w:ascii="宋体" w:hAnsi="宋体" w:cs="仿宋"/>
          <w:color w:val="auto"/>
          <w:sz w:val="24"/>
          <w:highlight w:val="none"/>
        </w:rPr>
      </w:pPr>
      <w:r>
        <w:rPr>
          <w:rFonts w:hint="eastAsia" w:ascii="宋体" w:hAnsi="宋体" w:cs="仿宋"/>
          <w:color w:val="auto"/>
          <w:sz w:val="24"/>
          <w:highlight w:val="none"/>
        </w:rPr>
        <w:t>采购文件获取日期：</w:t>
      </w:r>
      <w:r>
        <w:rPr>
          <w:rFonts w:hint="eastAsia" w:ascii="宋体" w:hAnsi="宋体" w:cs="仿宋"/>
          <w:color w:val="auto"/>
          <w:sz w:val="24"/>
          <w:highlight w:val="none"/>
          <w:u w:val="dotted"/>
        </w:rPr>
        <w:t xml:space="preserve">                                           </w:t>
      </w:r>
    </w:p>
    <w:p w14:paraId="370546FC">
      <w:pPr>
        <w:adjustRightInd w:val="0"/>
        <w:snapToGrid w:val="0"/>
        <w:spacing w:line="360" w:lineRule="auto"/>
        <w:rPr>
          <w:rFonts w:hint="eastAsia" w:ascii="宋体" w:hAnsi="宋体" w:cs="仿宋"/>
          <w:bCs/>
          <w:color w:val="auto"/>
          <w:sz w:val="24"/>
          <w:highlight w:val="none"/>
        </w:rPr>
      </w:pPr>
      <w:r>
        <w:rPr>
          <w:rFonts w:hint="eastAsia" w:ascii="宋体" w:hAnsi="宋体" w:cs="仿宋"/>
          <w:bCs/>
          <w:color w:val="auto"/>
          <w:sz w:val="24"/>
          <w:highlight w:val="none"/>
        </w:rPr>
        <w:t>三、质疑事项具体内容</w:t>
      </w:r>
    </w:p>
    <w:p w14:paraId="6080F7FA">
      <w:pPr>
        <w:adjustRightInd w:val="0"/>
        <w:snapToGrid w:val="0"/>
        <w:spacing w:line="360" w:lineRule="auto"/>
        <w:rPr>
          <w:rFonts w:hint="eastAsia" w:ascii="宋体" w:hAnsi="宋体" w:cs="仿宋"/>
          <w:color w:val="auto"/>
          <w:sz w:val="24"/>
          <w:highlight w:val="none"/>
          <w:u w:val="dotted"/>
        </w:rPr>
      </w:pPr>
      <w:r>
        <w:rPr>
          <w:rFonts w:hint="eastAsia" w:ascii="宋体" w:hAnsi="宋体" w:cs="仿宋"/>
          <w:color w:val="auto"/>
          <w:sz w:val="24"/>
          <w:highlight w:val="none"/>
        </w:rPr>
        <w:t>质疑事项1：</w:t>
      </w:r>
      <w:r>
        <w:rPr>
          <w:rFonts w:hint="eastAsia" w:ascii="宋体" w:hAnsi="宋体" w:cs="仿宋"/>
          <w:color w:val="auto"/>
          <w:sz w:val="24"/>
          <w:highlight w:val="none"/>
          <w:u w:val="dotted"/>
        </w:rPr>
        <w:t xml:space="preserve">                                         </w:t>
      </w:r>
    </w:p>
    <w:p w14:paraId="4EB62822">
      <w:pPr>
        <w:adjustRightInd w:val="0"/>
        <w:snapToGrid w:val="0"/>
        <w:spacing w:line="360" w:lineRule="auto"/>
        <w:rPr>
          <w:rFonts w:hint="eastAsia" w:ascii="宋体" w:hAnsi="宋体" w:cs="仿宋"/>
          <w:color w:val="auto"/>
          <w:sz w:val="24"/>
          <w:highlight w:val="none"/>
          <w:u w:val="dotted"/>
        </w:rPr>
      </w:pPr>
      <w:r>
        <w:rPr>
          <w:rFonts w:hint="eastAsia" w:ascii="宋体" w:hAnsi="宋体" w:cs="仿宋"/>
          <w:color w:val="auto"/>
          <w:sz w:val="24"/>
          <w:highlight w:val="none"/>
        </w:rPr>
        <w:t>事实依据：</w:t>
      </w:r>
      <w:r>
        <w:rPr>
          <w:rFonts w:hint="eastAsia" w:ascii="宋体" w:hAnsi="宋体" w:cs="仿宋"/>
          <w:color w:val="auto"/>
          <w:sz w:val="24"/>
          <w:highlight w:val="none"/>
          <w:u w:val="dotted"/>
        </w:rPr>
        <w:t xml:space="preserve">                                          </w:t>
      </w:r>
    </w:p>
    <w:p w14:paraId="3D2E72EC">
      <w:pPr>
        <w:adjustRightInd w:val="0"/>
        <w:snapToGrid w:val="0"/>
        <w:spacing w:line="360" w:lineRule="auto"/>
        <w:rPr>
          <w:rFonts w:hint="eastAsia" w:ascii="宋体" w:hAnsi="宋体" w:cs="仿宋"/>
          <w:color w:val="auto"/>
          <w:sz w:val="24"/>
          <w:highlight w:val="none"/>
        </w:rPr>
      </w:pPr>
      <w:r>
        <w:rPr>
          <w:rFonts w:hint="eastAsia" w:ascii="宋体" w:hAnsi="宋体" w:cs="仿宋"/>
          <w:color w:val="auto"/>
          <w:sz w:val="24"/>
          <w:highlight w:val="none"/>
          <w:u w:val="dotted"/>
        </w:rPr>
        <w:t xml:space="preserve">                                                       </w:t>
      </w:r>
    </w:p>
    <w:p w14:paraId="39FBA805">
      <w:pPr>
        <w:adjustRightInd w:val="0"/>
        <w:snapToGrid w:val="0"/>
        <w:spacing w:line="360" w:lineRule="auto"/>
        <w:rPr>
          <w:rFonts w:hint="eastAsia" w:ascii="宋体" w:hAnsi="宋体" w:cs="仿宋"/>
          <w:color w:val="auto"/>
          <w:sz w:val="24"/>
          <w:highlight w:val="none"/>
          <w:u w:val="dotted"/>
        </w:rPr>
      </w:pPr>
      <w:r>
        <w:rPr>
          <w:rFonts w:hint="eastAsia" w:ascii="宋体" w:hAnsi="宋体" w:cs="仿宋"/>
          <w:color w:val="auto"/>
          <w:sz w:val="24"/>
          <w:highlight w:val="none"/>
        </w:rPr>
        <w:t>法律依据：</w:t>
      </w:r>
      <w:r>
        <w:rPr>
          <w:rFonts w:hint="eastAsia" w:ascii="宋体" w:hAnsi="宋体" w:cs="仿宋"/>
          <w:color w:val="auto"/>
          <w:sz w:val="24"/>
          <w:highlight w:val="none"/>
          <w:u w:val="dotted"/>
        </w:rPr>
        <w:t xml:space="preserve">                                          </w:t>
      </w:r>
    </w:p>
    <w:p w14:paraId="06698AF5">
      <w:pPr>
        <w:adjustRightInd w:val="0"/>
        <w:snapToGrid w:val="0"/>
        <w:spacing w:line="360" w:lineRule="auto"/>
        <w:rPr>
          <w:rFonts w:hint="eastAsia" w:ascii="宋体" w:hAnsi="宋体" w:cs="仿宋"/>
          <w:color w:val="auto"/>
          <w:sz w:val="24"/>
          <w:highlight w:val="none"/>
          <w:u w:val="dotted"/>
        </w:rPr>
      </w:pPr>
      <w:r>
        <w:rPr>
          <w:rFonts w:hint="eastAsia" w:ascii="宋体" w:hAnsi="宋体" w:cs="仿宋"/>
          <w:color w:val="auto"/>
          <w:sz w:val="24"/>
          <w:highlight w:val="none"/>
          <w:u w:val="dotted"/>
        </w:rPr>
        <w:t xml:space="preserve">                                                     </w:t>
      </w:r>
    </w:p>
    <w:p w14:paraId="1A0482E4">
      <w:pPr>
        <w:adjustRightInd w:val="0"/>
        <w:snapToGrid w:val="0"/>
        <w:spacing w:line="360" w:lineRule="auto"/>
        <w:rPr>
          <w:rFonts w:hint="eastAsia" w:ascii="宋体" w:hAnsi="宋体" w:cs="仿宋"/>
          <w:color w:val="auto"/>
          <w:sz w:val="24"/>
          <w:highlight w:val="none"/>
          <w:u w:val="dotted"/>
        </w:rPr>
      </w:pPr>
      <w:r>
        <w:rPr>
          <w:rFonts w:hint="eastAsia" w:ascii="宋体" w:hAnsi="宋体" w:cs="仿宋"/>
          <w:color w:val="auto"/>
          <w:sz w:val="24"/>
          <w:highlight w:val="none"/>
        </w:rPr>
        <w:t>质疑事项2</w:t>
      </w:r>
    </w:p>
    <w:p w14:paraId="3A1E2CE9">
      <w:pPr>
        <w:adjustRightInd w:val="0"/>
        <w:snapToGrid w:val="0"/>
        <w:spacing w:line="360" w:lineRule="auto"/>
        <w:rPr>
          <w:rFonts w:hint="eastAsia" w:ascii="宋体" w:hAnsi="宋体" w:cs="仿宋"/>
          <w:color w:val="auto"/>
          <w:sz w:val="24"/>
          <w:highlight w:val="none"/>
        </w:rPr>
      </w:pPr>
      <w:r>
        <w:rPr>
          <w:rFonts w:hint="eastAsia" w:ascii="宋体" w:hAnsi="宋体" w:cs="仿宋"/>
          <w:color w:val="auto"/>
          <w:sz w:val="24"/>
          <w:highlight w:val="none"/>
        </w:rPr>
        <w:t>……</w:t>
      </w:r>
    </w:p>
    <w:p w14:paraId="32ADB672">
      <w:pPr>
        <w:adjustRightInd w:val="0"/>
        <w:snapToGrid w:val="0"/>
        <w:spacing w:line="360" w:lineRule="auto"/>
        <w:rPr>
          <w:rFonts w:hint="eastAsia" w:ascii="宋体" w:hAnsi="宋体" w:cs="仿宋"/>
          <w:bCs/>
          <w:color w:val="auto"/>
          <w:sz w:val="24"/>
          <w:highlight w:val="none"/>
        </w:rPr>
      </w:pPr>
      <w:r>
        <w:rPr>
          <w:rFonts w:hint="eastAsia" w:ascii="宋体" w:hAnsi="宋体" w:cs="仿宋"/>
          <w:bCs/>
          <w:color w:val="auto"/>
          <w:sz w:val="24"/>
          <w:highlight w:val="none"/>
        </w:rPr>
        <w:t>四、与质疑事项相关的质疑请求</w:t>
      </w:r>
    </w:p>
    <w:p w14:paraId="4D3CF80C">
      <w:pPr>
        <w:adjustRightInd w:val="0"/>
        <w:snapToGrid w:val="0"/>
        <w:spacing w:line="360" w:lineRule="auto"/>
        <w:rPr>
          <w:rFonts w:hint="eastAsia" w:ascii="宋体" w:hAnsi="宋体" w:cs="仿宋"/>
          <w:color w:val="auto"/>
          <w:sz w:val="24"/>
          <w:highlight w:val="none"/>
          <w:u w:val="dotted"/>
        </w:rPr>
      </w:pPr>
      <w:r>
        <w:rPr>
          <w:rFonts w:hint="eastAsia" w:ascii="宋体" w:hAnsi="宋体" w:cs="仿宋"/>
          <w:color w:val="auto"/>
          <w:sz w:val="24"/>
          <w:highlight w:val="none"/>
        </w:rPr>
        <w:t>请求：</w:t>
      </w:r>
      <w:r>
        <w:rPr>
          <w:rFonts w:hint="eastAsia" w:ascii="宋体" w:hAnsi="宋体" w:cs="仿宋"/>
          <w:color w:val="auto"/>
          <w:sz w:val="24"/>
          <w:highlight w:val="none"/>
          <w:u w:val="dotted"/>
        </w:rPr>
        <w:t xml:space="preserve">                                               </w:t>
      </w:r>
    </w:p>
    <w:p w14:paraId="3704CCE3">
      <w:pPr>
        <w:rPr>
          <w:rFonts w:hint="eastAsia" w:ascii="宋体" w:hAnsi="宋体"/>
          <w:color w:val="auto"/>
          <w:sz w:val="24"/>
          <w:highlight w:val="none"/>
        </w:rPr>
      </w:pPr>
      <w:r>
        <w:rPr>
          <w:rFonts w:hint="eastAsia" w:ascii="宋体" w:hAnsi="宋体"/>
          <w:color w:val="auto"/>
          <w:sz w:val="24"/>
          <w:highlight w:val="none"/>
        </w:rPr>
        <w:t xml:space="preserve">签字（签章）：                   公章：                      </w:t>
      </w:r>
    </w:p>
    <w:p w14:paraId="4E34E2DA">
      <w:pPr>
        <w:rPr>
          <w:rFonts w:hint="eastAsia" w:ascii="宋体" w:hAnsi="宋体"/>
          <w:color w:val="auto"/>
          <w:sz w:val="24"/>
          <w:highlight w:val="none"/>
        </w:rPr>
      </w:pPr>
      <w:r>
        <w:rPr>
          <w:rFonts w:hint="eastAsia" w:ascii="宋体" w:hAnsi="宋体"/>
          <w:color w:val="auto"/>
          <w:sz w:val="24"/>
          <w:highlight w:val="none"/>
        </w:rPr>
        <w:t xml:space="preserve">日期：    </w:t>
      </w:r>
    </w:p>
    <w:p w14:paraId="5DEF9C7C">
      <w:pPr>
        <w:adjustRightInd w:val="0"/>
        <w:snapToGrid w:val="0"/>
        <w:spacing w:line="360" w:lineRule="auto"/>
        <w:rPr>
          <w:rFonts w:hint="eastAsia" w:ascii="宋体" w:hAnsi="宋体" w:cs="仿宋"/>
          <w:color w:val="auto"/>
          <w:sz w:val="24"/>
          <w:highlight w:val="none"/>
        </w:rPr>
      </w:pPr>
    </w:p>
    <w:p w14:paraId="4C533257">
      <w:pPr>
        <w:adjustRightInd w:val="0"/>
        <w:snapToGrid w:val="0"/>
        <w:spacing w:line="360" w:lineRule="auto"/>
        <w:rPr>
          <w:rFonts w:hint="eastAsia" w:ascii="宋体" w:hAnsi="宋体" w:cs="仿宋"/>
          <w:color w:val="auto"/>
          <w:sz w:val="32"/>
          <w:szCs w:val="32"/>
          <w:highlight w:val="none"/>
        </w:rPr>
      </w:pPr>
    </w:p>
    <w:p w14:paraId="2EBEFFA9">
      <w:pPr>
        <w:jc w:val="center"/>
        <w:rPr>
          <w:rFonts w:hint="eastAsia" w:ascii="宋体" w:hAnsi="宋体" w:cs="仿宋"/>
          <w:b/>
          <w:bCs/>
          <w:color w:val="auto"/>
          <w:sz w:val="32"/>
          <w:szCs w:val="32"/>
          <w:highlight w:val="none"/>
        </w:rPr>
      </w:pPr>
    </w:p>
    <w:p w14:paraId="7062B7E1">
      <w:pPr>
        <w:rPr>
          <w:rFonts w:hint="eastAsia" w:ascii="宋体" w:hAnsi="宋体"/>
          <w:color w:val="auto"/>
          <w:sz w:val="24"/>
          <w:szCs w:val="32"/>
          <w:highlight w:val="none"/>
        </w:rPr>
      </w:pPr>
      <w:r>
        <w:rPr>
          <w:rFonts w:hint="eastAsia" w:ascii="宋体" w:hAnsi="宋体"/>
          <w:color w:val="auto"/>
          <w:sz w:val="24"/>
          <w:szCs w:val="32"/>
          <w:highlight w:val="none"/>
        </w:rPr>
        <w:t>质疑函制作说明：</w:t>
      </w:r>
    </w:p>
    <w:p w14:paraId="16352981">
      <w:pPr>
        <w:widowControl/>
        <w:spacing w:line="500" w:lineRule="exact"/>
        <w:ind w:firstLine="480" w:firstLineChars="200"/>
        <w:jc w:val="left"/>
        <w:rPr>
          <w:rFonts w:hint="eastAsia" w:ascii="宋体" w:hAnsi="宋体"/>
          <w:color w:val="auto"/>
          <w:sz w:val="24"/>
          <w:szCs w:val="32"/>
          <w:highlight w:val="none"/>
        </w:rPr>
      </w:pPr>
      <w:r>
        <w:rPr>
          <w:rFonts w:hint="eastAsia" w:ascii="宋体" w:hAnsi="宋体"/>
          <w:color w:val="auto"/>
          <w:sz w:val="24"/>
          <w:szCs w:val="32"/>
          <w:highlight w:val="none"/>
        </w:rPr>
        <w:t>1.投标人提出质疑时，应提交质疑函和必要的证明材料。</w:t>
      </w:r>
    </w:p>
    <w:p w14:paraId="1085E999">
      <w:pPr>
        <w:widowControl/>
        <w:spacing w:line="500" w:lineRule="exact"/>
        <w:ind w:firstLine="480" w:firstLineChars="200"/>
        <w:jc w:val="left"/>
        <w:rPr>
          <w:rFonts w:hint="eastAsia" w:ascii="宋体" w:hAnsi="宋体"/>
          <w:color w:val="auto"/>
          <w:sz w:val="24"/>
          <w:szCs w:val="32"/>
          <w:highlight w:val="none"/>
        </w:rPr>
      </w:pPr>
      <w:r>
        <w:rPr>
          <w:rFonts w:hint="eastAsia" w:ascii="宋体" w:hAnsi="宋体"/>
          <w:color w:val="auto"/>
          <w:sz w:val="24"/>
          <w:szCs w:val="32"/>
          <w:highlight w:val="none"/>
        </w:rPr>
        <w:t>2.质疑投标人若委托代理人进行质疑的，质疑函应按要求列明“授权代表”的有关内容，并在附件中提交由质疑</w:t>
      </w:r>
      <w:r>
        <w:rPr>
          <w:rFonts w:hint="eastAsia" w:ascii="宋体" w:hAnsi="宋体" w:cs="宋体"/>
          <w:color w:val="auto"/>
          <w:kern w:val="0"/>
          <w:sz w:val="24"/>
          <w:szCs w:val="32"/>
          <w:highlight w:val="none"/>
        </w:rPr>
        <w:t>投标人签署的授权委托书。授权委托书应载明代理人的姓名或者名称、代理事项、具体权限、期限和相关事项。</w:t>
      </w:r>
    </w:p>
    <w:p w14:paraId="7C5F3ABE">
      <w:pPr>
        <w:widowControl/>
        <w:spacing w:line="500" w:lineRule="exact"/>
        <w:ind w:firstLine="480" w:firstLineChars="200"/>
        <w:jc w:val="left"/>
        <w:rPr>
          <w:rFonts w:hint="eastAsia" w:ascii="宋体" w:hAnsi="宋体"/>
          <w:color w:val="auto"/>
          <w:sz w:val="24"/>
          <w:szCs w:val="32"/>
          <w:highlight w:val="none"/>
        </w:rPr>
      </w:pPr>
      <w:r>
        <w:rPr>
          <w:rFonts w:hint="eastAsia" w:ascii="宋体" w:hAnsi="宋体"/>
          <w:color w:val="auto"/>
          <w:sz w:val="24"/>
          <w:szCs w:val="32"/>
          <w:highlight w:val="none"/>
        </w:rPr>
        <w:t>3.质疑投标人若对项目的某一分包进行质疑，质疑函中应列明具体分包号。</w:t>
      </w:r>
    </w:p>
    <w:p w14:paraId="6C5D72A6">
      <w:pPr>
        <w:widowControl/>
        <w:spacing w:line="500" w:lineRule="exact"/>
        <w:ind w:firstLine="480" w:firstLineChars="200"/>
        <w:jc w:val="left"/>
        <w:rPr>
          <w:rFonts w:hint="eastAsia" w:ascii="宋体" w:hAnsi="宋体"/>
          <w:color w:val="auto"/>
          <w:sz w:val="24"/>
          <w:szCs w:val="32"/>
          <w:highlight w:val="none"/>
        </w:rPr>
      </w:pPr>
      <w:r>
        <w:rPr>
          <w:rFonts w:hint="eastAsia" w:ascii="宋体" w:hAnsi="宋体"/>
          <w:color w:val="auto"/>
          <w:sz w:val="24"/>
          <w:szCs w:val="32"/>
          <w:highlight w:val="none"/>
        </w:rPr>
        <w:t>4.质疑函的质疑事项应具体、明确，并有必要的事实依据和法律依据。</w:t>
      </w:r>
    </w:p>
    <w:p w14:paraId="58042C3C">
      <w:pPr>
        <w:widowControl/>
        <w:spacing w:line="500" w:lineRule="exact"/>
        <w:ind w:firstLine="480" w:firstLineChars="200"/>
        <w:jc w:val="left"/>
        <w:rPr>
          <w:rFonts w:hint="eastAsia" w:ascii="宋体" w:hAnsi="宋体"/>
          <w:color w:val="auto"/>
          <w:sz w:val="24"/>
          <w:szCs w:val="32"/>
          <w:highlight w:val="none"/>
        </w:rPr>
      </w:pPr>
      <w:r>
        <w:rPr>
          <w:rFonts w:hint="eastAsia" w:ascii="宋体" w:hAnsi="宋体"/>
          <w:color w:val="auto"/>
          <w:sz w:val="24"/>
          <w:szCs w:val="32"/>
          <w:highlight w:val="none"/>
        </w:rPr>
        <w:t>5.质疑函的质疑请求应与质疑事项相关。</w:t>
      </w:r>
    </w:p>
    <w:p w14:paraId="3321E339">
      <w:pPr>
        <w:pStyle w:val="27"/>
        <w:spacing w:line="500" w:lineRule="exact"/>
        <w:ind w:firstLine="480" w:firstLineChars="200"/>
        <w:rPr>
          <w:rFonts w:hint="eastAsia" w:hAnsi="宋体"/>
          <w:color w:val="auto"/>
          <w:sz w:val="24"/>
          <w:szCs w:val="32"/>
          <w:highlight w:val="none"/>
        </w:rPr>
      </w:pPr>
      <w:r>
        <w:rPr>
          <w:rFonts w:hint="eastAsia" w:hAnsi="宋体"/>
          <w:color w:val="auto"/>
          <w:sz w:val="24"/>
          <w:szCs w:val="32"/>
          <w:highlight w:val="none"/>
        </w:rPr>
        <w:t>6.质疑投标人为自然人的，质疑函应由本人签字；质疑投标人为法人或者其他组织的，质疑函应由法定代表人、主要负责人，或者其授权代表签字或者盖章，并加盖公章。</w:t>
      </w:r>
    </w:p>
    <w:p w14:paraId="3616CAFD">
      <w:pPr>
        <w:spacing w:line="380" w:lineRule="exact"/>
        <w:rPr>
          <w:rFonts w:hint="eastAsia" w:ascii="宋体" w:hAnsi="宋体"/>
          <w:color w:val="auto"/>
          <w:sz w:val="32"/>
          <w:szCs w:val="32"/>
          <w:highlight w:val="none"/>
        </w:rPr>
      </w:pPr>
    </w:p>
    <w:p w14:paraId="6250BD73">
      <w:pPr>
        <w:pStyle w:val="2"/>
        <w:spacing w:before="480"/>
        <w:rPr>
          <w:rFonts w:hint="eastAsia" w:ascii="宋体" w:hAnsi="宋体"/>
          <w:color w:val="auto"/>
          <w:highlight w:val="none"/>
          <w:lang w:val="en-US"/>
        </w:rPr>
      </w:pPr>
    </w:p>
    <w:sectPr>
      <w:footerReference r:id="rId3" w:type="default"/>
      <w:pgSz w:w="11906" w:h="16838"/>
      <w:pgMar w:top="1418" w:right="1028" w:bottom="1418" w:left="1418" w:header="454" w:footer="34"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F"/>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ootlight MT Light">
    <w:panose1 w:val="0204060206030A020304"/>
    <w:charset w:val="00"/>
    <w:family w:val="roman"/>
    <w:pitch w:val="default"/>
    <w:sig w:usb0="00000003" w:usb1="00000000" w:usb2="00000000" w:usb3="00000000" w:csb0="20000001" w:csb1="00000000"/>
  </w:font>
  <w:font w:name="等线 Light">
    <w:altName w:val="宋体"/>
    <w:panose1 w:val="02010600030101010101"/>
    <w:charset w:val="86"/>
    <w:family w:val="auto"/>
    <w:pitch w:val="default"/>
    <w:sig w:usb0="00000000" w:usb1="00000000" w:usb2="00000016" w:usb3="00000000" w:csb0="0004000F" w:csb1="00000000"/>
  </w:font>
  <w:font w:name="Consolas">
    <w:panose1 w:val="020B0609020204030204"/>
    <w:charset w:val="00"/>
    <w:family w:val="modern"/>
    <w:pitch w:val="default"/>
    <w:sig w:usb0="E10002FF" w:usb1="4000FCFF" w:usb2="00000009" w:usb3="00000000" w:csb0="6000019F" w:csb1="DFD70000"/>
  </w:font>
  <w:font w:name="Microsoft YaHei UI">
    <w:altName w:val="宋体"/>
    <w:panose1 w:val="020B0503020204020204"/>
    <w:charset w:val="86"/>
    <w:family w:val="swiss"/>
    <w:pitch w:val="default"/>
    <w:sig w:usb0="00000000" w:usb1="0000000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font-weight : 700">
    <w:altName w:val="yyb"/>
    <w:panose1 w:val="00000000000000000000"/>
    <w:charset w:val="00"/>
    <w:family w:val="auto"/>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幼圆">
    <w:panose1 w:val="0201050906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Helvetica Neue">
    <w:altName w:val="Times New Roman"/>
    <w:panose1 w:val="02000503000000020004"/>
    <w:charset w:val="00"/>
    <w:family w:val="auto"/>
    <w:pitch w:val="default"/>
    <w:sig w:usb0="00000000" w:usb1="00000000" w:usb2="00000010" w:usb3="00000000" w:csb0="00000000" w:csb1="00000000"/>
  </w:font>
  <w:font w:name="Arial Unicode MS">
    <w:panose1 w:val="020B0604020202020204"/>
    <w:charset w:val="86"/>
    <w:family w:val="roman"/>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文鼎中隶简">
    <w:altName w:val="宋体"/>
    <w:panose1 w:val="02010609010101010101"/>
    <w:charset w:val="00"/>
    <w:family w:val="modern"/>
    <w:pitch w:val="default"/>
    <w:sig w:usb0="00000000" w:usb1="00000000" w:usb2="00000000" w:usb3="00000000" w:csb0="00040001" w:csb1="00000000"/>
  </w:font>
  <w:font w:name="方正小标宋简体">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73E64">
    <w:pPr>
      <w:pStyle w:val="34"/>
      <w:jc w:val="center"/>
    </w:pPr>
    <w:r>
      <w:fldChar w:fldCharType="begin"/>
    </w:r>
    <w:r>
      <w:rPr>
        <w:rStyle w:val="55"/>
      </w:rPr>
      <w:instrText xml:space="preserve"> PAGE </w:instrText>
    </w:r>
    <w:r>
      <w:fldChar w:fldCharType="separate"/>
    </w:r>
    <w:r>
      <w:rPr>
        <w:rStyle w:val="55"/>
      </w:rPr>
      <w:t>28</w:t>
    </w:r>
    <w:r>
      <w:fldChar w:fldCharType="end"/>
    </w:r>
  </w:p>
  <w:p w14:paraId="13217C3D"/>
  <w:p w14:paraId="67D7ABB6"/>
  <w:p w14:paraId="431B610B"/>
  <w:p w14:paraId="43231706"/>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6287CE"/>
    <w:multiLevelType w:val="singleLevel"/>
    <w:tmpl w:val="FE6287CE"/>
    <w:lvl w:ilvl="0" w:tentative="0">
      <w:start w:val="4"/>
      <w:numFmt w:val="decimal"/>
      <w:suff w:val="nothing"/>
      <w:lvlText w:val="%1、"/>
      <w:lvlJc w:val="left"/>
    </w:lvl>
  </w:abstractNum>
  <w:abstractNum w:abstractNumId="1">
    <w:nsid w:val="00000001"/>
    <w:multiLevelType w:val="multilevel"/>
    <w:tmpl w:val="00000001"/>
    <w:lvl w:ilvl="0" w:tentative="0">
      <w:start w:val="1"/>
      <w:numFmt w:val="bullet"/>
      <w:pStyle w:val="332"/>
      <w:lvlText w:val=""/>
      <w:lvlJc w:val="left"/>
      <w:pPr>
        <w:tabs>
          <w:tab w:val="left" w:pos="284"/>
        </w:tabs>
        <w:ind w:left="284" w:hanging="284"/>
      </w:pPr>
      <w:rPr>
        <w:rFonts w:hint="default" w:ascii="Wingdings" w:hAnsi="Wingdings" w:cs="Wingdings"/>
        <w:color w:val="auto"/>
        <w:sz w:val="13"/>
        <w:szCs w:val="13"/>
        <w:u w:val="none"/>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00000002"/>
    <w:multiLevelType w:val="multilevel"/>
    <w:tmpl w:val="00000002"/>
    <w:lvl w:ilvl="0" w:tentative="0">
      <w:start w:val="1"/>
      <w:numFmt w:val="japaneseCounting"/>
      <w:lvlText w:val="第%1条"/>
      <w:lvlJc w:val="left"/>
      <w:pPr>
        <w:tabs>
          <w:tab w:val="left" w:pos="1253"/>
        </w:tabs>
        <w:ind w:left="1253" w:hanging="840"/>
      </w:pPr>
      <w:rPr>
        <w:rFonts w:hint="default"/>
      </w:rPr>
    </w:lvl>
    <w:lvl w:ilvl="1" w:tentative="0">
      <w:start w:val="1"/>
      <w:numFmt w:val="lowerLetter"/>
      <w:lvlText w:val="%2)"/>
      <w:lvlJc w:val="left"/>
      <w:pPr>
        <w:tabs>
          <w:tab w:val="left" w:pos="1253"/>
        </w:tabs>
        <w:ind w:left="1253" w:hanging="420"/>
      </w:pPr>
    </w:lvl>
    <w:lvl w:ilvl="2" w:tentative="0">
      <w:start w:val="1"/>
      <w:numFmt w:val="lowerRoman"/>
      <w:lvlText w:val="%3."/>
      <w:lvlJc w:val="right"/>
      <w:pPr>
        <w:tabs>
          <w:tab w:val="left" w:pos="1673"/>
        </w:tabs>
        <w:ind w:left="1673" w:hanging="420"/>
      </w:pPr>
    </w:lvl>
    <w:lvl w:ilvl="3" w:tentative="0">
      <w:start w:val="1"/>
      <w:numFmt w:val="decimal"/>
      <w:lvlText w:val="%4."/>
      <w:lvlJc w:val="left"/>
      <w:pPr>
        <w:tabs>
          <w:tab w:val="left" w:pos="2093"/>
        </w:tabs>
        <w:ind w:left="2093" w:hanging="420"/>
      </w:pPr>
    </w:lvl>
    <w:lvl w:ilvl="4" w:tentative="0">
      <w:start w:val="1"/>
      <w:numFmt w:val="lowerLetter"/>
      <w:lvlText w:val="%5)"/>
      <w:lvlJc w:val="left"/>
      <w:pPr>
        <w:tabs>
          <w:tab w:val="left" w:pos="2513"/>
        </w:tabs>
        <w:ind w:left="2513" w:hanging="420"/>
      </w:pPr>
    </w:lvl>
    <w:lvl w:ilvl="5" w:tentative="0">
      <w:start w:val="1"/>
      <w:numFmt w:val="lowerRoman"/>
      <w:lvlText w:val="%6."/>
      <w:lvlJc w:val="right"/>
      <w:pPr>
        <w:tabs>
          <w:tab w:val="left" w:pos="2933"/>
        </w:tabs>
        <w:ind w:left="2933" w:hanging="420"/>
      </w:pPr>
    </w:lvl>
    <w:lvl w:ilvl="6" w:tentative="0">
      <w:start w:val="1"/>
      <w:numFmt w:val="decimal"/>
      <w:lvlText w:val="%7."/>
      <w:lvlJc w:val="left"/>
      <w:pPr>
        <w:tabs>
          <w:tab w:val="left" w:pos="3353"/>
        </w:tabs>
        <w:ind w:left="3353" w:hanging="420"/>
      </w:pPr>
    </w:lvl>
    <w:lvl w:ilvl="7" w:tentative="0">
      <w:start w:val="1"/>
      <w:numFmt w:val="lowerLetter"/>
      <w:lvlText w:val="%8)"/>
      <w:lvlJc w:val="left"/>
      <w:pPr>
        <w:tabs>
          <w:tab w:val="left" w:pos="3773"/>
        </w:tabs>
        <w:ind w:left="3773" w:hanging="420"/>
      </w:pPr>
    </w:lvl>
    <w:lvl w:ilvl="8" w:tentative="0">
      <w:start w:val="1"/>
      <w:numFmt w:val="lowerRoman"/>
      <w:lvlText w:val="%9."/>
      <w:lvlJc w:val="right"/>
      <w:pPr>
        <w:tabs>
          <w:tab w:val="left" w:pos="4193"/>
        </w:tabs>
        <w:ind w:left="4193"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iMWE5MzEwMTU3NmRiNmVmMmNhNWQ1Mzg4NDZhNzIifQ=="/>
  </w:docVars>
  <w:rsids>
    <w:rsidRoot w:val="00172A27"/>
    <w:rsid w:val="00003EC6"/>
    <w:rsid w:val="0000716F"/>
    <w:rsid w:val="00010657"/>
    <w:rsid w:val="00010B4C"/>
    <w:rsid w:val="000126A6"/>
    <w:rsid w:val="00012712"/>
    <w:rsid w:val="00012866"/>
    <w:rsid w:val="0001303E"/>
    <w:rsid w:val="00014C4B"/>
    <w:rsid w:val="00015EFA"/>
    <w:rsid w:val="000163C7"/>
    <w:rsid w:val="00016424"/>
    <w:rsid w:val="00017EB6"/>
    <w:rsid w:val="00022B06"/>
    <w:rsid w:val="000235C0"/>
    <w:rsid w:val="00024B10"/>
    <w:rsid w:val="0002568D"/>
    <w:rsid w:val="00030D94"/>
    <w:rsid w:val="000317FE"/>
    <w:rsid w:val="00031AD9"/>
    <w:rsid w:val="00032963"/>
    <w:rsid w:val="00032D25"/>
    <w:rsid w:val="00033616"/>
    <w:rsid w:val="00034C6C"/>
    <w:rsid w:val="0003792F"/>
    <w:rsid w:val="00040A48"/>
    <w:rsid w:val="00041D7C"/>
    <w:rsid w:val="00042CEA"/>
    <w:rsid w:val="00043788"/>
    <w:rsid w:val="00043FB7"/>
    <w:rsid w:val="00044AA4"/>
    <w:rsid w:val="000467AE"/>
    <w:rsid w:val="000479DF"/>
    <w:rsid w:val="00047B6A"/>
    <w:rsid w:val="00050C5D"/>
    <w:rsid w:val="0005159F"/>
    <w:rsid w:val="000554B9"/>
    <w:rsid w:val="000557BC"/>
    <w:rsid w:val="000561DE"/>
    <w:rsid w:val="0006185E"/>
    <w:rsid w:val="000618A2"/>
    <w:rsid w:val="00061B9D"/>
    <w:rsid w:val="00063E5E"/>
    <w:rsid w:val="00063EC6"/>
    <w:rsid w:val="00064292"/>
    <w:rsid w:val="0006574E"/>
    <w:rsid w:val="00065BB8"/>
    <w:rsid w:val="000664CB"/>
    <w:rsid w:val="00066C33"/>
    <w:rsid w:val="00071E7C"/>
    <w:rsid w:val="0007262A"/>
    <w:rsid w:val="0007311B"/>
    <w:rsid w:val="0007315F"/>
    <w:rsid w:val="000766A2"/>
    <w:rsid w:val="0007776D"/>
    <w:rsid w:val="00077FA0"/>
    <w:rsid w:val="0008028B"/>
    <w:rsid w:val="00081EF1"/>
    <w:rsid w:val="000838E4"/>
    <w:rsid w:val="00083921"/>
    <w:rsid w:val="00086D03"/>
    <w:rsid w:val="00087406"/>
    <w:rsid w:val="00087576"/>
    <w:rsid w:val="00090460"/>
    <w:rsid w:val="000933DC"/>
    <w:rsid w:val="00093A46"/>
    <w:rsid w:val="0009451D"/>
    <w:rsid w:val="00094783"/>
    <w:rsid w:val="00095850"/>
    <w:rsid w:val="00096E3F"/>
    <w:rsid w:val="00096E43"/>
    <w:rsid w:val="000972F8"/>
    <w:rsid w:val="000A01D0"/>
    <w:rsid w:val="000A1A51"/>
    <w:rsid w:val="000A1F80"/>
    <w:rsid w:val="000A2B0A"/>
    <w:rsid w:val="000A345D"/>
    <w:rsid w:val="000A44EC"/>
    <w:rsid w:val="000A5319"/>
    <w:rsid w:val="000A5681"/>
    <w:rsid w:val="000A75EA"/>
    <w:rsid w:val="000B02AE"/>
    <w:rsid w:val="000B11EB"/>
    <w:rsid w:val="000B14FF"/>
    <w:rsid w:val="000B35F5"/>
    <w:rsid w:val="000B3717"/>
    <w:rsid w:val="000B3878"/>
    <w:rsid w:val="000B3BA4"/>
    <w:rsid w:val="000B491B"/>
    <w:rsid w:val="000B5651"/>
    <w:rsid w:val="000B7980"/>
    <w:rsid w:val="000C1EDD"/>
    <w:rsid w:val="000C3E4E"/>
    <w:rsid w:val="000C4A7E"/>
    <w:rsid w:val="000C4DEC"/>
    <w:rsid w:val="000C5BC3"/>
    <w:rsid w:val="000C7288"/>
    <w:rsid w:val="000D00B8"/>
    <w:rsid w:val="000D028C"/>
    <w:rsid w:val="000D07B5"/>
    <w:rsid w:val="000D15E2"/>
    <w:rsid w:val="000D3764"/>
    <w:rsid w:val="000D37DD"/>
    <w:rsid w:val="000D686E"/>
    <w:rsid w:val="000D72E5"/>
    <w:rsid w:val="000D7B64"/>
    <w:rsid w:val="000D7F2D"/>
    <w:rsid w:val="000E02B5"/>
    <w:rsid w:val="000E0E8B"/>
    <w:rsid w:val="000E287D"/>
    <w:rsid w:val="000E333D"/>
    <w:rsid w:val="000E38D0"/>
    <w:rsid w:val="000F0FC3"/>
    <w:rsid w:val="000F34D7"/>
    <w:rsid w:val="000F3F06"/>
    <w:rsid w:val="000F4A13"/>
    <w:rsid w:val="0010115D"/>
    <w:rsid w:val="001016A7"/>
    <w:rsid w:val="001020B0"/>
    <w:rsid w:val="001027B4"/>
    <w:rsid w:val="001037F6"/>
    <w:rsid w:val="00105505"/>
    <w:rsid w:val="00107144"/>
    <w:rsid w:val="0010726E"/>
    <w:rsid w:val="00107645"/>
    <w:rsid w:val="00107B72"/>
    <w:rsid w:val="00110487"/>
    <w:rsid w:val="001112A5"/>
    <w:rsid w:val="00113CAB"/>
    <w:rsid w:val="00113E65"/>
    <w:rsid w:val="0011442D"/>
    <w:rsid w:val="00114759"/>
    <w:rsid w:val="00117A6F"/>
    <w:rsid w:val="00120AC6"/>
    <w:rsid w:val="001236D4"/>
    <w:rsid w:val="00124768"/>
    <w:rsid w:val="00126851"/>
    <w:rsid w:val="0012734A"/>
    <w:rsid w:val="0013234F"/>
    <w:rsid w:val="001335C7"/>
    <w:rsid w:val="00133903"/>
    <w:rsid w:val="00133E52"/>
    <w:rsid w:val="00133FC0"/>
    <w:rsid w:val="00141701"/>
    <w:rsid w:val="00141AAD"/>
    <w:rsid w:val="001438EA"/>
    <w:rsid w:val="00143D88"/>
    <w:rsid w:val="0014544C"/>
    <w:rsid w:val="00145A26"/>
    <w:rsid w:val="00147CFA"/>
    <w:rsid w:val="00150A38"/>
    <w:rsid w:val="00150EED"/>
    <w:rsid w:val="00151457"/>
    <w:rsid w:val="00151D08"/>
    <w:rsid w:val="001530F6"/>
    <w:rsid w:val="0015478D"/>
    <w:rsid w:val="00155464"/>
    <w:rsid w:val="00157030"/>
    <w:rsid w:val="001625C2"/>
    <w:rsid w:val="00164C4E"/>
    <w:rsid w:val="00165D30"/>
    <w:rsid w:val="00166702"/>
    <w:rsid w:val="00167B1D"/>
    <w:rsid w:val="0017026D"/>
    <w:rsid w:val="001709B0"/>
    <w:rsid w:val="00171BC3"/>
    <w:rsid w:val="00171CC5"/>
    <w:rsid w:val="00172A27"/>
    <w:rsid w:val="001736FB"/>
    <w:rsid w:val="001773EA"/>
    <w:rsid w:val="00177D4C"/>
    <w:rsid w:val="00177E5A"/>
    <w:rsid w:val="00180D6E"/>
    <w:rsid w:val="001844C4"/>
    <w:rsid w:val="00185581"/>
    <w:rsid w:val="00186CE2"/>
    <w:rsid w:val="00190268"/>
    <w:rsid w:val="00191402"/>
    <w:rsid w:val="001937A6"/>
    <w:rsid w:val="00194C79"/>
    <w:rsid w:val="00194EDC"/>
    <w:rsid w:val="00195098"/>
    <w:rsid w:val="00195C26"/>
    <w:rsid w:val="00196D45"/>
    <w:rsid w:val="001976DD"/>
    <w:rsid w:val="00197C6E"/>
    <w:rsid w:val="001A26A7"/>
    <w:rsid w:val="001A2E6D"/>
    <w:rsid w:val="001A3091"/>
    <w:rsid w:val="001A393D"/>
    <w:rsid w:val="001A4966"/>
    <w:rsid w:val="001A7DDF"/>
    <w:rsid w:val="001B065E"/>
    <w:rsid w:val="001B2401"/>
    <w:rsid w:val="001B2A38"/>
    <w:rsid w:val="001B2ED1"/>
    <w:rsid w:val="001B4E5D"/>
    <w:rsid w:val="001B599F"/>
    <w:rsid w:val="001B64AD"/>
    <w:rsid w:val="001B6C03"/>
    <w:rsid w:val="001B6E00"/>
    <w:rsid w:val="001B768B"/>
    <w:rsid w:val="001C0D90"/>
    <w:rsid w:val="001C1FBB"/>
    <w:rsid w:val="001C2942"/>
    <w:rsid w:val="001C296A"/>
    <w:rsid w:val="001C5369"/>
    <w:rsid w:val="001C58EC"/>
    <w:rsid w:val="001C75C5"/>
    <w:rsid w:val="001C7F6B"/>
    <w:rsid w:val="001D0437"/>
    <w:rsid w:val="001D1987"/>
    <w:rsid w:val="001D3321"/>
    <w:rsid w:val="001D3424"/>
    <w:rsid w:val="001D5396"/>
    <w:rsid w:val="001D5FC9"/>
    <w:rsid w:val="001D62C0"/>
    <w:rsid w:val="001D6FD8"/>
    <w:rsid w:val="001D7FE3"/>
    <w:rsid w:val="001E1785"/>
    <w:rsid w:val="001E5159"/>
    <w:rsid w:val="001E54C0"/>
    <w:rsid w:val="001E5E63"/>
    <w:rsid w:val="001E7C8D"/>
    <w:rsid w:val="001F0670"/>
    <w:rsid w:val="001F0B33"/>
    <w:rsid w:val="001F164D"/>
    <w:rsid w:val="001F55A1"/>
    <w:rsid w:val="001F6B68"/>
    <w:rsid w:val="001F7519"/>
    <w:rsid w:val="00201174"/>
    <w:rsid w:val="00201186"/>
    <w:rsid w:val="00201CF9"/>
    <w:rsid w:val="00203BB3"/>
    <w:rsid w:val="00205176"/>
    <w:rsid w:val="002066F6"/>
    <w:rsid w:val="00206847"/>
    <w:rsid w:val="00210ACB"/>
    <w:rsid w:val="00212757"/>
    <w:rsid w:val="002134C6"/>
    <w:rsid w:val="00215B1A"/>
    <w:rsid w:val="00215EBA"/>
    <w:rsid w:val="00220908"/>
    <w:rsid w:val="00221B80"/>
    <w:rsid w:val="00222FFC"/>
    <w:rsid w:val="00223F36"/>
    <w:rsid w:val="002249CB"/>
    <w:rsid w:val="00225010"/>
    <w:rsid w:val="002256AA"/>
    <w:rsid w:val="00225743"/>
    <w:rsid w:val="00225BAE"/>
    <w:rsid w:val="00225C65"/>
    <w:rsid w:val="00226007"/>
    <w:rsid w:val="002268EE"/>
    <w:rsid w:val="00226958"/>
    <w:rsid w:val="00227181"/>
    <w:rsid w:val="002279D6"/>
    <w:rsid w:val="00230C58"/>
    <w:rsid w:val="00234EDF"/>
    <w:rsid w:val="00234F5D"/>
    <w:rsid w:val="00235010"/>
    <w:rsid w:val="00235030"/>
    <w:rsid w:val="00235E0D"/>
    <w:rsid w:val="00236506"/>
    <w:rsid w:val="002367D0"/>
    <w:rsid w:val="00241DB2"/>
    <w:rsid w:val="0024374D"/>
    <w:rsid w:val="00243C3F"/>
    <w:rsid w:val="002452B6"/>
    <w:rsid w:val="00245746"/>
    <w:rsid w:val="00245EEC"/>
    <w:rsid w:val="00246E8E"/>
    <w:rsid w:val="00250367"/>
    <w:rsid w:val="002506B8"/>
    <w:rsid w:val="002525ED"/>
    <w:rsid w:val="00252B78"/>
    <w:rsid w:val="00252D63"/>
    <w:rsid w:val="0025561C"/>
    <w:rsid w:val="002558BA"/>
    <w:rsid w:val="002568DF"/>
    <w:rsid w:val="002579A6"/>
    <w:rsid w:val="00257F0E"/>
    <w:rsid w:val="002620C1"/>
    <w:rsid w:val="002631D1"/>
    <w:rsid w:val="0026373C"/>
    <w:rsid w:val="00264BEC"/>
    <w:rsid w:val="0026627D"/>
    <w:rsid w:val="0027170E"/>
    <w:rsid w:val="00271FAE"/>
    <w:rsid w:val="002738A3"/>
    <w:rsid w:val="00275667"/>
    <w:rsid w:val="00276185"/>
    <w:rsid w:val="002767BE"/>
    <w:rsid w:val="002770D7"/>
    <w:rsid w:val="00282A24"/>
    <w:rsid w:val="00282AFB"/>
    <w:rsid w:val="00283D91"/>
    <w:rsid w:val="00287444"/>
    <w:rsid w:val="00291D0F"/>
    <w:rsid w:val="002927A8"/>
    <w:rsid w:val="00293A4A"/>
    <w:rsid w:val="002958EB"/>
    <w:rsid w:val="00296686"/>
    <w:rsid w:val="00297302"/>
    <w:rsid w:val="002A0BB1"/>
    <w:rsid w:val="002A27E9"/>
    <w:rsid w:val="002A2B4A"/>
    <w:rsid w:val="002A432D"/>
    <w:rsid w:val="002A4D87"/>
    <w:rsid w:val="002A75C6"/>
    <w:rsid w:val="002B12D2"/>
    <w:rsid w:val="002B21A1"/>
    <w:rsid w:val="002B283C"/>
    <w:rsid w:val="002B4C41"/>
    <w:rsid w:val="002B7658"/>
    <w:rsid w:val="002C004E"/>
    <w:rsid w:val="002C3AE3"/>
    <w:rsid w:val="002C3B12"/>
    <w:rsid w:val="002C5B49"/>
    <w:rsid w:val="002C5FC7"/>
    <w:rsid w:val="002C60B2"/>
    <w:rsid w:val="002C6DC0"/>
    <w:rsid w:val="002C79F8"/>
    <w:rsid w:val="002D046C"/>
    <w:rsid w:val="002D046F"/>
    <w:rsid w:val="002D1120"/>
    <w:rsid w:val="002D3E4C"/>
    <w:rsid w:val="002D3E52"/>
    <w:rsid w:val="002D6EA3"/>
    <w:rsid w:val="002E0D82"/>
    <w:rsid w:val="002E1871"/>
    <w:rsid w:val="002E3760"/>
    <w:rsid w:val="002E42F1"/>
    <w:rsid w:val="002E47E2"/>
    <w:rsid w:val="002E57C1"/>
    <w:rsid w:val="002F197A"/>
    <w:rsid w:val="002F31BE"/>
    <w:rsid w:val="002F4F49"/>
    <w:rsid w:val="002F6F69"/>
    <w:rsid w:val="00301784"/>
    <w:rsid w:val="00301BE9"/>
    <w:rsid w:val="00301E96"/>
    <w:rsid w:val="0030289D"/>
    <w:rsid w:val="0030622F"/>
    <w:rsid w:val="0030696C"/>
    <w:rsid w:val="00310F9E"/>
    <w:rsid w:val="003124F3"/>
    <w:rsid w:val="00313AE5"/>
    <w:rsid w:val="003147BC"/>
    <w:rsid w:val="003152E5"/>
    <w:rsid w:val="00316364"/>
    <w:rsid w:val="00316A53"/>
    <w:rsid w:val="00317907"/>
    <w:rsid w:val="003213AC"/>
    <w:rsid w:val="0032203A"/>
    <w:rsid w:val="00322310"/>
    <w:rsid w:val="00322E2A"/>
    <w:rsid w:val="00323323"/>
    <w:rsid w:val="003236CC"/>
    <w:rsid w:val="00324EB7"/>
    <w:rsid w:val="003278C4"/>
    <w:rsid w:val="0032791E"/>
    <w:rsid w:val="0033001A"/>
    <w:rsid w:val="00331554"/>
    <w:rsid w:val="003331FF"/>
    <w:rsid w:val="003335DF"/>
    <w:rsid w:val="003335F1"/>
    <w:rsid w:val="003341F2"/>
    <w:rsid w:val="00334BF0"/>
    <w:rsid w:val="00336642"/>
    <w:rsid w:val="003366CE"/>
    <w:rsid w:val="0033679A"/>
    <w:rsid w:val="0033696C"/>
    <w:rsid w:val="00340ED8"/>
    <w:rsid w:val="00341273"/>
    <w:rsid w:val="003413D8"/>
    <w:rsid w:val="00342C04"/>
    <w:rsid w:val="00343D12"/>
    <w:rsid w:val="0034495E"/>
    <w:rsid w:val="00345E64"/>
    <w:rsid w:val="00347582"/>
    <w:rsid w:val="003517C0"/>
    <w:rsid w:val="00351B95"/>
    <w:rsid w:val="0035213E"/>
    <w:rsid w:val="003521C6"/>
    <w:rsid w:val="003527F0"/>
    <w:rsid w:val="0035328F"/>
    <w:rsid w:val="00353610"/>
    <w:rsid w:val="00353DAA"/>
    <w:rsid w:val="003554B3"/>
    <w:rsid w:val="003562B7"/>
    <w:rsid w:val="003605C8"/>
    <w:rsid w:val="00360B1C"/>
    <w:rsid w:val="003611CC"/>
    <w:rsid w:val="00362B3B"/>
    <w:rsid w:val="00362F03"/>
    <w:rsid w:val="0036309B"/>
    <w:rsid w:val="00364027"/>
    <w:rsid w:val="0036415E"/>
    <w:rsid w:val="003646CC"/>
    <w:rsid w:val="003675BD"/>
    <w:rsid w:val="003701E2"/>
    <w:rsid w:val="00370912"/>
    <w:rsid w:val="00372666"/>
    <w:rsid w:val="00373538"/>
    <w:rsid w:val="003748FF"/>
    <w:rsid w:val="003772D8"/>
    <w:rsid w:val="00377DE7"/>
    <w:rsid w:val="00380B9D"/>
    <w:rsid w:val="0038151F"/>
    <w:rsid w:val="003826B0"/>
    <w:rsid w:val="003845E4"/>
    <w:rsid w:val="00385B13"/>
    <w:rsid w:val="0038643A"/>
    <w:rsid w:val="00386C28"/>
    <w:rsid w:val="00386EFB"/>
    <w:rsid w:val="003872A2"/>
    <w:rsid w:val="00387553"/>
    <w:rsid w:val="00390047"/>
    <w:rsid w:val="0039047B"/>
    <w:rsid w:val="00390518"/>
    <w:rsid w:val="003938A4"/>
    <w:rsid w:val="00393CA6"/>
    <w:rsid w:val="003942AD"/>
    <w:rsid w:val="00394A1F"/>
    <w:rsid w:val="00394E4A"/>
    <w:rsid w:val="00395239"/>
    <w:rsid w:val="003A0A85"/>
    <w:rsid w:val="003A1C1A"/>
    <w:rsid w:val="003A3941"/>
    <w:rsid w:val="003A4D22"/>
    <w:rsid w:val="003A5832"/>
    <w:rsid w:val="003A6692"/>
    <w:rsid w:val="003A79CB"/>
    <w:rsid w:val="003A7B13"/>
    <w:rsid w:val="003A7B64"/>
    <w:rsid w:val="003B0668"/>
    <w:rsid w:val="003B0C85"/>
    <w:rsid w:val="003B19DE"/>
    <w:rsid w:val="003B1E27"/>
    <w:rsid w:val="003B2E6B"/>
    <w:rsid w:val="003B2FC8"/>
    <w:rsid w:val="003B4DE5"/>
    <w:rsid w:val="003B5150"/>
    <w:rsid w:val="003B5E87"/>
    <w:rsid w:val="003B73AD"/>
    <w:rsid w:val="003B797C"/>
    <w:rsid w:val="003B79FA"/>
    <w:rsid w:val="003B7C8E"/>
    <w:rsid w:val="003C1043"/>
    <w:rsid w:val="003C1975"/>
    <w:rsid w:val="003C1B29"/>
    <w:rsid w:val="003C1F80"/>
    <w:rsid w:val="003C3C7B"/>
    <w:rsid w:val="003C3DA6"/>
    <w:rsid w:val="003C7437"/>
    <w:rsid w:val="003C7D04"/>
    <w:rsid w:val="003D0F76"/>
    <w:rsid w:val="003D6DC6"/>
    <w:rsid w:val="003E03F5"/>
    <w:rsid w:val="003E0B85"/>
    <w:rsid w:val="003E2309"/>
    <w:rsid w:val="003E2925"/>
    <w:rsid w:val="003E2983"/>
    <w:rsid w:val="003E3819"/>
    <w:rsid w:val="003E3833"/>
    <w:rsid w:val="003E4F15"/>
    <w:rsid w:val="003E59BD"/>
    <w:rsid w:val="003E71F3"/>
    <w:rsid w:val="003E7A3D"/>
    <w:rsid w:val="003E7C7F"/>
    <w:rsid w:val="003F10BF"/>
    <w:rsid w:val="003F164C"/>
    <w:rsid w:val="003F20AF"/>
    <w:rsid w:val="003F2BC5"/>
    <w:rsid w:val="003F4453"/>
    <w:rsid w:val="003F4580"/>
    <w:rsid w:val="003F4DDA"/>
    <w:rsid w:val="003F61F7"/>
    <w:rsid w:val="0040181E"/>
    <w:rsid w:val="00403E01"/>
    <w:rsid w:val="00404D71"/>
    <w:rsid w:val="00405C1D"/>
    <w:rsid w:val="0040748F"/>
    <w:rsid w:val="00407F1A"/>
    <w:rsid w:val="00413A7B"/>
    <w:rsid w:val="00414289"/>
    <w:rsid w:val="00415DA3"/>
    <w:rsid w:val="00416718"/>
    <w:rsid w:val="00417D96"/>
    <w:rsid w:val="00420DD2"/>
    <w:rsid w:val="004217E9"/>
    <w:rsid w:val="00422D2A"/>
    <w:rsid w:val="004247FB"/>
    <w:rsid w:val="00425539"/>
    <w:rsid w:val="0042576A"/>
    <w:rsid w:val="00426EB3"/>
    <w:rsid w:val="004272AB"/>
    <w:rsid w:val="00427613"/>
    <w:rsid w:val="00432333"/>
    <w:rsid w:val="004329FE"/>
    <w:rsid w:val="004351EC"/>
    <w:rsid w:val="00437BF1"/>
    <w:rsid w:val="00440CF4"/>
    <w:rsid w:val="00441887"/>
    <w:rsid w:val="00441C13"/>
    <w:rsid w:val="00442EFE"/>
    <w:rsid w:val="00443E41"/>
    <w:rsid w:val="00443E77"/>
    <w:rsid w:val="00445357"/>
    <w:rsid w:val="004454F7"/>
    <w:rsid w:val="00447C84"/>
    <w:rsid w:val="00447DE8"/>
    <w:rsid w:val="00447ED0"/>
    <w:rsid w:val="004528BA"/>
    <w:rsid w:val="00452DEF"/>
    <w:rsid w:val="00453CA5"/>
    <w:rsid w:val="00454EF1"/>
    <w:rsid w:val="0045598A"/>
    <w:rsid w:val="004559F7"/>
    <w:rsid w:val="00455EAA"/>
    <w:rsid w:val="004566D5"/>
    <w:rsid w:val="00457565"/>
    <w:rsid w:val="00461AB9"/>
    <w:rsid w:val="0046275A"/>
    <w:rsid w:val="004643D7"/>
    <w:rsid w:val="004669F6"/>
    <w:rsid w:val="00467C4D"/>
    <w:rsid w:val="00470EA7"/>
    <w:rsid w:val="00471F17"/>
    <w:rsid w:val="00473363"/>
    <w:rsid w:val="00474137"/>
    <w:rsid w:val="004751E4"/>
    <w:rsid w:val="00480FB5"/>
    <w:rsid w:val="0048294C"/>
    <w:rsid w:val="004842EA"/>
    <w:rsid w:val="00484A51"/>
    <w:rsid w:val="004869D4"/>
    <w:rsid w:val="00486A01"/>
    <w:rsid w:val="00491449"/>
    <w:rsid w:val="004924CF"/>
    <w:rsid w:val="004933CA"/>
    <w:rsid w:val="00493576"/>
    <w:rsid w:val="00495D78"/>
    <w:rsid w:val="00495F17"/>
    <w:rsid w:val="00497361"/>
    <w:rsid w:val="00497426"/>
    <w:rsid w:val="004A389A"/>
    <w:rsid w:val="004A38F9"/>
    <w:rsid w:val="004A3949"/>
    <w:rsid w:val="004A471B"/>
    <w:rsid w:val="004A4B34"/>
    <w:rsid w:val="004A4ED1"/>
    <w:rsid w:val="004A6030"/>
    <w:rsid w:val="004A7EB7"/>
    <w:rsid w:val="004B032B"/>
    <w:rsid w:val="004B223D"/>
    <w:rsid w:val="004B3B69"/>
    <w:rsid w:val="004B3D51"/>
    <w:rsid w:val="004B3E60"/>
    <w:rsid w:val="004B4E87"/>
    <w:rsid w:val="004B56E3"/>
    <w:rsid w:val="004B7F0C"/>
    <w:rsid w:val="004C0DB8"/>
    <w:rsid w:val="004C1010"/>
    <w:rsid w:val="004C2B99"/>
    <w:rsid w:val="004C398F"/>
    <w:rsid w:val="004C3BAE"/>
    <w:rsid w:val="004C7828"/>
    <w:rsid w:val="004D18C7"/>
    <w:rsid w:val="004D18C8"/>
    <w:rsid w:val="004D1F73"/>
    <w:rsid w:val="004D2CCE"/>
    <w:rsid w:val="004D3635"/>
    <w:rsid w:val="004D4D09"/>
    <w:rsid w:val="004D7880"/>
    <w:rsid w:val="004E0B71"/>
    <w:rsid w:val="004E34CD"/>
    <w:rsid w:val="004E39FE"/>
    <w:rsid w:val="004E3C1C"/>
    <w:rsid w:val="004E5338"/>
    <w:rsid w:val="004E5F09"/>
    <w:rsid w:val="004E67D6"/>
    <w:rsid w:val="004F031F"/>
    <w:rsid w:val="004F173F"/>
    <w:rsid w:val="004F2CFC"/>
    <w:rsid w:val="004F2FAE"/>
    <w:rsid w:val="004F40E4"/>
    <w:rsid w:val="004F5E44"/>
    <w:rsid w:val="004F6CC6"/>
    <w:rsid w:val="004F7229"/>
    <w:rsid w:val="004F722E"/>
    <w:rsid w:val="004F7FF4"/>
    <w:rsid w:val="005027C2"/>
    <w:rsid w:val="005061F1"/>
    <w:rsid w:val="00506F9A"/>
    <w:rsid w:val="00507E1B"/>
    <w:rsid w:val="00510096"/>
    <w:rsid w:val="00511A4D"/>
    <w:rsid w:val="00511ADB"/>
    <w:rsid w:val="00513076"/>
    <w:rsid w:val="0051316A"/>
    <w:rsid w:val="005139BC"/>
    <w:rsid w:val="00515BDF"/>
    <w:rsid w:val="00517504"/>
    <w:rsid w:val="00517F76"/>
    <w:rsid w:val="00517F8C"/>
    <w:rsid w:val="00520E57"/>
    <w:rsid w:val="00522E98"/>
    <w:rsid w:val="0052317D"/>
    <w:rsid w:val="00523440"/>
    <w:rsid w:val="00525BDE"/>
    <w:rsid w:val="00526F08"/>
    <w:rsid w:val="0053039B"/>
    <w:rsid w:val="005310AA"/>
    <w:rsid w:val="00531B40"/>
    <w:rsid w:val="005324F9"/>
    <w:rsid w:val="00534862"/>
    <w:rsid w:val="0053689A"/>
    <w:rsid w:val="00536E7E"/>
    <w:rsid w:val="00536F40"/>
    <w:rsid w:val="00536F61"/>
    <w:rsid w:val="00540DE9"/>
    <w:rsid w:val="005423E8"/>
    <w:rsid w:val="00542DA7"/>
    <w:rsid w:val="00543D8B"/>
    <w:rsid w:val="00544F93"/>
    <w:rsid w:val="0054633A"/>
    <w:rsid w:val="0054641E"/>
    <w:rsid w:val="00546AE7"/>
    <w:rsid w:val="005509B2"/>
    <w:rsid w:val="005514B4"/>
    <w:rsid w:val="005520F8"/>
    <w:rsid w:val="005537E5"/>
    <w:rsid w:val="005540A2"/>
    <w:rsid w:val="005544FA"/>
    <w:rsid w:val="00556075"/>
    <w:rsid w:val="00557AD6"/>
    <w:rsid w:val="00561552"/>
    <w:rsid w:val="00563ECD"/>
    <w:rsid w:val="00564524"/>
    <w:rsid w:val="00565EBE"/>
    <w:rsid w:val="00565EF0"/>
    <w:rsid w:val="00566CA8"/>
    <w:rsid w:val="00567090"/>
    <w:rsid w:val="00570246"/>
    <w:rsid w:val="00571848"/>
    <w:rsid w:val="00572382"/>
    <w:rsid w:val="0057327B"/>
    <w:rsid w:val="00574027"/>
    <w:rsid w:val="00574178"/>
    <w:rsid w:val="005762F0"/>
    <w:rsid w:val="00576DBB"/>
    <w:rsid w:val="005772FE"/>
    <w:rsid w:val="00577BCD"/>
    <w:rsid w:val="0058242B"/>
    <w:rsid w:val="00586BED"/>
    <w:rsid w:val="00587F43"/>
    <w:rsid w:val="00590178"/>
    <w:rsid w:val="005901D4"/>
    <w:rsid w:val="00590B7F"/>
    <w:rsid w:val="00590D8E"/>
    <w:rsid w:val="0059270A"/>
    <w:rsid w:val="00592905"/>
    <w:rsid w:val="00592BCD"/>
    <w:rsid w:val="00592C14"/>
    <w:rsid w:val="00593F83"/>
    <w:rsid w:val="0059431A"/>
    <w:rsid w:val="00595001"/>
    <w:rsid w:val="00595049"/>
    <w:rsid w:val="0059764A"/>
    <w:rsid w:val="00597B66"/>
    <w:rsid w:val="005A0B73"/>
    <w:rsid w:val="005A1694"/>
    <w:rsid w:val="005A3763"/>
    <w:rsid w:val="005A43AC"/>
    <w:rsid w:val="005A5F67"/>
    <w:rsid w:val="005A6314"/>
    <w:rsid w:val="005A704A"/>
    <w:rsid w:val="005B0A7A"/>
    <w:rsid w:val="005B0AEB"/>
    <w:rsid w:val="005B1A14"/>
    <w:rsid w:val="005B2428"/>
    <w:rsid w:val="005B3799"/>
    <w:rsid w:val="005B3C27"/>
    <w:rsid w:val="005B466C"/>
    <w:rsid w:val="005B5073"/>
    <w:rsid w:val="005B6FC7"/>
    <w:rsid w:val="005B71E8"/>
    <w:rsid w:val="005B77D5"/>
    <w:rsid w:val="005C175D"/>
    <w:rsid w:val="005C2428"/>
    <w:rsid w:val="005C2959"/>
    <w:rsid w:val="005C60F8"/>
    <w:rsid w:val="005C618C"/>
    <w:rsid w:val="005C73B9"/>
    <w:rsid w:val="005D0750"/>
    <w:rsid w:val="005D20E3"/>
    <w:rsid w:val="005D4376"/>
    <w:rsid w:val="005D4F12"/>
    <w:rsid w:val="005D63F3"/>
    <w:rsid w:val="005D6855"/>
    <w:rsid w:val="005D755F"/>
    <w:rsid w:val="005D7A23"/>
    <w:rsid w:val="005E2369"/>
    <w:rsid w:val="005E2B4B"/>
    <w:rsid w:val="005E2FF5"/>
    <w:rsid w:val="005E3DED"/>
    <w:rsid w:val="005E4BE5"/>
    <w:rsid w:val="005F08E4"/>
    <w:rsid w:val="005F0D92"/>
    <w:rsid w:val="005F2E31"/>
    <w:rsid w:val="005F4BAD"/>
    <w:rsid w:val="005F673A"/>
    <w:rsid w:val="006039D8"/>
    <w:rsid w:val="00603C34"/>
    <w:rsid w:val="0060445A"/>
    <w:rsid w:val="006058E5"/>
    <w:rsid w:val="00605943"/>
    <w:rsid w:val="006063CA"/>
    <w:rsid w:val="00607209"/>
    <w:rsid w:val="0061051C"/>
    <w:rsid w:val="00610950"/>
    <w:rsid w:val="00615CCF"/>
    <w:rsid w:val="0061664D"/>
    <w:rsid w:val="00616AA7"/>
    <w:rsid w:val="00616DBF"/>
    <w:rsid w:val="00617377"/>
    <w:rsid w:val="00623F47"/>
    <w:rsid w:val="00626181"/>
    <w:rsid w:val="00626F61"/>
    <w:rsid w:val="00630F4F"/>
    <w:rsid w:val="00631841"/>
    <w:rsid w:val="006326E2"/>
    <w:rsid w:val="006327CA"/>
    <w:rsid w:val="00635BD9"/>
    <w:rsid w:val="006363BF"/>
    <w:rsid w:val="00641660"/>
    <w:rsid w:val="00641700"/>
    <w:rsid w:val="00642154"/>
    <w:rsid w:val="00644058"/>
    <w:rsid w:val="0064483D"/>
    <w:rsid w:val="00644959"/>
    <w:rsid w:val="006457B1"/>
    <w:rsid w:val="006458A6"/>
    <w:rsid w:val="006473F6"/>
    <w:rsid w:val="00647C07"/>
    <w:rsid w:val="00650366"/>
    <w:rsid w:val="00652FC9"/>
    <w:rsid w:val="006533D9"/>
    <w:rsid w:val="006538CE"/>
    <w:rsid w:val="00653BA4"/>
    <w:rsid w:val="00653F39"/>
    <w:rsid w:val="00660C23"/>
    <w:rsid w:val="00661528"/>
    <w:rsid w:val="00661568"/>
    <w:rsid w:val="00663308"/>
    <w:rsid w:val="00664B27"/>
    <w:rsid w:val="00664DB0"/>
    <w:rsid w:val="00665DD2"/>
    <w:rsid w:val="00667777"/>
    <w:rsid w:val="006704DE"/>
    <w:rsid w:val="006734C2"/>
    <w:rsid w:val="00673E4D"/>
    <w:rsid w:val="00675DA9"/>
    <w:rsid w:val="006807A0"/>
    <w:rsid w:val="006807E7"/>
    <w:rsid w:val="00681199"/>
    <w:rsid w:val="0068187C"/>
    <w:rsid w:val="00682A2E"/>
    <w:rsid w:val="00682F94"/>
    <w:rsid w:val="00683DA0"/>
    <w:rsid w:val="00683E4E"/>
    <w:rsid w:val="00684AB2"/>
    <w:rsid w:val="0068537B"/>
    <w:rsid w:val="00685D8F"/>
    <w:rsid w:val="00686637"/>
    <w:rsid w:val="00687707"/>
    <w:rsid w:val="0068790C"/>
    <w:rsid w:val="0069084B"/>
    <w:rsid w:val="006934A2"/>
    <w:rsid w:val="00693729"/>
    <w:rsid w:val="006A0F22"/>
    <w:rsid w:val="006A3FC0"/>
    <w:rsid w:val="006A723E"/>
    <w:rsid w:val="006A7F21"/>
    <w:rsid w:val="006B1F5D"/>
    <w:rsid w:val="006B2A91"/>
    <w:rsid w:val="006B3749"/>
    <w:rsid w:val="006B3E27"/>
    <w:rsid w:val="006B51AC"/>
    <w:rsid w:val="006B5DF6"/>
    <w:rsid w:val="006B735F"/>
    <w:rsid w:val="006C0A6F"/>
    <w:rsid w:val="006C0BA4"/>
    <w:rsid w:val="006C2C63"/>
    <w:rsid w:val="006C3B2E"/>
    <w:rsid w:val="006C4D20"/>
    <w:rsid w:val="006C62CB"/>
    <w:rsid w:val="006C6A30"/>
    <w:rsid w:val="006D3FEE"/>
    <w:rsid w:val="006D524D"/>
    <w:rsid w:val="006D554D"/>
    <w:rsid w:val="006D5A43"/>
    <w:rsid w:val="006E01BA"/>
    <w:rsid w:val="006E05AC"/>
    <w:rsid w:val="006E0717"/>
    <w:rsid w:val="006E0FB0"/>
    <w:rsid w:val="006E13FF"/>
    <w:rsid w:val="006E142E"/>
    <w:rsid w:val="006E1A13"/>
    <w:rsid w:val="006E36AB"/>
    <w:rsid w:val="006E4AEC"/>
    <w:rsid w:val="006E6BC7"/>
    <w:rsid w:val="006E6C3A"/>
    <w:rsid w:val="006E718B"/>
    <w:rsid w:val="006E7286"/>
    <w:rsid w:val="006E771F"/>
    <w:rsid w:val="006F006F"/>
    <w:rsid w:val="006F0199"/>
    <w:rsid w:val="006F027E"/>
    <w:rsid w:val="006F0A93"/>
    <w:rsid w:val="006F3143"/>
    <w:rsid w:val="006F3676"/>
    <w:rsid w:val="006F7407"/>
    <w:rsid w:val="006F7C22"/>
    <w:rsid w:val="00700002"/>
    <w:rsid w:val="00700365"/>
    <w:rsid w:val="00700C50"/>
    <w:rsid w:val="007020A3"/>
    <w:rsid w:val="00702908"/>
    <w:rsid w:val="00703811"/>
    <w:rsid w:val="00704253"/>
    <w:rsid w:val="00704647"/>
    <w:rsid w:val="00704889"/>
    <w:rsid w:val="00704BAA"/>
    <w:rsid w:val="00705D14"/>
    <w:rsid w:val="0070724D"/>
    <w:rsid w:val="00707737"/>
    <w:rsid w:val="00707E7F"/>
    <w:rsid w:val="00707FF1"/>
    <w:rsid w:val="007118DC"/>
    <w:rsid w:val="00711DAB"/>
    <w:rsid w:val="00714F45"/>
    <w:rsid w:val="00716B66"/>
    <w:rsid w:val="0071774D"/>
    <w:rsid w:val="007210A4"/>
    <w:rsid w:val="00723388"/>
    <w:rsid w:val="007235CD"/>
    <w:rsid w:val="00723835"/>
    <w:rsid w:val="00723ACF"/>
    <w:rsid w:val="007251ED"/>
    <w:rsid w:val="00725F0E"/>
    <w:rsid w:val="0072711D"/>
    <w:rsid w:val="00727775"/>
    <w:rsid w:val="007277CF"/>
    <w:rsid w:val="00732971"/>
    <w:rsid w:val="007367BF"/>
    <w:rsid w:val="007371BF"/>
    <w:rsid w:val="00737722"/>
    <w:rsid w:val="00740A59"/>
    <w:rsid w:val="007417BF"/>
    <w:rsid w:val="00741BD9"/>
    <w:rsid w:val="0074226F"/>
    <w:rsid w:val="007423E0"/>
    <w:rsid w:val="00742534"/>
    <w:rsid w:val="007436E3"/>
    <w:rsid w:val="00745CF0"/>
    <w:rsid w:val="00745D32"/>
    <w:rsid w:val="00746265"/>
    <w:rsid w:val="007467B0"/>
    <w:rsid w:val="00746DC7"/>
    <w:rsid w:val="00746EEE"/>
    <w:rsid w:val="00747A2E"/>
    <w:rsid w:val="00747AF1"/>
    <w:rsid w:val="007524E0"/>
    <w:rsid w:val="00756CFA"/>
    <w:rsid w:val="00761073"/>
    <w:rsid w:val="0076581F"/>
    <w:rsid w:val="00766E80"/>
    <w:rsid w:val="00770FCE"/>
    <w:rsid w:val="00771015"/>
    <w:rsid w:val="00772D3C"/>
    <w:rsid w:val="00774278"/>
    <w:rsid w:val="00776387"/>
    <w:rsid w:val="00777773"/>
    <w:rsid w:val="0078050C"/>
    <w:rsid w:val="00780920"/>
    <w:rsid w:val="00781B58"/>
    <w:rsid w:val="00783CB3"/>
    <w:rsid w:val="007848BA"/>
    <w:rsid w:val="00786F30"/>
    <w:rsid w:val="00787FE1"/>
    <w:rsid w:val="0079008D"/>
    <w:rsid w:val="00791E9D"/>
    <w:rsid w:val="00792EFD"/>
    <w:rsid w:val="00793793"/>
    <w:rsid w:val="00795A68"/>
    <w:rsid w:val="007A0443"/>
    <w:rsid w:val="007A0652"/>
    <w:rsid w:val="007A12FF"/>
    <w:rsid w:val="007A230D"/>
    <w:rsid w:val="007A3D86"/>
    <w:rsid w:val="007B07A5"/>
    <w:rsid w:val="007B1A41"/>
    <w:rsid w:val="007B1FF8"/>
    <w:rsid w:val="007B23A3"/>
    <w:rsid w:val="007B2B11"/>
    <w:rsid w:val="007B2F50"/>
    <w:rsid w:val="007B4628"/>
    <w:rsid w:val="007C0083"/>
    <w:rsid w:val="007C0985"/>
    <w:rsid w:val="007C0B93"/>
    <w:rsid w:val="007C141E"/>
    <w:rsid w:val="007C14CE"/>
    <w:rsid w:val="007C15A7"/>
    <w:rsid w:val="007C19E7"/>
    <w:rsid w:val="007C1AC0"/>
    <w:rsid w:val="007C1BD8"/>
    <w:rsid w:val="007C2AF9"/>
    <w:rsid w:val="007C2EC4"/>
    <w:rsid w:val="007C495D"/>
    <w:rsid w:val="007C6F42"/>
    <w:rsid w:val="007D0061"/>
    <w:rsid w:val="007D09C0"/>
    <w:rsid w:val="007D1556"/>
    <w:rsid w:val="007D2C65"/>
    <w:rsid w:val="007D3794"/>
    <w:rsid w:val="007D38AD"/>
    <w:rsid w:val="007D3EAB"/>
    <w:rsid w:val="007D4D57"/>
    <w:rsid w:val="007D5660"/>
    <w:rsid w:val="007D7574"/>
    <w:rsid w:val="007E00E6"/>
    <w:rsid w:val="007E2D77"/>
    <w:rsid w:val="007E3728"/>
    <w:rsid w:val="007E6A0E"/>
    <w:rsid w:val="007F0865"/>
    <w:rsid w:val="007F1862"/>
    <w:rsid w:val="007F3ACF"/>
    <w:rsid w:val="007F6BD5"/>
    <w:rsid w:val="007F6D6A"/>
    <w:rsid w:val="0080334F"/>
    <w:rsid w:val="00804B5A"/>
    <w:rsid w:val="00805187"/>
    <w:rsid w:val="00805305"/>
    <w:rsid w:val="0080621D"/>
    <w:rsid w:val="00807AE3"/>
    <w:rsid w:val="0081012E"/>
    <w:rsid w:val="008112BD"/>
    <w:rsid w:val="00812C60"/>
    <w:rsid w:val="00812FDA"/>
    <w:rsid w:val="00813680"/>
    <w:rsid w:val="008140E8"/>
    <w:rsid w:val="00814E33"/>
    <w:rsid w:val="0081713B"/>
    <w:rsid w:val="00822747"/>
    <w:rsid w:val="00823488"/>
    <w:rsid w:val="0082399C"/>
    <w:rsid w:val="0082587B"/>
    <w:rsid w:val="00825898"/>
    <w:rsid w:val="00826276"/>
    <w:rsid w:val="00826304"/>
    <w:rsid w:val="00826DCE"/>
    <w:rsid w:val="008277DA"/>
    <w:rsid w:val="00827B8E"/>
    <w:rsid w:val="00830942"/>
    <w:rsid w:val="00830EA2"/>
    <w:rsid w:val="00832759"/>
    <w:rsid w:val="00832C88"/>
    <w:rsid w:val="00833A0D"/>
    <w:rsid w:val="008372C4"/>
    <w:rsid w:val="00837802"/>
    <w:rsid w:val="00837F27"/>
    <w:rsid w:val="00841934"/>
    <w:rsid w:val="0084239C"/>
    <w:rsid w:val="00842D20"/>
    <w:rsid w:val="00844CE6"/>
    <w:rsid w:val="008454E3"/>
    <w:rsid w:val="0084785D"/>
    <w:rsid w:val="008501CF"/>
    <w:rsid w:val="008509F5"/>
    <w:rsid w:val="00852D16"/>
    <w:rsid w:val="0085386A"/>
    <w:rsid w:val="0085508E"/>
    <w:rsid w:val="00855C8A"/>
    <w:rsid w:val="008618BE"/>
    <w:rsid w:val="008625FF"/>
    <w:rsid w:val="00862C2C"/>
    <w:rsid w:val="00863861"/>
    <w:rsid w:val="00863E2E"/>
    <w:rsid w:val="0086537E"/>
    <w:rsid w:val="00866091"/>
    <w:rsid w:val="00867219"/>
    <w:rsid w:val="00871DF0"/>
    <w:rsid w:val="008741BD"/>
    <w:rsid w:val="008768BE"/>
    <w:rsid w:val="008769D4"/>
    <w:rsid w:val="00876D43"/>
    <w:rsid w:val="00877D6C"/>
    <w:rsid w:val="00880220"/>
    <w:rsid w:val="008824F8"/>
    <w:rsid w:val="008839B4"/>
    <w:rsid w:val="008839E3"/>
    <w:rsid w:val="0088534A"/>
    <w:rsid w:val="008855A0"/>
    <w:rsid w:val="0088649F"/>
    <w:rsid w:val="00886A51"/>
    <w:rsid w:val="00887609"/>
    <w:rsid w:val="00887859"/>
    <w:rsid w:val="008902DB"/>
    <w:rsid w:val="008907C0"/>
    <w:rsid w:val="00893035"/>
    <w:rsid w:val="008935F9"/>
    <w:rsid w:val="008940A6"/>
    <w:rsid w:val="00896745"/>
    <w:rsid w:val="008A18AE"/>
    <w:rsid w:val="008A193A"/>
    <w:rsid w:val="008A2957"/>
    <w:rsid w:val="008A3BE4"/>
    <w:rsid w:val="008A4478"/>
    <w:rsid w:val="008A4F90"/>
    <w:rsid w:val="008A722B"/>
    <w:rsid w:val="008B0399"/>
    <w:rsid w:val="008B1149"/>
    <w:rsid w:val="008B1550"/>
    <w:rsid w:val="008B2007"/>
    <w:rsid w:val="008B3461"/>
    <w:rsid w:val="008B5837"/>
    <w:rsid w:val="008B6F65"/>
    <w:rsid w:val="008B7FEF"/>
    <w:rsid w:val="008C04C3"/>
    <w:rsid w:val="008C0DDA"/>
    <w:rsid w:val="008C1591"/>
    <w:rsid w:val="008C2E74"/>
    <w:rsid w:val="008C2EC5"/>
    <w:rsid w:val="008C3C57"/>
    <w:rsid w:val="008C43BA"/>
    <w:rsid w:val="008C470F"/>
    <w:rsid w:val="008C4C52"/>
    <w:rsid w:val="008C55E4"/>
    <w:rsid w:val="008C64AD"/>
    <w:rsid w:val="008C6978"/>
    <w:rsid w:val="008C7FED"/>
    <w:rsid w:val="008D3A69"/>
    <w:rsid w:val="008D3C97"/>
    <w:rsid w:val="008D3E90"/>
    <w:rsid w:val="008D4253"/>
    <w:rsid w:val="008D4A2F"/>
    <w:rsid w:val="008D68E9"/>
    <w:rsid w:val="008D70A0"/>
    <w:rsid w:val="008D7CEA"/>
    <w:rsid w:val="008E1908"/>
    <w:rsid w:val="008E19DB"/>
    <w:rsid w:val="008E36FB"/>
    <w:rsid w:val="008E52AF"/>
    <w:rsid w:val="008E547F"/>
    <w:rsid w:val="008E5DDD"/>
    <w:rsid w:val="008E627B"/>
    <w:rsid w:val="008E659F"/>
    <w:rsid w:val="008E6BB7"/>
    <w:rsid w:val="008E703D"/>
    <w:rsid w:val="008F0B3E"/>
    <w:rsid w:val="008F0C6F"/>
    <w:rsid w:val="008F279C"/>
    <w:rsid w:val="008F2B5B"/>
    <w:rsid w:val="008F2E06"/>
    <w:rsid w:val="008F4159"/>
    <w:rsid w:val="008F4532"/>
    <w:rsid w:val="008F6587"/>
    <w:rsid w:val="00900AF1"/>
    <w:rsid w:val="009015B0"/>
    <w:rsid w:val="009016A2"/>
    <w:rsid w:val="0090174E"/>
    <w:rsid w:val="00903149"/>
    <w:rsid w:val="0090337F"/>
    <w:rsid w:val="00904E5D"/>
    <w:rsid w:val="00905A8C"/>
    <w:rsid w:val="009074B8"/>
    <w:rsid w:val="00912E80"/>
    <w:rsid w:val="0092154D"/>
    <w:rsid w:val="00921E63"/>
    <w:rsid w:val="009242F4"/>
    <w:rsid w:val="009251D0"/>
    <w:rsid w:val="0092641C"/>
    <w:rsid w:val="0092644A"/>
    <w:rsid w:val="009266B6"/>
    <w:rsid w:val="009268B6"/>
    <w:rsid w:val="00926BC0"/>
    <w:rsid w:val="00930902"/>
    <w:rsid w:val="00931AFA"/>
    <w:rsid w:val="00934B49"/>
    <w:rsid w:val="009352DC"/>
    <w:rsid w:val="00937312"/>
    <w:rsid w:val="0093756D"/>
    <w:rsid w:val="00937E5B"/>
    <w:rsid w:val="009500DB"/>
    <w:rsid w:val="00952BC6"/>
    <w:rsid w:val="009538D5"/>
    <w:rsid w:val="00954466"/>
    <w:rsid w:val="009577C3"/>
    <w:rsid w:val="00960247"/>
    <w:rsid w:val="00961733"/>
    <w:rsid w:val="0096202D"/>
    <w:rsid w:val="009623BE"/>
    <w:rsid w:val="00962C70"/>
    <w:rsid w:val="0096384B"/>
    <w:rsid w:val="00963E2A"/>
    <w:rsid w:val="00964131"/>
    <w:rsid w:val="009648AC"/>
    <w:rsid w:val="00966197"/>
    <w:rsid w:val="00966F29"/>
    <w:rsid w:val="00967073"/>
    <w:rsid w:val="0097093B"/>
    <w:rsid w:val="00971C8B"/>
    <w:rsid w:val="00971CEC"/>
    <w:rsid w:val="00972F61"/>
    <w:rsid w:val="009745B8"/>
    <w:rsid w:val="00977840"/>
    <w:rsid w:val="0098005B"/>
    <w:rsid w:val="00980C14"/>
    <w:rsid w:val="00982CC2"/>
    <w:rsid w:val="00983089"/>
    <w:rsid w:val="009836E6"/>
    <w:rsid w:val="009848D3"/>
    <w:rsid w:val="0098635E"/>
    <w:rsid w:val="00986C42"/>
    <w:rsid w:val="00986E7D"/>
    <w:rsid w:val="009873CE"/>
    <w:rsid w:val="0099082C"/>
    <w:rsid w:val="00991B91"/>
    <w:rsid w:val="00991D49"/>
    <w:rsid w:val="009936C8"/>
    <w:rsid w:val="00996859"/>
    <w:rsid w:val="00996E93"/>
    <w:rsid w:val="00997096"/>
    <w:rsid w:val="009A0EBE"/>
    <w:rsid w:val="009A1420"/>
    <w:rsid w:val="009A291C"/>
    <w:rsid w:val="009A2A4B"/>
    <w:rsid w:val="009A341D"/>
    <w:rsid w:val="009A387B"/>
    <w:rsid w:val="009A5D58"/>
    <w:rsid w:val="009A5F61"/>
    <w:rsid w:val="009A6DE1"/>
    <w:rsid w:val="009A7B55"/>
    <w:rsid w:val="009B1B06"/>
    <w:rsid w:val="009B23B6"/>
    <w:rsid w:val="009B360D"/>
    <w:rsid w:val="009B3980"/>
    <w:rsid w:val="009B3C51"/>
    <w:rsid w:val="009B4513"/>
    <w:rsid w:val="009B595D"/>
    <w:rsid w:val="009B5D97"/>
    <w:rsid w:val="009C0248"/>
    <w:rsid w:val="009C0998"/>
    <w:rsid w:val="009C1FF7"/>
    <w:rsid w:val="009C4982"/>
    <w:rsid w:val="009C5460"/>
    <w:rsid w:val="009C7957"/>
    <w:rsid w:val="009C795E"/>
    <w:rsid w:val="009D0363"/>
    <w:rsid w:val="009D0437"/>
    <w:rsid w:val="009D17D0"/>
    <w:rsid w:val="009D1D47"/>
    <w:rsid w:val="009D2378"/>
    <w:rsid w:val="009D26B8"/>
    <w:rsid w:val="009D2F65"/>
    <w:rsid w:val="009D394C"/>
    <w:rsid w:val="009D3FE1"/>
    <w:rsid w:val="009D6910"/>
    <w:rsid w:val="009D6D5C"/>
    <w:rsid w:val="009D788D"/>
    <w:rsid w:val="009D7FCF"/>
    <w:rsid w:val="009E1FCA"/>
    <w:rsid w:val="009E2D31"/>
    <w:rsid w:val="009E354F"/>
    <w:rsid w:val="009E3902"/>
    <w:rsid w:val="009E6E0D"/>
    <w:rsid w:val="009E7625"/>
    <w:rsid w:val="009E7701"/>
    <w:rsid w:val="009F07AC"/>
    <w:rsid w:val="009F16F6"/>
    <w:rsid w:val="009F2329"/>
    <w:rsid w:val="009F3E1C"/>
    <w:rsid w:val="009F6279"/>
    <w:rsid w:val="009F6652"/>
    <w:rsid w:val="009F6890"/>
    <w:rsid w:val="009F7214"/>
    <w:rsid w:val="00A0050F"/>
    <w:rsid w:val="00A0063B"/>
    <w:rsid w:val="00A01AD9"/>
    <w:rsid w:val="00A02B47"/>
    <w:rsid w:val="00A0328F"/>
    <w:rsid w:val="00A03DF6"/>
    <w:rsid w:val="00A05CB0"/>
    <w:rsid w:val="00A065E6"/>
    <w:rsid w:val="00A069A3"/>
    <w:rsid w:val="00A06F76"/>
    <w:rsid w:val="00A10EA3"/>
    <w:rsid w:val="00A111E3"/>
    <w:rsid w:val="00A11256"/>
    <w:rsid w:val="00A143C2"/>
    <w:rsid w:val="00A15842"/>
    <w:rsid w:val="00A166F4"/>
    <w:rsid w:val="00A177DB"/>
    <w:rsid w:val="00A17AE7"/>
    <w:rsid w:val="00A20076"/>
    <w:rsid w:val="00A20A84"/>
    <w:rsid w:val="00A20C8B"/>
    <w:rsid w:val="00A20D8B"/>
    <w:rsid w:val="00A21440"/>
    <w:rsid w:val="00A221AD"/>
    <w:rsid w:val="00A22AF3"/>
    <w:rsid w:val="00A22FE5"/>
    <w:rsid w:val="00A238A8"/>
    <w:rsid w:val="00A23BA7"/>
    <w:rsid w:val="00A241F1"/>
    <w:rsid w:val="00A244E2"/>
    <w:rsid w:val="00A24BBE"/>
    <w:rsid w:val="00A261F9"/>
    <w:rsid w:val="00A264DA"/>
    <w:rsid w:val="00A27E21"/>
    <w:rsid w:val="00A315F1"/>
    <w:rsid w:val="00A31F46"/>
    <w:rsid w:val="00A32D69"/>
    <w:rsid w:val="00A355A9"/>
    <w:rsid w:val="00A35AE9"/>
    <w:rsid w:val="00A36060"/>
    <w:rsid w:val="00A372AB"/>
    <w:rsid w:val="00A410B6"/>
    <w:rsid w:val="00A4152C"/>
    <w:rsid w:val="00A41CF1"/>
    <w:rsid w:val="00A420EA"/>
    <w:rsid w:val="00A421ED"/>
    <w:rsid w:val="00A42FF8"/>
    <w:rsid w:val="00A43273"/>
    <w:rsid w:val="00A44F37"/>
    <w:rsid w:val="00A45045"/>
    <w:rsid w:val="00A471DD"/>
    <w:rsid w:val="00A515BE"/>
    <w:rsid w:val="00A532DA"/>
    <w:rsid w:val="00A55421"/>
    <w:rsid w:val="00A55B5E"/>
    <w:rsid w:val="00A57F4C"/>
    <w:rsid w:val="00A619ED"/>
    <w:rsid w:val="00A61E10"/>
    <w:rsid w:val="00A648B9"/>
    <w:rsid w:val="00A64E02"/>
    <w:rsid w:val="00A65444"/>
    <w:rsid w:val="00A66331"/>
    <w:rsid w:val="00A67FEB"/>
    <w:rsid w:val="00A731B7"/>
    <w:rsid w:val="00A755AC"/>
    <w:rsid w:val="00A75639"/>
    <w:rsid w:val="00A75AA8"/>
    <w:rsid w:val="00A76D5A"/>
    <w:rsid w:val="00A76F11"/>
    <w:rsid w:val="00A77398"/>
    <w:rsid w:val="00A7782D"/>
    <w:rsid w:val="00A7791D"/>
    <w:rsid w:val="00A800B7"/>
    <w:rsid w:val="00A8019F"/>
    <w:rsid w:val="00A808EA"/>
    <w:rsid w:val="00A8155D"/>
    <w:rsid w:val="00A8274A"/>
    <w:rsid w:val="00A841FE"/>
    <w:rsid w:val="00A843F1"/>
    <w:rsid w:val="00A868CF"/>
    <w:rsid w:val="00A86A5D"/>
    <w:rsid w:val="00A9210A"/>
    <w:rsid w:val="00A9390B"/>
    <w:rsid w:val="00A93B5B"/>
    <w:rsid w:val="00A93B6A"/>
    <w:rsid w:val="00AA0EFD"/>
    <w:rsid w:val="00AA0FDB"/>
    <w:rsid w:val="00AA1B38"/>
    <w:rsid w:val="00AA36AF"/>
    <w:rsid w:val="00AA46D8"/>
    <w:rsid w:val="00AB1906"/>
    <w:rsid w:val="00AB2D98"/>
    <w:rsid w:val="00AB41A7"/>
    <w:rsid w:val="00AB7941"/>
    <w:rsid w:val="00AB7EAB"/>
    <w:rsid w:val="00AC1487"/>
    <w:rsid w:val="00AC4987"/>
    <w:rsid w:val="00AC4E4D"/>
    <w:rsid w:val="00AC4F2B"/>
    <w:rsid w:val="00AC72F5"/>
    <w:rsid w:val="00AC73F1"/>
    <w:rsid w:val="00AD3F9A"/>
    <w:rsid w:val="00AD5548"/>
    <w:rsid w:val="00AD59F9"/>
    <w:rsid w:val="00AD6569"/>
    <w:rsid w:val="00AD677C"/>
    <w:rsid w:val="00AE0D79"/>
    <w:rsid w:val="00AE0EBF"/>
    <w:rsid w:val="00AE0F7A"/>
    <w:rsid w:val="00AE1332"/>
    <w:rsid w:val="00AE1346"/>
    <w:rsid w:val="00AE27BF"/>
    <w:rsid w:val="00AE4570"/>
    <w:rsid w:val="00AE5A12"/>
    <w:rsid w:val="00AE712E"/>
    <w:rsid w:val="00AE7753"/>
    <w:rsid w:val="00AF18AB"/>
    <w:rsid w:val="00AF3CA9"/>
    <w:rsid w:val="00AF432F"/>
    <w:rsid w:val="00AF4B8F"/>
    <w:rsid w:val="00AF4E9C"/>
    <w:rsid w:val="00AF778B"/>
    <w:rsid w:val="00B02D5D"/>
    <w:rsid w:val="00B0431D"/>
    <w:rsid w:val="00B04AE1"/>
    <w:rsid w:val="00B04BAB"/>
    <w:rsid w:val="00B05DE8"/>
    <w:rsid w:val="00B07A9A"/>
    <w:rsid w:val="00B07EF6"/>
    <w:rsid w:val="00B104E8"/>
    <w:rsid w:val="00B1182F"/>
    <w:rsid w:val="00B13305"/>
    <w:rsid w:val="00B1468A"/>
    <w:rsid w:val="00B16452"/>
    <w:rsid w:val="00B17353"/>
    <w:rsid w:val="00B22119"/>
    <w:rsid w:val="00B2455A"/>
    <w:rsid w:val="00B2460B"/>
    <w:rsid w:val="00B258C5"/>
    <w:rsid w:val="00B2700A"/>
    <w:rsid w:val="00B27E69"/>
    <w:rsid w:val="00B35703"/>
    <w:rsid w:val="00B359C4"/>
    <w:rsid w:val="00B35B04"/>
    <w:rsid w:val="00B37003"/>
    <w:rsid w:val="00B42224"/>
    <w:rsid w:val="00B4230F"/>
    <w:rsid w:val="00B42C3F"/>
    <w:rsid w:val="00B43CA5"/>
    <w:rsid w:val="00B43E9E"/>
    <w:rsid w:val="00B440BD"/>
    <w:rsid w:val="00B458BC"/>
    <w:rsid w:val="00B5127C"/>
    <w:rsid w:val="00B51EEE"/>
    <w:rsid w:val="00B531F9"/>
    <w:rsid w:val="00B5585F"/>
    <w:rsid w:val="00B55B46"/>
    <w:rsid w:val="00B566E3"/>
    <w:rsid w:val="00B57BAF"/>
    <w:rsid w:val="00B61EA1"/>
    <w:rsid w:val="00B63C66"/>
    <w:rsid w:val="00B6549E"/>
    <w:rsid w:val="00B65E95"/>
    <w:rsid w:val="00B67D71"/>
    <w:rsid w:val="00B701FD"/>
    <w:rsid w:val="00B72D0D"/>
    <w:rsid w:val="00B73C9C"/>
    <w:rsid w:val="00B74B40"/>
    <w:rsid w:val="00B74D55"/>
    <w:rsid w:val="00B75B4E"/>
    <w:rsid w:val="00B82870"/>
    <w:rsid w:val="00B83ABE"/>
    <w:rsid w:val="00B84577"/>
    <w:rsid w:val="00B84D3E"/>
    <w:rsid w:val="00B8512D"/>
    <w:rsid w:val="00B86533"/>
    <w:rsid w:val="00B86C0D"/>
    <w:rsid w:val="00B90A53"/>
    <w:rsid w:val="00B9279E"/>
    <w:rsid w:val="00B93E57"/>
    <w:rsid w:val="00B952B4"/>
    <w:rsid w:val="00B95443"/>
    <w:rsid w:val="00B96E48"/>
    <w:rsid w:val="00B97A0C"/>
    <w:rsid w:val="00BA11DA"/>
    <w:rsid w:val="00BA1EBC"/>
    <w:rsid w:val="00BA29EF"/>
    <w:rsid w:val="00BA43B6"/>
    <w:rsid w:val="00BA526F"/>
    <w:rsid w:val="00BA5AC9"/>
    <w:rsid w:val="00BA5AD5"/>
    <w:rsid w:val="00BA67B5"/>
    <w:rsid w:val="00BA6845"/>
    <w:rsid w:val="00BA6875"/>
    <w:rsid w:val="00BA7C6B"/>
    <w:rsid w:val="00BB12A2"/>
    <w:rsid w:val="00BB4323"/>
    <w:rsid w:val="00BB46E0"/>
    <w:rsid w:val="00BB73CF"/>
    <w:rsid w:val="00BC0949"/>
    <w:rsid w:val="00BC179C"/>
    <w:rsid w:val="00BC39C7"/>
    <w:rsid w:val="00BC4674"/>
    <w:rsid w:val="00BC5AC5"/>
    <w:rsid w:val="00BD1B1D"/>
    <w:rsid w:val="00BD2EC2"/>
    <w:rsid w:val="00BD3D8C"/>
    <w:rsid w:val="00BD4603"/>
    <w:rsid w:val="00BD496F"/>
    <w:rsid w:val="00BD55DE"/>
    <w:rsid w:val="00BD5BFA"/>
    <w:rsid w:val="00BD6118"/>
    <w:rsid w:val="00BD75B2"/>
    <w:rsid w:val="00BE2D50"/>
    <w:rsid w:val="00BE4B59"/>
    <w:rsid w:val="00BE63EB"/>
    <w:rsid w:val="00BE7A41"/>
    <w:rsid w:val="00BF2A11"/>
    <w:rsid w:val="00BF4EC6"/>
    <w:rsid w:val="00BF538C"/>
    <w:rsid w:val="00C0404D"/>
    <w:rsid w:val="00C04AB0"/>
    <w:rsid w:val="00C055A3"/>
    <w:rsid w:val="00C05CD2"/>
    <w:rsid w:val="00C05F22"/>
    <w:rsid w:val="00C07E2A"/>
    <w:rsid w:val="00C10B3A"/>
    <w:rsid w:val="00C11837"/>
    <w:rsid w:val="00C13768"/>
    <w:rsid w:val="00C14687"/>
    <w:rsid w:val="00C167FA"/>
    <w:rsid w:val="00C1767D"/>
    <w:rsid w:val="00C21499"/>
    <w:rsid w:val="00C21516"/>
    <w:rsid w:val="00C21BA9"/>
    <w:rsid w:val="00C22F20"/>
    <w:rsid w:val="00C23A5A"/>
    <w:rsid w:val="00C25E63"/>
    <w:rsid w:val="00C269A4"/>
    <w:rsid w:val="00C30837"/>
    <w:rsid w:val="00C308DA"/>
    <w:rsid w:val="00C30934"/>
    <w:rsid w:val="00C30DB7"/>
    <w:rsid w:val="00C31CEC"/>
    <w:rsid w:val="00C31FE5"/>
    <w:rsid w:val="00C323E1"/>
    <w:rsid w:val="00C33108"/>
    <w:rsid w:val="00C33DDF"/>
    <w:rsid w:val="00C36749"/>
    <w:rsid w:val="00C374ED"/>
    <w:rsid w:val="00C40058"/>
    <w:rsid w:val="00C4023C"/>
    <w:rsid w:val="00C40A40"/>
    <w:rsid w:val="00C41D29"/>
    <w:rsid w:val="00C45351"/>
    <w:rsid w:val="00C46B88"/>
    <w:rsid w:val="00C4729F"/>
    <w:rsid w:val="00C473F8"/>
    <w:rsid w:val="00C475B0"/>
    <w:rsid w:val="00C53101"/>
    <w:rsid w:val="00C53309"/>
    <w:rsid w:val="00C56A9D"/>
    <w:rsid w:val="00C57091"/>
    <w:rsid w:val="00C57C94"/>
    <w:rsid w:val="00C63DF8"/>
    <w:rsid w:val="00C65E1D"/>
    <w:rsid w:val="00C663F3"/>
    <w:rsid w:val="00C67670"/>
    <w:rsid w:val="00C67EEE"/>
    <w:rsid w:val="00C70E89"/>
    <w:rsid w:val="00C717EB"/>
    <w:rsid w:val="00C759A6"/>
    <w:rsid w:val="00C77064"/>
    <w:rsid w:val="00C77386"/>
    <w:rsid w:val="00C81902"/>
    <w:rsid w:val="00C8354E"/>
    <w:rsid w:val="00C84AE3"/>
    <w:rsid w:val="00C86BCF"/>
    <w:rsid w:val="00C90FDB"/>
    <w:rsid w:val="00C92E52"/>
    <w:rsid w:val="00C93FF7"/>
    <w:rsid w:val="00C94153"/>
    <w:rsid w:val="00C95A23"/>
    <w:rsid w:val="00CA0573"/>
    <w:rsid w:val="00CA15A6"/>
    <w:rsid w:val="00CA1CEB"/>
    <w:rsid w:val="00CA2E0B"/>
    <w:rsid w:val="00CA43A3"/>
    <w:rsid w:val="00CA44B8"/>
    <w:rsid w:val="00CA44BE"/>
    <w:rsid w:val="00CA46CD"/>
    <w:rsid w:val="00CA4D30"/>
    <w:rsid w:val="00CA71EE"/>
    <w:rsid w:val="00CA771D"/>
    <w:rsid w:val="00CB108A"/>
    <w:rsid w:val="00CB214C"/>
    <w:rsid w:val="00CB2262"/>
    <w:rsid w:val="00CB2275"/>
    <w:rsid w:val="00CB2DA2"/>
    <w:rsid w:val="00CB4387"/>
    <w:rsid w:val="00CB4C10"/>
    <w:rsid w:val="00CB5B8F"/>
    <w:rsid w:val="00CB5CFA"/>
    <w:rsid w:val="00CB6B5E"/>
    <w:rsid w:val="00CB6C88"/>
    <w:rsid w:val="00CB6CCF"/>
    <w:rsid w:val="00CC016E"/>
    <w:rsid w:val="00CC125F"/>
    <w:rsid w:val="00CC236F"/>
    <w:rsid w:val="00CC39C4"/>
    <w:rsid w:val="00CC4D92"/>
    <w:rsid w:val="00CC4EF1"/>
    <w:rsid w:val="00CD04AA"/>
    <w:rsid w:val="00CD0F43"/>
    <w:rsid w:val="00CD3F8E"/>
    <w:rsid w:val="00CD5206"/>
    <w:rsid w:val="00CD524D"/>
    <w:rsid w:val="00CD5972"/>
    <w:rsid w:val="00CD603B"/>
    <w:rsid w:val="00CD66FB"/>
    <w:rsid w:val="00CD6FAA"/>
    <w:rsid w:val="00CD7C48"/>
    <w:rsid w:val="00CD7C89"/>
    <w:rsid w:val="00CE121B"/>
    <w:rsid w:val="00CE1CB6"/>
    <w:rsid w:val="00CE1EEB"/>
    <w:rsid w:val="00CE24F1"/>
    <w:rsid w:val="00CE34B1"/>
    <w:rsid w:val="00CE37CF"/>
    <w:rsid w:val="00CE517A"/>
    <w:rsid w:val="00CE551A"/>
    <w:rsid w:val="00CE5895"/>
    <w:rsid w:val="00CE7F12"/>
    <w:rsid w:val="00CF0639"/>
    <w:rsid w:val="00CF2601"/>
    <w:rsid w:val="00CF34D3"/>
    <w:rsid w:val="00CF5469"/>
    <w:rsid w:val="00CF6D5A"/>
    <w:rsid w:val="00CF6F32"/>
    <w:rsid w:val="00CF7062"/>
    <w:rsid w:val="00CF7070"/>
    <w:rsid w:val="00CF7583"/>
    <w:rsid w:val="00D0003D"/>
    <w:rsid w:val="00D01072"/>
    <w:rsid w:val="00D02B93"/>
    <w:rsid w:val="00D02F5F"/>
    <w:rsid w:val="00D0401C"/>
    <w:rsid w:val="00D0411E"/>
    <w:rsid w:val="00D044FF"/>
    <w:rsid w:val="00D04F15"/>
    <w:rsid w:val="00D061D8"/>
    <w:rsid w:val="00D0694C"/>
    <w:rsid w:val="00D10923"/>
    <w:rsid w:val="00D10A4C"/>
    <w:rsid w:val="00D141B5"/>
    <w:rsid w:val="00D14C23"/>
    <w:rsid w:val="00D15AB2"/>
    <w:rsid w:val="00D1708C"/>
    <w:rsid w:val="00D21D8F"/>
    <w:rsid w:val="00D23E62"/>
    <w:rsid w:val="00D249F6"/>
    <w:rsid w:val="00D24D32"/>
    <w:rsid w:val="00D24D45"/>
    <w:rsid w:val="00D253F1"/>
    <w:rsid w:val="00D25586"/>
    <w:rsid w:val="00D2785C"/>
    <w:rsid w:val="00D3015E"/>
    <w:rsid w:val="00D3149D"/>
    <w:rsid w:val="00D31DD2"/>
    <w:rsid w:val="00D35308"/>
    <w:rsid w:val="00D35D4D"/>
    <w:rsid w:val="00D36571"/>
    <w:rsid w:val="00D408B7"/>
    <w:rsid w:val="00D4096E"/>
    <w:rsid w:val="00D4161D"/>
    <w:rsid w:val="00D42425"/>
    <w:rsid w:val="00D43514"/>
    <w:rsid w:val="00D45446"/>
    <w:rsid w:val="00D45D34"/>
    <w:rsid w:val="00D45DC0"/>
    <w:rsid w:val="00D45DF9"/>
    <w:rsid w:val="00D463D6"/>
    <w:rsid w:val="00D4747E"/>
    <w:rsid w:val="00D47E16"/>
    <w:rsid w:val="00D50DA6"/>
    <w:rsid w:val="00D50EDE"/>
    <w:rsid w:val="00D51D18"/>
    <w:rsid w:val="00D52DBD"/>
    <w:rsid w:val="00D53816"/>
    <w:rsid w:val="00D54334"/>
    <w:rsid w:val="00D5557A"/>
    <w:rsid w:val="00D61000"/>
    <w:rsid w:val="00D635FB"/>
    <w:rsid w:val="00D65E89"/>
    <w:rsid w:val="00D66B3A"/>
    <w:rsid w:val="00D66E61"/>
    <w:rsid w:val="00D67D0A"/>
    <w:rsid w:val="00D67DB9"/>
    <w:rsid w:val="00D70CF6"/>
    <w:rsid w:val="00D732D2"/>
    <w:rsid w:val="00D74072"/>
    <w:rsid w:val="00D748FB"/>
    <w:rsid w:val="00D76165"/>
    <w:rsid w:val="00D7634F"/>
    <w:rsid w:val="00D76ACA"/>
    <w:rsid w:val="00D77D15"/>
    <w:rsid w:val="00D77DD5"/>
    <w:rsid w:val="00D8030F"/>
    <w:rsid w:val="00D81F67"/>
    <w:rsid w:val="00D82515"/>
    <w:rsid w:val="00D82E22"/>
    <w:rsid w:val="00D849B1"/>
    <w:rsid w:val="00D8662A"/>
    <w:rsid w:val="00D906C6"/>
    <w:rsid w:val="00D90C83"/>
    <w:rsid w:val="00D92643"/>
    <w:rsid w:val="00D92B58"/>
    <w:rsid w:val="00D93326"/>
    <w:rsid w:val="00D94F6C"/>
    <w:rsid w:val="00D956FF"/>
    <w:rsid w:val="00D9696A"/>
    <w:rsid w:val="00DA12C0"/>
    <w:rsid w:val="00DA1347"/>
    <w:rsid w:val="00DA2A0C"/>
    <w:rsid w:val="00DA5599"/>
    <w:rsid w:val="00DA6655"/>
    <w:rsid w:val="00DA7273"/>
    <w:rsid w:val="00DB109D"/>
    <w:rsid w:val="00DB2509"/>
    <w:rsid w:val="00DB325B"/>
    <w:rsid w:val="00DB4014"/>
    <w:rsid w:val="00DB62B6"/>
    <w:rsid w:val="00DB7238"/>
    <w:rsid w:val="00DB7655"/>
    <w:rsid w:val="00DC18C6"/>
    <w:rsid w:val="00DC2688"/>
    <w:rsid w:val="00DC2E16"/>
    <w:rsid w:val="00DC3967"/>
    <w:rsid w:val="00DC571F"/>
    <w:rsid w:val="00DC6C06"/>
    <w:rsid w:val="00DD1778"/>
    <w:rsid w:val="00DD183F"/>
    <w:rsid w:val="00DD19E1"/>
    <w:rsid w:val="00DD352E"/>
    <w:rsid w:val="00DD56F5"/>
    <w:rsid w:val="00DD5717"/>
    <w:rsid w:val="00DD623E"/>
    <w:rsid w:val="00DD787E"/>
    <w:rsid w:val="00DD7A8E"/>
    <w:rsid w:val="00DD7B4D"/>
    <w:rsid w:val="00DE0664"/>
    <w:rsid w:val="00DE266E"/>
    <w:rsid w:val="00DE3A97"/>
    <w:rsid w:val="00DE3C1A"/>
    <w:rsid w:val="00DE660F"/>
    <w:rsid w:val="00DE6D58"/>
    <w:rsid w:val="00DE7A11"/>
    <w:rsid w:val="00DF14C4"/>
    <w:rsid w:val="00DF14D0"/>
    <w:rsid w:val="00DF1527"/>
    <w:rsid w:val="00DF4812"/>
    <w:rsid w:val="00DF4955"/>
    <w:rsid w:val="00DF7271"/>
    <w:rsid w:val="00E02D76"/>
    <w:rsid w:val="00E04083"/>
    <w:rsid w:val="00E048EC"/>
    <w:rsid w:val="00E0682E"/>
    <w:rsid w:val="00E07559"/>
    <w:rsid w:val="00E112AA"/>
    <w:rsid w:val="00E11F17"/>
    <w:rsid w:val="00E14531"/>
    <w:rsid w:val="00E151F5"/>
    <w:rsid w:val="00E15DB9"/>
    <w:rsid w:val="00E1634C"/>
    <w:rsid w:val="00E17795"/>
    <w:rsid w:val="00E2013D"/>
    <w:rsid w:val="00E2289C"/>
    <w:rsid w:val="00E25896"/>
    <w:rsid w:val="00E26712"/>
    <w:rsid w:val="00E2772F"/>
    <w:rsid w:val="00E2791F"/>
    <w:rsid w:val="00E31B7D"/>
    <w:rsid w:val="00E32339"/>
    <w:rsid w:val="00E32824"/>
    <w:rsid w:val="00E33460"/>
    <w:rsid w:val="00E34B95"/>
    <w:rsid w:val="00E35173"/>
    <w:rsid w:val="00E36044"/>
    <w:rsid w:val="00E36AB2"/>
    <w:rsid w:val="00E41866"/>
    <w:rsid w:val="00E44103"/>
    <w:rsid w:val="00E443D3"/>
    <w:rsid w:val="00E451A8"/>
    <w:rsid w:val="00E45C36"/>
    <w:rsid w:val="00E47719"/>
    <w:rsid w:val="00E47943"/>
    <w:rsid w:val="00E51688"/>
    <w:rsid w:val="00E523A6"/>
    <w:rsid w:val="00E52E04"/>
    <w:rsid w:val="00E531F7"/>
    <w:rsid w:val="00E537C7"/>
    <w:rsid w:val="00E56012"/>
    <w:rsid w:val="00E56849"/>
    <w:rsid w:val="00E57D72"/>
    <w:rsid w:val="00E61041"/>
    <w:rsid w:val="00E613C1"/>
    <w:rsid w:val="00E630EC"/>
    <w:rsid w:val="00E64471"/>
    <w:rsid w:val="00E6455F"/>
    <w:rsid w:val="00E67483"/>
    <w:rsid w:val="00E701F1"/>
    <w:rsid w:val="00E70800"/>
    <w:rsid w:val="00E70872"/>
    <w:rsid w:val="00E72D63"/>
    <w:rsid w:val="00E7310E"/>
    <w:rsid w:val="00E739C9"/>
    <w:rsid w:val="00E74A81"/>
    <w:rsid w:val="00E74AD8"/>
    <w:rsid w:val="00E74E48"/>
    <w:rsid w:val="00E75367"/>
    <w:rsid w:val="00E75F4A"/>
    <w:rsid w:val="00E76049"/>
    <w:rsid w:val="00E777E7"/>
    <w:rsid w:val="00E80005"/>
    <w:rsid w:val="00E8004E"/>
    <w:rsid w:val="00E80D9D"/>
    <w:rsid w:val="00E848BB"/>
    <w:rsid w:val="00E8560E"/>
    <w:rsid w:val="00E8732D"/>
    <w:rsid w:val="00E87945"/>
    <w:rsid w:val="00E90438"/>
    <w:rsid w:val="00E9068D"/>
    <w:rsid w:val="00E9086A"/>
    <w:rsid w:val="00E911AC"/>
    <w:rsid w:val="00E92186"/>
    <w:rsid w:val="00E93AF8"/>
    <w:rsid w:val="00E94B90"/>
    <w:rsid w:val="00EA0788"/>
    <w:rsid w:val="00EA1A34"/>
    <w:rsid w:val="00EA2DC8"/>
    <w:rsid w:val="00EA32AA"/>
    <w:rsid w:val="00EA37DA"/>
    <w:rsid w:val="00EA5041"/>
    <w:rsid w:val="00EA730F"/>
    <w:rsid w:val="00EA78C7"/>
    <w:rsid w:val="00EB0D60"/>
    <w:rsid w:val="00EB0F97"/>
    <w:rsid w:val="00EB147F"/>
    <w:rsid w:val="00EB1F2C"/>
    <w:rsid w:val="00EB2BB6"/>
    <w:rsid w:val="00EB4239"/>
    <w:rsid w:val="00EB5C7C"/>
    <w:rsid w:val="00EB61D8"/>
    <w:rsid w:val="00EB6C24"/>
    <w:rsid w:val="00EB7179"/>
    <w:rsid w:val="00EB7A63"/>
    <w:rsid w:val="00EC16CE"/>
    <w:rsid w:val="00EC1D36"/>
    <w:rsid w:val="00EC4FC6"/>
    <w:rsid w:val="00EC5276"/>
    <w:rsid w:val="00EC5361"/>
    <w:rsid w:val="00EC5965"/>
    <w:rsid w:val="00EC633D"/>
    <w:rsid w:val="00EC6BAF"/>
    <w:rsid w:val="00ED31D8"/>
    <w:rsid w:val="00ED5848"/>
    <w:rsid w:val="00ED5BB8"/>
    <w:rsid w:val="00ED7584"/>
    <w:rsid w:val="00EE3350"/>
    <w:rsid w:val="00EE3E6F"/>
    <w:rsid w:val="00EE5816"/>
    <w:rsid w:val="00EE5EB2"/>
    <w:rsid w:val="00EE7BAA"/>
    <w:rsid w:val="00EF10A8"/>
    <w:rsid w:val="00EF133A"/>
    <w:rsid w:val="00EF37EF"/>
    <w:rsid w:val="00EF3C3D"/>
    <w:rsid w:val="00EF457D"/>
    <w:rsid w:val="00EF5F86"/>
    <w:rsid w:val="00EF6C1A"/>
    <w:rsid w:val="00EF7E7C"/>
    <w:rsid w:val="00F014E9"/>
    <w:rsid w:val="00F01C2A"/>
    <w:rsid w:val="00F0321D"/>
    <w:rsid w:val="00F03CEF"/>
    <w:rsid w:val="00F04B5B"/>
    <w:rsid w:val="00F07722"/>
    <w:rsid w:val="00F07730"/>
    <w:rsid w:val="00F07DB3"/>
    <w:rsid w:val="00F101FD"/>
    <w:rsid w:val="00F10416"/>
    <w:rsid w:val="00F116B3"/>
    <w:rsid w:val="00F11E4E"/>
    <w:rsid w:val="00F1201F"/>
    <w:rsid w:val="00F12481"/>
    <w:rsid w:val="00F17B7E"/>
    <w:rsid w:val="00F231C4"/>
    <w:rsid w:val="00F24C7E"/>
    <w:rsid w:val="00F257C1"/>
    <w:rsid w:val="00F25C82"/>
    <w:rsid w:val="00F300F3"/>
    <w:rsid w:val="00F309F2"/>
    <w:rsid w:val="00F30D1D"/>
    <w:rsid w:val="00F30FC8"/>
    <w:rsid w:val="00F315E7"/>
    <w:rsid w:val="00F33BEE"/>
    <w:rsid w:val="00F36E77"/>
    <w:rsid w:val="00F37561"/>
    <w:rsid w:val="00F41D7B"/>
    <w:rsid w:val="00F454D0"/>
    <w:rsid w:val="00F46C3D"/>
    <w:rsid w:val="00F47F08"/>
    <w:rsid w:val="00F5130C"/>
    <w:rsid w:val="00F535C6"/>
    <w:rsid w:val="00F53D2B"/>
    <w:rsid w:val="00F552B6"/>
    <w:rsid w:val="00F552EE"/>
    <w:rsid w:val="00F5705D"/>
    <w:rsid w:val="00F61102"/>
    <w:rsid w:val="00F6116F"/>
    <w:rsid w:val="00F63A2E"/>
    <w:rsid w:val="00F65932"/>
    <w:rsid w:val="00F65D59"/>
    <w:rsid w:val="00F70865"/>
    <w:rsid w:val="00F70D43"/>
    <w:rsid w:val="00F71B7B"/>
    <w:rsid w:val="00F7209A"/>
    <w:rsid w:val="00F7553F"/>
    <w:rsid w:val="00F77F27"/>
    <w:rsid w:val="00F804D3"/>
    <w:rsid w:val="00F809DC"/>
    <w:rsid w:val="00F80E7E"/>
    <w:rsid w:val="00F81143"/>
    <w:rsid w:val="00F8379E"/>
    <w:rsid w:val="00F84404"/>
    <w:rsid w:val="00F868D8"/>
    <w:rsid w:val="00F87682"/>
    <w:rsid w:val="00F87BAA"/>
    <w:rsid w:val="00F901B6"/>
    <w:rsid w:val="00F9170E"/>
    <w:rsid w:val="00F926FE"/>
    <w:rsid w:val="00F9376A"/>
    <w:rsid w:val="00FA1699"/>
    <w:rsid w:val="00FA197F"/>
    <w:rsid w:val="00FA47D8"/>
    <w:rsid w:val="00FA5A00"/>
    <w:rsid w:val="00FA6D8F"/>
    <w:rsid w:val="00FB246B"/>
    <w:rsid w:val="00FB322E"/>
    <w:rsid w:val="00FB4C7D"/>
    <w:rsid w:val="00FB63F5"/>
    <w:rsid w:val="00FB67F1"/>
    <w:rsid w:val="00FB7116"/>
    <w:rsid w:val="00FB7766"/>
    <w:rsid w:val="00FC02BF"/>
    <w:rsid w:val="00FC045E"/>
    <w:rsid w:val="00FC08EA"/>
    <w:rsid w:val="00FC156A"/>
    <w:rsid w:val="00FC1EF0"/>
    <w:rsid w:val="00FC276D"/>
    <w:rsid w:val="00FC27F5"/>
    <w:rsid w:val="00FC2CA5"/>
    <w:rsid w:val="00FC4B4C"/>
    <w:rsid w:val="00FC5215"/>
    <w:rsid w:val="00FC6AAC"/>
    <w:rsid w:val="00FD169E"/>
    <w:rsid w:val="00FD28F6"/>
    <w:rsid w:val="00FD3B30"/>
    <w:rsid w:val="00FD481B"/>
    <w:rsid w:val="00FD54E9"/>
    <w:rsid w:val="00FD55CC"/>
    <w:rsid w:val="00FD5DD9"/>
    <w:rsid w:val="00FD6DED"/>
    <w:rsid w:val="00FD72FA"/>
    <w:rsid w:val="00FD7B1A"/>
    <w:rsid w:val="00FE24CA"/>
    <w:rsid w:val="00FE2E5D"/>
    <w:rsid w:val="00FE52BB"/>
    <w:rsid w:val="00FE6525"/>
    <w:rsid w:val="00FE6D85"/>
    <w:rsid w:val="00FE7865"/>
    <w:rsid w:val="00FE78ED"/>
    <w:rsid w:val="00FF021F"/>
    <w:rsid w:val="00FF13A7"/>
    <w:rsid w:val="00FF1724"/>
    <w:rsid w:val="00FF1757"/>
    <w:rsid w:val="00FF2A33"/>
    <w:rsid w:val="00FF413A"/>
    <w:rsid w:val="00FF482A"/>
    <w:rsid w:val="00FF5666"/>
    <w:rsid w:val="00FF595A"/>
    <w:rsid w:val="01001B5E"/>
    <w:rsid w:val="01213327"/>
    <w:rsid w:val="01540DFA"/>
    <w:rsid w:val="0159615A"/>
    <w:rsid w:val="015D72C2"/>
    <w:rsid w:val="016F51CA"/>
    <w:rsid w:val="01AD0511"/>
    <w:rsid w:val="01D83FAA"/>
    <w:rsid w:val="01F25EBA"/>
    <w:rsid w:val="02061202"/>
    <w:rsid w:val="020E4D8C"/>
    <w:rsid w:val="023760F0"/>
    <w:rsid w:val="02521120"/>
    <w:rsid w:val="02536887"/>
    <w:rsid w:val="0273217C"/>
    <w:rsid w:val="02852198"/>
    <w:rsid w:val="0288005D"/>
    <w:rsid w:val="028D69D3"/>
    <w:rsid w:val="02942E16"/>
    <w:rsid w:val="029C5066"/>
    <w:rsid w:val="02A71A52"/>
    <w:rsid w:val="02F76C32"/>
    <w:rsid w:val="03032227"/>
    <w:rsid w:val="03592863"/>
    <w:rsid w:val="03636E84"/>
    <w:rsid w:val="036A2EF1"/>
    <w:rsid w:val="036E7BD0"/>
    <w:rsid w:val="038C10A2"/>
    <w:rsid w:val="03B604E9"/>
    <w:rsid w:val="03E5328D"/>
    <w:rsid w:val="040773FD"/>
    <w:rsid w:val="042B0C4E"/>
    <w:rsid w:val="043036FA"/>
    <w:rsid w:val="043B462C"/>
    <w:rsid w:val="047E4B2F"/>
    <w:rsid w:val="048C7171"/>
    <w:rsid w:val="04AF0173"/>
    <w:rsid w:val="05007607"/>
    <w:rsid w:val="05016F2E"/>
    <w:rsid w:val="051B0361"/>
    <w:rsid w:val="055A6A9F"/>
    <w:rsid w:val="056326BB"/>
    <w:rsid w:val="05B15924"/>
    <w:rsid w:val="05B17314"/>
    <w:rsid w:val="05B824C6"/>
    <w:rsid w:val="05B82808"/>
    <w:rsid w:val="05BE6711"/>
    <w:rsid w:val="05CC75D4"/>
    <w:rsid w:val="05EC077D"/>
    <w:rsid w:val="05F21A2E"/>
    <w:rsid w:val="060C14BF"/>
    <w:rsid w:val="06181458"/>
    <w:rsid w:val="06451DC1"/>
    <w:rsid w:val="06F7130D"/>
    <w:rsid w:val="078857E6"/>
    <w:rsid w:val="07E6312F"/>
    <w:rsid w:val="07F35300"/>
    <w:rsid w:val="08607D53"/>
    <w:rsid w:val="08776AAE"/>
    <w:rsid w:val="0932116E"/>
    <w:rsid w:val="09353CDF"/>
    <w:rsid w:val="095D3BE8"/>
    <w:rsid w:val="09FC30DE"/>
    <w:rsid w:val="0A03366B"/>
    <w:rsid w:val="0A0F696E"/>
    <w:rsid w:val="0A116B8A"/>
    <w:rsid w:val="0AAE35C0"/>
    <w:rsid w:val="0B085775"/>
    <w:rsid w:val="0B6F4B54"/>
    <w:rsid w:val="0B97617C"/>
    <w:rsid w:val="0BB52F5E"/>
    <w:rsid w:val="0C7C3677"/>
    <w:rsid w:val="0D08750B"/>
    <w:rsid w:val="0D2A05DD"/>
    <w:rsid w:val="0D4B564F"/>
    <w:rsid w:val="0D5D3E94"/>
    <w:rsid w:val="0D634C74"/>
    <w:rsid w:val="0D6B2B7C"/>
    <w:rsid w:val="0D775A76"/>
    <w:rsid w:val="0D7C6A10"/>
    <w:rsid w:val="0DED04D9"/>
    <w:rsid w:val="0DFC545B"/>
    <w:rsid w:val="0E51617F"/>
    <w:rsid w:val="0E7C14B8"/>
    <w:rsid w:val="0ECC0E94"/>
    <w:rsid w:val="0F2D50DA"/>
    <w:rsid w:val="0F56503F"/>
    <w:rsid w:val="0F6A29B1"/>
    <w:rsid w:val="0F854DD3"/>
    <w:rsid w:val="0FA10CFD"/>
    <w:rsid w:val="0FA170F3"/>
    <w:rsid w:val="0FA91EDD"/>
    <w:rsid w:val="0FB0474F"/>
    <w:rsid w:val="0FBE0420"/>
    <w:rsid w:val="0FDA5C70"/>
    <w:rsid w:val="100475D4"/>
    <w:rsid w:val="10101691"/>
    <w:rsid w:val="102A51AB"/>
    <w:rsid w:val="102B78D1"/>
    <w:rsid w:val="10437371"/>
    <w:rsid w:val="104607E7"/>
    <w:rsid w:val="1090058C"/>
    <w:rsid w:val="10AA3894"/>
    <w:rsid w:val="115D26B4"/>
    <w:rsid w:val="11AE7728"/>
    <w:rsid w:val="11E85030"/>
    <w:rsid w:val="1206631D"/>
    <w:rsid w:val="12BF17D8"/>
    <w:rsid w:val="12CA33DE"/>
    <w:rsid w:val="136C251E"/>
    <w:rsid w:val="13BB1914"/>
    <w:rsid w:val="13C70DE8"/>
    <w:rsid w:val="14081494"/>
    <w:rsid w:val="1482101A"/>
    <w:rsid w:val="14857B22"/>
    <w:rsid w:val="14874C9B"/>
    <w:rsid w:val="14D62EA9"/>
    <w:rsid w:val="14E35E82"/>
    <w:rsid w:val="14EE2629"/>
    <w:rsid w:val="151B6B0E"/>
    <w:rsid w:val="151F514B"/>
    <w:rsid w:val="15370A5B"/>
    <w:rsid w:val="15395566"/>
    <w:rsid w:val="153E00F7"/>
    <w:rsid w:val="15477903"/>
    <w:rsid w:val="154D68CC"/>
    <w:rsid w:val="1567174E"/>
    <w:rsid w:val="15A45A25"/>
    <w:rsid w:val="15B42ABF"/>
    <w:rsid w:val="15BA0AC8"/>
    <w:rsid w:val="16021A7C"/>
    <w:rsid w:val="1628715A"/>
    <w:rsid w:val="1683084D"/>
    <w:rsid w:val="16B74615"/>
    <w:rsid w:val="172A3039"/>
    <w:rsid w:val="17576D2C"/>
    <w:rsid w:val="175865D3"/>
    <w:rsid w:val="18041B23"/>
    <w:rsid w:val="18240109"/>
    <w:rsid w:val="18241D28"/>
    <w:rsid w:val="18351C95"/>
    <w:rsid w:val="18636E02"/>
    <w:rsid w:val="187C653F"/>
    <w:rsid w:val="18DF42F7"/>
    <w:rsid w:val="18E41886"/>
    <w:rsid w:val="18F23EC7"/>
    <w:rsid w:val="18F32908"/>
    <w:rsid w:val="19181837"/>
    <w:rsid w:val="193A152D"/>
    <w:rsid w:val="1967175C"/>
    <w:rsid w:val="19977787"/>
    <w:rsid w:val="19983019"/>
    <w:rsid w:val="1A045D79"/>
    <w:rsid w:val="1A281D03"/>
    <w:rsid w:val="1A6C4215"/>
    <w:rsid w:val="1ABA2DF7"/>
    <w:rsid w:val="1ABF3C69"/>
    <w:rsid w:val="1ACE0BF7"/>
    <w:rsid w:val="1AE53319"/>
    <w:rsid w:val="1B1D5C78"/>
    <w:rsid w:val="1BA85F8A"/>
    <w:rsid w:val="1BE02355"/>
    <w:rsid w:val="1C634861"/>
    <w:rsid w:val="1C995575"/>
    <w:rsid w:val="1CE126D6"/>
    <w:rsid w:val="1CFD6E94"/>
    <w:rsid w:val="1CFE2DC9"/>
    <w:rsid w:val="1D6A756B"/>
    <w:rsid w:val="1D911C83"/>
    <w:rsid w:val="1DA0047B"/>
    <w:rsid w:val="1DB94275"/>
    <w:rsid w:val="1DC23F1B"/>
    <w:rsid w:val="1DC792F5"/>
    <w:rsid w:val="1DEA52D0"/>
    <w:rsid w:val="1E3B5F12"/>
    <w:rsid w:val="1E9E050F"/>
    <w:rsid w:val="1EC9532E"/>
    <w:rsid w:val="1F2C3865"/>
    <w:rsid w:val="1F4C44BD"/>
    <w:rsid w:val="1F705984"/>
    <w:rsid w:val="1F737547"/>
    <w:rsid w:val="1F9909CC"/>
    <w:rsid w:val="1FDA3489"/>
    <w:rsid w:val="1FDB59C8"/>
    <w:rsid w:val="1FE06870"/>
    <w:rsid w:val="1FE25833"/>
    <w:rsid w:val="20597A77"/>
    <w:rsid w:val="206A606B"/>
    <w:rsid w:val="207E65CE"/>
    <w:rsid w:val="20A012F8"/>
    <w:rsid w:val="213D147B"/>
    <w:rsid w:val="2180281E"/>
    <w:rsid w:val="21AE532C"/>
    <w:rsid w:val="21EE4E29"/>
    <w:rsid w:val="223A40A2"/>
    <w:rsid w:val="22646282"/>
    <w:rsid w:val="22AA045B"/>
    <w:rsid w:val="22B47F7A"/>
    <w:rsid w:val="22D829A7"/>
    <w:rsid w:val="23207BCC"/>
    <w:rsid w:val="232E0FE1"/>
    <w:rsid w:val="23563407"/>
    <w:rsid w:val="23A13F46"/>
    <w:rsid w:val="23DE63FB"/>
    <w:rsid w:val="24327310"/>
    <w:rsid w:val="247B7793"/>
    <w:rsid w:val="24A94D5B"/>
    <w:rsid w:val="24AA4B55"/>
    <w:rsid w:val="24AA7567"/>
    <w:rsid w:val="2596644A"/>
    <w:rsid w:val="25985109"/>
    <w:rsid w:val="25D81C6D"/>
    <w:rsid w:val="261310D6"/>
    <w:rsid w:val="263317DE"/>
    <w:rsid w:val="26597496"/>
    <w:rsid w:val="266210C1"/>
    <w:rsid w:val="267047E0"/>
    <w:rsid w:val="26A20A66"/>
    <w:rsid w:val="26FA62D1"/>
    <w:rsid w:val="274A29E8"/>
    <w:rsid w:val="276244A4"/>
    <w:rsid w:val="27840543"/>
    <w:rsid w:val="27B801ED"/>
    <w:rsid w:val="28285776"/>
    <w:rsid w:val="28430770"/>
    <w:rsid w:val="284D0D11"/>
    <w:rsid w:val="28610884"/>
    <w:rsid w:val="289A2FE4"/>
    <w:rsid w:val="28B74289"/>
    <w:rsid w:val="28BE1E1C"/>
    <w:rsid w:val="28C775BB"/>
    <w:rsid w:val="28D53695"/>
    <w:rsid w:val="2937350A"/>
    <w:rsid w:val="29DD218D"/>
    <w:rsid w:val="2A33127C"/>
    <w:rsid w:val="2A445C02"/>
    <w:rsid w:val="2A5D141B"/>
    <w:rsid w:val="2AA13BAE"/>
    <w:rsid w:val="2AB90326"/>
    <w:rsid w:val="2AC44DF1"/>
    <w:rsid w:val="2AE82B97"/>
    <w:rsid w:val="2B1E3717"/>
    <w:rsid w:val="2B1E6118"/>
    <w:rsid w:val="2B301717"/>
    <w:rsid w:val="2B3E372E"/>
    <w:rsid w:val="2B5863FB"/>
    <w:rsid w:val="2B746B21"/>
    <w:rsid w:val="2BA32DC6"/>
    <w:rsid w:val="2BDD1D05"/>
    <w:rsid w:val="2C436FBE"/>
    <w:rsid w:val="2C6D2A49"/>
    <w:rsid w:val="2C8E59C0"/>
    <w:rsid w:val="2CAC759C"/>
    <w:rsid w:val="2CB10771"/>
    <w:rsid w:val="2CC97ED5"/>
    <w:rsid w:val="2CE83322"/>
    <w:rsid w:val="2D1325FF"/>
    <w:rsid w:val="2D293C41"/>
    <w:rsid w:val="2D4F15F3"/>
    <w:rsid w:val="2D5F5E3F"/>
    <w:rsid w:val="2D8A5C63"/>
    <w:rsid w:val="2D9E7C3A"/>
    <w:rsid w:val="2DAC51CD"/>
    <w:rsid w:val="2DE97352"/>
    <w:rsid w:val="2DFE0923"/>
    <w:rsid w:val="2E921867"/>
    <w:rsid w:val="2ECC4007"/>
    <w:rsid w:val="2EE360DB"/>
    <w:rsid w:val="2F1A7B3E"/>
    <w:rsid w:val="2F1D6B86"/>
    <w:rsid w:val="2F2D14C0"/>
    <w:rsid w:val="2F4A6A85"/>
    <w:rsid w:val="2F69719C"/>
    <w:rsid w:val="2FCF7C3A"/>
    <w:rsid w:val="2FE04785"/>
    <w:rsid w:val="2FF14483"/>
    <w:rsid w:val="2FFB7B03"/>
    <w:rsid w:val="30093CDB"/>
    <w:rsid w:val="30434506"/>
    <w:rsid w:val="30A63FC5"/>
    <w:rsid w:val="30D01D8F"/>
    <w:rsid w:val="30FD6567"/>
    <w:rsid w:val="311346E6"/>
    <w:rsid w:val="312A5631"/>
    <w:rsid w:val="31466869"/>
    <w:rsid w:val="316A413B"/>
    <w:rsid w:val="31CD2E32"/>
    <w:rsid w:val="31FF7F68"/>
    <w:rsid w:val="324B718F"/>
    <w:rsid w:val="32560D2E"/>
    <w:rsid w:val="326C0551"/>
    <w:rsid w:val="326E3622"/>
    <w:rsid w:val="32A978FA"/>
    <w:rsid w:val="32EF7154"/>
    <w:rsid w:val="33134E71"/>
    <w:rsid w:val="333F6C02"/>
    <w:rsid w:val="33562C45"/>
    <w:rsid w:val="339A4777"/>
    <w:rsid w:val="340D3A8D"/>
    <w:rsid w:val="348F0DB4"/>
    <w:rsid w:val="34CA5567"/>
    <w:rsid w:val="34CA73F2"/>
    <w:rsid w:val="34E97C08"/>
    <w:rsid w:val="34FD4FE4"/>
    <w:rsid w:val="3510699D"/>
    <w:rsid w:val="35160E6E"/>
    <w:rsid w:val="35266C07"/>
    <w:rsid w:val="35414B88"/>
    <w:rsid w:val="354F1F4A"/>
    <w:rsid w:val="35595CCB"/>
    <w:rsid w:val="3575593D"/>
    <w:rsid w:val="35B2271F"/>
    <w:rsid w:val="36222CDD"/>
    <w:rsid w:val="36243C39"/>
    <w:rsid w:val="36731685"/>
    <w:rsid w:val="36792991"/>
    <w:rsid w:val="369B7657"/>
    <w:rsid w:val="372F1139"/>
    <w:rsid w:val="372F4164"/>
    <w:rsid w:val="373553B6"/>
    <w:rsid w:val="37711C6B"/>
    <w:rsid w:val="37722FC3"/>
    <w:rsid w:val="378E207D"/>
    <w:rsid w:val="385C5ADF"/>
    <w:rsid w:val="386549C3"/>
    <w:rsid w:val="387C703E"/>
    <w:rsid w:val="3880166A"/>
    <w:rsid w:val="388859B9"/>
    <w:rsid w:val="3892742A"/>
    <w:rsid w:val="389560A2"/>
    <w:rsid w:val="38EC7624"/>
    <w:rsid w:val="38F008B4"/>
    <w:rsid w:val="396307B1"/>
    <w:rsid w:val="3986014B"/>
    <w:rsid w:val="39A07521"/>
    <w:rsid w:val="3A140D6C"/>
    <w:rsid w:val="3A266EB5"/>
    <w:rsid w:val="3A4705B0"/>
    <w:rsid w:val="3A65509A"/>
    <w:rsid w:val="3A7D7C92"/>
    <w:rsid w:val="3AFC596C"/>
    <w:rsid w:val="3B0C3AF6"/>
    <w:rsid w:val="3B306316"/>
    <w:rsid w:val="3B43255B"/>
    <w:rsid w:val="3B51554A"/>
    <w:rsid w:val="3B6D1748"/>
    <w:rsid w:val="3BED506F"/>
    <w:rsid w:val="3BFC3324"/>
    <w:rsid w:val="3C291261"/>
    <w:rsid w:val="3C2D0D52"/>
    <w:rsid w:val="3C2F0444"/>
    <w:rsid w:val="3C347236"/>
    <w:rsid w:val="3C3F0A85"/>
    <w:rsid w:val="3C7D6DB1"/>
    <w:rsid w:val="3C821498"/>
    <w:rsid w:val="3CDE074F"/>
    <w:rsid w:val="3D0518A2"/>
    <w:rsid w:val="3D302FDE"/>
    <w:rsid w:val="3D595B76"/>
    <w:rsid w:val="3D7716BB"/>
    <w:rsid w:val="3DBD6105"/>
    <w:rsid w:val="3DDB4325"/>
    <w:rsid w:val="3DF37147"/>
    <w:rsid w:val="3E0D71B2"/>
    <w:rsid w:val="3E284231"/>
    <w:rsid w:val="3E840FC3"/>
    <w:rsid w:val="3EA117CB"/>
    <w:rsid w:val="3ECC1207"/>
    <w:rsid w:val="3EF623A8"/>
    <w:rsid w:val="3F341E2E"/>
    <w:rsid w:val="3F5868D0"/>
    <w:rsid w:val="3FA61332"/>
    <w:rsid w:val="400218B6"/>
    <w:rsid w:val="40463FCD"/>
    <w:rsid w:val="408475C8"/>
    <w:rsid w:val="40F24BA1"/>
    <w:rsid w:val="411F04C2"/>
    <w:rsid w:val="41BB31EF"/>
    <w:rsid w:val="41D81590"/>
    <w:rsid w:val="41F90688"/>
    <w:rsid w:val="41FD6B6F"/>
    <w:rsid w:val="421A1D78"/>
    <w:rsid w:val="42224789"/>
    <w:rsid w:val="425C5B08"/>
    <w:rsid w:val="42AE2531"/>
    <w:rsid w:val="43087FD9"/>
    <w:rsid w:val="431C1B20"/>
    <w:rsid w:val="43955664"/>
    <w:rsid w:val="43AF33C6"/>
    <w:rsid w:val="43EF5CA1"/>
    <w:rsid w:val="43FC537F"/>
    <w:rsid w:val="44161BB3"/>
    <w:rsid w:val="441E50AB"/>
    <w:rsid w:val="443B3088"/>
    <w:rsid w:val="446F7A2D"/>
    <w:rsid w:val="44805ADA"/>
    <w:rsid w:val="44A11E19"/>
    <w:rsid w:val="44B0290E"/>
    <w:rsid w:val="44B31568"/>
    <w:rsid w:val="45A0238F"/>
    <w:rsid w:val="45A43927"/>
    <w:rsid w:val="45B00606"/>
    <w:rsid w:val="45E36925"/>
    <w:rsid w:val="46203C21"/>
    <w:rsid w:val="46AE0CE1"/>
    <w:rsid w:val="47242D51"/>
    <w:rsid w:val="475A2C17"/>
    <w:rsid w:val="47843962"/>
    <w:rsid w:val="47B516C4"/>
    <w:rsid w:val="480168AD"/>
    <w:rsid w:val="48166B3E"/>
    <w:rsid w:val="481A32B8"/>
    <w:rsid w:val="48634F9E"/>
    <w:rsid w:val="48654D5E"/>
    <w:rsid w:val="486B35D0"/>
    <w:rsid w:val="48B53952"/>
    <w:rsid w:val="48B849FB"/>
    <w:rsid w:val="48D80297"/>
    <w:rsid w:val="48ED3540"/>
    <w:rsid w:val="494F47DA"/>
    <w:rsid w:val="49586884"/>
    <w:rsid w:val="498646A2"/>
    <w:rsid w:val="498C5CD0"/>
    <w:rsid w:val="499F0DB5"/>
    <w:rsid w:val="4A151687"/>
    <w:rsid w:val="4A815A7A"/>
    <w:rsid w:val="4ABD65A1"/>
    <w:rsid w:val="4AEC743A"/>
    <w:rsid w:val="4AF42DAF"/>
    <w:rsid w:val="4B1353BF"/>
    <w:rsid w:val="4B1A4B97"/>
    <w:rsid w:val="4B9B4234"/>
    <w:rsid w:val="4BAA5483"/>
    <w:rsid w:val="4BBA1E6D"/>
    <w:rsid w:val="4BE97051"/>
    <w:rsid w:val="4BEE5B1D"/>
    <w:rsid w:val="4C2C0034"/>
    <w:rsid w:val="4C4B6B9D"/>
    <w:rsid w:val="4C5145E8"/>
    <w:rsid w:val="4C7957B3"/>
    <w:rsid w:val="4C90124E"/>
    <w:rsid w:val="4CE0445B"/>
    <w:rsid w:val="4D623203"/>
    <w:rsid w:val="4D76012B"/>
    <w:rsid w:val="4D9414A7"/>
    <w:rsid w:val="4D9673B1"/>
    <w:rsid w:val="4DAD316C"/>
    <w:rsid w:val="4DBE4D23"/>
    <w:rsid w:val="4E0D453F"/>
    <w:rsid w:val="4E282FDA"/>
    <w:rsid w:val="4E424C26"/>
    <w:rsid w:val="4E8A2179"/>
    <w:rsid w:val="4E8D70D1"/>
    <w:rsid w:val="4EC07179"/>
    <w:rsid w:val="4ED21CC4"/>
    <w:rsid w:val="4ED377C3"/>
    <w:rsid w:val="4F104270"/>
    <w:rsid w:val="4F5A1A06"/>
    <w:rsid w:val="4F701E2D"/>
    <w:rsid w:val="4F9A44F8"/>
    <w:rsid w:val="50076159"/>
    <w:rsid w:val="502B6EFE"/>
    <w:rsid w:val="503E5EAC"/>
    <w:rsid w:val="5060129E"/>
    <w:rsid w:val="507F724A"/>
    <w:rsid w:val="509C0258"/>
    <w:rsid w:val="50FC753B"/>
    <w:rsid w:val="51172E15"/>
    <w:rsid w:val="5167665C"/>
    <w:rsid w:val="52981D67"/>
    <w:rsid w:val="52AD009F"/>
    <w:rsid w:val="52B606E4"/>
    <w:rsid w:val="52BC4061"/>
    <w:rsid w:val="52E53CDC"/>
    <w:rsid w:val="537C21C0"/>
    <w:rsid w:val="54037A5A"/>
    <w:rsid w:val="5406195E"/>
    <w:rsid w:val="54142C7D"/>
    <w:rsid w:val="54212301"/>
    <w:rsid w:val="548B315E"/>
    <w:rsid w:val="54D633EA"/>
    <w:rsid w:val="5554239E"/>
    <w:rsid w:val="558C6691"/>
    <w:rsid w:val="55DF0EB7"/>
    <w:rsid w:val="56085A37"/>
    <w:rsid w:val="562D1C38"/>
    <w:rsid w:val="56350AD7"/>
    <w:rsid w:val="569C0B56"/>
    <w:rsid w:val="56A94A3C"/>
    <w:rsid w:val="56CA69E9"/>
    <w:rsid w:val="56D6454A"/>
    <w:rsid w:val="56F70C30"/>
    <w:rsid w:val="56FE6E5D"/>
    <w:rsid w:val="570B668C"/>
    <w:rsid w:val="570C1AA7"/>
    <w:rsid w:val="57710497"/>
    <w:rsid w:val="577E555C"/>
    <w:rsid w:val="579E6147"/>
    <w:rsid w:val="57B96E90"/>
    <w:rsid w:val="58307741"/>
    <w:rsid w:val="58335284"/>
    <w:rsid w:val="58577D69"/>
    <w:rsid w:val="59162E41"/>
    <w:rsid w:val="59266203"/>
    <w:rsid w:val="59287BE6"/>
    <w:rsid w:val="59376914"/>
    <w:rsid w:val="596A3C90"/>
    <w:rsid w:val="59837465"/>
    <w:rsid w:val="59BD1A93"/>
    <w:rsid w:val="59BE3F9F"/>
    <w:rsid w:val="59E16321"/>
    <w:rsid w:val="5A241C60"/>
    <w:rsid w:val="5A475142"/>
    <w:rsid w:val="5A813EFF"/>
    <w:rsid w:val="5A8251FB"/>
    <w:rsid w:val="5A884A16"/>
    <w:rsid w:val="5A887F90"/>
    <w:rsid w:val="5A8E6A07"/>
    <w:rsid w:val="5B252EED"/>
    <w:rsid w:val="5C0A257B"/>
    <w:rsid w:val="5C7D492D"/>
    <w:rsid w:val="5CA93FF4"/>
    <w:rsid w:val="5CAA6123"/>
    <w:rsid w:val="5CCE6BE1"/>
    <w:rsid w:val="5CD874B5"/>
    <w:rsid w:val="5D043B5F"/>
    <w:rsid w:val="5D073A57"/>
    <w:rsid w:val="5D594CB0"/>
    <w:rsid w:val="5D835622"/>
    <w:rsid w:val="5D953CD4"/>
    <w:rsid w:val="5E292313"/>
    <w:rsid w:val="5E632C08"/>
    <w:rsid w:val="5E8E6FD6"/>
    <w:rsid w:val="5EAB79F7"/>
    <w:rsid w:val="5F217E4A"/>
    <w:rsid w:val="5F271808"/>
    <w:rsid w:val="5F2F7983"/>
    <w:rsid w:val="5F750196"/>
    <w:rsid w:val="5F922AF6"/>
    <w:rsid w:val="5F996C7C"/>
    <w:rsid w:val="5FD16AA7"/>
    <w:rsid w:val="603D3DE2"/>
    <w:rsid w:val="604064FB"/>
    <w:rsid w:val="6045400C"/>
    <w:rsid w:val="604A1623"/>
    <w:rsid w:val="60CC3132"/>
    <w:rsid w:val="61030D8D"/>
    <w:rsid w:val="61605660"/>
    <w:rsid w:val="619546E1"/>
    <w:rsid w:val="62042639"/>
    <w:rsid w:val="623311AC"/>
    <w:rsid w:val="624350F9"/>
    <w:rsid w:val="624E157F"/>
    <w:rsid w:val="627625A5"/>
    <w:rsid w:val="62866696"/>
    <w:rsid w:val="62B02481"/>
    <w:rsid w:val="62B93118"/>
    <w:rsid w:val="62C2269B"/>
    <w:rsid w:val="62C42936"/>
    <w:rsid w:val="62F13FD7"/>
    <w:rsid w:val="62FD297C"/>
    <w:rsid w:val="63147CC6"/>
    <w:rsid w:val="631F7C7E"/>
    <w:rsid w:val="636E256E"/>
    <w:rsid w:val="63983799"/>
    <w:rsid w:val="63C33B62"/>
    <w:rsid w:val="640D7366"/>
    <w:rsid w:val="64300D8E"/>
    <w:rsid w:val="6452456C"/>
    <w:rsid w:val="64BB4CD6"/>
    <w:rsid w:val="64ED0087"/>
    <w:rsid w:val="64FE574A"/>
    <w:rsid w:val="65051FBC"/>
    <w:rsid w:val="65165479"/>
    <w:rsid w:val="652144A0"/>
    <w:rsid w:val="655373A1"/>
    <w:rsid w:val="658561E1"/>
    <w:rsid w:val="659155FE"/>
    <w:rsid w:val="65AE392B"/>
    <w:rsid w:val="661223FE"/>
    <w:rsid w:val="66245B2A"/>
    <w:rsid w:val="66A16651"/>
    <w:rsid w:val="66A81D7D"/>
    <w:rsid w:val="66D77D4C"/>
    <w:rsid w:val="67317494"/>
    <w:rsid w:val="675936D8"/>
    <w:rsid w:val="675B5EC3"/>
    <w:rsid w:val="676C6322"/>
    <w:rsid w:val="676D5B1F"/>
    <w:rsid w:val="67871CA1"/>
    <w:rsid w:val="67C023A9"/>
    <w:rsid w:val="67C02E02"/>
    <w:rsid w:val="67D57A14"/>
    <w:rsid w:val="67F9A45A"/>
    <w:rsid w:val="68122C23"/>
    <w:rsid w:val="68356BB3"/>
    <w:rsid w:val="688A6235"/>
    <w:rsid w:val="68BF5B60"/>
    <w:rsid w:val="68D42CD6"/>
    <w:rsid w:val="69712460"/>
    <w:rsid w:val="69834734"/>
    <w:rsid w:val="69A95206"/>
    <w:rsid w:val="69B9242F"/>
    <w:rsid w:val="69C0714A"/>
    <w:rsid w:val="69D32CC4"/>
    <w:rsid w:val="69E46644"/>
    <w:rsid w:val="6A1855B8"/>
    <w:rsid w:val="6A4D243B"/>
    <w:rsid w:val="6A897740"/>
    <w:rsid w:val="6AAD7503"/>
    <w:rsid w:val="6B72252C"/>
    <w:rsid w:val="6BAF383F"/>
    <w:rsid w:val="6BD31472"/>
    <w:rsid w:val="6BE44432"/>
    <w:rsid w:val="6C157412"/>
    <w:rsid w:val="6C16685D"/>
    <w:rsid w:val="6C2C00B9"/>
    <w:rsid w:val="6C9E700E"/>
    <w:rsid w:val="6CA912A1"/>
    <w:rsid w:val="6CAD01A7"/>
    <w:rsid w:val="6D302E5A"/>
    <w:rsid w:val="6D370590"/>
    <w:rsid w:val="6D8A305E"/>
    <w:rsid w:val="6D9A2F35"/>
    <w:rsid w:val="6DA065C0"/>
    <w:rsid w:val="6DAA5268"/>
    <w:rsid w:val="6DBC043D"/>
    <w:rsid w:val="6DE71688"/>
    <w:rsid w:val="6E1C4E5E"/>
    <w:rsid w:val="6E34769F"/>
    <w:rsid w:val="6EEE3AC1"/>
    <w:rsid w:val="6F47680E"/>
    <w:rsid w:val="6F7A2B18"/>
    <w:rsid w:val="6F965839"/>
    <w:rsid w:val="6F9C49A6"/>
    <w:rsid w:val="6F9E66E4"/>
    <w:rsid w:val="6FD20CED"/>
    <w:rsid w:val="6FDB5B1A"/>
    <w:rsid w:val="702E74B4"/>
    <w:rsid w:val="70322F4F"/>
    <w:rsid w:val="70375CDC"/>
    <w:rsid w:val="70447E3C"/>
    <w:rsid w:val="70A2030D"/>
    <w:rsid w:val="70BA00FF"/>
    <w:rsid w:val="70C745CA"/>
    <w:rsid w:val="70DF157B"/>
    <w:rsid w:val="713D4E81"/>
    <w:rsid w:val="7150636D"/>
    <w:rsid w:val="71776D44"/>
    <w:rsid w:val="71A861A9"/>
    <w:rsid w:val="720C02D8"/>
    <w:rsid w:val="724452A9"/>
    <w:rsid w:val="72C86503"/>
    <w:rsid w:val="72D57472"/>
    <w:rsid w:val="72F13B80"/>
    <w:rsid w:val="736E60A2"/>
    <w:rsid w:val="737C03D2"/>
    <w:rsid w:val="73993FFB"/>
    <w:rsid w:val="739A34AF"/>
    <w:rsid w:val="73E02344"/>
    <w:rsid w:val="73E303CF"/>
    <w:rsid w:val="74873B50"/>
    <w:rsid w:val="74A46495"/>
    <w:rsid w:val="74C02625"/>
    <w:rsid w:val="74F26C2E"/>
    <w:rsid w:val="751F360E"/>
    <w:rsid w:val="752503F6"/>
    <w:rsid w:val="7581743D"/>
    <w:rsid w:val="759B12B5"/>
    <w:rsid w:val="75B75DCA"/>
    <w:rsid w:val="75D51A7A"/>
    <w:rsid w:val="7610431D"/>
    <w:rsid w:val="76422A8F"/>
    <w:rsid w:val="766F7E8D"/>
    <w:rsid w:val="76B57FC7"/>
    <w:rsid w:val="76D57A8B"/>
    <w:rsid w:val="77173BCD"/>
    <w:rsid w:val="772701CF"/>
    <w:rsid w:val="77550CC7"/>
    <w:rsid w:val="77642B72"/>
    <w:rsid w:val="776C1A27"/>
    <w:rsid w:val="77A00454"/>
    <w:rsid w:val="77C2149B"/>
    <w:rsid w:val="77DD540C"/>
    <w:rsid w:val="78045F80"/>
    <w:rsid w:val="784A181C"/>
    <w:rsid w:val="78710B12"/>
    <w:rsid w:val="78F47F26"/>
    <w:rsid w:val="790C68BA"/>
    <w:rsid w:val="793E551C"/>
    <w:rsid w:val="79404245"/>
    <w:rsid w:val="796E5F2A"/>
    <w:rsid w:val="79AF6D5B"/>
    <w:rsid w:val="79B60EA8"/>
    <w:rsid w:val="7A196BEB"/>
    <w:rsid w:val="7A1C5986"/>
    <w:rsid w:val="7A1C7BE9"/>
    <w:rsid w:val="7A1E6D98"/>
    <w:rsid w:val="7A2A2C56"/>
    <w:rsid w:val="7A357126"/>
    <w:rsid w:val="7A520A27"/>
    <w:rsid w:val="7A9D6AC7"/>
    <w:rsid w:val="7AAA65A8"/>
    <w:rsid w:val="7AC834B9"/>
    <w:rsid w:val="7AD13760"/>
    <w:rsid w:val="7AD35029"/>
    <w:rsid w:val="7AD53FBE"/>
    <w:rsid w:val="7AE65210"/>
    <w:rsid w:val="7B0B7B70"/>
    <w:rsid w:val="7B1031FE"/>
    <w:rsid w:val="7B6D35FD"/>
    <w:rsid w:val="7B9B71AB"/>
    <w:rsid w:val="7BA9149B"/>
    <w:rsid w:val="7BC1614A"/>
    <w:rsid w:val="7BC60CB0"/>
    <w:rsid w:val="7C197733"/>
    <w:rsid w:val="7C281644"/>
    <w:rsid w:val="7C2A3684"/>
    <w:rsid w:val="7C2E7CA9"/>
    <w:rsid w:val="7C4E233E"/>
    <w:rsid w:val="7C6B151F"/>
    <w:rsid w:val="7CA74A2E"/>
    <w:rsid w:val="7D272D31"/>
    <w:rsid w:val="7D2934C6"/>
    <w:rsid w:val="7DA12306"/>
    <w:rsid w:val="7E4613FB"/>
    <w:rsid w:val="7E7F4735"/>
    <w:rsid w:val="7E895657"/>
    <w:rsid w:val="7EE30820"/>
    <w:rsid w:val="7EEB3000"/>
    <w:rsid w:val="7F013A1A"/>
    <w:rsid w:val="7F0F27B6"/>
    <w:rsid w:val="7F5E3CBC"/>
    <w:rsid w:val="7F5F0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13"/>
    <w:autoRedefine/>
    <w:qFormat/>
    <w:uiPriority w:val="0"/>
    <w:pPr>
      <w:keepNext/>
      <w:keepLines/>
      <w:tabs>
        <w:tab w:val="left" w:pos="425"/>
      </w:tabs>
      <w:spacing w:before="624" w:beforeLines="200" w:line="360" w:lineRule="auto"/>
      <w:ind w:left="425" w:hanging="425"/>
      <w:jc w:val="left"/>
      <w:outlineLvl w:val="0"/>
    </w:pPr>
    <w:rPr>
      <w:rFonts w:ascii="Arial" w:hAnsi="Arial"/>
      <w:bCs/>
      <w:color w:val="000000"/>
      <w:kern w:val="44"/>
      <w:sz w:val="32"/>
      <w:szCs w:val="32"/>
      <w:lang w:val="pt-BR"/>
    </w:rPr>
  </w:style>
  <w:style w:type="paragraph" w:styleId="3">
    <w:name w:val="heading 2"/>
    <w:basedOn w:val="1"/>
    <w:next w:val="1"/>
    <w:link w:val="415"/>
    <w:autoRedefine/>
    <w:qFormat/>
    <w:uiPriority w:val="0"/>
    <w:pPr>
      <w:keepNext/>
      <w:keepLines/>
      <w:tabs>
        <w:tab w:val="left" w:pos="567"/>
      </w:tabs>
      <w:spacing w:line="360" w:lineRule="auto"/>
      <w:ind w:left="567" w:hanging="567"/>
      <w:outlineLvl w:val="1"/>
    </w:pPr>
    <w:rPr>
      <w:rFonts w:ascii="Arial" w:hAnsi="Arial"/>
      <w:bCs/>
      <w:color w:val="000000"/>
      <w:sz w:val="28"/>
      <w:szCs w:val="32"/>
      <w:lang w:val="pt-BR"/>
    </w:rPr>
  </w:style>
  <w:style w:type="paragraph" w:styleId="4">
    <w:name w:val="heading 3"/>
    <w:basedOn w:val="1"/>
    <w:next w:val="1"/>
    <w:link w:val="70"/>
    <w:autoRedefine/>
    <w:qFormat/>
    <w:uiPriority w:val="0"/>
    <w:pPr>
      <w:keepNext/>
      <w:keepLines/>
      <w:spacing w:before="260" w:after="260" w:line="413" w:lineRule="auto"/>
      <w:outlineLvl w:val="2"/>
    </w:pPr>
    <w:rPr>
      <w:b/>
      <w:bCs/>
      <w:sz w:val="32"/>
      <w:szCs w:val="32"/>
    </w:rPr>
  </w:style>
  <w:style w:type="paragraph" w:styleId="5">
    <w:name w:val="heading 4"/>
    <w:basedOn w:val="1"/>
    <w:next w:val="1"/>
    <w:link w:val="67"/>
    <w:autoRedefine/>
    <w:qFormat/>
    <w:uiPriority w:val="0"/>
    <w:pPr>
      <w:keepNext/>
      <w:keepLines/>
      <w:widowControl/>
      <w:tabs>
        <w:tab w:val="left" w:pos="864"/>
      </w:tabs>
      <w:spacing w:before="280" w:after="290" w:line="372" w:lineRule="auto"/>
      <w:jc w:val="left"/>
      <w:outlineLvl w:val="3"/>
    </w:pPr>
    <w:rPr>
      <w:rFonts w:ascii="Arial" w:hAnsi="Arial" w:eastAsia="黑体"/>
      <w:b/>
      <w:bCs/>
      <w:kern w:val="0"/>
      <w:sz w:val="28"/>
      <w:szCs w:val="28"/>
    </w:rPr>
  </w:style>
  <w:style w:type="paragraph" w:styleId="6">
    <w:name w:val="heading 5"/>
    <w:basedOn w:val="1"/>
    <w:next w:val="1"/>
    <w:link w:val="71"/>
    <w:autoRedefine/>
    <w:qFormat/>
    <w:uiPriority w:val="0"/>
    <w:pPr>
      <w:keepNext/>
      <w:keepLines/>
      <w:widowControl/>
      <w:tabs>
        <w:tab w:val="left" w:pos="1008"/>
      </w:tabs>
      <w:spacing w:before="280" w:after="290" w:line="372" w:lineRule="auto"/>
      <w:jc w:val="left"/>
      <w:outlineLvl w:val="4"/>
    </w:pPr>
    <w:rPr>
      <w:b/>
      <w:bCs/>
      <w:kern w:val="0"/>
      <w:sz w:val="28"/>
      <w:szCs w:val="28"/>
    </w:rPr>
  </w:style>
  <w:style w:type="paragraph" w:styleId="7">
    <w:name w:val="heading 6"/>
    <w:basedOn w:val="1"/>
    <w:next w:val="1"/>
    <w:link w:val="72"/>
    <w:autoRedefine/>
    <w:qFormat/>
    <w:uiPriority w:val="0"/>
    <w:pPr>
      <w:keepNext/>
      <w:keepLines/>
      <w:spacing w:before="240" w:after="64" w:line="317" w:lineRule="auto"/>
      <w:outlineLvl w:val="5"/>
    </w:pPr>
    <w:rPr>
      <w:rFonts w:ascii="Arial" w:hAnsi="Arial" w:eastAsia="黑体"/>
      <w:b/>
      <w:bCs/>
      <w:sz w:val="24"/>
    </w:rPr>
  </w:style>
  <w:style w:type="paragraph" w:styleId="8">
    <w:name w:val="heading 7"/>
    <w:basedOn w:val="1"/>
    <w:next w:val="1"/>
    <w:link w:val="73"/>
    <w:autoRedefine/>
    <w:qFormat/>
    <w:uiPriority w:val="0"/>
    <w:pPr>
      <w:keepNext/>
      <w:keepLines/>
      <w:widowControl/>
      <w:tabs>
        <w:tab w:val="left" w:pos="1296"/>
      </w:tabs>
      <w:spacing w:before="240" w:after="64" w:line="317" w:lineRule="auto"/>
      <w:jc w:val="left"/>
      <w:outlineLvl w:val="6"/>
    </w:pPr>
    <w:rPr>
      <w:b/>
      <w:bCs/>
      <w:kern w:val="0"/>
      <w:sz w:val="24"/>
    </w:rPr>
  </w:style>
  <w:style w:type="paragraph" w:styleId="9">
    <w:name w:val="heading 8"/>
    <w:basedOn w:val="1"/>
    <w:next w:val="1"/>
    <w:link w:val="74"/>
    <w:autoRedefine/>
    <w:qFormat/>
    <w:uiPriority w:val="0"/>
    <w:pPr>
      <w:keepNext/>
      <w:keepLines/>
      <w:widowControl/>
      <w:tabs>
        <w:tab w:val="left" w:pos="1440"/>
      </w:tabs>
      <w:spacing w:before="240" w:after="64" w:line="317" w:lineRule="auto"/>
      <w:jc w:val="left"/>
      <w:outlineLvl w:val="7"/>
    </w:pPr>
    <w:rPr>
      <w:rFonts w:ascii="Arial" w:hAnsi="Arial" w:eastAsia="黑体"/>
      <w:kern w:val="0"/>
      <w:sz w:val="24"/>
    </w:rPr>
  </w:style>
  <w:style w:type="paragraph" w:styleId="10">
    <w:name w:val="heading 9"/>
    <w:basedOn w:val="1"/>
    <w:next w:val="1"/>
    <w:link w:val="75"/>
    <w:autoRedefine/>
    <w:qFormat/>
    <w:uiPriority w:val="0"/>
    <w:pPr>
      <w:keepNext/>
      <w:keepLines/>
      <w:widowControl/>
      <w:tabs>
        <w:tab w:val="left" w:pos="1584"/>
      </w:tabs>
      <w:spacing w:before="240" w:after="64" w:line="317" w:lineRule="auto"/>
      <w:jc w:val="left"/>
      <w:outlineLvl w:val="8"/>
    </w:pPr>
    <w:rPr>
      <w:rFonts w:ascii="Arial" w:hAnsi="Arial" w:eastAsia="黑体"/>
      <w:kern w:val="0"/>
      <w:szCs w:val="21"/>
    </w:rPr>
  </w:style>
  <w:style w:type="character" w:default="1" w:styleId="53">
    <w:name w:val="Default Paragraph Font"/>
    <w:semiHidden/>
    <w:unhideWhenUsed/>
    <w:qFormat/>
    <w:uiPriority w:val="1"/>
  </w:style>
  <w:style w:type="table" w:default="1" w:styleId="5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autoRedefine/>
    <w:qFormat/>
    <w:uiPriority w:val="0"/>
    <w:pPr>
      <w:ind w:left="1260"/>
      <w:jc w:val="left"/>
    </w:pPr>
    <w:rPr>
      <w:szCs w:val="21"/>
    </w:rPr>
  </w:style>
  <w:style w:type="paragraph" w:styleId="12">
    <w:name w:val="table of authorities"/>
    <w:basedOn w:val="1"/>
    <w:next w:val="1"/>
    <w:autoRedefine/>
    <w:qFormat/>
    <w:uiPriority w:val="0"/>
    <w:pPr>
      <w:ind w:left="420" w:leftChars="200"/>
    </w:pPr>
  </w:style>
  <w:style w:type="paragraph" w:styleId="13">
    <w:name w:val="index 8"/>
    <w:basedOn w:val="1"/>
    <w:next w:val="1"/>
    <w:autoRedefine/>
    <w:qFormat/>
    <w:uiPriority w:val="0"/>
    <w:pPr>
      <w:ind w:left="1400" w:leftChars="1400"/>
    </w:pPr>
  </w:style>
  <w:style w:type="paragraph" w:styleId="14">
    <w:name w:val="Normal Indent"/>
    <w:basedOn w:val="1"/>
    <w:link w:val="76"/>
    <w:autoRedefine/>
    <w:qFormat/>
    <w:uiPriority w:val="0"/>
    <w:pPr>
      <w:ind w:firstLine="420"/>
    </w:pPr>
    <w:rPr>
      <w:szCs w:val="20"/>
    </w:rPr>
  </w:style>
  <w:style w:type="paragraph" w:styleId="15">
    <w:name w:val="caption"/>
    <w:basedOn w:val="1"/>
    <w:next w:val="1"/>
    <w:autoRedefine/>
    <w:qFormat/>
    <w:uiPriority w:val="0"/>
    <w:rPr>
      <w:rFonts w:ascii="Cambria" w:hAnsi="Cambria" w:eastAsia="黑体"/>
      <w:sz w:val="20"/>
      <w:szCs w:val="20"/>
    </w:rPr>
  </w:style>
  <w:style w:type="paragraph" w:styleId="16">
    <w:name w:val="Document Map"/>
    <w:basedOn w:val="1"/>
    <w:link w:val="77"/>
    <w:autoRedefine/>
    <w:qFormat/>
    <w:uiPriority w:val="0"/>
    <w:rPr>
      <w:rFonts w:ascii="宋体"/>
      <w:sz w:val="18"/>
      <w:szCs w:val="18"/>
    </w:rPr>
  </w:style>
  <w:style w:type="paragraph" w:styleId="17">
    <w:name w:val="annotation text"/>
    <w:basedOn w:val="1"/>
    <w:link w:val="78"/>
    <w:autoRedefine/>
    <w:qFormat/>
    <w:uiPriority w:val="0"/>
    <w:pPr>
      <w:jc w:val="left"/>
    </w:pPr>
  </w:style>
  <w:style w:type="paragraph" w:styleId="18">
    <w:name w:val="Body Text 3"/>
    <w:basedOn w:val="1"/>
    <w:link w:val="79"/>
    <w:autoRedefine/>
    <w:qFormat/>
    <w:uiPriority w:val="0"/>
    <w:pPr>
      <w:spacing w:line="240" w:lineRule="exact"/>
    </w:pPr>
    <w:rPr>
      <w:rFonts w:ascii="宋体" w:hAnsi="宋体"/>
      <w:color w:val="000000"/>
      <w:szCs w:val="21"/>
    </w:rPr>
  </w:style>
  <w:style w:type="paragraph" w:styleId="19">
    <w:name w:val="Body Text"/>
    <w:basedOn w:val="1"/>
    <w:next w:val="20"/>
    <w:link w:val="80"/>
    <w:autoRedefine/>
    <w:qFormat/>
    <w:uiPriority w:val="0"/>
    <w:pPr>
      <w:spacing w:after="120"/>
    </w:pPr>
  </w:style>
  <w:style w:type="paragraph" w:styleId="20">
    <w:name w:val="header"/>
    <w:basedOn w:val="1"/>
    <w:next w:val="21"/>
    <w:link w:val="84"/>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21">
    <w:name w:val="Quote1"/>
    <w:basedOn w:val="1"/>
    <w:next w:val="1"/>
    <w:qFormat/>
    <w:uiPriority w:val="6"/>
    <w:pPr>
      <w:spacing w:before="200" w:after="160"/>
      <w:ind w:left="864" w:right="864"/>
      <w:jc w:val="center"/>
    </w:pPr>
    <w:rPr>
      <w:rFonts w:ascii="宋体" w:hAnsi="宋体"/>
      <w:i/>
      <w:color w:val="404040"/>
      <w:kern w:val="1"/>
    </w:rPr>
  </w:style>
  <w:style w:type="paragraph" w:styleId="22">
    <w:name w:val="Body Text Indent"/>
    <w:basedOn w:val="1"/>
    <w:next w:val="23"/>
    <w:autoRedefine/>
    <w:qFormat/>
    <w:uiPriority w:val="0"/>
    <w:pPr>
      <w:spacing w:after="120"/>
      <w:ind w:left="420" w:leftChars="200"/>
    </w:pPr>
  </w:style>
  <w:style w:type="paragraph" w:styleId="23">
    <w:name w:val="envelope return"/>
    <w:basedOn w:val="1"/>
    <w:autoRedefine/>
    <w:qFormat/>
    <w:uiPriority w:val="0"/>
    <w:pPr>
      <w:snapToGrid w:val="0"/>
    </w:pPr>
    <w:rPr>
      <w:rFonts w:ascii="Arial" w:hAnsi="Arial"/>
    </w:rPr>
  </w:style>
  <w:style w:type="paragraph" w:styleId="24">
    <w:name w:val="Block Text"/>
    <w:basedOn w:val="1"/>
    <w:autoRedefine/>
    <w:qFormat/>
    <w:uiPriority w:val="0"/>
    <w:pPr>
      <w:spacing w:after="120"/>
      <w:ind w:left="1440" w:leftChars="700" w:right="1440" w:rightChars="700"/>
    </w:pPr>
  </w:style>
  <w:style w:type="paragraph" w:styleId="25">
    <w:name w:val="toc 5"/>
    <w:basedOn w:val="1"/>
    <w:next w:val="1"/>
    <w:autoRedefine/>
    <w:qFormat/>
    <w:uiPriority w:val="0"/>
    <w:pPr>
      <w:ind w:left="840"/>
      <w:jc w:val="left"/>
    </w:pPr>
    <w:rPr>
      <w:szCs w:val="21"/>
    </w:rPr>
  </w:style>
  <w:style w:type="paragraph" w:styleId="26">
    <w:name w:val="toc 3"/>
    <w:basedOn w:val="1"/>
    <w:next w:val="1"/>
    <w:autoRedefine/>
    <w:qFormat/>
    <w:uiPriority w:val="0"/>
    <w:pPr>
      <w:ind w:left="840" w:leftChars="400"/>
    </w:pPr>
    <w:rPr>
      <w:rFonts w:ascii="Calibri" w:hAnsi="Calibri"/>
      <w:szCs w:val="22"/>
    </w:rPr>
  </w:style>
  <w:style w:type="paragraph" w:styleId="27">
    <w:name w:val="Plain Text"/>
    <w:basedOn w:val="1"/>
    <w:autoRedefine/>
    <w:qFormat/>
    <w:uiPriority w:val="0"/>
    <w:rPr>
      <w:rFonts w:ascii="宋体" w:hAnsi="Courier New"/>
      <w:szCs w:val="20"/>
    </w:rPr>
  </w:style>
  <w:style w:type="paragraph" w:styleId="28">
    <w:name w:val="toc 8"/>
    <w:basedOn w:val="1"/>
    <w:next w:val="1"/>
    <w:autoRedefine/>
    <w:qFormat/>
    <w:uiPriority w:val="0"/>
    <w:pPr>
      <w:ind w:left="1470"/>
      <w:jc w:val="left"/>
    </w:pPr>
    <w:rPr>
      <w:szCs w:val="21"/>
    </w:rPr>
  </w:style>
  <w:style w:type="paragraph" w:styleId="29">
    <w:name w:val="Date"/>
    <w:basedOn w:val="1"/>
    <w:next w:val="1"/>
    <w:link w:val="81"/>
    <w:autoRedefine/>
    <w:qFormat/>
    <w:uiPriority w:val="0"/>
    <w:pPr>
      <w:widowControl/>
      <w:tabs>
        <w:tab w:val="left" w:pos="600"/>
        <w:tab w:val="left" w:pos="960"/>
        <w:tab w:val="left" w:pos="1080"/>
      </w:tabs>
      <w:overflowPunct w:val="0"/>
      <w:spacing w:after="260" w:line="220" w:lineRule="atLeast"/>
      <w:ind w:left="835" w:right="28" w:firstLine="480"/>
      <w:jc w:val="right"/>
    </w:pPr>
    <w:rPr>
      <w:rFonts w:ascii="宋体" w:hAnsi="宋体"/>
      <w:kern w:val="0"/>
      <w:sz w:val="24"/>
      <w:szCs w:val="20"/>
    </w:rPr>
  </w:style>
  <w:style w:type="paragraph" w:styleId="30">
    <w:name w:val="Body Text Indent 2"/>
    <w:basedOn w:val="1"/>
    <w:link w:val="82"/>
    <w:autoRedefine/>
    <w:qFormat/>
    <w:uiPriority w:val="0"/>
    <w:pPr>
      <w:spacing w:after="120" w:line="480" w:lineRule="auto"/>
      <w:ind w:left="420" w:leftChars="200"/>
    </w:pPr>
    <w:rPr>
      <w:rFonts w:ascii="Calibri" w:hAnsi="Calibri"/>
      <w:szCs w:val="22"/>
    </w:rPr>
  </w:style>
  <w:style w:type="paragraph" w:styleId="31">
    <w:name w:val="Balloon Text"/>
    <w:basedOn w:val="1"/>
    <w:next w:val="32"/>
    <w:link w:val="83"/>
    <w:autoRedefine/>
    <w:qFormat/>
    <w:uiPriority w:val="0"/>
    <w:rPr>
      <w:sz w:val="18"/>
      <w:szCs w:val="18"/>
    </w:rPr>
  </w:style>
  <w:style w:type="paragraph" w:styleId="32">
    <w:name w:val="Body Text Indent 3"/>
    <w:basedOn w:val="1"/>
    <w:next w:val="33"/>
    <w:link w:val="86"/>
    <w:autoRedefine/>
    <w:qFormat/>
    <w:uiPriority w:val="0"/>
    <w:pPr>
      <w:spacing w:after="120"/>
      <w:ind w:left="420" w:leftChars="200"/>
    </w:pPr>
    <w:rPr>
      <w:sz w:val="16"/>
      <w:szCs w:val="16"/>
    </w:rPr>
  </w:style>
  <w:style w:type="paragraph" w:styleId="33">
    <w:name w:val="index 1"/>
    <w:basedOn w:val="1"/>
    <w:next w:val="1"/>
    <w:autoRedefine/>
    <w:qFormat/>
    <w:uiPriority w:val="0"/>
    <w:pPr>
      <w:jc w:val="left"/>
    </w:pPr>
  </w:style>
  <w:style w:type="paragraph" w:styleId="34">
    <w:name w:val="footer"/>
    <w:basedOn w:val="1"/>
    <w:next w:val="1"/>
    <w:autoRedefine/>
    <w:qFormat/>
    <w:uiPriority w:val="0"/>
    <w:pPr>
      <w:tabs>
        <w:tab w:val="center" w:pos="4140"/>
        <w:tab w:val="right" w:pos="8300"/>
      </w:tabs>
      <w:snapToGrid w:val="0"/>
      <w:jc w:val="left"/>
    </w:pPr>
    <w:rPr>
      <w:sz w:val="18"/>
      <w:szCs w:val="18"/>
    </w:rPr>
  </w:style>
  <w:style w:type="paragraph" w:styleId="35">
    <w:name w:val="Signature"/>
    <w:basedOn w:val="1"/>
    <w:link w:val="85"/>
    <w:autoRedefine/>
    <w:qFormat/>
    <w:uiPriority w:val="0"/>
    <w:pPr>
      <w:ind w:left="4320"/>
    </w:pPr>
    <w:rPr>
      <w:rFonts w:eastAsia="楷体_GB2312"/>
      <w:szCs w:val="20"/>
    </w:rPr>
  </w:style>
  <w:style w:type="paragraph" w:styleId="36">
    <w:name w:val="toc 1"/>
    <w:basedOn w:val="1"/>
    <w:next w:val="1"/>
    <w:autoRedefine/>
    <w:qFormat/>
    <w:uiPriority w:val="39"/>
    <w:rPr>
      <w:rFonts w:ascii="Calibri" w:hAnsi="Calibri"/>
      <w:szCs w:val="22"/>
    </w:rPr>
  </w:style>
  <w:style w:type="paragraph" w:styleId="37">
    <w:name w:val="toc 4"/>
    <w:basedOn w:val="1"/>
    <w:next w:val="1"/>
    <w:autoRedefine/>
    <w:qFormat/>
    <w:uiPriority w:val="0"/>
    <w:pPr>
      <w:ind w:left="1260"/>
    </w:pPr>
    <w:rPr>
      <w:szCs w:val="20"/>
    </w:rPr>
  </w:style>
  <w:style w:type="paragraph" w:styleId="38">
    <w:name w:val="index heading"/>
    <w:basedOn w:val="1"/>
    <w:next w:val="33"/>
    <w:autoRedefine/>
    <w:qFormat/>
    <w:uiPriority w:val="0"/>
    <w:pPr>
      <w:spacing w:line="360" w:lineRule="auto"/>
      <w:ind w:firstLine="482"/>
    </w:pPr>
    <w:rPr>
      <w:rFonts w:ascii="Footlight MT Light" w:hAnsi="Footlight MT Light"/>
      <w:sz w:val="24"/>
      <w:szCs w:val="20"/>
    </w:rPr>
  </w:style>
  <w:style w:type="paragraph" w:styleId="39">
    <w:name w:val="toc 6"/>
    <w:basedOn w:val="1"/>
    <w:next w:val="1"/>
    <w:autoRedefine/>
    <w:qFormat/>
    <w:uiPriority w:val="0"/>
    <w:pPr>
      <w:ind w:left="1050"/>
      <w:jc w:val="left"/>
    </w:pPr>
    <w:rPr>
      <w:szCs w:val="21"/>
    </w:rPr>
  </w:style>
  <w:style w:type="paragraph" w:styleId="40">
    <w:name w:val="index 9"/>
    <w:next w:val="1"/>
    <w:autoRedefine/>
    <w:qFormat/>
    <w:uiPriority w:val="0"/>
    <w:pPr>
      <w:widowControl w:val="0"/>
      <w:ind w:left="3360"/>
      <w:jc w:val="both"/>
    </w:pPr>
    <w:rPr>
      <w:rFonts w:ascii="Times New Roman" w:hAnsi="Times New Roman" w:eastAsia="宋体" w:cs="Times New Roman"/>
      <w:kern w:val="2"/>
      <w:sz w:val="21"/>
      <w:szCs w:val="24"/>
      <w:lang w:val="en-US" w:eastAsia="zh-CN" w:bidi="ar-SA"/>
    </w:rPr>
  </w:style>
  <w:style w:type="paragraph" w:styleId="41">
    <w:name w:val="toc 2"/>
    <w:basedOn w:val="1"/>
    <w:next w:val="1"/>
    <w:autoRedefine/>
    <w:qFormat/>
    <w:uiPriority w:val="39"/>
    <w:pPr>
      <w:ind w:left="420" w:leftChars="200"/>
    </w:pPr>
    <w:rPr>
      <w:szCs w:val="20"/>
    </w:rPr>
  </w:style>
  <w:style w:type="paragraph" w:styleId="42">
    <w:name w:val="toc 9"/>
    <w:basedOn w:val="1"/>
    <w:next w:val="1"/>
    <w:autoRedefine/>
    <w:qFormat/>
    <w:uiPriority w:val="0"/>
    <w:pPr>
      <w:ind w:left="1680"/>
      <w:jc w:val="left"/>
    </w:pPr>
    <w:rPr>
      <w:szCs w:val="21"/>
    </w:rPr>
  </w:style>
  <w:style w:type="paragraph" w:styleId="43">
    <w:name w:val="Body Text 2"/>
    <w:basedOn w:val="1"/>
    <w:link w:val="87"/>
    <w:autoRedefine/>
    <w:qFormat/>
    <w:uiPriority w:val="0"/>
    <w:rPr>
      <w:sz w:val="28"/>
      <w:szCs w:val="20"/>
    </w:rPr>
  </w:style>
  <w:style w:type="paragraph" w:styleId="44">
    <w:name w:val="List 4"/>
    <w:basedOn w:val="1"/>
    <w:autoRedefine/>
    <w:qFormat/>
    <w:uiPriority w:val="0"/>
    <w:pPr>
      <w:ind w:left="100" w:leftChars="600" w:hanging="200" w:hangingChars="200"/>
    </w:pPr>
  </w:style>
  <w:style w:type="paragraph" w:styleId="45">
    <w:name w:val="HTML Preformatted"/>
    <w:basedOn w:val="1"/>
    <w:link w:val="88"/>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6">
    <w:name w:val="Normal (Web)"/>
    <w:basedOn w:val="1"/>
    <w:autoRedefine/>
    <w:qFormat/>
    <w:uiPriority w:val="0"/>
    <w:pPr>
      <w:widowControl/>
      <w:spacing w:before="100" w:beforeAutospacing="1" w:after="100" w:afterAutospacing="1"/>
      <w:jc w:val="left"/>
    </w:pPr>
    <w:rPr>
      <w:rFonts w:ascii="宋体" w:hAnsi="宋体"/>
      <w:kern w:val="0"/>
      <w:sz w:val="24"/>
      <w:szCs w:val="20"/>
    </w:rPr>
  </w:style>
  <w:style w:type="paragraph" w:styleId="47">
    <w:name w:val="Title"/>
    <w:basedOn w:val="1"/>
    <w:next w:val="1"/>
    <w:link w:val="89"/>
    <w:autoRedefine/>
    <w:qFormat/>
    <w:uiPriority w:val="0"/>
    <w:pPr>
      <w:spacing w:before="240" w:after="60"/>
      <w:jc w:val="center"/>
      <w:outlineLvl w:val="0"/>
    </w:pPr>
    <w:rPr>
      <w:rFonts w:ascii="等线 Light" w:hAnsi="等线 Light"/>
      <w:b/>
      <w:bCs/>
      <w:sz w:val="32"/>
      <w:szCs w:val="32"/>
    </w:rPr>
  </w:style>
  <w:style w:type="paragraph" w:styleId="48">
    <w:name w:val="annotation subject"/>
    <w:basedOn w:val="17"/>
    <w:next w:val="17"/>
    <w:link w:val="90"/>
    <w:autoRedefine/>
    <w:qFormat/>
    <w:uiPriority w:val="0"/>
    <w:rPr>
      <w:b/>
      <w:bCs/>
    </w:rPr>
  </w:style>
  <w:style w:type="paragraph" w:styleId="49">
    <w:name w:val="Body Text First Indent"/>
    <w:basedOn w:val="19"/>
    <w:next w:val="50"/>
    <w:link w:val="91"/>
    <w:autoRedefine/>
    <w:qFormat/>
    <w:uiPriority w:val="0"/>
    <w:pPr>
      <w:ind w:firstLine="420"/>
    </w:pPr>
    <w:rPr>
      <w:szCs w:val="20"/>
    </w:rPr>
  </w:style>
  <w:style w:type="paragraph" w:styleId="50">
    <w:name w:val="Body Text First Indent 2"/>
    <w:basedOn w:val="22"/>
    <w:next w:val="49"/>
    <w:autoRedefine/>
    <w:unhideWhenUsed/>
    <w:qFormat/>
    <w:uiPriority w:val="0"/>
    <w:pPr>
      <w:ind w:firstLine="420" w:firstLineChars="200"/>
    </w:pPr>
  </w:style>
  <w:style w:type="table" w:styleId="52">
    <w:name w:val="Table Grid"/>
    <w:basedOn w:val="51"/>
    <w:autoRedefine/>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autoRedefine/>
    <w:qFormat/>
    <w:uiPriority w:val="0"/>
    <w:rPr>
      <w:rFonts w:ascii="Times New Roman" w:hAnsi="Times New Roman" w:eastAsia="宋体" w:cs="Times New Roman"/>
      <w:b/>
      <w:bCs/>
    </w:rPr>
  </w:style>
  <w:style w:type="character" w:styleId="55">
    <w:name w:val="page number"/>
    <w:autoRedefine/>
    <w:qFormat/>
    <w:uiPriority w:val="0"/>
    <w:rPr>
      <w:rFonts w:ascii="Times New Roman" w:hAnsi="Times New Roman" w:eastAsia="宋体" w:cs="Times New Roman"/>
    </w:rPr>
  </w:style>
  <w:style w:type="character" w:styleId="56">
    <w:name w:val="FollowedHyperlink"/>
    <w:autoRedefine/>
    <w:qFormat/>
    <w:uiPriority w:val="0"/>
    <w:rPr>
      <w:rFonts w:ascii="Times New Roman" w:hAnsi="Times New Roman" w:eastAsia="宋体" w:cs="Times New Roman"/>
      <w:color w:val="800080"/>
      <w:u w:val="single"/>
    </w:rPr>
  </w:style>
  <w:style w:type="character" w:styleId="57">
    <w:name w:val="Emphasis"/>
    <w:autoRedefine/>
    <w:qFormat/>
    <w:uiPriority w:val="0"/>
    <w:rPr>
      <w:rFonts w:ascii="Times New Roman" w:hAnsi="Times New Roman" w:eastAsia="宋体" w:cs="Times New Roman"/>
      <w:color w:val="CC0000"/>
      <w:sz w:val="24"/>
      <w:szCs w:val="24"/>
    </w:rPr>
  </w:style>
  <w:style w:type="character" w:styleId="58">
    <w:name w:val="line number"/>
    <w:autoRedefine/>
    <w:qFormat/>
    <w:uiPriority w:val="0"/>
    <w:rPr>
      <w:rFonts w:ascii="Times New Roman" w:hAnsi="Times New Roman" w:eastAsia="宋体" w:cs="Times New Roman"/>
    </w:rPr>
  </w:style>
  <w:style w:type="character" w:styleId="59">
    <w:name w:val="HTML Definition"/>
    <w:basedOn w:val="53"/>
    <w:autoRedefine/>
    <w:unhideWhenUsed/>
    <w:qFormat/>
    <w:uiPriority w:val="99"/>
    <w:rPr>
      <w:i/>
      <w:iCs/>
    </w:rPr>
  </w:style>
  <w:style w:type="character" w:styleId="60">
    <w:name w:val="Hyperlink"/>
    <w:basedOn w:val="53"/>
    <w:autoRedefine/>
    <w:qFormat/>
    <w:uiPriority w:val="99"/>
    <w:rPr>
      <w:rFonts w:ascii="Times New Roman" w:hAnsi="Times New Roman" w:eastAsia="宋体" w:cs="Times New Roman"/>
      <w:color w:val="0000FF"/>
      <w:u w:val="single"/>
    </w:rPr>
  </w:style>
  <w:style w:type="character" w:styleId="61">
    <w:name w:val="HTML Code"/>
    <w:basedOn w:val="53"/>
    <w:autoRedefine/>
    <w:unhideWhenUsed/>
    <w:qFormat/>
    <w:uiPriority w:val="99"/>
    <w:rPr>
      <w:rFonts w:ascii="Consolas" w:hAnsi="Consolas" w:eastAsia="Consolas" w:cs="Consolas"/>
      <w:sz w:val="21"/>
      <w:szCs w:val="21"/>
    </w:rPr>
  </w:style>
  <w:style w:type="character" w:styleId="62">
    <w:name w:val="annotation reference"/>
    <w:autoRedefine/>
    <w:qFormat/>
    <w:uiPriority w:val="0"/>
    <w:rPr>
      <w:rFonts w:ascii="Times New Roman" w:hAnsi="Times New Roman" w:eastAsia="宋体" w:cs="Times New Roman"/>
      <w:sz w:val="21"/>
      <w:szCs w:val="21"/>
    </w:rPr>
  </w:style>
  <w:style w:type="character" w:styleId="63">
    <w:name w:val="HTML Keyboard"/>
    <w:basedOn w:val="53"/>
    <w:autoRedefine/>
    <w:unhideWhenUsed/>
    <w:qFormat/>
    <w:uiPriority w:val="99"/>
    <w:rPr>
      <w:rFonts w:hint="default" w:ascii="Consolas" w:hAnsi="Consolas" w:eastAsia="Consolas" w:cs="Consolas"/>
      <w:sz w:val="21"/>
      <w:szCs w:val="21"/>
    </w:rPr>
  </w:style>
  <w:style w:type="character" w:styleId="64">
    <w:name w:val="HTML Sample"/>
    <w:basedOn w:val="53"/>
    <w:autoRedefine/>
    <w:unhideWhenUsed/>
    <w:qFormat/>
    <w:uiPriority w:val="99"/>
    <w:rPr>
      <w:rFonts w:hint="default" w:ascii="Consolas" w:hAnsi="Consolas" w:eastAsia="Consolas" w:cs="Consolas"/>
      <w:sz w:val="21"/>
      <w:szCs w:val="21"/>
    </w:rPr>
  </w:style>
  <w:style w:type="paragraph" w:customStyle="1" w:styleId="65">
    <w:name w:val="**正文"/>
    <w:basedOn w:val="1"/>
    <w:qFormat/>
    <w:uiPriority w:val="0"/>
    <w:pPr>
      <w:ind w:firstLine="482"/>
    </w:pPr>
    <w:rPr>
      <w:rFonts w:ascii="宋体" w:hAnsi="宋体"/>
      <w:sz w:val="24"/>
    </w:rPr>
  </w:style>
  <w:style w:type="paragraph" w:customStyle="1" w:styleId="66">
    <w:name w:val="UserStyle_0"/>
    <w:basedOn w:val="1"/>
    <w:autoRedefine/>
    <w:qFormat/>
    <w:uiPriority w:val="0"/>
    <w:pPr>
      <w:jc w:val="left"/>
      <w:textAlignment w:val="baseline"/>
    </w:pPr>
    <w:rPr>
      <w:rFonts w:ascii="楷体_GB2312" w:hAnsi="宋体" w:eastAsia="楷体_GB2312"/>
      <w:color w:val="000000"/>
      <w:sz w:val="24"/>
    </w:rPr>
  </w:style>
  <w:style w:type="character" w:customStyle="1" w:styleId="67">
    <w:name w:val="标题 4 字符"/>
    <w:link w:val="5"/>
    <w:autoRedefine/>
    <w:qFormat/>
    <w:uiPriority w:val="0"/>
    <w:rPr>
      <w:rFonts w:ascii="Arial" w:hAnsi="Arial" w:eastAsia="黑体" w:cs="Times New Roman"/>
      <w:b/>
      <w:bCs/>
      <w:sz w:val="28"/>
      <w:szCs w:val="28"/>
    </w:rPr>
  </w:style>
  <w:style w:type="character" w:customStyle="1" w:styleId="68">
    <w:name w:val="标题 1 字符1"/>
    <w:autoRedefine/>
    <w:qFormat/>
    <w:uiPriority w:val="0"/>
    <w:rPr>
      <w:rFonts w:ascii="Arial" w:hAnsi="Arial" w:eastAsia="宋体" w:cs="Times New Roman"/>
      <w:bCs/>
      <w:color w:val="000000"/>
      <w:kern w:val="44"/>
      <w:sz w:val="32"/>
      <w:szCs w:val="32"/>
      <w:lang w:val="pt-BR"/>
    </w:rPr>
  </w:style>
  <w:style w:type="character" w:customStyle="1" w:styleId="69">
    <w:name w:val="标题 2 字符1"/>
    <w:autoRedefine/>
    <w:qFormat/>
    <w:uiPriority w:val="0"/>
    <w:rPr>
      <w:rFonts w:ascii="Arial" w:hAnsi="Arial" w:eastAsia="宋体" w:cs="Times New Roman"/>
      <w:bCs/>
      <w:color w:val="000000"/>
      <w:kern w:val="2"/>
      <w:sz w:val="28"/>
      <w:szCs w:val="32"/>
      <w:lang w:val="pt-BR"/>
    </w:rPr>
  </w:style>
  <w:style w:type="character" w:customStyle="1" w:styleId="70">
    <w:name w:val="标题 3 字符1"/>
    <w:link w:val="4"/>
    <w:autoRedefine/>
    <w:qFormat/>
    <w:uiPriority w:val="0"/>
    <w:rPr>
      <w:rFonts w:ascii="Times New Roman" w:hAnsi="Times New Roman" w:eastAsia="宋体" w:cs="Times New Roman"/>
      <w:b/>
      <w:bCs/>
      <w:kern w:val="2"/>
      <w:sz w:val="32"/>
      <w:szCs w:val="32"/>
    </w:rPr>
  </w:style>
  <w:style w:type="character" w:customStyle="1" w:styleId="71">
    <w:name w:val="标题 5 字符"/>
    <w:link w:val="6"/>
    <w:autoRedefine/>
    <w:qFormat/>
    <w:uiPriority w:val="0"/>
    <w:rPr>
      <w:rFonts w:ascii="Times New Roman" w:hAnsi="Times New Roman" w:eastAsia="宋体" w:cs="Times New Roman"/>
      <w:b/>
      <w:bCs/>
      <w:sz w:val="28"/>
      <w:szCs w:val="28"/>
    </w:rPr>
  </w:style>
  <w:style w:type="character" w:customStyle="1" w:styleId="72">
    <w:name w:val="标题 6 字符1"/>
    <w:link w:val="7"/>
    <w:autoRedefine/>
    <w:qFormat/>
    <w:uiPriority w:val="0"/>
    <w:rPr>
      <w:rFonts w:ascii="Arial" w:hAnsi="Arial" w:eastAsia="黑体" w:cs="Times New Roman"/>
      <w:b/>
      <w:bCs/>
      <w:kern w:val="2"/>
      <w:sz w:val="24"/>
      <w:szCs w:val="24"/>
      <w:lang w:val="en-US" w:eastAsia="zh-CN" w:bidi="ar-SA"/>
    </w:rPr>
  </w:style>
  <w:style w:type="character" w:customStyle="1" w:styleId="73">
    <w:name w:val="标题 7 字符"/>
    <w:link w:val="8"/>
    <w:autoRedefine/>
    <w:qFormat/>
    <w:uiPriority w:val="0"/>
    <w:rPr>
      <w:rFonts w:ascii="Times New Roman" w:hAnsi="Times New Roman" w:eastAsia="宋体" w:cs="Times New Roman"/>
      <w:b/>
      <w:bCs/>
      <w:sz w:val="24"/>
      <w:szCs w:val="24"/>
    </w:rPr>
  </w:style>
  <w:style w:type="character" w:customStyle="1" w:styleId="74">
    <w:name w:val="标题 8 字符"/>
    <w:link w:val="9"/>
    <w:autoRedefine/>
    <w:qFormat/>
    <w:uiPriority w:val="0"/>
    <w:rPr>
      <w:rFonts w:ascii="Arial" w:hAnsi="Arial" w:eastAsia="黑体" w:cs="Times New Roman"/>
      <w:sz w:val="24"/>
      <w:szCs w:val="24"/>
    </w:rPr>
  </w:style>
  <w:style w:type="character" w:customStyle="1" w:styleId="75">
    <w:name w:val="标题 9 字符"/>
    <w:link w:val="10"/>
    <w:autoRedefine/>
    <w:qFormat/>
    <w:uiPriority w:val="0"/>
    <w:rPr>
      <w:rFonts w:ascii="Arial" w:hAnsi="Arial" w:eastAsia="黑体" w:cs="Times New Roman"/>
      <w:sz w:val="21"/>
      <w:szCs w:val="21"/>
    </w:rPr>
  </w:style>
  <w:style w:type="character" w:customStyle="1" w:styleId="76">
    <w:name w:val="正文缩进 字符"/>
    <w:link w:val="14"/>
    <w:autoRedefine/>
    <w:qFormat/>
    <w:uiPriority w:val="0"/>
    <w:rPr>
      <w:rFonts w:ascii="Times New Roman" w:hAnsi="Times New Roman" w:eastAsia="宋体" w:cs="Times New Roman"/>
      <w:kern w:val="2"/>
      <w:sz w:val="21"/>
    </w:rPr>
  </w:style>
  <w:style w:type="character" w:customStyle="1" w:styleId="77">
    <w:name w:val="文档结构图 字符2"/>
    <w:link w:val="16"/>
    <w:autoRedefine/>
    <w:qFormat/>
    <w:uiPriority w:val="0"/>
    <w:rPr>
      <w:rFonts w:ascii="宋体" w:hAnsi="Times New Roman" w:eastAsia="宋体" w:cs="Times New Roman"/>
      <w:kern w:val="2"/>
      <w:sz w:val="18"/>
      <w:szCs w:val="18"/>
    </w:rPr>
  </w:style>
  <w:style w:type="character" w:customStyle="1" w:styleId="78">
    <w:name w:val="批注文字 字符3"/>
    <w:link w:val="17"/>
    <w:autoRedefine/>
    <w:qFormat/>
    <w:uiPriority w:val="0"/>
    <w:rPr>
      <w:rFonts w:ascii="Times New Roman" w:hAnsi="Times New Roman" w:eastAsia="宋体" w:cs="Times New Roman"/>
      <w:kern w:val="2"/>
      <w:sz w:val="21"/>
      <w:szCs w:val="24"/>
    </w:rPr>
  </w:style>
  <w:style w:type="character" w:customStyle="1" w:styleId="79">
    <w:name w:val="正文文本 3 字符"/>
    <w:link w:val="18"/>
    <w:autoRedefine/>
    <w:qFormat/>
    <w:uiPriority w:val="0"/>
    <w:rPr>
      <w:rFonts w:ascii="宋体" w:hAnsi="宋体" w:eastAsia="宋体" w:cs="Times New Roman"/>
      <w:color w:val="000000"/>
      <w:kern w:val="2"/>
      <w:sz w:val="21"/>
      <w:szCs w:val="21"/>
    </w:rPr>
  </w:style>
  <w:style w:type="character" w:customStyle="1" w:styleId="80">
    <w:name w:val="正文文本 字符1"/>
    <w:link w:val="19"/>
    <w:autoRedefine/>
    <w:qFormat/>
    <w:uiPriority w:val="0"/>
    <w:rPr>
      <w:rFonts w:ascii="Times New Roman" w:hAnsi="Times New Roman" w:eastAsia="宋体" w:cs="Times New Roman"/>
      <w:kern w:val="2"/>
      <w:sz w:val="21"/>
      <w:szCs w:val="24"/>
    </w:rPr>
  </w:style>
  <w:style w:type="character" w:customStyle="1" w:styleId="81">
    <w:name w:val="日期 字符1"/>
    <w:link w:val="29"/>
    <w:autoRedefine/>
    <w:qFormat/>
    <w:uiPriority w:val="0"/>
    <w:rPr>
      <w:rFonts w:ascii="宋体" w:hAnsi="宋体" w:eastAsia="宋体" w:cs="Times New Roman"/>
      <w:sz w:val="24"/>
    </w:rPr>
  </w:style>
  <w:style w:type="character" w:customStyle="1" w:styleId="82">
    <w:name w:val="正文文本缩进 2 字符"/>
    <w:link w:val="30"/>
    <w:autoRedefine/>
    <w:qFormat/>
    <w:uiPriority w:val="0"/>
    <w:rPr>
      <w:rFonts w:ascii="Calibri" w:hAnsi="Calibri" w:eastAsia="宋体" w:cs="Times New Roman"/>
      <w:kern w:val="2"/>
      <w:sz w:val="21"/>
      <w:szCs w:val="22"/>
    </w:rPr>
  </w:style>
  <w:style w:type="character" w:customStyle="1" w:styleId="83">
    <w:name w:val="批注框文本 字符1"/>
    <w:link w:val="31"/>
    <w:autoRedefine/>
    <w:qFormat/>
    <w:uiPriority w:val="0"/>
    <w:rPr>
      <w:rFonts w:ascii="Times New Roman" w:hAnsi="Times New Roman" w:eastAsia="宋体" w:cs="Times New Roman"/>
      <w:kern w:val="2"/>
      <w:sz w:val="18"/>
      <w:szCs w:val="18"/>
    </w:rPr>
  </w:style>
  <w:style w:type="character" w:customStyle="1" w:styleId="84">
    <w:name w:val="页眉 字符1"/>
    <w:link w:val="20"/>
    <w:autoRedefine/>
    <w:qFormat/>
    <w:uiPriority w:val="0"/>
    <w:rPr>
      <w:rFonts w:ascii="Times New Roman" w:hAnsi="Times New Roman" w:eastAsia="宋体" w:cs="Times New Roman"/>
      <w:kern w:val="2"/>
      <w:sz w:val="18"/>
      <w:szCs w:val="18"/>
    </w:rPr>
  </w:style>
  <w:style w:type="character" w:customStyle="1" w:styleId="85">
    <w:name w:val="签名 字符1"/>
    <w:link w:val="35"/>
    <w:autoRedefine/>
    <w:qFormat/>
    <w:uiPriority w:val="0"/>
    <w:rPr>
      <w:rFonts w:ascii="Times New Roman" w:hAnsi="Times New Roman" w:eastAsia="楷体_GB2312" w:cs="Times New Roman"/>
      <w:kern w:val="2"/>
      <w:sz w:val="21"/>
    </w:rPr>
  </w:style>
  <w:style w:type="character" w:customStyle="1" w:styleId="86">
    <w:name w:val="正文文本缩进 3 字符"/>
    <w:link w:val="32"/>
    <w:autoRedefine/>
    <w:qFormat/>
    <w:uiPriority w:val="0"/>
    <w:rPr>
      <w:rFonts w:ascii="Times New Roman" w:hAnsi="Times New Roman" w:eastAsia="宋体" w:cs="Times New Roman"/>
      <w:kern w:val="2"/>
      <w:sz w:val="16"/>
      <w:szCs w:val="16"/>
    </w:rPr>
  </w:style>
  <w:style w:type="character" w:customStyle="1" w:styleId="87">
    <w:name w:val="正文文本 2 字符1"/>
    <w:link w:val="43"/>
    <w:autoRedefine/>
    <w:qFormat/>
    <w:uiPriority w:val="0"/>
    <w:rPr>
      <w:rFonts w:ascii="Times New Roman" w:hAnsi="Times New Roman" w:eastAsia="宋体" w:cs="Times New Roman"/>
      <w:kern w:val="2"/>
      <w:sz w:val="28"/>
    </w:rPr>
  </w:style>
  <w:style w:type="character" w:customStyle="1" w:styleId="88">
    <w:name w:val="HTML 预设格式 字符1"/>
    <w:link w:val="45"/>
    <w:autoRedefine/>
    <w:qFormat/>
    <w:uiPriority w:val="0"/>
    <w:rPr>
      <w:rFonts w:ascii="黑体" w:hAnsi="Courier New" w:eastAsia="黑体" w:cs="Times New Roman"/>
    </w:rPr>
  </w:style>
  <w:style w:type="character" w:customStyle="1" w:styleId="89">
    <w:name w:val="标题 字符"/>
    <w:link w:val="47"/>
    <w:autoRedefine/>
    <w:qFormat/>
    <w:uiPriority w:val="0"/>
    <w:rPr>
      <w:rFonts w:ascii="等线 Light" w:hAnsi="等线 Light" w:eastAsia="宋体" w:cs="Times New Roman"/>
      <w:b/>
      <w:bCs/>
      <w:kern w:val="2"/>
      <w:sz w:val="32"/>
      <w:szCs w:val="32"/>
    </w:rPr>
  </w:style>
  <w:style w:type="character" w:customStyle="1" w:styleId="90">
    <w:name w:val="批注主题 字符1"/>
    <w:link w:val="48"/>
    <w:autoRedefine/>
    <w:qFormat/>
    <w:uiPriority w:val="0"/>
    <w:rPr>
      <w:rFonts w:ascii="Times New Roman" w:hAnsi="Times New Roman" w:eastAsia="宋体" w:cs="Times New Roman"/>
      <w:b/>
      <w:bCs/>
      <w:kern w:val="2"/>
      <w:sz w:val="21"/>
      <w:szCs w:val="24"/>
    </w:rPr>
  </w:style>
  <w:style w:type="character" w:customStyle="1" w:styleId="91">
    <w:name w:val="正文文本首行缩进 字符"/>
    <w:link w:val="49"/>
    <w:autoRedefine/>
    <w:qFormat/>
    <w:uiPriority w:val="0"/>
    <w:rPr>
      <w:rFonts w:ascii="Times New Roman" w:hAnsi="Times New Roman" w:eastAsia="宋体" w:cs="Times New Roman"/>
      <w:kern w:val="2"/>
      <w:sz w:val="21"/>
    </w:rPr>
  </w:style>
  <w:style w:type="character" w:customStyle="1" w:styleId="92">
    <w:name w:val="文档结构图 字符1"/>
    <w:autoRedefine/>
    <w:qFormat/>
    <w:uiPriority w:val="0"/>
    <w:rPr>
      <w:rFonts w:ascii="Times New Roman" w:hAnsi="Times New Roman" w:eastAsia="宋体" w:cs="Times New Roman"/>
      <w:kern w:val="2"/>
      <w:sz w:val="21"/>
      <w:szCs w:val="24"/>
      <w:shd w:val="clear" w:color="auto" w:fill="000080"/>
    </w:rPr>
  </w:style>
  <w:style w:type="character" w:customStyle="1" w:styleId="93">
    <w:name w:val="bfd_price_new"/>
    <w:autoRedefine/>
    <w:qFormat/>
    <w:uiPriority w:val="0"/>
    <w:rPr>
      <w:rFonts w:ascii="Times New Roman" w:hAnsi="Times New Roman" w:eastAsia="宋体" w:cs="Times New Roman"/>
      <w:color w:val="D71249"/>
      <w:sz w:val="21"/>
      <w:szCs w:val="21"/>
    </w:rPr>
  </w:style>
  <w:style w:type="character" w:customStyle="1" w:styleId="94">
    <w:name w:val="fontstyle01"/>
    <w:autoRedefine/>
    <w:qFormat/>
    <w:uiPriority w:val="0"/>
    <w:rPr>
      <w:rFonts w:hint="eastAsia" w:ascii="宋体" w:hAnsi="宋体" w:eastAsia="宋体" w:cs="Times New Roman"/>
      <w:color w:val="000000"/>
      <w:sz w:val="22"/>
      <w:szCs w:val="22"/>
    </w:rPr>
  </w:style>
  <w:style w:type="character" w:customStyle="1" w:styleId="95">
    <w:name w:val="font61"/>
    <w:basedOn w:val="53"/>
    <w:autoRedefine/>
    <w:qFormat/>
    <w:uiPriority w:val="0"/>
    <w:rPr>
      <w:rFonts w:hint="eastAsia" w:ascii="宋体" w:hAnsi="宋体" w:eastAsia="宋体" w:cs="宋体"/>
      <w:color w:val="000000"/>
      <w:sz w:val="22"/>
      <w:szCs w:val="22"/>
      <w:u w:val="none"/>
    </w:rPr>
  </w:style>
  <w:style w:type="character" w:customStyle="1" w:styleId="96">
    <w:name w:val="文档结构图 字符"/>
    <w:autoRedefine/>
    <w:qFormat/>
    <w:uiPriority w:val="0"/>
    <w:rPr>
      <w:rFonts w:ascii="Microsoft YaHei UI" w:hAnsi="Times New Roman" w:eastAsia="Microsoft YaHei UI" w:cs="Times New Roman"/>
      <w:kern w:val="2"/>
      <w:sz w:val="18"/>
      <w:szCs w:val="18"/>
    </w:rPr>
  </w:style>
  <w:style w:type="character" w:customStyle="1" w:styleId="97">
    <w:name w:val="文档结构图 Char1"/>
    <w:autoRedefine/>
    <w:qFormat/>
    <w:uiPriority w:val="0"/>
    <w:rPr>
      <w:rFonts w:ascii="宋体" w:hAnsi="Times New Roman" w:eastAsia="宋体" w:cs="Times New Roman"/>
      <w:sz w:val="18"/>
      <w:szCs w:val="18"/>
    </w:rPr>
  </w:style>
  <w:style w:type="character" w:customStyle="1" w:styleId="98">
    <w:name w:val="正文首行缩进 字符"/>
    <w:autoRedefine/>
    <w:qFormat/>
    <w:uiPriority w:val="0"/>
    <w:rPr>
      <w:rFonts w:ascii="Times New Roman" w:hAnsi="Times New Roman" w:eastAsia="宋体" w:cs="Times New Roman"/>
      <w:kern w:val="2"/>
      <w:sz w:val="21"/>
      <w:szCs w:val="24"/>
    </w:rPr>
  </w:style>
  <w:style w:type="character" w:customStyle="1" w:styleId="99">
    <w:name w:val="标题 1 字符"/>
    <w:autoRedefine/>
    <w:qFormat/>
    <w:uiPriority w:val="0"/>
    <w:rPr>
      <w:rFonts w:ascii="Times New Roman" w:hAnsi="Times New Roman" w:eastAsia="宋体" w:cs="Times New Roman"/>
      <w:b/>
      <w:bCs/>
      <w:kern w:val="44"/>
      <w:sz w:val="44"/>
      <w:szCs w:val="44"/>
    </w:rPr>
  </w:style>
  <w:style w:type="character" w:customStyle="1" w:styleId="100">
    <w:name w:val="标题 9 Char"/>
    <w:autoRedefine/>
    <w:qFormat/>
    <w:uiPriority w:val="0"/>
    <w:rPr>
      <w:rFonts w:ascii="Cambria" w:hAnsi="Cambria" w:eastAsia="宋体" w:cs="Times New Roman"/>
      <w:kern w:val="2"/>
      <w:sz w:val="21"/>
      <w:szCs w:val="21"/>
    </w:rPr>
  </w:style>
  <w:style w:type="character" w:customStyle="1" w:styleId="101">
    <w:name w:val="A正文小四 Char Char"/>
    <w:link w:val="102"/>
    <w:autoRedefine/>
    <w:qFormat/>
    <w:uiPriority w:val="0"/>
    <w:rPr>
      <w:rFonts w:ascii="宋体" w:hAnsi="宋体" w:eastAsia="宋体" w:cs="Times New Roman"/>
      <w:kern w:val="2"/>
      <w:sz w:val="24"/>
      <w:szCs w:val="22"/>
    </w:rPr>
  </w:style>
  <w:style w:type="paragraph" w:customStyle="1" w:styleId="102">
    <w:name w:val="A正文小四"/>
    <w:basedOn w:val="1"/>
    <w:link w:val="101"/>
    <w:autoRedefine/>
    <w:qFormat/>
    <w:uiPriority w:val="0"/>
    <w:pPr>
      <w:spacing w:line="360" w:lineRule="auto"/>
      <w:ind w:firstLine="425" w:firstLineChars="177"/>
    </w:pPr>
    <w:rPr>
      <w:rFonts w:ascii="宋体" w:hAnsi="宋体"/>
      <w:sz w:val="24"/>
      <w:szCs w:val="22"/>
    </w:rPr>
  </w:style>
  <w:style w:type="character" w:customStyle="1" w:styleId="103">
    <w:name w:val="标题 8 Char"/>
    <w:autoRedefine/>
    <w:qFormat/>
    <w:uiPriority w:val="0"/>
    <w:rPr>
      <w:rFonts w:ascii="Cambria" w:hAnsi="Cambria" w:eastAsia="宋体" w:cs="Times New Roman"/>
      <w:kern w:val="2"/>
      <w:sz w:val="24"/>
      <w:szCs w:val="24"/>
    </w:rPr>
  </w:style>
  <w:style w:type="character" w:customStyle="1" w:styleId="104">
    <w:name w:val="签名 字符"/>
    <w:autoRedefine/>
    <w:qFormat/>
    <w:uiPriority w:val="0"/>
    <w:rPr>
      <w:rFonts w:ascii="Times New Roman" w:hAnsi="Times New Roman" w:eastAsia="宋体" w:cs="Times New Roman"/>
      <w:kern w:val="2"/>
      <w:sz w:val="21"/>
      <w:szCs w:val="24"/>
    </w:rPr>
  </w:style>
  <w:style w:type="character" w:customStyle="1" w:styleId="105">
    <w:name w:val="font51"/>
    <w:autoRedefine/>
    <w:qFormat/>
    <w:uiPriority w:val="0"/>
    <w:rPr>
      <w:rFonts w:hint="eastAsia" w:ascii="宋体" w:hAnsi="宋体" w:eastAsia="宋体" w:cs="宋体"/>
      <w:color w:val="000000"/>
      <w:sz w:val="24"/>
      <w:szCs w:val="24"/>
      <w:u w:val="none"/>
    </w:rPr>
  </w:style>
  <w:style w:type="character" w:customStyle="1" w:styleId="106">
    <w:name w:val="正文文本 Char2"/>
    <w:autoRedefine/>
    <w:qFormat/>
    <w:uiPriority w:val="0"/>
    <w:rPr>
      <w:rFonts w:ascii="Times New Roman" w:hAnsi="Times New Roman" w:eastAsia="宋体" w:cs="Times New Roman"/>
      <w:szCs w:val="24"/>
    </w:rPr>
  </w:style>
  <w:style w:type="character" w:customStyle="1" w:styleId="107">
    <w:name w:val="正文文本缩进 2 Char2"/>
    <w:autoRedefine/>
    <w:qFormat/>
    <w:uiPriority w:val="0"/>
    <w:rPr>
      <w:rFonts w:ascii="Times New Roman" w:hAnsi="Times New Roman" w:eastAsia="宋体" w:cs="Times New Roman"/>
      <w:szCs w:val="24"/>
    </w:rPr>
  </w:style>
  <w:style w:type="character" w:customStyle="1" w:styleId="108">
    <w:name w:val="font21"/>
    <w:basedOn w:val="53"/>
    <w:autoRedefine/>
    <w:qFormat/>
    <w:uiPriority w:val="0"/>
    <w:rPr>
      <w:rFonts w:hint="eastAsia" w:ascii="宋体" w:hAnsi="宋体" w:eastAsia="宋体" w:cs="宋体"/>
      <w:color w:val="000000"/>
      <w:sz w:val="22"/>
      <w:szCs w:val="22"/>
      <w:u w:val="none"/>
    </w:rPr>
  </w:style>
  <w:style w:type="character" w:customStyle="1" w:styleId="109">
    <w:name w:val="标题 2 字符"/>
    <w:autoRedefine/>
    <w:qFormat/>
    <w:uiPriority w:val="0"/>
    <w:rPr>
      <w:rFonts w:ascii="等线 Light" w:hAnsi="等线 Light" w:eastAsia="等线 Light" w:cs="Times New Roman"/>
      <w:b/>
      <w:bCs/>
      <w:kern w:val="2"/>
      <w:sz w:val="32"/>
      <w:szCs w:val="32"/>
    </w:rPr>
  </w:style>
  <w:style w:type="character" w:customStyle="1" w:styleId="110">
    <w:name w:val="批注文字 字符"/>
    <w:autoRedefine/>
    <w:qFormat/>
    <w:uiPriority w:val="0"/>
    <w:rPr>
      <w:rFonts w:ascii="Times New Roman" w:hAnsi="Times New Roman" w:eastAsia="宋体" w:cs="Times New Roman"/>
    </w:rPr>
  </w:style>
  <w:style w:type="character" w:customStyle="1" w:styleId="111">
    <w:name w:val="ant-radio+*"/>
    <w:basedOn w:val="53"/>
    <w:autoRedefine/>
    <w:qFormat/>
    <w:uiPriority w:val="0"/>
  </w:style>
  <w:style w:type="character" w:customStyle="1" w:styleId="112">
    <w:name w:val="普通文字 Char Char2"/>
    <w:autoRedefine/>
    <w:qFormat/>
    <w:uiPriority w:val="0"/>
    <w:rPr>
      <w:rFonts w:ascii="宋体" w:hAnsi="Courier New" w:eastAsia="宋体" w:cs="Times New Roman"/>
      <w:kern w:val="2"/>
      <w:sz w:val="21"/>
      <w:lang w:val="en-US" w:eastAsia="zh-CN"/>
    </w:rPr>
  </w:style>
  <w:style w:type="character" w:customStyle="1" w:styleId="113">
    <w:name w:val="unnamed21"/>
    <w:autoRedefine/>
    <w:qFormat/>
    <w:uiPriority w:val="0"/>
    <w:rPr>
      <w:rFonts w:ascii="Times New Roman" w:hAnsi="Times New Roman" w:eastAsia="宋体" w:cs="Times New Roman"/>
      <w:color w:val="CC6633"/>
      <w:u w:val="none"/>
    </w:rPr>
  </w:style>
  <w:style w:type="character" w:customStyle="1" w:styleId="114">
    <w:name w:val="正文文本缩进 2 Char"/>
    <w:autoRedefine/>
    <w:qFormat/>
    <w:uiPriority w:val="0"/>
    <w:rPr>
      <w:rFonts w:ascii="Times New Roman" w:hAnsi="Times New Roman" w:eastAsia="宋体" w:cs="Times New Roman"/>
      <w:kern w:val="2"/>
      <w:sz w:val="21"/>
      <w:szCs w:val="24"/>
    </w:rPr>
  </w:style>
  <w:style w:type="character" w:customStyle="1" w:styleId="115">
    <w:name w:val="href-title"/>
    <w:basedOn w:val="53"/>
    <w:autoRedefine/>
    <w:qFormat/>
    <w:uiPriority w:val="0"/>
  </w:style>
  <w:style w:type="character" w:customStyle="1" w:styleId="116">
    <w:name w:val="标题 6 字符"/>
    <w:autoRedefine/>
    <w:qFormat/>
    <w:uiPriority w:val="0"/>
    <w:rPr>
      <w:rFonts w:ascii="Arial" w:hAnsi="Arial" w:eastAsia="黑体" w:cs="Times New Roman"/>
      <w:b/>
      <w:bCs/>
      <w:kern w:val="2"/>
      <w:sz w:val="24"/>
      <w:szCs w:val="24"/>
    </w:rPr>
  </w:style>
  <w:style w:type="character" w:customStyle="1" w:styleId="117">
    <w:name w:val="正文文本缩进 3 Char2"/>
    <w:autoRedefine/>
    <w:qFormat/>
    <w:uiPriority w:val="0"/>
    <w:rPr>
      <w:rFonts w:ascii="Times New Roman" w:hAnsi="Times New Roman" w:eastAsia="宋体" w:cs="Times New Roman"/>
      <w:sz w:val="16"/>
      <w:szCs w:val="16"/>
    </w:rPr>
  </w:style>
  <w:style w:type="character" w:customStyle="1" w:styleId="118">
    <w:name w:val="year"/>
    <w:basedOn w:val="53"/>
    <w:autoRedefine/>
    <w:qFormat/>
    <w:uiPriority w:val="0"/>
  </w:style>
  <w:style w:type="character" w:customStyle="1" w:styleId="119">
    <w:name w:val="正文文本缩进 字符"/>
    <w:autoRedefine/>
    <w:qFormat/>
    <w:uiPriority w:val="0"/>
    <w:rPr>
      <w:rFonts w:ascii="Times New Roman" w:hAnsi="Times New Roman" w:eastAsia="宋体" w:cs="Times New Roman"/>
      <w:kern w:val="2"/>
      <w:sz w:val="21"/>
      <w:szCs w:val="24"/>
    </w:rPr>
  </w:style>
  <w:style w:type="character" w:customStyle="1" w:styleId="120">
    <w:name w:val="HTML 预设格式 字符"/>
    <w:autoRedefine/>
    <w:qFormat/>
    <w:uiPriority w:val="0"/>
    <w:rPr>
      <w:rFonts w:ascii="Courier New" w:hAnsi="Courier New" w:eastAsia="宋体" w:cs="Courier New"/>
      <w:kern w:val="2"/>
    </w:rPr>
  </w:style>
  <w:style w:type="character" w:customStyle="1" w:styleId="121">
    <w:name w:val="ant-select-tree-switcher"/>
    <w:basedOn w:val="53"/>
    <w:autoRedefine/>
    <w:qFormat/>
    <w:uiPriority w:val="0"/>
  </w:style>
  <w:style w:type="character" w:customStyle="1" w:styleId="122">
    <w:name w:val="正文文本 2 Char"/>
    <w:autoRedefine/>
    <w:qFormat/>
    <w:uiPriority w:val="0"/>
    <w:rPr>
      <w:rFonts w:ascii="Times New Roman" w:hAnsi="Times New Roman" w:eastAsia="宋体" w:cs="Times New Roman"/>
      <w:kern w:val="2"/>
      <w:sz w:val="21"/>
      <w:szCs w:val="24"/>
    </w:rPr>
  </w:style>
  <w:style w:type="character" w:customStyle="1" w:styleId="123">
    <w:name w:val="small"/>
    <w:basedOn w:val="53"/>
    <w:autoRedefine/>
    <w:qFormat/>
    <w:uiPriority w:val="0"/>
    <w:rPr>
      <w:color w:val="197AFF"/>
      <w:sz w:val="18"/>
      <w:szCs w:val="18"/>
    </w:rPr>
  </w:style>
  <w:style w:type="character" w:customStyle="1" w:styleId="124">
    <w:name w:val="bfd_price_new2"/>
    <w:autoRedefine/>
    <w:qFormat/>
    <w:uiPriority w:val="0"/>
    <w:rPr>
      <w:rFonts w:ascii="Times New Roman" w:hAnsi="Times New Roman" w:eastAsia="宋体" w:cs="Times New Roman"/>
      <w:color w:val="D71249"/>
    </w:rPr>
  </w:style>
  <w:style w:type="character" w:customStyle="1" w:styleId="125">
    <w:name w:val="批注文字 字符2"/>
    <w:autoRedefine/>
    <w:qFormat/>
    <w:uiPriority w:val="0"/>
    <w:rPr>
      <w:rFonts w:ascii="Times New Roman" w:hAnsi="Times New Roman" w:eastAsia="宋体" w:cs="Times New Roman"/>
      <w:kern w:val="2"/>
      <w:sz w:val="21"/>
      <w:szCs w:val="24"/>
    </w:rPr>
  </w:style>
  <w:style w:type="character" w:customStyle="1" w:styleId="126">
    <w:name w:val="纯文本 字符1"/>
    <w:autoRedefine/>
    <w:qFormat/>
    <w:uiPriority w:val="0"/>
    <w:rPr>
      <w:rFonts w:ascii="宋体" w:hAnsi="Courier New" w:eastAsia="宋体" w:cs="Times New Roman"/>
      <w:kern w:val="2"/>
      <w:sz w:val="21"/>
      <w:lang w:val="en-US" w:eastAsia="zh-CN"/>
    </w:rPr>
  </w:style>
  <w:style w:type="character" w:customStyle="1" w:styleId="127">
    <w:name w:val="正文文本 Char3"/>
    <w:autoRedefine/>
    <w:qFormat/>
    <w:uiPriority w:val="0"/>
    <w:rPr>
      <w:rFonts w:ascii="Calibri" w:hAnsi="Calibri" w:eastAsia="宋体" w:cs="Times New Roman"/>
      <w:szCs w:val="24"/>
    </w:rPr>
  </w:style>
  <w:style w:type="character" w:customStyle="1" w:styleId="128">
    <w:name w:val="ant-input"/>
    <w:basedOn w:val="53"/>
    <w:autoRedefine/>
    <w:qFormat/>
    <w:uiPriority w:val="0"/>
  </w:style>
  <w:style w:type="character" w:customStyle="1" w:styleId="129">
    <w:name w:val="first-child"/>
    <w:autoRedefine/>
    <w:qFormat/>
    <w:uiPriority w:val="0"/>
    <w:rPr>
      <w:rFonts w:ascii="Times New Roman" w:hAnsi="Times New Roman" w:eastAsia="宋体" w:cs="Times New Roman"/>
    </w:rPr>
  </w:style>
  <w:style w:type="character" w:customStyle="1" w:styleId="130">
    <w:name w:val="批注主题 Char2"/>
    <w:autoRedefine/>
    <w:qFormat/>
    <w:uiPriority w:val="0"/>
    <w:rPr>
      <w:rFonts w:ascii="Calibri" w:hAnsi="Calibri" w:eastAsia="宋体" w:cs="Times New Roman"/>
      <w:b/>
      <w:bCs/>
      <w:szCs w:val="24"/>
    </w:rPr>
  </w:style>
  <w:style w:type="character" w:customStyle="1" w:styleId="131">
    <w:name w:val="nc-lang-cnt5"/>
    <w:basedOn w:val="53"/>
    <w:autoRedefine/>
    <w:qFormat/>
    <w:uiPriority w:val="0"/>
    <w:rPr>
      <w:rFonts w:hint="cs"/>
      <w:rtl/>
      <w:cs/>
    </w:rPr>
  </w:style>
  <w:style w:type="character" w:customStyle="1" w:styleId="132">
    <w:name w:val="批注文字 Char1"/>
    <w:autoRedefine/>
    <w:qFormat/>
    <w:uiPriority w:val="0"/>
    <w:rPr>
      <w:rFonts w:ascii="Times New Roman" w:hAnsi="Times New Roman" w:eastAsia="宋体" w:cs="Times New Roman"/>
      <w:szCs w:val="24"/>
    </w:rPr>
  </w:style>
  <w:style w:type="character" w:customStyle="1" w:styleId="133">
    <w:name w:val="small2"/>
    <w:basedOn w:val="53"/>
    <w:autoRedefine/>
    <w:qFormat/>
    <w:uiPriority w:val="0"/>
    <w:rPr>
      <w:sz w:val="21"/>
      <w:szCs w:val="21"/>
    </w:rPr>
  </w:style>
  <w:style w:type="character" w:customStyle="1" w:styleId="134">
    <w:name w:val="正文文本 Char"/>
    <w:autoRedefine/>
    <w:qFormat/>
    <w:uiPriority w:val="0"/>
    <w:rPr>
      <w:rFonts w:ascii="Times New Roman" w:hAnsi="Times New Roman" w:eastAsia="宋体" w:cs="Times New Roman"/>
      <w:kern w:val="2"/>
      <w:sz w:val="21"/>
      <w:szCs w:val="24"/>
    </w:rPr>
  </w:style>
  <w:style w:type="character" w:customStyle="1" w:styleId="135">
    <w:name w:val="签名 Char3"/>
    <w:autoRedefine/>
    <w:qFormat/>
    <w:uiPriority w:val="0"/>
    <w:rPr>
      <w:rFonts w:ascii="Calibri" w:hAnsi="Calibri" w:eastAsia="宋体" w:cs="Times New Roman"/>
      <w:szCs w:val="24"/>
    </w:rPr>
  </w:style>
  <w:style w:type="character" w:customStyle="1" w:styleId="136">
    <w:name w:val="Char Char2"/>
    <w:autoRedefine/>
    <w:qFormat/>
    <w:uiPriority w:val="0"/>
    <w:rPr>
      <w:rFonts w:ascii="宋体" w:hAnsi="Courier New" w:eastAsia="宋体" w:cs="Times New Roman"/>
      <w:kern w:val="2"/>
      <w:sz w:val="21"/>
      <w:lang w:val="en-US" w:eastAsia="zh-CN" w:bidi="ar-SA"/>
    </w:rPr>
  </w:style>
  <w:style w:type="character" w:customStyle="1" w:styleId="137">
    <w:name w:val="标题 Char2"/>
    <w:autoRedefine/>
    <w:qFormat/>
    <w:uiPriority w:val="0"/>
    <w:rPr>
      <w:rFonts w:ascii="Cambria" w:hAnsi="Cambria" w:eastAsia="宋体" w:cs="Times New Roman"/>
      <w:b/>
      <w:bCs/>
      <w:sz w:val="32"/>
      <w:szCs w:val="32"/>
    </w:rPr>
  </w:style>
  <w:style w:type="character" w:customStyle="1" w:styleId="138">
    <w:name w:val="列表段落 字符"/>
    <w:link w:val="139"/>
    <w:autoRedefine/>
    <w:qFormat/>
    <w:uiPriority w:val="0"/>
    <w:rPr>
      <w:rFonts w:ascii="Times New Roman" w:hAnsi="Times New Roman" w:eastAsia="宋体" w:cs="Times New Roman"/>
      <w:kern w:val="2"/>
      <w:sz w:val="21"/>
    </w:rPr>
  </w:style>
  <w:style w:type="paragraph" w:customStyle="1" w:styleId="139">
    <w:name w:val="列出段落1"/>
    <w:basedOn w:val="1"/>
    <w:link w:val="138"/>
    <w:autoRedefine/>
    <w:qFormat/>
    <w:uiPriority w:val="0"/>
    <w:pPr>
      <w:ind w:firstLine="420" w:firstLineChars="200"/>
    </w:pPr>
    <w:rPr>
      <w:szCs w:val="20"/>
    </w:rPr>
  </w:style>
  <w:style w:type="character" w:customStyle="1" w:styleId="140">
    <w:name w:val="apple-style-span"/>
    <w:autoRedefine/>
    <w:qFormat/>
    <w:uiPriority w:val="0"/>
    <w:rPr>
      <w:rFonts w:ascii="Calibri" w:hAnsi="Calibri" w:eastAsia="宋体" w:cs="Times New Roman"/>
    </w:rPr>
  </w:style>
  <w:style w:type="character" w:customStyle="1" w:styleId="141">
    <w:name w:val="apple-converted-space"/>
    <w:autoRedefine/>
    <w:qFormat/>
    <w:uiPriority w:val="0"/>
    <w:rPr>
      <w:rFonts w:ascii="Times New Roman" w:hAnsi="Times New Roman" w:eastAsia="宋体" w:cs="Times New Roman"/>
    </w:rPr>
  </w:style>
  <w:style w:type="character" w:customStyle="1" w:styleId="142">
    <w:name w:val="日期 Char"/>
    <w:autoRedefine/>
    <w:qFormat/>
    <w:uiPriority w:val="0"/>
    <w:rPr>
      <w:rFonts w:ascii="Times New Roman" w:hAnsi="Times New Roman" w:eastAsia="宋体" w:cs="Times New Roman"/>
      <w:kern w:val="2"/>
      <w:sz w:val="21"/>
      <w:szCs w:val="24"/>
    </w:rPr>
  </w:style>
  <w:style w:type="character" w:customStyle="1" w:styleId="143">
    <w:name w:val="签名 Char2"/>
    <w:autoRedefine/>
    <w:qFormat/>
    <w:uiPriority w:val="0"/>
    <w:rPr>
      <w:rFonts w:ascii="Times New Roman" w:hAnsi="Times New Roman" w:eastAsia="宋体" w:cs="Times New Roman"/>
      <w:szCs w:val="24"/>
    </w:rPr>
  </w:style>
  <w:style w:type="character" w:customStyle="1" w:styleId="144">
    <w:name w:val="批注文字 Char2"/>
    <w:autoRedefine/>
    <w:qFormat/>
    <w:uiPriority w:val="0"/>
    <w:rPr>
      <w:rFonts w:ascii="Times New Roman" w:hAnsi="Times New Roman" w:eastAsia="宋体" w:cs="Times New Roman"/>
      <w:szCs w:val="24"/>
    </w:rPr>
  </w:style>
  <w:style w:type="character" w:customStyle="1" w:styleId="145">
    <w:name w:val="批注主题 字符"/>
    <w:autoRedefine/>
    <w:qFormat/>
    <w:uiPriority w:val="0"/>
    <w:rPr>
      <w:rFonts w:ascii="Times New Roman" w:hAnsi="Times New Roman" w:eastAsia="宋体" w:cs="Times New Roman"/>
      <w:b/>
      <w:bCs/>
    </w:rPr>
  </w:style>
  <w:style w:type="character" w:customStyle="1" w:styleId="146">
    <w:name w:val="HTML 预设格式 Char3"/>
    <w:autoRedefine/>
    <w:qFormat/>
    <w:uiPriority w:val="0"/>
    <w:rPr>
      <w:rFonts w:ascii="Courier New" w:hAnsi="Courier New" w:eastAsia="宋体" w:cs="Courier New"/>
      <w:sz w:val="20"/>
      <w:szCs w:val="20"/>
    </w:rPr>
  </w:style>
  <w:style w:type="character" w:customStyle="1" w:styleId="147">
    <w:name w:val="param-explain"/>
    <w:autoRedefine/>
    <w:qFormat/>
    <w:uiPriority w:val="0"/>
    <w:rPr>
      <w:rFonts w:ascii="Times New Roman" w:hAnsi="Times New Roman" w:eastAsia="宋体" w:cs="Times New Roman"/>
    </w:rPr>
  </w:style>
  <w:style w:type="character" w:customStyle="1" w:styleId="148">
    <w:name w:val="textcontents"/>
    <w:autoRedefine/>
    <w:qFormat/>
    <w:uiPriority w:val="0"/>
    <w:rPr>
      <w:rFonts w:ascii="Times New Roman" w:hAnsi="Times New Roman" w:eastAsia="宋体" w:cs="Times New Roman"/>
    </w:rPr>
  </w:style>
  <w:style w:type="character" w:customStyle="1" w:styleId="149">
    <w:name w:val="批注文字 字符1"/>
    <w:autoRedefine/>
    <w:qFormat/>
    <w:uiPriority w:val="0"/>
    <w:rPr>
      <w:rFonts w:ascii="Times New Roman" w:hAnsi="Times New Roman" w:eastAsia="宋体" w:cs="Times New Roman"/>
      <w:kern w:val="2"/>
      <w:sz w:val="21"/>
      <w:szCs w:val="24"/>
    </w:rPr>
  </w:style>
  <w:style w:type="character" w:customStyle="1" w:styleId="150">
    <w:name w:val="日期 Char2"/>
    <w:autoRedefine/>
    <w:qFormat/>
    <w:uiPriority w:val="0"/>
    <w:rPr>
      <w:rFonts w:ascii="Times New Roman" w:hAnsi="Times New Roman" w:eastAsia="宋体" w:cs="Times New Roman"/>
      <w:szCs w:val="24"/>
    </w:rPr>
  </w:style>
  <w:style w:type="character" w:customStyle="1" w:styleId="151">
    <w:name w:val="样式1 Char"/>
    <w:link w:val="152"/>
    <w:autoRedefine/>
    <w:qFormat/>
    <w:uiPriority w:val="0"/>
    <w:rPr>
      <w:rFonts w:ascii="Times New Roman" w:hAnsi="Times New Roman" w:eastAsia="宋体" w:cs="Times New Roman"/>
      <w:snapToGrid w:val="0"/>
      <w:spacing w:val="20"/>
      <w:sz w:val="18"/>
    </w:rPr>
  </w:style>
  <w:style w:type="paragraph" w:customStyle="1" w:styleId="152">
    <w:name w:val="样式1"/>
    <w:basedOn w:val="1"/>
    <w:link w:val="151"/>
    <w:autoRedefine/>
    <w:qFormat/>
    <w:uiPriority w:val="0"/>
    <w:pPr>
      <w:adjustRightInd w:val="0"/>
      <w:snapToGrid w:val="0"/>
      <w:spacing w:before="40" w:after="40" w:line="300" w:lineRule="auto"/>
      <w:ind w:left="425" w:hanging="425"/>
      <w:jc w:val="center"/>
      <w:textAlignment w:val="center"/>
    </w:pPr>
    <w:rPr>
      <w:snapToGrid w:val="0"/>
      <w:spacing w:val="20"/>
      <w:kern w:val="0"/>
      <w:sz w:val="18"/>
      <w:szCs w:val="20"/>
    </w:rPr>
  </w:style>
  <w:style w:type="character" w:customStyle="1" w:styleId="153">
    <w:name w:val="正文文本缩进 3 Char"/>
    <w:autoRedefine/>
    <w:qFormat/>
    <w:uiPriority w:val="0"/>
    <w:rPr>
      <w:rFonts w:ascii="Times New Roman" w:hAnsi="Times New Roman" w:eastAsia="宋体" w:cs="Times New Roman"/>
      <w:kern w:val="2"/>
      <w:sz w:val="16"/>
      <w:szCs w:val="16"/>
    </w:rPr>
  </w:style>
  <w:style w:type="character" w:customStyle="1" w:styleId="154">
    <w:name w:val="标题 Char3"/>
    <w:autoRedefine/>
    <w:qFormat/>
    <w:uiPriority w:val="0"/>
    <w:rPr>
      <w:rFonts w:ascii="Cambria" w:hAnsi="Cambria" w:eastAsia="宋体" w:cs="Times New Roman"/>
      <w:b/>
      <w:bCs/>
      <w:sz w:val="32"/>
      <w:szCs w:val="32"/>
    </w:rPr>
  </w:style>
  <w:style w:type="character" w:customStyle="1" w:styleId="155">
    <w:name w:val="纯文本 Char2"/>
    <w:autoRedefine/>
    <w:qFormat/>
    <w:uiPriority w:val="0"/>
    <w:rPr>
      <w:rFonts w:ascii="宋体" w:hAnsi="Courier New" w:eastAsia="宋体" w:cs="Courier New"/>
      <w:szCs w:val="21"/>
    </w:rPr>
  </w:style>
  <w:style w:type="character" w:customStyle="1" w:styleId="156">
    <w:name w:val="页脚 Char"/>
    <w:autoRedefine/>
    <w:qFormat/>
    <w:uiPriority w:val="0"/>
    <w:rPr>
      <w:rFonts w:ascii="Times New Roman" w:hAnsi="Times New Roman" w:eastAsia="宋体" w:cs="Times New Roman"/>
      <w:kern w:val="2"/>
      <w:sz w:val="18"/>
      <w:szCs w:val="18"/>
    </w:rPr>
  </w:style>
  <w:style w:type="character" w:customStyle="1" w:styleId="157">
    <w:name w:val="so-ask-best"/>
    <w:autoRedefine/>
    <w:qFormat/>
    <w:uiPriority w:val="0"/>
    <w:rPr>
      <w:rFonts w:ascii="Times New Roman" w:hAnsi="Times New Roman" w:eastAsia="宋体" w:cs="Times New Roman"/>
    </w:rPr>
  </w:style>
  <w:style w:type="character" w:customStyle="1" w:styleId="158">
    <w:name w:val="My正文 Char"/>
    <w:link w:val="159"/>
    <w:autoRedefine/>
    <w:qFormat/>
    <w:uiPriority w:val="0"/>
    <w:rPr>
      <w:rFonts w:ascii="Arial" w:hAnsi="Arial"/>
      <w:bCs/>
      <w:kern w:val="2"/>
      <w:sz w:val="24"/>
      <w:szCs w:val="21"/>
      <w:lang w:val="en-US" w:eastAsia="zh-CN" w:bidi="ar-SA"/>
    </w:rPr>
  </w:style>
  <w:style w:type="paragraph" w:customStyle="1" w:styleId="159">
    <w:name w:val="My正文"/>
    <w:link w:val="158"/>
    <w:autoRedefine/>
    <w:qFormat/>
    <w:uiPriority w:val="0"/>
    <w:pPr>
      <w:widowControl w:val="0"/>
      <w:adjustRightInd w:val="0"/>
      <w:snapToGrid w:val="0"/>
      <w:spacing w:line="360" w:lineRule="auto"/>
      <w:ind w:firstLine="200" w:firstLineChars="200"/>
      <w:jc w:val="both"/>
    </w:pPr>
    <w:rPr>
      <w:rFonts w:ascii="Arial" w:hAnsi="Arial" w:eastAsia="宋体" w:cs="Times New Roman"/>
      <w:bCs/>
      <w:kern w:val="2"/>
      <w:sz w:val="24"/>
      <w:szCs w:val="21"/>
      <w:lang w:val="en-US" w:eastAsia="zh-CN" w:bidi="ar-SA"/>
    </w:rPr>
  </w:style>
  <w:style w:type="character" w:customStyle="1" w:styleId="160">
    <w:name w:val="desc4"/>
    <w:basedOn w:val="53"/>
    <w:autoRedefine/>
    <w:qFormat/>
    <w:uiPriority w:val="0"/>
  </w:style>
  <w:style w:type="character" w:customStyle="1" w:styleId="161">
    <w:name w:val="文档结构图 Char2"/>
    <w:autoRedefine/>
    <w:qFormat/>
    <w:uiPriority w:val="0"/>
    <w:rPr>
      <w:rFonts w:ascii="宋体" w:hAnsi="Calibri" w:eastAsia="宋体" w:cs="Times New Roman"/>
      <w:sz w:val="18"/>
      <w:szCs w:val="18"/>
    </w:rPr>
  </w:style>
  <w:style w:type="character" w:customStyle="1" w:styleId="162">
    <w:name w:val="标题 3 字符"/>
    <w:autoRedefine/>
    <w:qFormat/>
    <w:uiPriority w:val="0"/>
    <w:rPr>
      <w:rFonts w:ascii="Times New Roman" w:hAnsi="Times New Roman" w:eastAsia="宋体" w:cs="Times New Roman"/>
      <w:b/>
      <w:bCs/>
      <w:kern w:val="2"/>
      <w:sz w:val="32"/>
      <w:szCs w:val="32"/>
    </w:rPr>
  </w:style>
  <w:style w:type="character" w:customStyle="1" w:styleId="163">
    <w:name w:val="ant-select-tree-iconele"/>
    <w:basedOn w:val="53"/>
    <w:autoRedefine/>
    <w:qFormat/>
    <w:uiPriority w:val="0"/>
  </w:style>
  <w:style w:type="character" w:customStyle="1" w:styleId="164">
    <w:name w:val="正文文本缩进 Char1"/>
    <w:autoRedefine/>
    <w:qFormat/>
    <w:uiPriority w:val="0"/>
    <w:rPr>
      <w:rFonts w:ascii="Times New Roman" w:hAnsi="Times New Roman" w:eastAsia="宋体" w:cs="Times New Roman"/>
      <w:szCs w:val="24"/>
    </w:rPr>
  </w:style>
  <w:style w:type="character" w:customStyle="1" w:styleId="165">
    <w:name w:val="font41"/>
    <w:autoRedefine/>
    <w:qFormat/>
    <w:uiPriority w:val="0"/>
    <w:rPr>
      <w:rFonts w:hint="eastAsia" w:ascii="宋体" w:hAnsi="宋体" w:eastAsia="宋体" w:cs="宋体"/>
      <w:color w:val="000000"/>
      <w:sz w:val="22"/>
      <w:szCs w:val="22"/>
      <w:u w:val="none"/>
    </w:rPr>
  </w:style>
  <w:style w:type="character" w:customStyle="1" w:styleId="166">
    <w:name w:val="right"/>
    <w:basedOn w:val="53"/>
    <w:autoRedefine/>
    <w:qFormat/>
    <w:uiPriority w:val="0"/>
    <w:rPr>
      <w:sz w:val="18"/>
      <w:szCs w:val="18"/>
    </w:rPr>
  </w:style>
  <w:style w:type="character" w:customStyle="1" w:styleId="167">
    <w:name w:val="cnfont1"/>
    <w:autoRedefine/>
    <w:qFormat/>
    <w:uiPriority w:val="0"/>
    <w:rPr>
      <w:rFonts w:ascii="Times New Roman" w:hAnsi="Times New Roman" w:eastAsia="宋体" w:cs="Times New Roman"/>
    </w:rPr>
  </w:style>
  <w:style w:type="character" w:customStyle="1" w:styleId="168">
    <w:name w:val="H6 Char"/>
    <w:autoRedefine/>
    <w:qFormat/>
    <w:uiPriority w:val="0"/>
    <w:rPr>
      <w:rFonts w:ascii="Arial" w:hAnsi="Arial" w:eastAsia="黑体" w:cs="Times New Roman"/>
      <w:b/>
      <w:sz w:val="24"/>
      <w:szCs w:val="24"/>
    </w:rPr>
  </w:style>
  <w:style w:type="character" w:customStyle="1" w:styleId="169">
    <w:name w:val="p141"/>
    <w:autoRedefine/>
    <w:qFormat/>
    <w:uiPriority w:val="0"/>
    <w:rPr>
      <w:rFonts w:ascii="Times New Roman" w:hAnsi="Times New Roman" w:eastAsia="宋体" w:cs="Times New Roman"/>
      <w:sz w:val="21"/>
      <w:szCs w:val="21"/>
    </w:rPr>
  </w:style>
  <w:style w:type="character" w:customStyle="1" w:styleId="170">
    <w:name w:val="nc-lang-cnt2"/>
    <w:basedOn w:val="53"/>
    <w:autoRedefine/>
    <w:qFormat/>
    <w:uiPriority w:val="0"/>
  </w:style>
  <w:style w:type="character" w:customStyle="1" w:styleId="171">
    <w:name w:val="中等深浅网格 2字符"/>
    <w:link w:val="172"/>
    <w:autoRedefine/>
    <w:qFormat/>
    <w:uiPriority w:val="0"/>
    <w:rPr>
      <w:sz w:val="22"/>
      <w:szCs w:val="22"/>
      <w:lang w:val="en-US" w:eastAsia="zh-CN" w:bidi="ar-SA"/>
    </w:rPr>
  </w:style>
  <w:style w:type="paragraph" w:customStyle="1" w:styleId="172">
    <w:name w:val="中等深浅网格 22"/>
    <w:link w:val="171"/>
    <w:autoRedefine/>
    <w:qFormat/>
    <w:uiPriority w:val="0"/>
    <w:rPr>
      <w:rFonts w:ascii="Times New Roman" w:hAnsi="Times New Roman" w:eastAsia="宋体" w:cs="Times New Roman"/>
      <w:sz w:val="22"/>
      <w:szCs w:val="22"/>
      <w:lang w:val="en-US" w:eastAsia="zh-CN" w:bidi="ar-SA"/>
    </w:rPr>
  </w:style>
  <w:style w:type="character" w:customStyle="1" w:styleId="173">
    <w:name w:val="nc-lang-cnt"/>
    <w:basedOn w:val="53"/>
    <w:autoRedefine/>
    <w:qFormat/>
    <w:uiPriority w:val="0"/>
    <w:rPr>
      <w:rFonts w:hint="cs"/>
      <w:rtl/>
      <w:cs/>
    </w:rPr>
  </w:style>
  <w:style w:type="character" w:customStyle="1" w:styleId="174">
    <w:name w:val="title_emph"/>
    <w:autoRedefine/>
    <w:qFormat/>
    <w:uiPriority w:val="0"/>
    <w:rPr>
      <w:rFonts w:ascii="Calibri" w:hAnsi="Calibri" w:eastAsia="宋体" w:cs="Times New Roman"/>
    </w:rPr>
  </w:style>
  <w:style w:type="character" w:customStyle="1" w:styleId="175">
    <w:name w:val="页眉 字符"/>
    <w:autoRedefine/>
    <w:qFormat/>
    <w:uiPriority w:val="0"/>
    <w:rPr>
      <w:rFonts w:ascii="Times New Roman" w:hAnsi="Times New Roman" w:eastAsia="宋体" w:cs="Times New Roman"/>
      <w:kern w:val="2"/>
      <w:sz w:val="18"/>
      <w:szCs w:val="18"/>
    </w:rPr>
  </w:style>
  <w:style w:type="character" w:customStyle="1" w:styleId="176">
    <w:name w:val="彩色列表 - 强调文字颜色 1字符"/>
    <w:link w:val="177"/>
    <w:autoRedefine/>
    <w:qFormat/>
    <w:uiPriority w:val="0"/>
    <w:rPr>
      <w:rFonts w:ascii="Times New Roman" w:hAnsi="Times New Roman" w:eastAsia="宋体" w:cs="Times New Roman"/>
      <w:kern w:val="2"/>
      <w:sz w:val="21"/>
    </w:rPr>
  </w:style>
  <w:style w:type="paragraph" w:customStyle="1" w:styleId="177">
    <w:name w:val="彩色列表 - 强调文字颜色 11"/>
    <w:basedOn w:val="1"/>
    <w:link w:val="176"/>
    <w:autoRedefine/>
    <w:qFormat/>
    <w:uiPriority w:val="0"/>
    <w:pPr>
      <w:ind w:firstLine="420" w:firstLineChars="200"/>
    </w:pPr>
    <w:rPr>
      <w:szCs w:val="20"/>
    </w:rPr>
  </w:style>
  <w:style w:type="character" w:customStyle="1" w:styleId="178">
    <w:name w:val="font31"/>
    <w:basedOn w:val="53"/>
    <w:autoRedefine/>
    <w:qFormat/>
    <w:uiPriority w:val="0"/>
    <w:rPr>
      <w:rFonts w:hint="eastAsia" w:ascii="宋体" w:hAnsi="宋体" w:eastAsia="宋体" w:cs="宋体"/>
      <w:color w:val="000000"/>
      <w:sz w:val="24"/>
      <w:szCs w:val="24"/>
      <w:u w:val="none"/>
    </w:rPr>
  </w:style>
  <w:style w:type="character" w:customStyle="1" w:styleId="179">
    <w:name w:val="日期 Char3"/>
    <w:autoRedefine/>
    <w:qFormat/>
    <w:uiPriority w:val="0"/>
    <w:rPr>
      <w:rFonts w:ascii="Calibri" w:hAnsi="Calibri" w:eastAsia="宋体" w:cs="Times New Roman"/>
      <w:szCs w:val="24"/>
    </w:rPr>
  </w:style>
  <w:style w:type="character" w:customStyle="1" w:styleId="180">
    <w:name w:val="正文文本缩进 Char2"/>
    <w:autoRedefine/>
    <w:qFormat/>
    <w:uiPriority w:val="0"/>
    <w:rPr>
      <w:rFonts w:ascii="Calibri" w:hAnsi="Calibri" w:eastAsia="宋体" w:cs="Times New Roman"/>
      <w:szCs w:val="24"/>
    </w:rPr>
  </w:style>
  <w:style w:type="character" w:customStyle="1" w:styleId="181">
    <w:name w:val="正文首行缩进 Char"/>
    <w:autoRedefine/>
    <w:qFormat/>
    <w:uiPriority w:val="0"/>
    <w:rPr>
      <w:rFonts w:ascii="Times New Roman" w:hAnsi="Times New Roman" w:eastAsia="宋体" w:cs="Times New Roman"/>
      <w:kern w:val="2"/>
      <w:sz w:val="21"/>
      <w:szCs w:val="24"/>
    </w:rPr>
  </w:style>
  <w:style w:type="character" w:customStyle="1" w:styleId="182">
    <w:name w:val="签名 Char"/>
    <w:autoRedefine/>
    <w:qFormat/>
    <w:uiPriority w:val="0"/>
    <w:rPr>
      <w:rFonts w:ascii="Times New Roman" w:hAnsi="Times New Roman" w:eastAsia="宋体" w:cs="Times New Roman"/>
      <w:kern w:val="2"/>
      <w:sz w:val="21"/>
      <w:szCs w:val="24"/>
    </w:rPr>
  </w:style>
  <w:style w:type="character" w:customStyle="1" w:styleId="183">
    <w:name w:val="A正文小四 Char"/>
    <w:autoRedefine/>
    <w:qFormat/>
    <w:uiPriority w:val="0"/>
    <w:rPr>
      <w:rFonts w:ascii="Times New Roman" w:hAnsi="Times New Roman" w:eastAsia="宋体" w:cs="Times New Roman"/>
      <w:kern w:val="2"/>
      <w:sz w:val="24"/>
      <w:szCs w:val="24"/>
    </w:rPr>
  </w:style>
  <w:style w:type="character" w:customStyle="1" w:styleId="184">
    <w:name w:val="纯文本 Char1"/>
    <w:autoRedefine/>
    <w:qFormat/>
    <w:uiPriority w:val="0"/>
    <w:rPr>
      <w:rFonts w:ascii="宋体" w:hAnsi="Courier New" w:eastAsia="宋体" w:cs="Courier New"/>
      <w:kern w:val="2"/>
      <w:sz w:val="21"/>
      <w:szCs w:val="21"/>
    </w:rPr>
  </w:style>
  <w:style w:type="character" w:customStyle="1" w:styleId="185">
    <w:name w:val="批注主题 Char1"/>
    <w:autoRedefine/>
    <w:qFormat/>
    <w:uiPriority w:val="0"/>
    <w:rPr>
      <w:rFonts w:ascii="Times New Roman" w:hAnsi="Times New Roman" w:eastAsia="宋体" w:cs="Times New Roman"/>
      <w:b/>
      <w:bCs/>
      <w:szCs w:val="24"/>
    </w:rPr>
  </w:style>
  <w:style w:type="character" w:customStyle="1" w:styleId="186">
    <w:name w:val="HTML 预设格式 Char2"/>
    <w:autoRedefine/>
    <w:qFormat/>
    <w:uiPriority w:val="0"/>
    <w:rPr>
      <w:rFonts w:ascii="Courier New" w:hAnsi="Courier New" w:eastAsia="宋体" w:cs="Courier New"/>
      <w:sz w:val="20"/>
      <w:szCs w:val="20"/>
    </w:rPr>
  </w:style>
  <w:style w:type="character" w:customStyle="1" w:styleId="187">
    <w:name w:val="body text Char"/>
    <w:autoRedefine/>
    <w:qFormat/>
    <w:uiPriority w:val="0"/>
    <w:rPr>
      <w:rFonts w:ascii="Times New Roman" w:hAnsi="Times New Roman" w:eastAsia="宋体" w:cs="Times New Roman"/>
      <w:kern w:val="2"/>
      <w:sz w:val="24"/>
    </w:rPr>
  </w:style>
  <w:style w:type="character" w:customStyle="1" w:styleId="188">
    <w:name w:val="批注框文本 Char1"/>
    <w:autoRedefine/>
    <w:qFormat/>
    <w:uiPriority w:val="0"/>
    <w:rPr>
      <w:rFonts w:ascii="Times New Roman" w:hAnsi="Times New Roman" w:eastAsia="宋体" w:cs="Times New Roman"/>
      <w:sz w:val="18"/>
      <w:szCs w:val="18"/>
    </w:rPr>
  </w:style>
  <w:style w:type="character" w:customStyle="1" w:styleId="189">
    <w:name w:val="正文文本缩进 3 Char3"/>
    <w:autoRedefine/>
    <w:qFormat/>
    <w:uiPriority w:val="0"/>
    <w:rPr>
      <w:rFonts w:ascii="Calibri" w:hAnsi="Calibri" w:eastAsia="宋体" w:cs="Times New Roman"/>
      <w:sz w:val="16"/>
      <w:szCs w:val="16"/>
    </w:rPr>
  </w:style>
  <w:style w:type="character" w:customStyle="1" w:styleId="190">
    <w:name w:val="标题 7 Char"/>
    <w:autoRedefine/>
    <w:qFormat/>
    <w:uiPriority w:val="0"/>
    <w:rPr>
      <w:rFonts w:ascii="Times New Roman" w:hAnsi="Times New Roman" w:eastAsia="宋体" w:cs="Times New Roman"/>
      <w:b/>
      <w:bCs/>
      <w:kern w:val="2"/>
      <w:sz w:val="24"/>
      <w:szCs w:val="24"/>
    </w:rPr>
  </w:style>
  <w:style w:type="character" w:customStyle="1" w:styleId="191">
    <w:name w:val="正文首行缩进 Char2"/>
    <w:autoRedefine/>
    <w:qFormat/>
    <w:uiPriority w:val="0"/>
    <w:rPr>
      <w:rFonts w:ascii="Times New Roman" w:hAnsi="Times New Roman" w:eastAsia="宋体" w:cs="Times New Roman"/>
      <w:szCs w:val="24"/>
    </w:rPr>
  </w:style>
  <w:style w:type="character" w:customStyle="1" w:styleId="192">
    <w:name w:val="large"/>
    <w:basedOn w:val="53"/>
    <w:autoRedefine/>
    <w:qFormat/>
    <w:uiPriority w:val="0"/>
    <w:rPr>
      <w:color w:val="197AFF"/>
      <w:sz w:val="24"/>
      <w:szCs w:val="24"/>
    </w:rPr>
  </w:style>
  <w:style w:type="character" w:customStyle="1" w:styleId="193">
    <w:name w:val="正文文本 2 Char2"/>
    <w:autoRedefine/>
    <w:qFormat/>
    <w:uiPriority w:val="0"/>
    <w:rPr>
      <w:rFonts w:ascii="Times New Roman" w:hAnsi="Times New Roman" w:eastAsia="宋体" w:cs="Times New Roman"/>
      <w:szCs w:val="24"/>
    </w:rPr>
  </w:style>
  <w:style w:type="character" w:customStyle="1" w:styleId="194">
    <w:name w:val="页脚 字符"/>
    <w:autoRedefine/>
    <w:qFormat/>
    <w:uiPriority w:val="0"/>
    <w:rPr>
      <w:rFonts w:ascii="Times New Roman" w:hAnsi="Times New Roman" w:eastAsia="宋体" w:cs="Times New Roman"/>
      <w:kern w:val="2"/>
      <w:sz w:val="18"/>
      <w:szCs w:val="18"/>
    </w:rPr>
  </w:style>
  <w:style w:type="character" w:customStyle="1" w:styleId="195">
    <w:name w:val="标题 字符1"/>
    <w:autoRedefine/>
    <w:qFormat/>
    <w:uiPriority w:val="0"/>
    <w:rPr>
      <w:rFonts w:ascii="Arial" w:hAnsi="Arial" w:eastAsia="宋体" w:cs="Times New Roman"/>
      <w:b/>
      <w:kern w:val="0"/>
      <w:sz w:val="36"/>
      <w:szCs w:val="20"/>
    </w:rPr>
  </w:style>
  <w:style w:type="character" w:customStyle="1" w:styleId="196">
    <w:name w:val="标准文本 Char"/>
    <w:link w:val="197"/>
    <w:autoRedefine/>
    <w:qFormat/>
    <w:uiPriority w:val="0"/>
    <w:rPr>
      <w:rFonts w:ascii="Times New Roman" w:hAnsi="Times New Roman" w:eastAsia="宋体" w:cs="Times New Roman"/>
      <w:sz w:val="24"/>
    </w:rPr>
  </w:style>
  <w:style w:type="paragraph" w:customStyle="1" w:styleId="197">
    <w:name w:val="标准文本"/>
    <w:basedOn w:val="1"/>
    <w:link w:val="196"/>
    <w:autoRedefine/>
    <w:qFormat/>
    <w:uiPriority w:val="0"/>
    <w:pPr>
      <w:spacing w:line="360" w:lineRule="auto"/>
      <w:ind w:firstLine="480" w:firstLineChars="200"/>
    </w:pPr>
    <w:rPr>
      <w:kern w:val="0"/>
      <w:sz w:val="24"/>
      <w:szCs w:val="20"/>
    </w:rPr>
  </w:style>
  <w:style w:type="character" w:customStyle="1" w:styleId="198">
    <w:name w:val="批注框文本 字符"/>
    <w:autoRedefine/>
    <w:qFormat/>
    <w:uiPriority w:val="0"/>
    <w:rPr>
      <w:rFonts w:ascii="Times New Roman" w:hAnsi="Times New Roman" w:eastAsia="宋体" w:cs="Times New Roman"/>
      <w:sz w:val="18"/>
      <w:szCs w:val="18"/>
    </w:rPr>
  </w:style>
  <w:style w:type="character" w:customStyle="1" w:styleId="199">
    <w:name w:val="A表格内容 Char"/>
    <w:link w:val="200"/>
    <w:autoRedefine/>
    <w:qFormat/>
    <w:uiPriority w:val="0"/>
    <w:rPr>
      <w:rFonts w:ascii="Calibri" w:hAnsi="Calibri" w:eastAsia="仿宋_GB2312" w:cs="Times New Roman"/>
      <w:kern w:val="2"/>
      <w:sz w:val="24"/>
      <w:szCs w:val="24"/>
    </w:rPr>
  </w:style>
  <w:style w:type="paragraph" w:customStyle="1" w:styleId="200">
    <w:name w:val="A表格内容"/>
    <w:basedOn w:val="1"/>
    <w:link w:val="199"/>
    <w:autoRedefine/>
    <w:qFormat/>
    <w:uiPriority w:val="0"/>
    <w:rPr>
      <w:rFonts w:ascii="Calibri" w:hAnsi="Calibri" w:eastAsia="仿宋_GB2312"/>
      <w:sz w:val="24"/>
    </w:rPr>
  </w:style>
  <w:style w:type="character" w:customStyle="1" w:styleId="201">
    <w:name w:val="ant-radio+*1"/>
    <w:basedOn w:val="53"/>
    <w:autoRedefine/>
    <w:qFormat/>
    <w:uiPriority w:val="0"/>
  </w:style>
  <w:style w:type="character" w:customStyle="1" w:styleId="202">
    <w:name w:val="正文 + 宋体 Char"/>
    <w:link w:val="203"/>
    <w:autoRedefine/>
    <w:qFormat/>
    <w:uiPriority w:val="0"/>
    <w:rPr>
      <w:rFonts w:ascii="宋体" w:hAnsi="宋体" w:eastAsia="宋体" w:cs="Times New Roman"/>
      <w:b/>
      <w:sz w:val="24"/>
    </w:rPr>
  </w:style>
  <w:style w:type="paragraph" w:customStyle="1" w:styleId="203">
    <w:name w:val="正文 + 宋体"/>
    <w:basedOn w:val="30"/>
    <w:link w:val="202"/>
    <w:autoRedefine/>
    <w:qFormat/>
    <w:uiPriority w:val="0"/>
    <w:pPr>
      <w:spacing w:line="480" w:lineRule="exact"/>
      <w:ind w:left="0" w:leftChars="0"/>
    </w:pPr>
    <w:rPr>
      <w:rFonts w:ascii="宋体" w:hAnsi="宋体"/>
      <w:b/>
      <w:kern w:val="0"/>
      <w:sz w:val="24"/>
      <w:szCs w:val="20"/>
    </w:rPr>
  </w:style>
  <w:style w:type="character" w:customStyle="1" w:styleId="204">
    <w:name w:val="nc-lang-cnt4"/>
    <w:basedOn w:val="53"/>
    <w:autoRedefine/>
    <w:qFormat/>
    <w:uiPriority w:val="0"/>
  </w:style>
  <w:style w:type="character" w:customStyle="1" w:styleId="205">
    <w:name w:val="日期 字符"/>
    <w:autoRedefine/>
    <w:qFormat/>
    <w:uiPriority w:val="0"/>
    <w:rPr>
      <w:rFonts w:ascii="Times New Roman" w:hAnsi="Times New Roman" w:eastAsia="宋体" w:cs="Times New Roman"/>
      <w:kern w:val="2"/>
      <w:sz w:val="21"/>
      <w:szCs w:val="24"/>
    </w:rPr>
  </w:style>
  <w:style w:type="character" w:customStyle="1" w:styleId="206">
    <w:name w:val="at_11"/>
    <w:autoRedefine/>
    <w:qFormat/>
    <w:uiPriority w:val="0"/>
    <w:rPr>
      <w:rFonts w:hint="default" w:ascii="Arial" w:hAnsi="Arial" w:eastAsia="宋体" w:cs="Arial"/>
      <w:sz w:val="23"/>
      <w:szCs w:val="23"/>
      <w:lang w:val="en-US" w:eastAsia="zh-CN" w:bidi="ar-SA"/>
    </w:rPr>
  </w:style>
  <w:style w:type="character" w:customStyle="1" w:styleId="207">
    <w:name w:val="正文文本 2 字符"/>
    <w:autoRedefine/>
    <w:qFormat/>
    <w:uiPriority w:val="0"/>
    <w:rPr>
      <w:rFonts w:ascii="Times New Roman" w:hAnsi="Times New Roman" w:eastAsia="宋体" w:cs="Times New Roman"/>
      <w:kern w:val="2"/>
      <w:sz w:val="21"/>
      <w:szCs w:val="24"/>
    </w:rPr>
  </w:style>
  <w:style w:type="character" w:customStyle="1" w:styleId="208">
    <w:name w:val="nc-lang-cnt1"/>
    <w:basedOn w:val="53"/>
    <w:autoRedefine/>
    <w:qFormat/>
    <w:uiPriority w:val="0"/>
    <w:rPr>
      <w:rFonts w:hint="cs"/>
      <w:rtl/>
      <w:cs/>
    </w:rPr>
  </w:style>
  <w:style w:type="character" w:customStyle="1" w:styleId="209">
    <w:name w:val="A题注[表格图片] Char"/>
    <w:link w:val="210"/>
    <w:autoRedefine/>
    <w:qFormat/>
    <w:uiPriority w:val="0"/>
    <w:rPr>
      <w:rFonts w:ascii="宋体" w:hAnsi="宋体" w:eastAsia="宋体" w:cs="Times New Roman"/>
      <w:kern w:val="2"/>
      <w:sz w:val="21"/>
      <w:szCs w:val="24"/>
    </w:rPr>
  </w:style>
  <w:style w:type="paragraph" w:customStyle="1" w:styleId="210">
    <w:name w:val="A题注[表格图片]"/>
    <w:basedOn w:val="15"/>
    <w:link w:val="209"/>
    <w:autoRedefine/>
    <w:qFormat/>
    <w:uiPriority w:val="0"/>
    <w:pPr>
      <w:spacing w:before="152" w:after="160"/>
      <w:jc w:val="center"/>
    </w:pPr>
    <w:rPr>
      <w:rFonts w:ascii="宋体" w:hAnsi="宋体" w:eastAsia="宋体"/>
      <w:sz w:val="21"/>
      <w:szCs w:val="24"/>
    </w:rPr>
  </w:style>
  <w:style w:type="character" w:customStyle="1" w:styleId="211">
    <w:name w:val="普通文字 Char Char3"/>
    <w:autoRedefine/>
    <w:qFormat/>
    <w:uiPriority w:val="0"/>
    <w:rPr>
      <w:rFonts w:ascii="宋体" w:hAnsi="Courier New" w:eastAsia="宋体" w:cs="Times New Roman"/>
      <w:kern w:val="2"/>
      <w:sz w:val="21"/>
      <w:lang w:val="en-US" w:eastAsia="zh-CN" w:bidi="ar-SA"/>
    </w:rPr>
  </w:style>
  <w:style w:type="character" w:customStyle="1" w:styleId="212">
    <w:name w:val="nc-lang-cnt3"/>
    <w:basedOn w:val="53"/>
    <w:autoRedefine/>
    <w:qFormat/>
    <w:uiPriority w:val="0"/>
  </w:style>
  <w:style w:type="character" w:customStyle="1" w:styleId="213">
    <w:name w:val="标题 4 Char"/>
    <w:autoRedefine/>
    <w:qFormat/>
    <w:uiPriority w:val="0"/>
    <w:rPr>
      <w:rFonts w:ascii="Cambria" w:hAnsi="Cambria" w:eastAsia="宋体" w:cs="Times New Roman"/>
      <w:b/>
      <w:bCs/>
      <w:kern w:val="2"/>
      <w:sz w:val="28"/>
      <w:szCs w:val="28"/>
    </w:rPr>
  </w:style>
  <w:style w:type="character" w:customStyle="1" w:styleId="214">
    <w:name w:val="标题 5 Char"/>
    <w:autoRedefine/>
    <w:qFormat/>
    <w:uiPriority w:val="0"/>
    <w:rPr>
      <w:rFonts w:ascii="Times New Roman" w:hAnsi="Times New Roman" w:eastAsia="宋体" w:cs="Times New Roman"/>
      <w:b/>
      <w:bCs/>
      <w:kern w:val="2"/>
      <w:sz w:val="28"/>
      <w:szCs w:val="28"/>
    </w:rPr>
  </w:style>
  <w:style w:type="character" w:customStyle="1" w:styleId="215">
    <w:name w:val="正文文本 3 Char1"/>
    <w:autoRedefine/>
    <w:qFormat/>
    <w:uiPriority w:val="0"/>
    <w:rPr>
      <w:rFonts w:ascii="Calibri" w:hAnsi="Calibri" w:eastAsia="宋体" w:cs="Times New Roman"/>
      <w:sz w:val="16"/>
      <w:szCs w:val="16"/>
    </w:rPr>
  </w:style>
  <w:style w:type="character" w:customStyle="1" w:styleId="216">
    <w:name w:val="批注框文本 Char2"/>
    <w:autoRedefine/>
    <w:qFormat/>
    <w:uiPriority w:val="0"/>
    <w:rPr>
      <w:rFonts w:ascii="Calibri" w:hAnsi="Calibri" w:eastAsia="宋体" w:cs="Times New Roman"/>
      <w:sz w:val="18"/>
      <w:szCs w:val="18"/>
    </w:rPr>
  </w:style>
  <w:style w:type="character" w:customStyle="1" w:styleId="217">
    <w:name w:val="正文文本 字符"/>
    <w:autoRedefine/>
    <w:qFormat/>
    <w:uiPriority w:val="0"/>
    <w:rPr>
      <w:rFonts w:ascii="Times New Roman" w:hAnsi="Times New Roman" w:eastAsia="宋体" w:cs="Times New Roman"/>
      <w:kern w:val="2"/>
      <w:sz w:val="21"/>
      <w:szCs w:val="24"/>
    </w:rPr>
  </w:style>
  <w:style w:type="character" w:customStyle="1" w:styleId="218">
    <w:name w:val="small1"/>
    <w:basedOn w:val="53"/>
    <w:autoRedefine/>
    <w:qFormat/>
    <w:uiPriority w:val="0"/>
    <w:rPr>
      <w:sz w:val="18"/>
      <w:szCs w:val="18"/>
    </w:rPr>
  </w:style>
  <w:style w:type="character" w:customStyle="1" w:styleId="219">
    <w:name w:val="标题 Char"/>
    <w:autoRedefine/>
    <w:qFormat/>
    <w:uiPriority w:val="0"/>
    <w:rPr>
      <w:rFonts w:ascii="Cambria" w:hAnsi="Cambria" w:eastAsia="宋体" w:cs="Times New Roman"/>
      <w:b/>
      <w:bCs/>
      <w:kern w:val="2"/>
      <w:sz w:val="32"/>
      <w:szCs w:val="32"/>
    </w:rPr>
  </w:style>
  <w:style w:type="character" w:customStyle="1" w:styleId="220">
    <w:name w:val="正文文本缩进 Char"/>
    <w:autoRedefine/>
    <w:qFormat/>
    <w:uiPriority w:val="0"/>
    <w:rPr>
      <w:rFonts w:ascii="Times New Roman" w:hAnsi="Times New Roman" w:eastAsia="宋体" w:cs="Times New Roman"/>
      <w:kern w:val="2"/>
      <w:sz w:val="21"/>
      <w:szCs w:val="24"/>
    </w:rPr>
  </w:style>
  <w:style w:type="character" w:customStyle="1" w:styleId="221">
    <w:name w:val="HTML 预设格式 Char"/>
    <w:autoRedefine/>
    <w:qFormat/>
    <w:uiPriority w:val="0"/>
    <w:rPr>
      <w:rFonts w:ascii="Courier New" w:hAnsi="Courier New" w:eastAsia="宋体" w:cs="Courier New"/>
      <w:kern w:val="2"/>
    </w:rPr>
  </w:style>
  <w:style w:type="character" w:customStyle="1" w:styleId="222">
    <w:name w:val="ant-select-tree-checkbox"/>
    <w:basedOn w:val="53"/>
    <w:autoRedefine/>
    <w:qFormat/>
    <w:uiPriority w:val="0"/>
  </w:style>
  <w:style w:type="character" w:customStyle="1" w:styleId="223">
    <w:name w:val="列出段落 Char"/>
    <w:link w:val="224"/>
    <w:autoRedefine/>
    <w:qFormat/>
    <w:uiPriority w:val="0"/>
    <w:rPr>
      <w:rFonts w:ascii="Times New Roman" w:hAnsi="Times New Roman" w:eastAsia="宋体" w:cs="Times New Roman"/>
      <w:kern w:val="2"/>
      <w:sz w:val="21"/>
      <w:szCs w:val="24"/>
    </w:rPr>
  </w:style>
  <w:style w:type="paragraph" w:customStyle="1" w:styleId="224">
    <w:name w:val="List Paragraph2"/>
    <w:basedOn w:val="1"/>
    <w:link w:val="223"/>
    <w:autoRedefine/>
    <w:qFormat/>
    <w:uiPriority w:val="0"/>
    <w:pPr>
      <w:ind w:firstLine="420" w:firstLineChars="200"/>
    </w:pPr>
  </w:style>
  <w:style w:type="character" w:customStyle="1" w:styleId="225">
    <w:name w:val="正文文本缩进 2 Char3"/>
    <w:autoRedefine/>
    <w:qFormat/>
    <w:uiPriority w:val="0"/>
    <w:rPr>
      <w:rFonts w:ascii="Calibri" w:hAnsi="Calibri" w:eastAsia="宋体" w:cs="Times New Roman"/>
      <w:szCs w:val="24"/>
    </w:rPr>
  </w:style>
  <w:style w:type="character" w:customStyle="1" w:styleId="226">
    <w:name w:val="纯文本 Char"/>
    <w:autoRedefine/>
    <w:qFormat/>
    <w:uiPriority w:val="0"/>
    <w:rPr>
      <w:rFonts w:ascii="宋体" w:hAnsi="Courier New" w:eastAsia="宋体" w:cs="Times New Roman"/>
      <w:kern w:val="2"/>
      <w:sz w:val="21"/>
      <w:lang w:val="en-US" w:eastAsia="zh-CN" w:bidi="ar-SA"/>
    </w:rPr>
  </w:style>
  <w:style w:type="character" w:customStyle="1" w:styleId="227">
    <w:name w:val="param-value2"/>
    <w:autoRedefine/>
    <w:qFormat/>
    <w:uiPriority w:val="0"/>
    <w:rPr>
      <w:rFonts w:ascii="Times New Roman" w:hAnsi="Times New Roman" w:eastAsia="宋体" w:cs="Times New Roman"/>
    </w:rPr>
  </w:style>
  <w:style w:type="character" w:customStyle="1" w:styleId="228">
    <w:name w:val="纯文本 字符"/>
    <w:autoRedefine/>
    <w:qFormat/>
    <w:uiPriority w:val="0"/>
    <w:rPr>
      <w:rFonts w:ascii="宋体" w:hAnsi="Courier New" w:eastAsia="宋体" w:cs="Times New Roman"/>
      <w:kern w:val="2"/>
      <w:sz w:val="21"/>
      <w:lang w:val="en-US" w:eastAsia="zh-CN" w:bidi="ar-SA"/>
    </w:rPr>
  </w:style>
  <w:style w:type="character" w:customStyle="1" w:styleId="229">
    <w:name w:val="nc-lang-cnt6"/>
    <w:basedOn w:val="53"/>
    <w:autoRedefine/>
    <w:qFormat/>
    <w:uiPriority w:val="0"/>
    <w:rPr>
      <w:rFonts w:hint="cs"/>
      <w:rtl/>
      <w:cs/>
    </w:rPr>
  </w:style>
  <w:style w:type="character" w:customStyle="1" w:styleId="230">
    <w:name w:val="font01"/>
    <w:autoRedefine/>
    <w:qFormat/>
    <w:uiPriority w:val="0"/>
    <w:rPr>
      <w:rFonts w:ascii="font-weight : 700" w:hAnsi="font-weight : 700" w:eastAsia="font-weight : 700" w:cs="font-weight : 700"/>
      <w:color w:val="000000"/>
      <w:sz w:val="21"/>
      <w:szCs w:val="21"/>
      <w:u w:val="none"/>
    </w:rPr>
  </w:style>
  <w:style w:type="character" w:customStyle="1" w:styleId="231">
    <w:name w:val="正文文本 2 Char3"/>
    <w:autoRedefine/>
    <w:qFormat/>
    <w:uiPriority w:val="0"/>
    <w:rPr>
      <w:rFonts w:ascii="Calibri" w:hAnsi="Calibri" w:eastAsia="宋体" w:cs="Times New Roman"/>
      <w:szCs w:val="24"/>
    </w:rPr>
  </w:style>
  <w:style w:type="paragraph" w:customStyle="1" w:styleId="232">
    <w:name w:val="msonormal"/>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33">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234">
    <w:name w:val="_Style 36"/>
    <w:basedOn w:val="1"/>
    <w:autoRedefine/>
    <w:qFormat/>
    <w:uiPriority w:val="0"/>
    <w:rPr>
      <w:rFonts w:ascii="Tahoma" w:hAnsi="Tahoma"/>
      <w:sz w:val="24"/>
      <w:szCs w:val="20"/>
    </w:rPr>
  </w:style>
  <w:style w:type="paragraph" w:customStyle="1" w:styleId="235">
    <w:name w:val="xl84"/>
    <w:basedOn w:val="1"/>
    <w:autoRedefine/>
    <w:qFormat/>
    <w:uiPriority w:val="0"/>
    <w:pPr>
      <w:widowControl/>
      <w:pBdr>
        <w:top w:val="single" w:color="auto" w:sz="4" w:space="0"/>
        <w:bottom w:val="single" w:color="auto" w:sz="4" w:space="0"/>
      </w:pBdr>
      <w:shd w:val="clear" w:color="000000" w:fill="B1A0C7"/>
      <w:spacing w:before="100" w:beforeAutospacing="1" w:after="100" w:afterAutospacing="1"/>
      <w:jc w:val="left"/>
    </w:pPr>
    <w:rPr>
      <w:rFonts w:ascii="宋体" w:hAnsi="宋体" w:cs="宋体"/>
      <w:kern w:val="0"/>
      <w:sz w:val="20"/>
      <w:szCs w:val="20"/>
    </w:rPr>
  </w:style>
  <w:style w:type="paragraph" w:customStyle="1" w:styleId="236">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37">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238">
    <w:name w:val="首行缩进"/>
    <w:basedOn w:val="1"/>
    <w:autoRedefine/>
    <w:qFormat/>
    <w:uiPriority w:val="0"/>
    <w:pPr>
      <w:ind w:firstLine="480" w:firstLineChars="200"/>
    </w:pPr>
  </w:style>
  <w:style w:type="paragraph" w:customStyle="1" w:styleId="239">
    <w:name w:val="_Style 37"/>
    <w:basedOn w:val="1"/>
    <w:autoRedefine/>
    <w:qFormat/>
    <w:uiPriority w:val="0"/>
    <w:rPr>
      <w:rFonts w:ascii="Tahoma" w:hAnsi="Tahoma" w:eastAsia="Times New Roman"/>
      <w:kern w:val="0"/>
      <w:sz w:val="24"/>
      <w:szCs w:val="20"/>
    </w:rPr>
  </w:style>
  <w:style w:type="paragraph" w:customStyle="1" w:styleId="240">
    <w:name w:val="Default Paragraph Font Para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41">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cs="宋体"/>
      <w:b/>
      <w:bCs/>
      <w:kern w:val="0"/>
      <w:sz w:val="24"/>
    </w:rPr>
  </w:style>
  <w:style w:type="paragraph" w:customStyle="1" w:styleId="242">
    <w:name w:val="p16"/>
    <w:basedOn w:val="1"/>
    <w:autoRedefine/>
    <w:qFormat/>
    <w:uiPriority w:val="0"/>
    <w:pPr>
      <w:widowControl/>
    </w:pPr>
    <w:rPr>
      <w:rFonts w:ascii="宋体" w:hAnsi="宋体" w:cs="宋体"/>
      <w:kern w:val="0"/>
      <w:szCs w:val="21"/>
    </w:rPr>
  </w:style>
  <w:style w:type="paragraph" w:customStyle="1" w:styleId="243">
    <w:name w:val="xl8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44">
    <w:name w:val="文档正文"/>
    <w:basedOn w:val="1"/>
    <w:autoRedefine/>
    <w:qFormat/>
    <w:uiPriority w:val="0"/>
    <w:rPr>
      <w:rFonts w:ascii="Arial" w:hAnsi="Arial" w:cs="Arial"/>
      <w:bCs/>
      <w:sz w:val="24"/>
    </w:rPr>
  </w:style>
  <w:style w:type="paragraph" w:customStyle="1" w:styleId="245">
    <w:name w:val="cnfont"/>
    <w:basedOn w:val="1"/>
    <w:autoRedefine/>
    <w:qFormat/>
    <w:uiPriority w:val="0"/>
    <w:pPr>
      <w:widowControl/>
      <w:spacing w:before="100" w:beforeAutospacing="1" w:after="100" w:afterAutospacing="1"/>
      <w:jc w:val="left"/>
    </w:pPr>
    <w:rPr>
      <w:rFonts w:ascii="宋体" w:hAnsi="宋体"/>
      <w:color w:val="000000"/>
      <w:kern w:val="0"/>
      <w:sz w:val="24"/>
    </w:rPr>
  </w:style>
  <w:style w:type="paragraph" w:customStyle="1" w:styleId="246">
    <w:name w:val="xl118"/>
    <w:basedOn w:val="1"/>
    <w:autoRedefine/>
    <w:qFormat/>
    <w:uiPriority w:val="0"/>
    <w:pPr>
      <w:widowControl/>
      <w:pBdr>
        <w:bottom w:val="single" w:color="auto" w:sz="4" w:space="0"/>
      </w:pBdr>
      <w:spacing w:before="100" w:beforeAutospacing="1" w:after="100" w:afterAutospacing="1"/>
      <w:jc w:val="left"/>
    </w:pPr>
    <w:rPr>
      <w:rFonts w:ascii="宋体" w:hAnsi="宋体" w:cs="宋体"/>
      <w:b/>
      <w:bCs/>
      <w:kern w:val="0"/>
      <w:sz w:val="28"/>
      <w:szCs w:val="28"/>
    </w:rPr>
  </w:style>
  <w:style w:type="paragraph" w:customStyle="1" w:styleId="247">
    <w:name w:val="签名 - 公司"/>
    <w:basedOn w:val="35"/>
    <w:next w:val="248"/>
    <w:autoRedefine/>
    <w:qFormat/>
    <w:uiPriority w:val="0"/>
    <w:pPr>
      <w:keepNext/>
      <w:widowControl/>
      <w:tabs>
        <w:tab w:val="left" w:pos="600"/>
        <w:tab w:val="left" w:pos="960"/>
        <w:tab w:val="left" w:pos="1080"/>
      </w:tabs>
      <w:overflowPunct w:val="0"/>
      <w:spacing w:line="360" w:lineRule="auto"/>
      <w:ind w:left="0" w:right="28" w:firstLine="480"/>
      <w:jc w:val="right"/>
    </w:pPr>
    <w:rPr>
      <w:rFonts w:ascii="宋体" w:hAnsi="宋体" w:eastAsia="宋体"/>
      <w:kern w:val="0"/>
    </w:rPr>
  </w:style>
  <w:style w:type="paragraph" w:customStyle="1" w:styleId="248">
    <w:name w:val="关于"/>
    <w:basedOn w:val="1"/>
    <w:next w:val="1"/>
    <w:autoRedefine/>
    <w:qFormat/>
    <w:uiPriority w:val="0"/>
    <w:pPr>
      <w:keepNext/>
      <w:keepLines/>
      <w:widowControl/>
      <w:tabs>
        <w:tab w:val="left" w:pos="600"/>
        <w:tab w:val="left" w:pos="960"/>
        <w:tab w:val="left" w:pos="1080"/>
      </w:tabs>
      <w:overflowPunct w:val="0"/>
      <w:spacing w:before="220" w:line="360" w:lineRule="auto"/>
      <w:ind w:right="28" w:firstLine="480"/>
    </w:pPr>
    <w:rPr>
      <w:rFonts w:ascii="宋体" w:hAnsi="宋体"/>
      <w:kern w:val="0"/>
      <w:sz w:val="24"/>
      <w:szCs w:val="20"/>
    </w:rPr>
  </w:style>
  <w:style w:type="paragraph" w:customStyle="1" w:styleId="249">
    <w:name w:val="xl42"/>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kern w:val="0"/>
      <w:sz w:val="22"/>
      <w:szCs w:val="22"/>
    </w:rPr>
  </w:style>
  <w:style w:type="paragraph" w:customStyle="1" w:styleId="250">
    <w:name w:val="Char Char Char"/>
    <w:basedOn w:val="1"/>
    <w:autoRedefine/>
    <w:qFormat/>
    <w:uiPriority w:val="0"/>
    <w:rPr>
      <w:rFonts w:ascii="Tahoma" w:hAnsi="Tahoma"/>
      <w:sz w:val="24"/>
      <w:szCs w:val="20"/>
    </w:rPr>
  </w:style>
  <w:style w:type="paragraph" w:customStyle="1" w:styleId="251">
    <w:name w:val="正文内容"/>
    <w:basedOn w:val="1"/>
    <w:autoRedefine/>
    <w:qFormat/>
    <w:uiPriority w:val="0"/>
    <w:rPr>
      <w:rFonts w:ascii="Arial" w:hAnsi="Arial"/>
      <w:spacing w:val="-12"/>
      <w:szCs w:val="20"/>
    </w:rPr>
  </w:style>
  <w:style w:type="paragraph" w:customStyle="1" w:styleId="252">
    <w:name w:val="xl92"/>
    <w:basedOn w:val="1"/>
    <w:autoRedefine/>
    <w:qFormat/>
    <w:uiPriority w:val="0"/>
    <w:pPr>
      <w:widowControl/>
      <w:pBdr>
        <w:top w:val="single" w:color="auto" w:sz="4" w:space="0"/>
        <w:bottom w:val="single" w:color="auto" w:sz="4" w:space="0"/>
      </w:pBdr>
      <w:shd w:val="clear" w:color="000000" w:fill="92D050"/>
      <w:spacing w:before="100" w:beforeAutospacing="1" w:after="100" w:afterAutospacing="1"/>
      <w:jc w:val="left"/>
    </w:pPr>
    <w:rPr>
      <w:rFonts w:ascii="宋体" w:hAnsi="宋体" w:cs="宋体"/>
      <w:kern w:val="0"/>
      <w:sz w:val="20"/>
      <w:szCs w:val="20"/>
    </w:rPr>
  </w:style>
  <w:style w:type="paragraph" w:customStyle="1" w:styleId="253">
    <w:name w:val="xl83"/>
    <w:basedOn w:val="1"/>
    <w:autoRedefine/>
    <w:qFormat/>
    <w:uiPriority w:val="0"/>
    <w:pPr>
      <w:widowControl/>
      <w:pBdr>
        <w:top w:val="single" w:color="auto" w:sz="4" w:space="0"/>
        <w:bottom w:val="single" w:color="auto" w:sz="4" w:space="0"/>
      </w:pBdr>
      <w:shd w:val="clear" w:color="000000" w:fill="B1A0C7"/>
      <w:spacing w:before="100" w:beforeAutospacing="1" w:after="100" w:afterAutospacing="1"/>
      <w:jc w:val="left"/>
    </w:pPr>
    <w:rPr>
      <w:rFonts w:ascii="宋体" w:hAnsi="宋体" w:cs="宋体"/>
      <w:kern w:val="0"/>
      <w:sz w:val="20"/>
      <w:szCs w:val="20"/>
    </w:rPr>
  </w:style>
  <w:style w:type="paragraph" w:customStyle="1" w:styleId="254">
    <w:name w:val="xl78"/>
    <w:basedOn w:val="1"/>
    <w:autoRedefine/>
    <w:qFormat/>
    <w:uiPriority w:val="0"/>
    <w:pPr>
      <w:widowControl/>
      <w:pBdr>
        <w:top w:val="single" w:color="auto" w:sz="4" w:space="0"/>
        <w:bottom w:val="single" w:color="auto" w:sz="4" w:space="0"/>
      </w:pBdr>
      <w:shd w:val="clear" w:color="000000" w:fill="FFFF00"/>
      <w:spacing w:before="100" w:beforeAutospacing="1" w:after="100" w:afterAutospacing="1"/>
      <w:jc w:val="left"/>
    </w:pPr>
    <w:rPr>
      <w:rFonts w:ascii="宋体" w:hAnsi="宋体" w:cs="宋体"/>
      <w:kern w:val="0"/>
      <w:sz w:val="20"/>
      <w:szCs w:val="20"/>
    </w:rPr>
  </w:style>
  <w:style w:type="paragraph" w:customStyle="1" w:styleId="255">
    <w:name w:val="Char Char Char1"/>
    <w:basedOn w:val="1"/>
    <w:autoRedefine/>
    <w:qFormat/>
    <w:uiPriority w:val="0"/>
    <w:rPr>
      <w:rFonts w:ascii="Tahoma" w:hAnsi="Tahoma"/>
      <w:sz w:val="24"/>
      <w:szCs w:val="20"/>
    </w:rPr>
  </w:style>
  <w:style w:type="paragraph" w:customStyle="1" w:styleId="256">
    <w:name w:val="_Style 307"/>
    <w:autoRedefine/>
    <w:qFormat/>
    <w:uiPriority w:val="0"/>
    <w:rPr>
      <w:rFonts w:ascii="Calibri" w:hAnsi="Calibri" w:eastAsia="宋体" w:cs="Times New Roman"/>
      <w:kern w:val="2"/>
      <w:sz w:val="21"/>
      <w:szCs w:val="24"/>
      <w:lang w:val="en-US" w:eastAsia="zh-CN" w:bidi="ar-SA"/>
    </w:rPr>
  </w:style>
  <w:style w:type="paragraph" w:customStyle="1" w:styleId="257">
    <w:name w:val="xl9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58">
    <w:name w:val="_Style 254"/>
    <w:autoRedefine/>
    <w:qFormat/>
    <w:uiPriority w:val="0"/>
    <w:rPr>
      <w:rFonts w:ascii="Times New Roman" w:hAnsi="Times New Roman" w:eastAsia="宋体" w:cs="Times New Roman"/>
      <w:kern w:val="2"/>
      <w:sz w:val="21"/>
      <w:szCs w:val="24"/>
      <w:lang w:val="en-US" w:eastAsia="zh-CN" w:bidi="ar-SA"/>
    </w:rPr>
  </w:style>
  <w:style w:type="paragraph" w:customStyle="1" w:styleId="259">
    <w:name w:val="正文幼5号"/>
    <w:basedOn w:val="1"/>
    <w:autoRedefine/>
    <w:qFormat/>
    <w:uiPriority w:val="0"/>
    <w:rPr>
      <w:rFonts w:eastAsia="幼圆"/>
      <w:szCs w:val="20"/>
    </w:rPr>
  </w:style>
  <w:style w:type="paragraph" w:customStyle="1" w:styleId="260">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61">
    <w:name w:val="xl7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0"/>
      <w:szCs w:val="20"/>
    </w:rPr>
  </w:style>
  <w:style w:type="paragraph" w:customStyle="1" w:styleId="262">
    <w:name w:val="tableheading"/>
    <w:basedOn w:val="1"/>
    <w:autoRedefine/>
    <w:qFormat/>
    <w:uiPriority w:val="0"/>
    <w:pPr>
      <w:widowControl/>
      <w:spacing w:before="100" w:beforeAutospacing="1" w:after="100" w:afterAutospacing="1"/>
      <w:jc w:val="left"/>
    </w:pPr>
    <w:rPr>
      <w:rFonts w:ascii="宋体" w:hAnsi="宋体" w:cs="宋体"/>
      <w:b/>
      <w:kern w:val="0"/>
      <w:sz w:val="24"/>
      <w:lang w:val="pt-BR"/>
    </w:rPr>
  </w:style>
  <w:style w:type="paragraph" w:customStyle="1" w:styleId="263">
    <w:name w:val="网格表 32"/>
    <w:basedOn w:val="2"/>
    <w:next w:val="1"/>
    <w:autoRedefine/>
    <w:qFormat/>
    <w:uiPriority w:val="0"/>
    <w:pPr>
      <w:widowControl/>
      <w:tabs>
        <w:tab w:val="clear" w:pos="425"/>
      </w:tabs>
      <w:spacing w:before="0" w:beforeLines="0" w:line="259" w:lineRule="auto"/>
      <w:ind w:left="0" w:firstLine="0"/>
      <w:outlineLvl w:val="9"/>
    </w:pPr>
    <w:rPr>
      <w:rFonts w:ascii="Calibri Light" w:hAnsi="Calibri Light"/>
      <w:bCs w:val="0"/>
      <w:color w:val="2E74B5"/>
      <w:kern w:val="0"/>
      <w:lang w:val="en-US"/>
    </w:rPr>
  </w:style>
  <w:style w:type="paragraph" w:customStyle="1" w:styleId="264">
    <w:name w:val="List Paragraph1"/>
    <w:basedOn w:val="1"/>
    <w:autoRedefine/>
    <w:qFormat/>
    <w:uiPriority w:val="0"/>
    <w:pPr>
      <w:snapToGrid w:val="0"/>
      <w:ind w:firstLine="420" w:firstLineChars="200"/>
    </w:pPr>
    <w:rPr>
      <w:rFonts w:ascii="Calibri" w:hAnsi="Calibri"/>
      <w:kern w:val="0"/>
      <w:szCs w:val="20"/>
    </w:rPr>
  </w:style>
  <w:style w:type="paragraph" w:customStyle="1" w:styleId="265">
    <w:name w:val="中等深浅网格 21"/>
    <w:basedOn w:val="1"/>
    <w:autoRedefine/>
    <w:qFormat/>
    <w:uiPriority w:val="0"/>
    <w:rPr>
      <w:szCs w:val="32"/>
    </w:rPr>
  </w:style>
  <w:style w:type="paragraph" w:customStyle="1" w:styleId="266">
    <w:name w:val="彩色底纹 - 强调文字颜色 11"/>
    <w:autoRedefine/>
    <w:qFormat/>
    <w:uiPriority w:val="0"/>
    <w:rPr>
      <w:rFonts w:ascii="Times New Roman" w:hAnsi="Times New Roman" w:eastAsia="宋体" w:cs="Times New Roman"/>
      <w:kern w:val="2"/>
      <w:sz w:val="21"/>
      <w:szCs w:val="24"/>
      <w:lang w:val="en-US" w:eastAsia="zh-CN" w:bidi="ar-SA"/>
    </w:rPr>
  </w:style>
  <w:style w:type="paragraph" w:customStyle="1" w:styleId="267">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68">
    <w:name w:val="xl7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69">
    <w:name w:val="_Style 265"/>
    <w:basedOn w:val="2"/>
    <w:next w:val="1"/>
    <w:autoRedefine/>
    <w:unhideWhenUsed/>
    <w:qFormat/>
    <w:uiPriority w:val="39"/>
    <w:pPr>
      <w:widowControl/>
      <w:tabs>
        <w:tab w:val="clear" w:pos="425"/>
      </w:tabs>
      <w:spacing w:before="480" w:beforeLines="0" w:line="276" w:lineRule="auto"/>
      <w:ind w:left="0" w:firstLine="0"/>
      <w:outlineLvl w:val="9"/>
    </w:pPr>
    <w:rPr>
      <w:rFonts w:ascii="Cambria" w:hAnsi="Cambria"/>
      <w:b/>
      <w:color w:val="365F91"/>
      <w:kern w:val="0"/>
      <w:sz w:val="28"/>
      <w:szCs w:val="28"/>
      <w:lang w:val="en-US"/>
    </w:rPr>
  </w:style>
  <w:style w:type="paragraph" w:customStyle="1" w:styleId="270">
    <w:name w:val="列出段落4"/>
    <w:basedOn w:val="1"/>
    <w:autoRedefine/>
    <w:qFormat/>
    <w:uiPriority w:val="0"/>
    <w:pPr>
      <w:ind w:firstLine="420" w:firstLineChars="200"/>
    </w:pPr>
  </w:style>
  <w:style w:type="paragraph" w:customStyle="1" w:styleId="271">
    <w:name w:val="xl39"/>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272">
    <w:name w:val="xl10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73">
    <w:name w:val="列出段落2"/>
    <w:basedOn w:val="1"/>
    <w:autoRedefine/>
    <w:qFormat/>
    <w:uiPriority w:val="0"/>
    <w:pPr>
      <w:widowControl/>
      <w:ind w:firstLine="420" w:firstLineChars="200"/>
    </w:pPr>
    <w:rPr>
      <w:rFonts w:hint="eastAsia"/>
      <w:szCs w:val="20"/>
    </w:rPr>
  </w:style>
  <w:style w:type="paragraph" w:customStyle="1" w:styleId="274">
    <w:name w:val="p1"/>
    <w:basedOn w:val="1"/>
    <w:autoRedefine/>
    <w:qFormat/>
    <w:uiPriority w:val="0"/>
    <w:pPr>
      <w:spacing w:line="380" w:lineRule="atLeast"/>
      <w:jc w:val="left"/>
    </w:pPr>
    <w:rPr>
      <w:rFonts w:ascii="Helvetica Neue" w:hAnsi="Helvetica Neue" w:eastAsia="Helvetica Neue"/>
      <w:color w:val="000000"/>
      <w:kern w:val="0"/>
      <w:sz w:val="26"/>
      <w:szCs w:val="26"/>
    </w:rPr>
  </w:style>
  <w:style w:type="paragraph" w:customStyle="1" w:styleId="275">
    <w:name w:val="xl47"/>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76">
    <w:name w:val="Char Char Char Char Char Char Char"/>
    <w:basedOn w:val="1"/>
    <w:autoRedefine/>
    <w:qFormat/>
    <w:uiPriority w:val="0"/>
    <w:rPr>
      <w:szCs w:val="21"/>
    </w:rPr>
  </w:style>
  <w:style w:type="paragraph" w:customStyle="1" w:styleId="277">
    <w:name w:val="Table Heading"/>
    <w:basedOn w:val="1"/>
    <w:autoRedefine/>
    <w:qFormat/>
    <w:uiPriority w:val="0"/>
    <w:pPr>
      <w:widowControl/>
      <w:jc w:val="center"/>
    </w:pPr>
    <w:rPr>
      <w:rFonts w:ascii="Arial" w:hAnsi="Arial"/>
      <w:b/>
      <w:kern w:val="0"/>
      <w:sz w:val="18"/>
      <w:szCs w:val="20"/>
    </w:rPr>
  </w:style>
  <w:style w:type="paragraph" w:customStyle="1" w:styleId="27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79">
    <w:name w:val="列出段落311"/>
    <w:basedOn w:val="1"/>
    <w:autoRedefine/>
    <w:qFormat/>
    <w:uiPriority w:val="0"/>
    <w:pPr>
      <w:ind w:firstLine="420" w:firstLineChars="200"/>
    </w:pPr>
  </w:style>
  <w:style w:type="paragraph" w:customStyle="1" w:styleId="280">
    <w:name w:val="xl106"/>
    <w:basedOn w:val="1"/>
    <w:autoRedefine/>
    <w:qFormat/>
    <w:uiPriority w:val="0"/>
    <w:pPr>
      <w:widowControl/>
      <w:spacing w:before="100" w:beforeAutospacing="1" w:after="100" w:afterAutospacing="1"/>
      <w:jc w:val="left"/>
      <w:textAlignment w:val="bottom"/>
    </w:pPr>
    <w:rPr>
      <w:rFonts w:ascii="宋体" w:hAnsi="宋体" w:cs="宋体"/>
      <w:kern w:val="0"/>
      <w:sz w:val="20"/>
      <w:szCs w:val="20"/>
    </w:rPr>
  </w:style>
  <w:style w:type="paragraph" w:customStyle="1" w:styleId="281">
    <w:name w:val="图片"/>
    <w:basedOn w:val="1"/>
    <w:autoRedefine/>
    <w:qFormat/>
    <w:uiPriority w:val="0"/>
    <w:pPr>
      <w:jc w:val="center"/>
    </w:pPr>
    <w:rPr>
      <w:rFonts w:ascii="黑体" w:eastAsia="黑体"/>
    </w:rPr>
  </w:style>
  <w:style w:type="paragraph" w:styleId="282">
    <w:name w:val="List Paragraph"/>
    <w:basedOn w:val="1"/>
    <w:autoRedefine/>
    <w:qFormat/>
    <w:uiPriority w:val="0"/>
    <w:pPr>
      <w:ind w:firstLine="420" w:firstLineChars="200"/>
    </w:pPr>
  </w:style>
  <w:style w:type="paragraph" w:customStyle="1" w:styleId="283">
    <w:name w:val="Normal New"/>
    <w:autoRedefine/>
    <w:qFormat/>
    <w:uiPriority w:val="0"/>
    <w:pPr>
      <w:jc w:val="both"/>
    </w:pPr>
    <w:rPr>
      <w:rFonts w:ascii="Times New Roman" w:hAnsi="Times New Roman" w:eastAsia="宋体" w:cs="Times New Roman"/>
      <w:kern w:val="2"/>
      <w:sz w:val="21"/>
      <w:lang w:val="en-US" w:eastAsia="zh-CN" w:bidi="ar-SA"/>
    </w:rPr>
  </w:style>
  <w:style w:type="paragraph" w:customStyle="1" w:styleId="284">
    <w:name w:val="_Style 10"/>
    <w:basedOn w:val="1"/>
    <w:autoRedefine/>
    <w:qFormat/>
    <w:uiPriority w:val="0"/>
    <w:pPr>
      <w:ind w:firstLine="420" w:firstLineChars="200"/>
    </w:pPr>
    <w:rPr>
      <w:rFonts w:ascii="Calibri" w:hAnsi="Calibri"/>
      <w:szCs w:val="20"/>
    </w:rPr>
  </w:style>
  <w:style w:type="paragraph" w:customStyle="1" w:styleId="285">
    <w:name w:val="xl107"/>
    <w:basedOn w:val="1"/>
    <w:autoRedefine/>
    <w:qFormat/>
    <w:uiPriority w:val="0"/>
    <w:pPr>
      <w:widowControl/>
      <w:spacing w:before="100" w:beforeAutospacing="1" w:after="100" w:afterAutospacing="1"/>
      <w:jc w:val="left"/>
      <w:textAlignment w:val="bottom"/>
    </w:pPr>
    <w:rPr>
      <w:rFonts w:ascii="宋体" w:hAnsi="宋体" w:cs="宋体"/>
      <w:kern w:val="0"/>
      <w:sz w:val="20"/>
      <w:szCs w:val="20"/>
    </w:rPr>
  </w:style>
  <w:style w:type="paragraph" w:customStyle="1" w:styleId="286">
    <w:name w:val="z1"/>
    <w:basedOn w:val="1"/>
    <w:autoRedefine/>
    <w:qFormat/>
    <w:uiPriority w:val="0"/>
    <w:pPr>
      <w:widowControl/>
      <w:wordWrap w:val="0"/>
      <w:adjustRightInd w:val="0"/>
      <w:snapToGrid w:val="0"/>
      <w:spacing w:before="156" w:beforeLines="50" w:after="156" w:afterLines="50" w:line="300" w:lineRule="auto"/>
      <w:ind w:left="359" w:leftChars="171" w:firstLine="480" w:firstLineChars="200"/>
    </w:pPr>
    <w:rPr>
      <w:rFonts w:ascii="Arial" w:hAnsi="Arial"/>
      <w:sz w:val="24"/>
      <w:szCs w:val="21"/>
    </w:rPr>
  </w:style>
  <w:style w:type="paragraph" w:customStyle="1" w:styleId="287">
    <w:name w:val="修订2"/>
    <w:autoRedefine/>
    <w:qFormat/>
    <w:uiPriority w:val="0"/>
    <w:rPr>
      <w:rFonts w:ascii="Times New Roman" w:hAnsi="Times New Roman" w:eastAsia="宋体" w:cs="Times New Roman"/>
      <w:kern w:val="2"/>
      <w:sz w:val="21"/>
      <w:szCs w:val="24"/>
      <w:lang w:val="en-US" w:eastAsia="zh-CN" w:bidi="ar-SA"/>
    </w:rPr>
  </w:style>
  <w:style w:type="paragraph" w:customStyle="1" w:styleId="288">
    <w:name w:val="xl48"/>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89">
    <w:name w:val="xl43"/>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290">
    <w:name w:val="xl120"/>
    <w:basedOn w:val="1"/>
    <w:autoRedefine/>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b/>
      <w:bCs/>
      <w:kern w:val="0"/>
      <w:sz w:val="20"/>
      <w:szCs w:val="20"/>
    </w:rPr>
  </w:style>
  <w:style w:type="paragraph" w:customStyle="1" w:styleId="291">
    <w:name w:val="font7"/>
    <w:basedOn w:val="1"/>
    <w:autoRedefine/>
    <w:qFormat/>
    <w:uiPriority w:val="0"/>
    <w:pPr>
      <w:widowControl/>
      <w:spacing w:before="100" w:beforeAutospacing="1" w:after="100" w:afterAutospacing="1"/>
      <w:jc w:val="left"/>
    </w:pPr>
    <w:rPr>
      <w:kern w:val="0"/>
      <w:sz w:val="22"/>
      <w:szCs w:val="22"/>
    </w:rPr>
  </w:style>
  <w:style w:type="paragraph" w:customStyle="1" w:styleId="292">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93">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94">
    <w:name w:val="font8"/>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95">
    <w:name w:val="xl85"/>
    <w:basedOn w:val="1"/>
    <w:autoRedefine/>
    <w:qFormat/>
    <w:uiPriority w:val="0"/>
    <w:pPr>
      <w:widowControl/>
      <w:pBdr>
        <w:top w:val="single" w:color="auto" w:sz="4" w:space="0"/>
        <w:bottom w:val="single" w:color="auto" w:sz="4" w:space="0"/>
        <w:right w:val="single" w:color="auto" w:sz="4" w:space="0"/>
      </w:pBdr>
      <w:shd w:val="clear" w:color="000000" w:fill="B1A0C7"/>
      <w:spacing w:before="100" w:beforeAutospacing="1" w:after="100" w:afterAutospacing="1"/>
      <w:jc w:val="left"/>
    </w:pPr>
    <w:rPr>
      <w:rFonts w:ascii="宋体" w:hAnsi="宋体" w:cs="宋体"/>
      <w:kern w:val="0"/>
      <w:sz w:val="20"/>
      <w:szCs w:val="20"/>
    </w:rPr>
  </w:style>
  <w:style w:type="paragraph" w:customStyle="1" w:styleId="296">
    <w:name w:val="p0"/>
    <w:basedOn w:val="1"/>
    <w:autoRedefine/>
    <w:qFormat/>
    <w:uiPriority w:val="0"/>
    <w:pPr>
      <w:widowControl/>
    </w:pPr>
    <w:rPr>
      <w:kern w:val="0"/>
      <w:szCs w:val="21"/>
    </w:rPr>
  </w:style>
  <w:style w:type="paragraph" w:customStyle="1" w:styleId="297">
    <w:name w:val="Char Char Char Char Char Char Char Char Char Char Char Char Char"/>
    <w:basedOn w:val="1"/>
    <w:autoRedefine/>
    <w:qFormat/>
    <w:uiPriority w:val="0"/>
    <w:pPr>
      <w:spacing w:after="160" w:line="240" w:lineRule="exact"/>
    </w:pPr>
    <w:rPr>
      <w:sz w:val="24"/>
      <w:szCs w:val="20"/>
      <w:lang w:eastAsia="zh-TW"/>
    </w:rPr>
  </w:style>
  <w:style w:type="paragraph" w:customStyle="1" w:styleId="298">
    <w:name w:val="xl3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299">
    <w:name w:val="xl7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300">
    <w:name w:val="网格表 31"/>
    <w:basedOn w:val="2"/>
    <w:next w:val="1"/>
    <w:autoRedefine/>
    <w:qFormat/>
    <w:uiPriority w:val="0"/>
    <w:pPr>
      <w:widowControl/>
      <w:tabs>
        <w:tab w:val="clear" w:pos="425"/>
      </w:tabs>
      <w:spacing w:line="257" w:lineRule="auto"/>
      <w:ind w:left="0" w:firstLine="0"/>
      <w:outlineLvl w:val="9"/>
    </w:pPr>
    <w:rPr>
      <w:rFonts w:ascii="Calibri Light" w:hAnsi="Calibri Light"/>
      <w:bCs w:val="0"/>
      <w:color w:val="2E74B5"/>
      <w:kern w:val="0"/>
      <w:lang w:val="en-US"/>
    </w:rPr>
  </w:style>
  <w:style w:type="paragraph" w:customStyle="1" w:styleId="301">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b/>
      <w:bCs/>
      <w:kern w:val="0"/>
      <w:sz w:val="24"/>
    </w:rPr>
  </w:style>
  <w:style w:type="paragraph" w:customStyle="1" w:styleId="302">
    <w:name w:val="xl109"/>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03">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04">
    <w:name w:val="font10"/>
    <w:basedOn w:val="1"/>
    <w:autoRedefine/>
    <w:qFormat/>
    <w:uiPriority w:val="0"/>
    <w:pPr>
      <w:widowControl/>
      <w:spacing w:before="100" w:beforeAutospacing="1" w:after="100" w:afterAutospacing="1"/>
      <w:jc w:val="left"/>
    </w:pPr>
    <w:rPr>
      <w:kern w:val="0"/>
      <w:sz w:val="20"/>
      <w:szCs w:val="20"/>
    </w:rPr>
  </w:style>
  <w:style w:type="paragraph" w:customStyle="1" w:styleId="305">
    <w:name w:val="xl75"/>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306">
    <w:name w:val="正文_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7">
    <w:name w:val="xl95"/>
    <w:basedOn w:val="1"/>
    <w:autoRedefine/>
    <w:qFormat/>
    <w:uiPriority w:val="0"/>
    <w:pPr>
      <w:widowControl/>
      <w:pBdr>
        <w:top w:val="single" w:color="auto" w:sz="4" w:space="0"/>
        <w:bottom w:val="single" w:color="auto" w:sz="4" w:space="0"/>
        <w:right w:val="single" w:color="auto" w:sz="4" w:space="0"/>
      </w:pBdr>
      <w:shd w:val="clear" w:color="000000" w:fill="92D050"/>
      <w:spacing w:before="100" w:beforeAutospacing="1" w:after="100" w:afterAutospacing="1"/>
      <w:jc w:val="left"/>
    </w:pPr>
    <w:rPr>
      <w:rFonts w:ascii="宋体" w:hAnsi="宋体" w:cs="宋体"/>
      <w:kern w:val="0"/>
      <w:sz w:val="20"/>
      <w:szCs w:val="20"/>
    </w:rPr>
  </w:style>
  <w:style w:type="paragraph" w:customStyle="1" w:styleId="308">
    <w:name w:val="xl9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09">
    <w:name w:val="xl105"/>
    <w:basedOn w:val="1"/>
    <w:autoRedefine/>
    <w:qFormat/>
    <w:uiPriority w:val="0"/>
    <w:pPr>
      <w:widowControl/>
      <w:spacing w:before="100" w:beforeAutospacing="1" w:after="100" w:afterAutospacing="1"/>
      <w:jc w:val="left"/>
      <w:textAlignment w:val="bottom"/>
    </w:pPr>
    <w:rPr>
      <w:rFonts w:ascii="宋体" w:hAnsi="宋体" w:cs="宋体"/>
      <w:kern w:val="0"/>
      <w:sz w:val="20"/>
      <w:szCs w:val="20"/>
    </w:rPr>
  </w:style>
  <w:style w:type="paragraph" w:customStyle="1" w:styleId="310">
    <w:name w:val="xl3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311">
    <w:name w:val="xl11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312">
    <w:name w:val="xl11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13">
    <w:name w:val="列出段落11"/>
    <w:basedOn w:val="1"/>
    <w:autoRedefine/>
    <w:qFormat/>
    <w:uiPriority w:val="0"/>
    <w:pPr>
      <w:ind w:firstLine="420" w:firstLineChars="200"/>
    </w:pPr>
    <w:rPr>
      <w:szCs w:val="20"/>
    </w:rPr>
  </w:style>
  <w:style w:type="paragraph" w:customStyle="1" w:styleId="314">
    <w:name w:val="xl119"/>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b/>
      <w:bCs/>
      <w:kern w:val="0"/>
      <w:sz w:val="20"/>
      <w:szCs w:val="20"/>
    </w:rPr>
  </w:style>
  <w:style w:type="paragraph" w:customStyle="1" w:styleId="315">
    <w:name w:val="_Style 29"/>
    <w:basedOn w:val="1"/>
    <w:autoRedefine/>
    <w:qFormat/>
    <w:uiPriority w:val="0"/>
    <w:rPr>
      <w:rFonts w:ascii="Tahoma" w:hAnsi="Tahoma"/>
      <w:sz w:val="24"/>
      <w:szCs w:val="20"/>
    </w:rPr>
  </w:style>
  <w:style w:type="paragraph" w:customStyle="1" w:styleId="316">
    <w:name w:val="xl51"/>
    <w:basedOn w:val="1"/>
    <w:autoRedefine/>
    <w:qFormat/>
    <w:uiPriority w:val="0"/>
    <w:pPr>
      <w:widowControl/>
      <w:pBdr>
        <w:bottom w:val="single" w:color="auto" w:sz="4" w:space="0"/>
        <w:right w:val="single" w:color="auto" w:sz="4" w:space="0"/>
      </w:pBdr>
      <w:spacing w:before="100" w:beforeAutospacing="1" w:after="100" w:afterAutospacing="1"/>
      <w:textAlignment w:val="center"/>
    </w:pPr>
    <w:rPr>
      <w:rFonts w:ascii="Arial" w:hAnsi="Arial" w:eastAsia="Arial Unicode MS" w:cs="Arial"/>
      <w:kern w:val="0"/>
      <w:szCs w:val="21"/>
    </w:rPr>
  </w:style>
  <w:style w:type="paragraph" w:customStyle="1" w:styleId="317">
    <w:name w:val="1"/>
    <w:basedOn w:val="1"/>
    <w:next w:val="27"/>
    <w:autoRedefine/>
    <w:qFormat/>
    <w:uiPriority w:val="0"/>
    <w:rPr>
      <w:rFonts w:ascii="宋体" w:hAnsi="Courier New"/>
      <w:szCs w:val="20"/>
    </w:rPr>
  </w:style>
  <w:style w:type="paragraph" w:customStyle="1" w:styleId="318">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319">
    <w:name w:val="正文1"/>
    <w:autoRedefine/>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320">
    <w:name w:val="xl3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21">
    <w:name w:val="xl44"/>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22">
    <w:name w:val="表格"/>
    <w:basedOn w:val="1"/>
    <w:autoRedefine/>
    <w:qFormat/>
    <w:uiPriority w:val="0"/>
    <w:rPr>
      <w:rFonts w:ascii="宋体" w:hAnsi="宋体"/>
      <w:szCs w:val="21"/>
    </w:rPr>
  </w:style>
  <w:style w:type="paragraph" w:customStyle="1" w:styleId="323">
    <w:name w:val="Char1 Char Char Char"/>
    <w:basedOn w:val="1"/>
    <w:autoRedefine/>
    <w:qFormat/>
    <w:uiPriority w:val="0"/>
    <w:rPr>
      <w:rFonts w:ascii="Tahoma" w:hAnsi="Tahoma"/>
    </w:rPr>
  </w:style>
  <w:style w:type="paragraph" w:customStyle="1" w:styleId="324">
    <w:name w:val="正文缩进1"/>
    <w:basedOn w:val="1"/>
    <w:autoRedefine/>
    <w:qFormat/>
    <w:uiPriority w:val="0"/>
    <w:pPr>
      <w:ind w:firstLine="567"/>
    </w:pPr>
    <w:rPr>
      <w:spacing w:val="20"/>
      <w:sz w:val="24"/>
      <w:szCs w:val="20"/>
    </w:rPr>
  </w:style>
  <w:style w:type="paragraph" w:customStyle="1" w:styleId="325">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26">
    <w:name w:val="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7">
    <w:name w:val="font9"/>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28">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29">
    <w:name w:val="xl117"/>
    <w:basedOn w:val="1"/>
    <w:autoRedefine/>
    <w:qFormat/>
    <w:uiPriority w:val="0"/>
    <w:pPr>
      <w:widowControl/>
      <w:pBdr>
        <w:bottom w:val="single" w:color="auto" w:sz="4" w:space="0"/>
      </w:pBdr>
      <w:spacing w:before="100" w:beforeAutospacing="1" w:after="100" w:afterAutospacing="1"/>
      <w:jc w:val="left"/>
    </w:pPr>
    <w:rPr>
      <w:rFonts w:ascii="宋体" w:hAnsi="宋体" w:cs="宋体"/>
      <w:b/>
      <w:bCs/>
      <w:kern w:val="0"/>
      <w:sz w:val="28"/>
      <w:szCs w:val="28"/>
    </w:rPr>
  </w:style>
  <w:style w:type="paragraph" w:customStyle="1" w:styleId="330">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31">
    <w:name w:val="xl91"/>
    <w:basedOn w:val="1"/>
    <w:autoRedefine/>
    <w:qFormat/>
    <w:uiPriority w:val="0"/>
    <w:pPr>
      <w:widowControl/>
      <w:pBdr>
        <w:top w:val="single" w:color="auto" w:sz="4" w:space="0"/>
        <w:left w:val="single" w:color="auto" w:sz="4" w:space="0"/>
        <w:bottom w:val="single" w:color="auto" w:sz="4" w:space="0"/>
      </w:pBdr>
      <w:shd w:val="clear" w:color="000000" w:fill="92D050"/>
      <w:spacing w:before="100" w:beforeAutospacing="1" w:after="100" w:afterAutospacing="1"/>
      <w:jc w:val="left"/>
    </w:pPr>
    <w:rPr>
      <w:rFonts w:ascii="宋体" w:hAnsi="宋体" w:cs="宋体"/>
      <w:kern w:val="0"/>
      <w:sz w:val="20"/>
      <w:szCs w:val="20"/>
    </w:rPr>
  </w:style>
  <w:style w:type="paragraph" w:customStyle="1" w:styleId="332">
    <w:name w:val="Item List in Table"/>
    <w:autoRedefine/>
    <w:qFormat/>
    <w:uiPriority w:val="0"/>
    <w:pPr>
      <w:numPr>
        <w:ilvl w:val="0"/>
        <w:numId w:val="1"/>
      </w:numPr>
      <w:spacing w:before="40" w:after="40"/>
      <w:jc w:val="both"/>
    </w:pPr>
    <w:rPr>
      <w:rFonts w:ascii="Arial" w:hAnsi="Arial" w:eastAsia="宋体" w:cs="Arial"/>
      <w:sz w:val="18"/>
      <w:szCs w:val="18"/>
      <w:lang w:val="en-US" w:eastAsia="zh-CN" w:bidi="ar-SA"/>
    </w:rPr>
  </w:style>
  <w:style w:type="paragraph" w:customStyle="1" w:styleId="333">
    <w:name w:val="列表段落1"/>
    <w:basedOn w:val="1"/>
    <w:autoRedefine/>
    <w:qFormat/>
    <w:uiPriority w:val="0"/>
    <w:pPr>
      <w:ind w:firstLine="420" w:firstLineChars="200"/>
    </w:pPr>
  </w:style>
  <w:style w:type="paragraph" w:customStyle="1" w:styleId="334">
    <w:name w:val="xl3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35">
    <w:name w:val="xl94"/>
    <w:basedOn w:val="1"/>
    <w:autoRedefine/>
    <w:qFormat/>
    <w:uiPriority w:val="0"/>
    <w:pPr>
      <w:widowControl/>
      <w:pBdr>
        <w:top w:val="single" w:color="auto" w:sz="4" w:space="0"/>
        <w:bottom w:val="single" w:color="auto" w:sz="4" w:space="0"/>
      </w:pBdr>
      <w:shd w:val="clear" w:color="000000" w:fill="92D050"/>
      <w:spacing w:before="100" w:beforeAutospacing="1" w:after="100" w:afterAutospacing="1"/>
      <w:jc w:val="left"/>
    </w:pPr>
    <w:rPr>
      <w:rFonts w:ascii="宋体" w:hAnsi="宋体" w:cs="宋体"/>
      <w:kern w:val="0"/>
      <w:sz w:val="20"/>
      <w:szCs w:val="20"/>
    </w:rPr>
  </w:style>
  <w:style w:type="paragraph" w:customStyle="1" w:styleId="336">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37">
    <w:name w:val="表格正文"/>
    <w:basedOn w:val="1"/>
    <w:autoRedefine/>
    <w:qFormat/>
    <w:uiPriority w:val="0"/>
    <w:pPr>
      <w:spacing w:before="20" w:after="20"/>
    </w:pPr>
    <w:rPr>
      <w:szCs w:val="20"/>
    </w:rPr>
  </w:style>
  <w:style w:type="paragraph" w:customStyle="1" w:styleId="338">
    <w:name w:val="xl81"/>
    <w:basedOn w:val="1"/>
    <w:autoRedefine/>
    <w:qFormat/>
    <w:uiPriority w:val="0"/>
    <w:pPr>
      <w:widowControl/>
      <w:pBdr>
        <w:top w:val="single" w:color="auto" w:sz="4" w:space="0"/>
        <w:left w:val="single" w:color="auto" w:sz="4" w:space="0"/>
        <w:bottom w:val="single" w:color="auto" w:sz="4" w:space="0"/>
      </w:pBdr>
      <w:shd w:val="clear" w:color="000000" w:fill="B1A0C7"/>
      <w:spacing w:before="100" w:beforeAutospacing="1" w:after="100" w:afterAutospacing="1"/>
      <w:jc w:val="left"/>
    </w:pPr>
    <w:rPr>
      <w:rFonts w:ascii="宋体" w:hAnsi="宋体" w:cs="宋体"/>
      <w:kern w:val="0"/>
      <w:sz w:val="20"/>
      <w:szCs w:val="20"/>
    </w:rPr>
  </w:style>
  <w:style w:type="paragraph" w:customStyle="1" w:styleId="339">
    <w:name w:val="xl11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40">
    <w:name w:val="xl2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41">
    <w:name w:val="xl82"/>
    <w:basedOn w:val="1"/>
    <w:autoRedefine/>
    <w:qFormat/>
    <w:uiPriority w:val="0"/>
    <w:pPr>
      <w:widowControl/>
      <w:pBdr>
        <w:top w:val="single" w:color="auto" w:sz="4" w:space="0"/>
        <w:bottom w:val="single" w:color="auto" w:sz="4" w:space="0"/>
      </w:pBdr>
      <w:shd w:val="clear" w:color="000000" w:fill="B1A0C7"/>
      <w:spacing w:before="100" w:beforeAutospacing="1" w:after="100" w:afterAutospacing="1"/>
      <w:jc w:val="left"/>
    </w:pPr>
    <w:rPr>
      <w:rFonts w:ascii="宋体" w:hAnsi="宋体" w:cs="宋体"/>
      <w:kern w:val="0"/>
      <w:sz w:val="20"/>
      <w:szCs w:val="20"/>
    </w:rPr>
  </w:style>
  <w:style w:type="paragraph" w:customStyle="1" w:styleId="342">
    <w:name w:val="xl9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43">
    <w:name w:val="xl3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344">
    <w:name w:val="font11"/>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345">
    <w:name w:val="标题5"/>
    <w:basedOn w:val="1"/>
    <w:autoRedefine/>
    <w:qFormat/>
    <w:uiPriority w:val="0"/>
    <w:pPr>
      <w:spacing w:before="120" w:after="120"/>
    </w:pPr>
    <w:rPr>
      <w:rFonts w:ascii="宋体"/>
      <w:b/>
      <w:sz w:val="28"/>
    </w:rPr>
  </w:style>
  <w:style w:type="paragraph" w:customStyle="1" w:styleId="346">
    <w:name w:val="xl10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47">
    <w:name w:val="样式4"/>
    <w:basedOn w:val="36"/>
    <w:autoRedefine/>
    <w:qFormat/>
    <w:uiPriority w:val="0"/>
    <w:pPr>
      <w:tabs>
        <w:tab w:val="right" w:leader="dot" w:pos="9458"/>
      </w:tabs>
      <w:spacing w:before="120" w:after="120"/>
      <w:jc w:val="left"/>
    </w:pPr>
    <w:rPr>
      <w:rFonts w:ascii="Times New Roman" w:hAnsi="Times New Roman"/>
      <w:bCs/>
      <w:caps/>
      <w:szCs w:val="24"/>
    </w:rPr>
  </w:style>
  <w:style w:type="paragraph" w:customStyle="1" w:styleId="34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349">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50">
    <w:name w:val="样式5"/>
    <w:basedOn w:val="347"/>
    <w:next w:val="347"/>
    <w:autoRedefine/>
    <w:qFormat/>
    <w:uiPriority w:val="0"/>
  </w:style>
  <w:style w:type="paragraph" w:customStyle="1" w:styleId="351">
    <w:name w:val="Char Char Char Char"/>
    <w:autoRedefine/>
    <w:qFormat/>
    <w:uiPriority w:val="0"/>
    <w:pPr>
      <w:shd w:val="clear" w:color="auto" w:fill="000080"/>
      <w:adjustRightInd w:val="0"/>
      <w:spacing w:line="436" w:lineRule="exact"/>
      <w:ind w:left="357"/>
      <w:outlineLvl w:val="3"/>
    </w:pPr>
    <w:rPr>
      <w:rFonts w:ascii="Times New Roman" w:hAnsi="Times New Roman" w:eastAsia="宋体" w:cs="Times New Roman"/>
      <w:lang w:val="en-US" w:eastAsia="zh-CN" w:bidi="ar-SA"/>
    </w:rPr>
  </w:style>
  <w:style w:type="paragraph" w:customStyle="1" w:styleId="352">
    <w:name w:val="xl33"/>
    <w:basedOn w:val="1"/>
    <w:autoRedefine/>
    <w:qFormat/>
    <w:uiPriority w:val="0"/>
    <w:pPr>
      <w:widowControl/>
      <w:spacing w:before="100" w:beforeAutospacing="1" w:after="100" w:afterAutospacing="1"/>
      <w:jc w:val="left"/>
      <w:textAlignment w:val="center"/>
    </w:pPr>
    <w:rPr>
      <w:rFonts w:ascii="宋体" w:hAnsi="宋体"/>
      <w:b/>
      <w:bCs/>
      <w:kern w:val="0"/>
      <w:sz w:val="28"/>
      <w:szCs w:val="28"/>
    </w:rPr>
  </w:style>
  <w:style w:type="paragraph" w:customStyle="1" w:styleId="353">
    <w:name w:val="9"/>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4">
    <w:name w:val="xl10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55">
    <w:name w:val="xl10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56">
    <w:name w:val="网格表 311"/>
    <w:basedOn w:val="2"/>
    <w:next w:val="1"/>
    <w:autoRedefine/>
    <w:qFormat/>
    <w:uiPriority w:val="0"/>
    <w:pPr>
      <w:widowControl/>
      <w:tabs>
        <w:tab w:val="clear" w:pos="425"/>
      </w:tabs>
      <w:spacing w:before="0" w:beforeLines="0" w:line="259" w:lineRule="auto"/>
      <w:ind w:left="0" w:firstLine="0"/>
      <w:outlineLvl w:val="9"/>
    </w:pPr>
    <w:rPr>
      <w:rFonts w:ascii="Calibri Light" w:hAnsi="Calibri Light"/>
      <w:bCs w:val="0"/>
      <w:color w:val="2E74B5"/>
      <w:kern w:val="0"/>
      <w:lang w:val="en-US"/>
    </w:rPr>
  </w:style>
  <w:style w:type="paragraph" w:customStyle="1" w:styleId="357">
    <w:name w:val="xl3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358">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359">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60">
    <w:name w:val="xl45"/>
    <w:basedOn w:val="1"/>
    <w:autoRedefine/>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61">
    <w:name w:val="Table Body"/>
    <w:basedOn w:val="1"/>
    <w:autoRedefine/>
    <w:qFormat/>
    <w:uiPriority w:val="0"/>
    <w:pPr>
      <w:widowControl/>
      <w:jc w:val="center"/>
    </w:pPr>
    <w:rPr>
      <w:rFonts w:ascii="Arial" w:hAnsi="Arial"/>
      <w:snapToGrid w:val="0"/>
      <w:kern w:val="0"/>
      <w:sz w:val="18"/>
      <w:szCs w:val="20"/>
    </w:rPr>
  </w:style>
  <w:style w:type="paragraph" w:customStyle="1" w:styleId="362">
    <w:name w:val="xl79"/>
    <w:basedOn w:val="1"/>
    <w:autoRedefine/>
    <w:qFormat/>
    <w:uiPriority w:val="0"/>
    <w:pPr>
      <w:widowControl/>
      <w:pBdr>
        <w:top w:val="single" w:color="auto" w:sz="4" w:space="0"/>
        <w:bottom w:val="single" w:color="auto" w:sz="4" w:space="0"/>
      </w:pBdr>
      <w:shd w:val="clear" w:color="000000" w:fill="FFFF00"/>
      <w:spacing w:before="100" w:beforeAutospacing="1" w:after="100" w:afterAutospacing="1"/>
      <w:jc w:val="left"/>
    </w:pPr>
    <w:rPr>
      <w:rFonts w:ascii="宋体" w:hAnsi="宋体" w:cs="宋体"/>
      <w:kern w:val="0"/>
      <w:sz w:val="20"/>
      <w:szCs w:val="20"/>
    </w:rPr>
  </w:style>
  <w:style w:type="paragraph" w:customStyle="1" w:styleId="363">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364">
    <w:name w:val="xl80"/>
    <w:basedOn w:val="1"/>
    <w:autoRedefine/>
    <w:qFormat/>
    <w:uiPriority w:val="0"/>
    <w:pPr>
      <w:widowControl/>
      <w:pBdr>
        <w:top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cs="宋体"/>
      <w:kern w:val="0"/>
      <w:sz w:val="20"/>
      <w:szCs w:val="20"/>
    </w:rPr>
  </w:style>
  <w:style w:type="paragraph" w:customStyle="1" w:styleId="365">
    <w:name w:val="xl11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66">
    <w:name w:val="Body text|1"/>
    <w:basedOn w:val="1"/>
    <w:autoRedefine/>
    <w:qFormat/>
    <w:uiPriority w:val="0"/>
    <w:pPr>
      <w:spacing w:line="350" w:lineRule="auto"/>
      <w:ind w:firstLine="400"/>
      <w:jc w:val="left"/>
    </w:pPr>
    <w:rPr>
      <w:rFonts w:ascii="宋体" w:hAnsi="宋体" w:cs="宋体"/>
      <w:kern w:val="0"/>
      <w:sz w:val="30"/>
      <w:szCs w:val="30"/>
    </w:rPr>
  </w:style>
  <w:style w:type="paragraph" w:customStyle="1" w:styleId="367">
    <w:name w:val="彩色列表1"/>
    <w:basedOn w:val="1"/>
    <w:autoRedefine/>
    <w:qFormat/>
    <w:uiPriority w:val="0"/>
    <w:pPr>
      <w:ind w:firstLine="420" w:firstLineChars="200"/>
    </w:pPr>
    <w:rPr>
      <w:rFonts w:ascii="Calibri" w:hAnsi="Calibri"/>
    </w:rPr>
  </w:style>
  <w:style w:type="paragraph" w:customStyle="1" w:styleId="368">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69">
    <w:name w:val="xl11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70">
    <w:name w:val="xl49"/>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71">
    <w:name w:val="xl3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72">
    <w:name w:val="Table Paragraph"/>
    <w:basedOn w:val="1"/>
    <w:autoRedefine/>
    <w:qFormat/>
    <w:uiPriority w:val="0"/>
    <w:pPr>
      <w:autoSpaceDE w:val="0"/>
      <w:autoSpaceDN w:val="0"/>
      <w:jc w:val="left"/>
    </w:pPr>
    <w:rPr>
      <w:rFonts w:ascii="宋体" w:hAnsi="宋体" w:cs="宋体"/>
      <w:kern w:val="0"/>
      <w:sz w:val="22"/>
      <w:szCs w:val="22"/>
      <w:lang w:val="zh-CN" w:bidi="zh-CN"/>
    </w:rPr>
  </w:style>
  <w:style w:type="paragraph" w:customStyle="1" w:styleId="373">
    <w:name w:val="xl115"/>
    <w:basedOn w:val="1"/>
    <w:autoRedefine/>
    <w:qFormat/>
    <w:uiPriority w:val="0"/>
    <w:pPr>
      <w:widowControl/>
      <w:spacing w:before="100" w:beforeAutospacing="1" w:after="100" w:afterAutospacing="1"/>
      <w:jc w:val="left"/>
      <w:textAlignment w:val="bottom"/>
    </w:pPr>
    <w:rPr>
      <w:rFonts w:ascii="宋体" w:hAnsi="宋体" w:cs="宋体"/>
      <w:kern w:val="0"/>
      <w:sz w:val="24"/>
    </w:rPr>
  </w:style>
  <w:style w:type="paragraph" w:customStyle="1" w:styleId="374">
    <w:name w:val="列出段落21"/>
    <w:basedOn w:val="1"/>
    <w:autoRedefine/>
    <w:qFormat/>
    <w:uiPriority w:val="0"/>
    <w:pPr>
      <w:ind w:firstLine="420" w:firstLineChars="200"/>
    </w:pPr>
    <w:rPr>
      <w:rFonts w:ascii="Calibri" w:hAnsi="Calibri"/>
      <w:szCs w:val="22"/>
    </w:rPr>
  </w:style>
  <w:style w:type="paragraph" w:styleId="375">
    <w:name w:val="No Spacing"/>
    <w:autoRedefine/>
    <w:qFormat/>
    <w:uiPriority w:val="1"/>
    <w:pPr>
      <w:adjustRightInd w:val="0"/>
      <w:snapToGrid w:val="0"/>
      <w:jc w:val="both"/>
    </w:pPr>
    <w:rPr>
      <w:rFonts w:ascii="Tahoma" w:hAnsi="Tahoma" w:eastAsia="微软雅黑" w:cs="Times New Roman"/>
      <w:sz w:val="22"/>
      <w:szCs w:val="22"/>
      <w:lang w:val="en-US" w:eastAsia="zh-CN" w:bidi="ar-SA"/>
    </w:rPr>
  </w:style>
  <w:style w:type="paragraph" w:customStyle="1" w:styleId="376">
    <w:name w:val="xl10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77">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378">
    <w:name w:val="No Spacing1"/>
    <w:autoRedefine/>
    <w:qFormat/>
    <w:uiPriority w:val="0"/>
    <w:pPr>
      <w:adjustRightInd w:val="0"/>
      <w:snapToGrid w:val="0"/>
    </w:pPr>
    <w:rPr>
      <w:rFonts w:ascii="Tahoma" w:hAnsi="Tahoma" w:eastAsia="微软雅黑" w:cs="Times New Roman"/>
      <w:sz w:val="22"/>
      <w:szCs w:val="22"/>
      <w:lang w:val="en-US" w:eastAsia="zh-CN" w:bidi="ar-SA"/>
    </w:rPr>
  </w:style>
  <w:style w:type="paragraph" w:customStyle="1" w:styleId="379">
    <w:name w:val="Char1 Char Char Char Char Char Char"/>
    <w:basedOn w:val="1"/>
    <w:autoRedefine/>
    <w:qFormat/>
    <w:uiPriority w:val="0"/>
    <w:pPr>
      <w:spacing w:line="400" w:lineRule="exact"/>
    </w:pPr>
    <w:rPr>
      <w:rFonts w:ascii="Tahoma" w:hAnsi="Tahoma"/>
      <w:sz w:val="24"/>
    </w:rPr>
  </w:style>
  <w:style w:type="paragraph" w:customStyle="1" w:styleId="380">
    <w:name w:val="样式 小四 行距: 1.5 倍行距 首行缩进:  2 字符"/>
    <w:basedOn w:val="1"/>
    <w:autoRedefine/>
    <w:qFormat/>
    <w:uiPriority w:val="0"/>
    <w:pPr>
      <w:spacing w:line="360" w:lineRule="auto"/>
      <w:ind w:firstLine="480" w:firstLineChars="200"/>
    </w:pPr>
    <w:rPr>
      <w:rFonts w:cs="宋体"/>
      <w:sz w:val="24"/>
      <w:szCs w:val="20"/>
    </w:rPr>
  </w:style>
  <w:style w:type="paragraph" w:customStyle="1" w:styleId="381">
    <w:name w:val="正文样式"/>
    <w:basedOn w:val="1"/>
    <w:autoRedefine/>
    <w:qFormat/>
    <w:uiPriority w:val="0"/>
    <w:pPr>
      <w:tabs>
        <w:tab w:val="left" w:pos="1560"/>
      </w:tabs>
      <w:spacing w:before="163" w:after="163" w:line="300" w:lineRule="auto"/>
      <w:ind w:left="1560" w:hanging="360"/>
    </w:pPr>
    <w:rPr>
      <w:rFonts w:ascii="宋体"/>
      <w:sz w:val="24"/>
    </w:rPr>
  </w:style>
  <w:style w:type="paragraph" w:customStyle="1" w:styleId="382">
    <w:name w:val="xl9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3">
    <w:name w:val="xl46"/>
    <w:basedOn w:val="1"/>
    <w:autoRedefine/>
    <w:qFormat/>
    <w:uiPriority w:val="0"/>
    <w:pPr>
      <w:widowControl/>
      <w:spacing w:before="100" w:beforeAutospacing="1" w:after="100" w:afterAutospacing="1"/>
      <w:jc w:val="left"/>
      <w:textAlignment w:val="center"/>
    </w:pPr>
    <w:rPr>
      <w:rFonts w:ascii="宋体" w:hAnsi="宋体"/>
      <w:kern w:val="0"/>
      <w:sz w:val="22"/>
      <w:szCs w:val="22"/>
    </w:rPr>
  </w:style>
  <w:style w:type="paragraph" w:customStyle="1" w:styleId="384">
    <w:name w:val="xl8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5">
    <w:name w:val="xl110"/>
    <w:basedOn w:val="1"/>
    <w:autoRedefine/>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386">
    <w:name w:val="列出段落31"/>
    <w:basedOn w:val="1"/>
    <w:autoRedefine/>
    <w:qFormat/>
    <w:uiPriority w:val="0"/>
    <w:pPr>
      <w:ind w:firstLine="420" w:firstLineChars="200"/>
    </w:pPr>
  </w:style>
  <w:style w:type="paragraph" w:customStyle="1" w:styleId="387">
    <w:name w:val="xl8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88">
    <w:name w:val="font12"/>
    <w:basedOn w:val="1"/>
    <w:autoRedefine/>
    <w:qFormat/>
    <w:uiPriority w:val="0"/>
    <w:pPr>
      <w:widowControl/>
      <w:spacing w:before="100" w:beforeAutospacing="1" w:after="100" w:afterAutospacing="1"/>
      <w:jc w:val="left"/>
    </w:pPr>
    <w:rPr>
      <w:rFonts w:ascii="宋体" w:hAnsi="宋体" w:cs="宋体"/>
      <w:b/>
      <w:bCs/>
      <w:color w:val="000000"/>
      <w:kern w:val="0"/>
      <w:sz w:val="18"/>
      <w:szCs w:val="18"/>
    </w:rPr>
  </w:style>
  <w:style w:type="paragraph" w:customStyle="1" w:styleId="389">
    <w:name w:val="样式2"/>
    <w:basedOn w:val="26"/>
    <w:autoRedefine/>
    <w:qFormat/>
    <w:uiPriority w:val="0"/>
    <w:pPr>
      <w:tabs>
        <w:tab w:val="right" w:leader="dot" w:pos="9458"/>
      </w:tabs>
      <w:ind w:left="420" w:leftChars="0"/>
      <w:jc w:val="left"/>
    </w:pPr>
    <w:rPr>
      <w:rFonts w:ascii="Arial" w:hAnsi="Times New Roman" w:cs="Arial"/>
      <w:i/>
      <w:iCs/>
      <w:szCs w:val="24"/>
    </w:rPr>
  </w:style>
  <w:style w:type="paragraph" w:customStyle="1" w:styleId="390">
    <w:name w:val="Char Char1 Char Char Char Char Char Char Char Char Char Char"/>
    <w:basedOn w:val="1"/>
    <w:autoRedefine/>
    <w:qFormat/>
    <w:uiPriority w:val="0"/>
    <w:pPr>
      <w:widowControl/>
      <w:spacing w:after="160" w:line="240" w:lineRule="exact"/>
      <w:jc w:val="left"/>
    </w:pPr>
    <w:rPr>
      <w:szCs w:val="20"/>
    </w:rPr>
  </w:style>
  <w:style w:type="paragraph" w:customStyle="1" w:styleId="391">
    <w:name w:val="列出段落3"/>
    <w:basedOn w:val="1"/>
    <w:autoRedefine/>
    <w:qFormat/>
    <w:uiPriority w:val="0"/>
    <w:pPr>
      <w:ind w:firstLine="420" w:firstLineChars="200"/>
    </w:pPr>
    <w:rPr>
      <w:rFonts w:ascii="Calibri" w:hAnsi="Calibri"/>
    </w:rPr>
  </w:style>
  <w:style w:type="paragraph" w:customStyle="1" w:styleId="392">
    <w:name w:val="Body text|3"/>
    <w:basedOn w:val="1"/>
    <w:autoRedefine/>
    <w:qFormat/>
    <w:uiPriority w:val="0"/>
    <w:pPr>
      <w:spacing w:after="460"/>
      <w:jc w:val="center"/>
    </w:pPr>
    <w:rPr>
      <w:rFonts w:ascii="宋体" w:hAnsi="宋体" w:cs="宋体"/>
      <w:kern w:val="0"/>
      <w:sz w:val="34"/>
      <w:szCs w:val="34"/>
    </w:rPr>
  </w:style>
  <w:style w:type="paragraph" w:customStyle="1" w:styleId="393">
    <w:name w:val="xl68"/>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94">
    <w:name w:val="unnamed2"/>
    <w:basedOn w:val="1"/>
    <w:autoRedefine/>
    <w:qFormat/>
    <w:uiPriority w:val="0"/>
    <w:pPr>
      <w:widowControl/>
      <w:spacing w:before="60" w:after="60" w:line="300" w:lineRule="atLeast"/>
      <w:ind w:left="15" w:right="15" w:firstLine="400"/>
      <w:jc w:val="left"/>
    </w:pPr>
    <w:rPr>
      <w:rFonts w:ascii="宋体" w:hAnsi="宋体" w:cs="宋体"/>
      <w:color w:val="000000"/>
      <w:kern w:val="0"/>
      <w:szCs w:val="21"/>
    </w:rPr>
  </w:style>
  <w:style w:type="paragraph" w:customStyle="1" w:styleId="395">
    <w:name w:val="xl93"/>
    <w:basedOn w:val="1"/>
    <w:autoRedefine/>
    <w:qFormat/>
    <w:uiPriority w:val="0"/>
    <w:pPr>
      <w:widowControl/>
      <w:pBdr>
        <w:top w:val="single" w:color="auto" w:sz="4" w:space="0"/>
        <w:bottom w:val="single" w:color="auto" w:sz="4" w:space="0"/>
      </w:pBdr>
      <w:shd w:val="clear" w:color="000000" w:fill="92D050"/>
      <w:spacing w:before="100" w:beforeAutospacing="1" w:after="100" w:afterAutospacing="1"/>
      <w:jc w:val="left"/>
    </w:pPr>
    <w:rPr>
      <w:rFonts w:ascii="宋体" w:hAnsi="宋体" w:cs="宋体"/>
      <w:kern w:val="0"/>
      <w:sz w:val="20"/>
      <w:szCs w:val="20"/>
    </w:rPr>
  </w:style>
  <w:style w:type="paragraph" w:customStyle="1" w:styleId="396">
    <w:name w:val="p2"/>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97">
    <w:name w:val="样式"/>
    <w:basedOn w:val="1"/>
    <w:next w:val="24"/>
    <w:autoRedefine/>
    <w:qFormat/>
    <w:uiPriority w:val="0"/>
    <w:pPr>
      <w:ind w:left="572" w:right="32" w:firstLine="478"/>
    </w:pPr>
    <w:rPr>
      <w:szCs w:val="21"/>
    </w:rPr>
  </w:style>
  <w:style w:type="paragraph" w:customStyle="1" w:styleId="398">
    <w:name w:val="Char1 Char Char Char Char Char Char1"/>
    <w:basedOn w:val="1"/>
    <w:autoRedefine/>
    <w:qFormat/>
    <w:uiPriority w:val="0"/>
    <w:pPr>
      <w:spacing w:line="400" w:lineRule="exact"/>
    </w:pPr>
    <w:rPr>
      <w:rFonts w:ascii="Tahoma" w:hAnsi="Tahoma"/>
      <w:sz w:val="24"/>
    </w:rPr>
  </w:style>
  <w:style w:type="paragraph" w:customStyle="1" w:styleId="399">
    <w:name w:val="xl108"/>
    <w:basedOn w:val="1"/>
    <w:autoRedefine/>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400">
    <w:name w:val="msolistparagraph"/>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401">
    <w:name w:val="样式3"/>
    <w:basedOn w:val="26"/>
    <w:autoRedefine/>
    <w:qFormat/>
    <w:uiPriority w:val="0"/>
    <w:pPr>
      <w:tabs>
        <w:tab w:val="right" w:leader="dot" w:pos="9458"/>
      </w:tabs>
      <w:ind w:left="420" w:leftChars="0"/>
      <w:jc w:val="left"/>
    </w:pPr>
    <w:rPr>
      <w:rFonts w:ascii="Times New Roman" w:hAnsi="Times New Roman"/>
      <w:i/>
      <w:iCs/>
      <w:szCs w:val="24"/>
    </w:rPr>
  </w:style>
  <w:style w:type="character" w:customStyle="1" w:styleId="402">
    <w:name w:val="ant-input28"/>
    <w:basedOn w:val="53"/>
    <w:autoRedefine/>
    <w:qFormat/>
    <w:uiPriority w:val="0"/>
  </w:style>
  <w:style w:type="character" w:customStyle="1" w:styleId="403">
    <w:name w:val="last-child1"/>
    <w:basedOn w:val="53"/>
    <w:autoRedefine/>
    <w:qFormat/>
    <w:uiPriority w:val="0"/>
  </w:style>
  <w:style w:type="character" w:customStyle="1" w:styleId="404">
    <w:name w:val="ant-table-tbody1"/>
    <w:basedOn w:val="53"/>
    <w:autoRedefine/>
    <w:qFormat/>
    <w:uiPriority w:val="0"/>
  </w:style>
  <w:style w:type="character" w:customStyle="1" w:styleId="405">
    <w:name w:val="ant-input18"/>
    <w:basedOn w:val="53"/>
    <w:autoRedefine/>
    <w:qFormat/>
    <w:uiPriority w:val="0"/>
  </w:style>
  <w:style w:type="character" w:customStyle="1" w:styleId="406">
    <w:name w:val="ant-upload-download"/>
    <w:basedOn w:val="53"/>
    <w:autoRedefine/>
    <w:qFormat/>
    <w:uiPriority w:val="0"/>
  </w:style>
  <w:style w:type="character" w:customStyle="1" w:styleId="407">
    <w:name w:val="nc-lang-cnt7"/>
    <w:basedOn w:val="53"/>
    <w:autoRedefine/>
    <w:qFormat/>
    <w:uiPriority w:val="0"/>
  </w:style>
  <w:style w:type="paragraph" w:customStyle="1" w:styleId="408">
    <w:name w:val="_Style 405"/>
    <w:basedOn w:val="1"/>
    <w:next w:val="1"/>
    <w:autoRedefine/>
    <w:qFormat/>
    <w:uiPriority w:val="0"/>
    <w:pPr>
      <w:pBdr>
        <w:bottom w:val="single" w:color="auto" w:sz="6" w:space="1"/>
      </w:pBdr>
      <w:jc w:val="center"/>
    </w:pPr>
    <w:rPr>
      <w:rFonts w:ascii="Arial"/>
      <w:vanish/>
      <w:sz w:val="16"/>
    </w:rPr>
  </w:style>
  <w:style w:type="paragraph" w:customStyle="1" w:styleId="409">
    <w:name w:val="_Style 406"/>
    <w:basedOn w:val="1"/>
    <w:next w:val="1"/>
    <w:autoRedefine/>
    <w:qFormat/>
    <w:uiPriority w:val="0"/>
    <w:pPr>
      <w:pBdr>
        <w:top w:val="single" w:color="auto" w:sz="6" w:space="1"/>
      </w:pBdr>
      <w:jc w:val="center"/>
    </w:pPr>
    <w:rPr>
      <w:rFonts w:ascii="Arial"/>
      <w:vanish/>
      <w:sz w:val="16"/>
    </w:rPr>
  </w:style>
  <w:style w:type="character" w:customStyle="1" w:styleId="410">
    <w:name w:val="ant-form-item-children1"/>
    <w:basedOn w:val="53"/>
    <w:autoRedefine/>
    <w:qFormat/>
    <w:uiPriority w:val="0"/>
  </w:style>
  <w:style w:type="paragraph" w:customStyle="1" w:styleId="411">
    <w:name w:val="BodyText"/>
    <w:basedOn w:val="1"/>
    <w:next w:val="1"/>
    <w:autoRedefine/>
    <w:qFormat/>
    <w:uiPriority w:val="0"/>
    <w:pPr>
      <w:spacing w:line="380" w:lineRule="exact"/>
    </w:pPr>
    <w:rPr>
      <w:sz w:val="24"/>
    </w:rPr>
  </w:style>
  <w:style w:type="character" w:customStyle="1" w:styleId="412">
    <w:name w:val="font121"/>
    <w:basedOn w:val="53"/>
    <w:autoRedefine/>
    <w:qFormat/>
    <w:uiPriority w:val="0"/>
    <w:rPr>
      <w:rFonts w:hint="eastAsia" w:ascii="宋体" w:hAnsi="宋体" w:eastAsia="宋体" w:cs="宋体"/>
      <w:b/>
      <w:bCs/>
      <w:color w:val="000000"/>
      <w:sz w:val="20"/>
      <w:szCs w:val="20"/>
      <w:u w:val="none"/>
    </w:rPr>
  </w:style>
  <w:style w:type="character" w:customStyle="1" w:styleId="413">
    <w:name w:val="标题 1 字符2"/>
    <w:link w:val="2"/>
    <w:autoRedefine/>
    <w:qFormat/>
    <w:uiPriority w:val="0"/>
    <w:rPr>
      <w:rFonts w:ascii="黑体" w:hAnsi="宋体" w:eastAsia="黑体" w:cs="宋体"/>
      <w:kern w:val="32"/>
      <w:sz w:val="32"/>
      <w:szCs w:val="32"/>
    </w:rPr>
  </w:style>
  <w:style w:type="paragraph" w:customStyle="1" w:styleId="414">
    <w:name w:val="样式45"/>
    <w:basedOn w:val="1"/>
    <w:autoRedefine/>
    <w:qFormat/>
    <w:uiPriority w:val="0"/>
    <w:pPr>
      <w:autoSpaceDE w:val="0"/>
      <w:autoSpaceDN w:val="0"/>
      <w:spacing w:beforeLines="50" w:afterLines="50"/>
    </w:pPr>
    <w:rPr>
      <w:rFonts w:eastAsia="华文中宋"/>
      <w:b/>
      <w:color w:val="000000"/>
      <w:sz w:val="28"/>
      <w:szCs w:val="28"/>
    </w:rPr>
  </w:style>
  <w:style w:type="character" w:customStyle="1" w:styleId="415">
    <w:name w:val="标题 2 字符2"/>
    <w:link w:val="3"/>
    <w:autoRedefine/>
    <w:qFormat/>
    <w:uiPriority w:val="0"/>
    <w:rPr>
      <w:rFonts w:ascii="Arial" w:hAnsi="Arial" w:eastAsia="黑体"/>
      <w:b/>
      <w:sz w:val="32"/>
    </w:rPr>
  </w:style>
  <w:style w:type="paragraph" w:customStyle="1" w:styleId="416">
    <w:name w:val="p17"/>
    <w:basedOn w:val="1"/>
    <w:autoRedefine/>
    <w:qFormat/>
    <w:uiPriority w:val="0"/>
    <w:pPr>
      <w:widowControl/>
    </w:pPr>
    <w:rPr>
      <w:rFonts w:ascii="宋体" w:hAnsi="宋体" w:cs="宋体"/>
      <w:kern w:val="0"/>
      <w:szCs w:val="21"/>
    </w:rPr>
  </w:style>
  <w:style w:type="paragraph" w:customStyle="1" w:styleId="417">
    <w:name w:val="表格文字"/>
    <w:basedOn w:val="1"/>
    <w:qFormat/>
    <w:uiPriority w:val="0"/>
    <w:pPr>
      <w:adjustRightInd w:val="0"/>
      <w:spacing w:line="420" w:lineRule="atLeast"/>
      <w:ind w:firstLine="200" w:firstLineChars="200"/>
      <w:jc w:val="left"/>
      <w:textAlignment w:val="baseline"/>
    </w:pPr>
    <w:rPr>
      <w:kern w:val="0"/>
      <w:szCs w:val="20"/>
    </w:rPr>
  </w:style>
  <w:style w:type="character" w:customStyle="1" w:styleId="418">
    <w:name w:val="15"/>
    <w:basedOn w:val="53"/>
    <w:qFormat/>
    <w:uiPriority w:val="0"/>
    <w:rPr>
      <w:rFonts w:hint="default" w:ascii="Times New Roman" w:hAnsi="Times New Roman" w:eastAsia="宋体" w:cs="Times New Roman"/>
    </w:rPr>
  </w:style>
  <w:style w:type="paragraph" w:customStyle="1" w:styleId="419">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emf"/><Relationship Id="rId8" Type="http://schemas.openxmlformats.org/officeDocument/2006/relationships/image" Target="media/image4.emf"/><Relationship Id="rId7" Type="http://schemas.openxmlformats.org/officeDocument/2006/relationships/image" Target="media/image3.emf"/><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e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170</Pages>
  <Words>20436</Words>
  <Characters>22091</Characters>
  <Lines>1</Lines>
  <Paragraphs>1</Paragraphs>
  <TotalTime>0</TotalTime>
  <ScaleCrop>false</ScaleCrop>
  <LinksUpToDate>false</LinksUpToDate>
  <CharactersWithSpaces>22409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2024-05-17T23:03:00Z</dcterms:created>
  <dc:creator>微软用户</dc:creator>
  <cp:lastModifiedBy>Kotonami</cp:lastModifiedBy>
  <cp:lastPrinted>2025-08-08T00:09:00Z</cp:lastPrinted>
  <dcterms:modified xsi:type="dcterms:W3CDTF">2026-08-31T07:38:01Z</dcterms:modified>
  <dc:title>医疗设备采购</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C1A1A5F52AC4F5FF7A05666A19996AD9_43</vt:lpwstr>
  </property>
  <property fmtid="{D5CDD505-2E9C-101B-9397-08002B2CF9AE}" pid="4" name="KSOTemplateDocerSaveRecord">
    <vt:lpwstr>eyJoZGlkIjoiZWNiMTIzMWQ4YjE1ZWEwMzUzZjMyZGQxMmI3OTQyMmIiLCJ1c2VySWQiOiI0MjUyMDE0MjMifQ==</vt:lpwstr>
  </property>
</Properties>
</file>