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6FACAD">
      <w:pPr>
        <w:spacing w:line="360" w:lineRule="auto"/>
        <w:jc w:val="center"/>
        <w:rPr>
          <w:rFonts w:hint="eastAsia" w:ascii="宋体" w:hAnsi="宋体"/>
          <w:b/>
          <w:sz w:val="44"/>
          <w:szCs w:val="44"/>
        </w:rPr>
      </w:pPr>
      <w:r>
        <w:rPr>
          <w:rFonts w:hint="eastAsia" w:ascii="宋体" w:hAnsi="宋体"/>
          <w:b/>
          <w:sz w:val="44"/>
          <w:szCs w:val="44"/>
        </w:rPr>
        <w:drawing>
          <wp:inline distT="0" distB="0" distL="114300" distR="114300">
            <wp:extent cx="5618480" cy="8307705"/>
            <wp:effectExtent l="0" t="0" r="1270" b="17145"/>
            <wp:docPr id="1" name="图片 1" descr="封面盖章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封面盖章 001"/>
                    <pic:cNvPicPr>
                      <a:picLocks noChangeAspect="1"/>
                    </pic:cNvPicPr>
                  </pic:nvPicPr>
                  <pic:blipFill>
                    <a:blip r:embed="rId7"/>
                    <a:stretch>
                      <a:fillRect/>
                    </a:stretch>
                  </pic:blipFill>
                  <pic:spPr>
                    <a:xfrm>
                      <a:off x="0" y="0"/>
                      <a:ext cx="5618480" cy="8307705"/>
                    </a:xfrm>
                    <a:prstGeom prst="rect">
                      <a:avLst/>
                    </a:prstGeom>
                  </pic:spPr>
                </pic:pic>
              </a:graphicData>
            </a:graphic>
          </wp:inline>
        </w:drawing>
      </w:r>
      <w:r>
        <w:rPr>
          <w:rFonts w:hint="eastAsia" w:ascii="宋体" w:hAnsi="宋体"/>
          <w:b/>
          <w:sz w:val="44"/>
          <w:szCs w:val="44"/>
        </w:rPr>
        <w:t>目   录</w:t>
      </w:r>
    </w:p>
    <w:p w14:paraId="7EC6214D">
      <w:pPr>
        <w:spacing w:line="400" w:lineRule="exact"/>
        <w:jc w:val="center"/>
        <w:rPr>
          <w:rFonts w:hint="eastAsia" w:ascii="宋体" w:hAnsi="宋体"/>
          <w:b/>
          <w:sz w:val="44"/>
          <w:szCs w:val="44"/>
        </w:rPr>
      </w:pPr>
    </w:p>
    <w:p w14:paraId="1286251A">
      <w:pPr>
        <w:tabs>
          <w:tab w:val="right" w:leader="dot" w:pos="8869"/>
        </w:tabs>
        <w:rPr>
          <w:rFonts w:hint="eastAsia"/>
        </w:rPr>
      </w:pPr>
      <w:r>
        <w:rPr>
          <w:szCs w:val="24"/>
        </w:rPr>
        <w:fldChar w:fldCharType="begin"/>
      </w:r>
      <w:r>
        <w:rPr>
          <w:szCs w:val="24"/>
        </w:rPr>
        <w:instrText xml:space="preserve"> TOC \o "1-3" \h \z \u </w:instrText>
      </w:r>
      <w:r>
        <w:rPr>
          <w:szCs w:val="24"/>
        </w:rPr>
        <w:fldChar w:fldCharType="separate"/>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HYPERLINK </w:instrText>
      </w:r>
      <w:r>
        <w:rPr>
          <w:rFonts w:hint="eastAsia" w:ascii="Times New Roman" w:hAnsi="Times New Roman"/>
          <w:color w:val="0000FF"/>
          <w:szCs w:val="24"/>
          <w:u w:val="single"/>
        </w:rPr>
        <w:instrText xml:space="preserve">"../AppData/Local/Temp/AppData/Local/Temp/AppData/Local/Temp/AppData/Local/Temp/DJWebOffice/南宁市第三职业技术学校无人机虚拟仿真实训室、智能硬件编程实训室采购谈判文件.doc"</w:instrText>
      </w:r>
      <w:r>
        <w:rPr>
          <w:rFonts w:ascii="Times New Roman" w:hAnsi="Times New Roman"/>
          <w:color w:val="0000FF"/>
          <w:szCs w:val="24"/>
          <w:u w:val="single"/>
        </w:rPr>
        <w:instrText xml:space="preserve"> \l "_Toc179528701"</w:instrText>
      </w:r>
      <w:r>
        <w:rPr>
          <w:rFonts w:ascii="Times New Roman" w:hAnsi="Times New Roman"/>
          <w:color w:val="0000FF"/>
          <w:szCs w:val="24"/>
          <w:u w:val="single"/>
        </w:rPr>
        <w:fldChar w:fldCharType="separate"/>
      </w:r>
      <w:r>
        <w:rPr>
          <w:rFonts w:hint="eastAsia"/>
          <w:b/>
          <w:bCs/>
          <w:color w:val="0000FF"/>
          <w:szCs w:val="24"/>
          <w:u w:val="single"/>
        </w:rPr>
        <w:t>第一章</w:t>
      </w:r>
      <w:r>
        <w:rPr>
          <w:b/>
          <w:bCs/>
          <w:color w:val="0000FF"/>
          <w:szCs w:val="24"/>
          <w:u w:val="single"/>
        </w:rPr>
        <w:t xml:space="preserve"> </w:t>
      </w:r>
      <w:r>
        <w:rPr>
          <w:rFonts w:hint="eastAsia"/>
          <w:b/>
          <w:bCs/>
          <w:color w:val="0000FF"/>
          <w:szCs w:val="24"/>
          <w:u w:val="single"/>
        </w:rPr>
        <w:t>竞争性谈判公告</w:t>
      </w:r>
      <w:r>
        <w:rPr>
          <w:rFonts w:ascii="Times New Roman" w:hAnsi="Times New Roman"/>
          <w:color w:val="0000FF"/>
          <w:szCs w:val="24"/>
          <w:u w:val="single"/>
        </w:rPr>
        <w:tab/>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 PAGEREF _Toc179528701 \h </w:instrText>
      </w:r>
      <w:r>
        <w:rPr>
          <w:rFonts w:ascii="Times New Roman" w:hAnsi="Times New Roman"/>
          <w:color w:val="0000FF"/>
          <w:szCs w:val="24"/>
          <w:u w:val="single"/>
        </w:rPr>
        <w:fldChar w:fldCharType="separate"/>
      </w:r>
      <w:r>
        <w:rPr>
          <w:rFonts w:ascii="Times New Roman" w:hAnsi="Times New Roman"/>
          <w:color w:val="0000FF"/>
          <w:szCs w:val="24"/>
          <w:u w:val="single"/>
        </w:rPr>
        <w:t>1</w:t>
      </w:r>
      <w:r>
        <w:rPr>
          <w:rFonts w:ascii="Times New Roman" w:hAnsi="Times New Roman"/>
          <w:color w:val="0000FF"/>
          <w:szCs w:val="24"/>
          <w:u w:val="single"/>
        </w:rPr>
        <w:fldChar w:fldCharType="end"/>
      </w:r>
      <w:r>
        <w:rPr>
          <w:rFonts w:ascii="Times New Roman" w:hAnsi="Times New Roman"/>
          <w:color w:val="0000FF"/>
          <w:szCs w:val="24"/>
          <w:u w:val="single"/>
        </w:rPr>
        <w:fldChar w:fldCharType="end"/>
      </w:r>
    </w:p>
    <w:p w14:paraId="4952BF89">
      <w:pPr>
        <w:tabs>
          <w:tab w:val="right" w:leader="dot" w:pos="8869"/>
        </w:tabs>
        <w:rPr>
          <w:szCs w:val="24"/>
        </w:rPr>
      </w:pPr>
      <w:r>
        <w:rPr>
          <w:rFonts w:ascii="Times New Roman" w:hAnsi="Times New Roman"/>
          <w:color w:val="0000FF"/>
          <w:szCs w:val="24"/>
          <w:u w:val="single"/>
        </w:rPr>
        <w:fldChar w:fldCharType="begin"/>
      </w:r>
      <w:r>
        <w:rPr>
          <w:rFonts w:ascii="Times New Roman" w:hAnsi="Times New Roman"/>
          <w:color w:val="0000FF"/>
          <w:szCs w:val="24"/>
          <w:u w:val="single"/>
        </w:rPr>
        <w:instrText xml:space="preserve">HYPERLINK </w:instrText>
      </w:r>
      <w:r>
        <w:rPr>
          <w:rFonts w:hint="eastAsia" w:ascii="Times New Roman" w:hAnsi="Times New Roman"/>
          <w:color w:val="0000FF"/>
          <w:szCs w:val="24"/>
          <w:u w:val="single"/>
        </w:rPr>
        <w:instrText xml:space="preserve">"../AppData/Local/Temp/AppData/Local/Temp/AppData/Local/Temp/AppData/Local/Temp/DJWebOffice/南宁市第三职业技术学校无人机虚拟仿真实训室、智能硬件编程实训室采购谈判文件.doc"</w:instrText>
      </w:r>
      <w:r>
        <w:rPr>
          <w:rFonts w:ascii="Times New Roman" w:hAnsi="Times New Roman"/>
          <w:color w:val="0000FF"/>
          <w:szCs w:val="24"/>
          <w:u w:val="single"/>
        </w:rPr>
        <w:instrText xml:space="preserve"> \l "_Toc179528702"</w:instrText>
      </w:r>
      <w:r>
        <w:rPr>
          <w:rFonts w:ascii="Times New Roman" w:hAnsi="Times New Roman"/>
          <w:color w:val="0000FF"/>
          <w:szCs w:val="24"/>
          <w:u w:val="single"/>
        </w:rPr>
        <w:fldChar w:fldCharType="separate"/>
      </w:r>
      <w:r>
        <w:rPr>
          <w:rFonts w:hint="eastAsia" w:ascii="Cambria" w:hAnsi="Cambria"/>
          <w:b/>
          <w:color w:val="0000FF"/>
          <w:szCs w:val="24"/>
          <w:u w:val="single"/>
        </w:rPr>
        <w:t>第二章</w:t>
      </w:r>
      <w:r>
        <w:rPr>
          <w:rFonts w:ascii="Cambria" w:hAnsi="Cambria"/>
          <w:b/>
          <w:color w:val="0000FF"/>
          <w:szCs w:val="24"/>
          <w:u w:val="single"/>
        </w:rPr>
        <w:t xml:space="preserve"> </w:t>
      </w:r>
      <w:r>
        <w:rPr>
          <w:rFonts w:hint="eastAsia" w:ascii="Cambria" w:hAnsi="Cambria"/>
          <w:b/>
          <w:color w:val="0000FF"/>
          <w:szCs w:val="24"/>
          <w:u w:val="single"/>
        </w:rPr>
        <w:t>采购需求</w:t>
      </w:r>
      <w:r>
        <w:rPr>
          <w:rFonts w:ascii="Times New Roman" w:hAnsi="Times New Roman"/>
          <w:color w:val="0000FF"/>
          <w:szCs w:val="24"/>
          <w:u w:val="single"/>
        </w:rPr>
        <w:tab/>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 PAGEREF _Toc179528702 \h </w:instrText>
      </w:r>
      <w:r>
        <w:rPr>
          <w:rFonts w:ascii="Times New Roman" w:hAnsi="Times New Roman"/>
          <w:color w:val="0000FF"/>
          <w:szCs w:val="24"/>
          <w:u w:val="single"/>
        </w:rPr>
        <w:fldChar w:fldCharType="separate"/>
      </w:r>
      <w:r>
        <w:rPr>
          <w:rFonts w:ascii="Times New Roman" w:hAnsi="Times New Roman"/>
          <w:color w:val="0000FF"/>
          <w:szCs w:val="24"/>
          <w:u w:val="single"/>
        </w:rPr>
        <w:t>5</w:t>
      </w:r>
      <w:r>
        <w:rPr>
          <w:rFonts w:ascii="Times New Roman" w:hAnsi="Times New Roman"/>
          <w:color w:val="0000FF"/>
          <w:szCs w:val="24"/>
          <w:u w:val="single"/>
        </w:rPr>
        <w:fldChar w:fldCharType="end"/>
      </w:r>
      <w:r>
        <w:rPr>
          <w:rFonts w:ascii="Times New Roman" w:hAnsi="Times New Roman"/>
          <w:color w:val="0000FF"/>
          <w:szCs w:val="24"/>
          <w:u w:val="single"/>
        </w:rPr>
        <w:fldChar w:fldCharType="end"/>
      </w:r>
    </w:p>
    <w:p w14:paraId="217A369D">
      <w:pPr>
        <w:tabs>
          <w:tab w:val="right" w:leader="dot" w:pos="8869"/>
        </w:tabs>
        <w:rPr>
          <w:szCs w:val="24"/>
        </w:rPr>
      </w:pPr>
      <w:r>
        <w:rPr>
          <w:rFonts w:ascii="Times New Roman" w:hAnsi="Times New Roman"/>
          <w:color w:val="0000FF"/>
          <w:szCs w:val="24"/>
          <w:u w:val="single"/>
        </w:rPr>
        <w:fldChar w:fldCharType="begin"/>
      </w:r>
      <w:r>
        <w:rPr>
          <w:rFonts w:ascii="Times New Roman" w:hAnsi="Times New Roman"/>
          <w:color w:val="0000FF"/>
          <w:szCs w:val="24"/>
          <w:u w:val="single"/>
        </w:rPr>
        <w:instrText xml:space="preserve">HYPERLINK </w:instrText>
      </w:r>
      <w:r>
        <w:rPr>
          <w:rFonts w:hint="eastAsia" w:ascii="Times New Roman" w:hAnsi="Times New Roman"/>
          <w:color w:val="0000FF"/>
          <w:szCs w:val="24"/>
          <w:u w:val="single"/>
        </w:rPr>
        <w:instrText xml:space="preserve">"../AppData/Local/Temp/AppData/Local/Temp/AppData/Local/Temp/AppData/Local/Temp/DJWebOffice/南宁市第三职业技术学校无人机虚拟仿真实训室、智能硬件编程实训室采购谈判文件.doc"</w:instrText>
      </w:r>
      <w:r>
        <w:rPr>
          <w:rFonts w:ascii="Times New Roman" w:hAnsi="Times New Roman"/>
          <w:color w:val="0000FF"/>
          <w:szCs w:val="24"/>
          <w:u w:val="single"/>
        </w:rPr>
        <w:instrText xml:space="preserve"> \l "_Toc179528703"</w:instrText>
      </w:r>
      <w:r>
        <w:rPr>
          <w:rFonts w:ascii="Times New Roman" w:hAnsi="Times New Roman"/>
          <w:color w:val="0000FF"/>
          <w:szCs w:val="24"/>
          <w:u w:val="single"/>
        </w:rPr>
        <w:fldChar w:fldCharType="separate"/>
      </w:r>
      <w:r>
        <w:rPr>
          <w:rFonts w:hint="eastAsia" w:ascii="Cambria" w:hAnsi="Cambria"/>
          <w:b/>
          <w:color w:val="0000FF"/>
          <w:szCs w:val="24"/>
          <w:u w:val="single"/>
        </w:rPr>
        <w:t>第三章</w:t>
      </w:r>
      <w:r>
        <w:rPr>
          <w:rFonts w:ascii="Cambria" w:hAnsi="Cambria"/>
          <w:b/>
          <w:color w:val="0000FF"/>
          <w:szCs w:val="24"/>
          <w:u w:val="single"/>
        </w:rPr>
        <w:t xml:space="preserve"> </w:t>
      </w:r>
      <w:r>
        <w:rPr>
          <w:rFonts w:hint="eastAsia" w:ascii="Cambria" w:hAnsi="Cambria"/>
          <w:b/>
          <w:color w:val="0000FF"/>
          <w:szCs w:val="24"/>
          <w:u w:val="single"/>
        </w:rPr>
        <w:t>供应商须知</w:t>
      </w:r>
      <w:r>
        <w:rPr>
          <w:rFonts w:ascii="Times New Roman" w:hAnsi="Times New Roman"/>
          <w:color w:val="0000FF"/>
          <w:szCs w:val="24"/>
          <w:u w:val="single"/>
        </w:rPr>
        <w:tab/>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 PAGEREF _Toc179528703 \h </w:instrText>
      </w:r>
      <w:r>
        <w:rPr>
          <w:rFonts w:ascii="Times New Roman" w:hAnsi="Times New Roman"/>
          <w:color w:val="0000FF"/>
          <w:szCs w:val="24"/>
          <w:u w:val="single"/>
        </w:rPr>
        <w:fldChar w:fldCharType="separate"/>
      </w:r>
      <w:r>
        <w:rPr>
          <w:rFonts w:ascii="Times New Roman" w:hAnsi="Times New Roman"/>
          <w:color w:val="0000FF"/>
          <w:szCs w:val="24"/>
          <w:u w:val="single"/>
        </w:rPr>
        <w:t>162</w:t>
      </w:r>
      <w:r>
        <w:rPr>
          <w:rFonts w:ascii="Times New Roman" w:hAnsi="Times New Roman"/>
          <w:color w:val="0000FF"/>
          <w:szCs w:val="24"/>
          <w:u w:val="single"/>
        </w:rPr>
        <w:fldChar w:fldCharType="end"/>
      </w:r>
      <w:r>
        <w:rPr>
          <w:rFonts w:ascii="Times New Roman" w:hAnsi="Times New Roman"/>
          <w:color w:val="0000FF"/>
          <w:szCs w:val="24"/>
          <w:u w:val="single"/>
        </w:rPr>
        <w:fldChar w:fldCharType="end"/>
      </w:r>
    </w:p>
    <w:p w14:paraId="54CFCAEB">
      <w:pPr>
        <w:tabs>
          <w:tab w:val="right" w:leader="dot" w:pos="8296"/>
        </w:tabs>
        <w:ind w:left="420" w:leftChars="200"/>
        <w:rPr>
          <w:szCs w:val="24"/>
        </w:rPr>
      </w:pPr>
      <w:r>
        <w:rPr>
          <w:rFonts w:ascii="Times New Roman" w:hAnsi="Times New Roman"/>
          <w:color w:val="0000FF"/>
          <w:szCs w:val="24"/>
          <w:u w:val="single"/>
        </w:rPr>
        <w:fldChar w:fldCharType="begin"/>
      </w:r>
      <w:r>
        <w:rPr>
          <w:rFonts w:ascii="Times New Roman" w:hAnsi="Times New Roman"/>
          <w:color w:val="0000FF"/>
          <w:szCs w:val="24"/>
          <w:u w:val="single"/>
        </w:rPr>
        <w:instrText xml:space="preserve">HYPERLINK </w:instrText>
      </w:r>
      <w:r>
        <w:rPr>
          <w:rFonts w:hint="eastAsia" w:ascii="Times New Roman" w:hAnsi="Times New Roman"/>
          <w:color w:val="0000FF"/>
          <w:szCs w:val="24"/>
          <w:u w:val="single"/>
        </w:rPr>
        <w:instrText xml:space="preserve">"../AppData/Local/Temp/AppData/Local/Temp/AppData/Local/Temp/AppData/Local/Temp/DJWebOffice/南宁市第三职业技术学校无人机虚拟仿真实训室、智能硬件编程实训室采购谈判文件.doc"</w:instrText>
      </w:r>
      <w:r>
        <w:rPr>
          <w:rFonts w:ascii="Times New Roman" w:hAnsi="Times New Roman"/>
          <w:color w:val="0000FF"/>
          <w:szCs w:val="24"/>
          <w:u w:val="single"/>
        </w:rPr>
        <w:instrText xml:space="preserve"> \l "_Toc179528704"</w:instrText>
      </w:r>
      <w:r>
        <w:rPr>
          <w:rFonts w:ascii="Times New Roman" w:hAnsi="Times New Roman"/>
          <w:color w:val="0000FF"/>
          <w:szCs w:val="24"/>
          <w:u w:val="single"/>
        </w:rPr>
        <w:fldChar w:fldCharType="separate"/>
      </w:r>
      <w:r>
        <w:rPr>
          <w:rFonts w:hint="eastAsia" w:ascii="宋体" w:hAnsi="宋体"/>
          <w:bCs/>
          <w:color w:val="0000FF"/>
          <w:szCs w:val="24"/>
          <w:u w:val="single"/>
        </w:rPr>
        <w:t>第一节 供应商须知前附表</w:t>
      </w:r>
      <w:r>
        <w:rPr>
          <w:rFonts w:ascii="Times New Roman" w:hAnsi="Times New Roman"/>
          <w:color w:val="0000FF"/>
          <w:szCs w:val="24"/>
          <w:u w:val="single"/>
        </w:rPr>
        <w:tab/>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 PAGEREF _Toc179528704 \h </w:instrText>
      </w:r>
      <w:r>
        <w:rPr>
          <w:rFonts w:ascii="Times New Roman" w:hAnsi="Times New Roman"/>
          <w:color w:val="0000FF"/>
          <w:szCs w:val="24"/>
          <w:u w:val="single"/>
        </w:rPr>
        <w:fldChar w:fldCharType="separate"/>
      </w:r>
      <w:r>
        <w:rPr>
          <w:rFonts w:ascii="Times New Roman" w:hAnsi="Times New Roman"/>
          <w:color w:val="0000FF"/>
          <w:szCs w:val="24"/>
          <w:u w:val="single"/>
        </w:rPr>
        <w:t>162</w:t>
      </w:r>
      <w:r>
        <w:rPr>
          <w:rFonts w:ascii="Times New Roman" w:hAnsi="Times New Roman"/>
          <w:color w:val="0000FF"/>
          <w:szCs w:val="24"/>
          <w:u w:val="single"/>
        </w:rPr>
        <w:fldChar w:fldCharType="end"/>
      </w:r>
      <w:r>
        <w:rPr>
          <w:rFonts w:ascii="Times New Roman" w:hAnsi="Times New Roman"/>
          <w:color w:val="0000FF"/>
          <w:szCs w:val="24"/>
          <w:u w:val="single"/>
        </w:rPr>
        <w:fldChar w:fldCharType="end"/>
      </w:r>
    </w:p>
    <w:p w14:paraId="3B3BC8B3">
      <w:pPr>
        <w:tabs>
          <w:tab w:val="right" w:leader="dot" w:pos="8296"/>
        </w:tabs>
        <w:ind w:left="420" w:leftChars="200"/>
        <w:rPr>
          <w:szCs w:val="24"/>
        </w:rPr>
      </w:pPr>
      <w:r>
        <w:rPr>
          <w:rFonts w:ascii="Times New Roman" w:hAnsi="Times New Roman"/>
          <w:color w:val="0000FF"/>
          <w:szCs w:val="24"/>
          <w:u w:val="single"/>
        </w:rPr>
        <w:fldChar w:fldCharType="begin"/>
      </w:r>
      <w:r>
        <w:rPr>
          <w:rFonts w:ascii="Times New Roman" w:hAnsi="Times New Roman"/>
          <w:color w:val="0000FF"/>
          <w:szCs w:val="24"/>
          <w:u w:val="single"/>
        </w:rPr>
        <w:instrText xml:space="preserve">HYPERLINK </w:instrText>
      </w:r>
      <w:r>
        <w:rPr>
          <w:rFonts w:hint="eastAsia" w:ascii="Times New Roman" w:hAnsi="Times New Roman"/>
          <w:color w:val="0000FF"/>
          <w:szCs w:val="24"/>
          <w:u w:val="single"/>
        </w:rPr>
        <w:instrText xml:space="preserve">"../AppData/Local/Temp/AppData/Local/Temp/AppData/Local/Temp/AppData/Local/Temp/DJWebOffice/南宁市第三职业技术学校无人机虚拟仿真实训室、智能硬件编程实训室采购谈判文件.doc"</w:instrText>
      </w:r>
      <w:r>
        <w:rPr>
          <w:rFonts w:ascii="Times New Roman" w:hAnsi="Times New Roman"/>
          <w:color w:val="0000FF"/>
          <w:szCs w:val="24"/>
          <w:u w:val="single"/>
        </w:rPr>
        <w:instrText xml:space="preserve"> \l "_Toc179528705"</w:instrText>
      </w:r>
      <w:r>
        <w:rPr>
          <w:rFonts w:ascii="Times New Roman" w:hAnsi="Times New Roman"/>
          <w:color w:val="0000FF"/>
          <w:szCs w:val="24"/>
          <w:u w:val="single"/>
        </w:rPr>
        <w:fldChar w:fldCharType="separate"/>
      </w:r>
      <w:r>
        <w:rPr>
          <w:rFonts w:hint="eastAsia" w:ascii="宋体" w:hAnsi="宋体"/>
          <w:bCs/>
          <w:color w:val="0000FF"/>
          <w:szCs w:val="24"/>
          <w:u w:val="single"/>
        </w:rPr>
        <w:t>第二节 供应商须知正文</w:t>
      </w:r>
      <w:r>
        <w:rPr>
          <w:rFonts w:ascii="Times New Roman" w:hAnsi="Times New Roman"/>
          <w:color w:val="0000FF"/>
          <w:szCs w:val="24"/>
          <w:u w:val="single"/>
        </w:rPr>
        <w:tab/>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 PAGEREF _Toc179528705 \h </w:instrText>
      </w:r>
      <w:r>
        <w:rPr>
          <w:rFonts w:ascii="Times New Roman" w:hAnsi="Times New Roman"/>
          <w:color w:val="0000FF"/>
          <w:szCs w:val="24"/>
          <w:u w:val="single"/>
        </w:rPr>
        <w:fldChar w:fldCharType="separate"/>
      </w:r>
      <w:r>
        <w:rPr>
          <w:rFonts w:ascii="Times New Roman" w:hAnsi="Times New Roman"/>
          <w:color w:val="0000FF"/>
          <w:szCs w:val="24"/>
          <w:u w:val="single"/>
        </w:rPr>
        <w:t>166</w:t>
      </w:r>
      <w:r>
        <w:rPr>
          <w:rFonts w:ascii="Times New Roman" w:hAnsi="Times New Roman"/>
          <w:color w:val="0000FF"/>
          <w:szCs w:val="24"/>
          <w:u w:val="single"/>
        </w:rPr>
        <w:fldChar w:fldCharType="end"/>
      </w:r>
      <w:r>
        <w:rPr>
          <w:rFonts w:ascii="Times New Roman" w:hAnsi="Times New Roman"/>
          <w:color w:val="0000FF"/>
          <w:szCs w:val="24"/>
          <w:u w:val="single"/>
        </w:rPr>
        <w:fldChar w:fldCharType="end"/>
      </w:r>
    </w:p>
    <w:p w14:paraId="5310BF56">
      <w:pPr>
        <w:tabs>
          <w:tab w:val="right" w:leader="dot" w:pos="8869"/>
        </w:tabs>
        <w:ind w:left="840" w:leftChars="400"/>
        <w:rPr>
          <w:szCs w:val="24"/>
        </w:rPr>
      </w:pPr>
      <w:r>
        <w:rPr>
          <w:rFonts w:ascii="Times New Roman" w:hAnsi="Times New Roman"/>
          <w:color w:val="0000FF"/>
          <w:szCs w:val="24"/>
          <w:u w:val="single"/>
        </w:rPr>
        <w:fldChar w:fldCharType="begin"/>
      </w:r>
      <w:r>
        <w:rPr>
          <w:rFonts w:ascii="Times New Roman" w:hAnsi="Times New Roman"/>
          <w:color w:val="0000FF"/>
          <w:szCs w:val="24"/>
          <w:u w:val="single"/>
        </w:rPr>
        <w:instrText xml:space="preserve">HYPERLINK </w:instrText>
      </w:r>
      <w:r>
        <w:rPr>
          <w:rFonts w:hint="eastAsia" w:ascii="Times New Roman" w:hAnsi="Times New Roman"/>
          <w:color w:val="0000FF"/>
          <w:szCs w:val="24"/>
          <w:u w:val="single"/>
        </w:rPr>
        <w:instrText xml:space="preserve">"../AppData/Local/Temp/AppData/Local/Temp/AppData/Local/Temp/AppData/Local/Temp/DJWebOffice/南宁市第三职业技术学校无人机虚拟仿真实训室、智能硬件编程实训室采购谈判文件.doc"</w:instrText>
      </w:r>
      <w:r>
        <w:rPr>
          <w:rFonts w:ascii="Times New Roman" w:hAnsi="Times New Roman"/>
          <w:color w:val="0000FF"/>
          <w:szCs w:val="24"/>
          <w:u w:val="single"/>
        </w:rPr>
        <w:instrText xml:space="preserve"> \l "_Toc179528706"</w:instrText>
      </w:r>
      <w:r>
        <w:rPr>
          <w:rFonts w:ascii="Times New Roman" w:hAnsi="Times New Roman"/>
          <w:color w:val="0000FF"/>
          <w:szCs w:val="24"/>
          <w:u w:val="single"/>
        </w:rPr>
        <w:fldChar w:fldCharType="separate"/>
      </w:r>
      <w:r>
        <w:rPr>
          <w:rFonts w:hint="eastAsia" w:ascii="宋体" w:hAnsi="宋体"/>
          <w:bCs/>
          <w:color w:val="0000FF"/>
          <w:szCs w:val="24"/>
          <w:u w:val="single"/>
        </w:rPr>
        <w:t>一、总则</w:t>
      </w:r>
      <w:r>
        <w:rPr>
          <w:rFonts w:ascii="Times New Roman" w:hAnsi="Times New Roman"/>
          <w:color w:val="0000FF"/>
          <w:szCs w:val="24"/>
          <w:u w:val="single"/>
        </w:rPr>
        <w:tab/>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 PAGEREF _Toc179528706 \h </w:instrText>
      </w:r>
      <w:r>
        <w:rPr>
          <w:rFonts w:ascii="Times New Roman" w:hAnsi="Times New Roman"/>
          <w:color w:val="0000FF"/>
          <w:szCs w:val="24"/>
          <w:u w:val="single"/>
        </w:rPr>
        <w:fldChar w:fldCharType="separate"/>
      </w:r>
      <w:r>
        <w:rPr>
          <w:rFonts w:ascii="Times New Roman" w:hAnsi="Times New Roman"/>
          <w:color w:val="0000FF"/>
          <w:szCs w:val="24"/>
          <w:u w:val="single"/>
        </w:rPr>
        <w:t>166</w:t>
      </w:r>
      <w:r>
        <w:rPr>
          <w:rFonts w:ascii="Times New Roman" w:hAnsi="Times New Roman"/>
          <w:color w:val="0000FF"/>
          <w:szCs w:val="24"/>
          <w:u w:val="single"/>
        </w:rPr>
        <w:fldChar w:fldCharType="end"/>
      </w:r>
      <w:r>
        <w:rPr>
          <w:rFonts w:ascii="Times New Roman" w:hAnsi="Times New Roman"/>
          <w:color w:val="0000FF"/>
          <w:szCs w:val="24"/>
          <w:u w:val="single"/>
        </w:rPr>
        <w:fldChar w:fldCharType="end"/>
      </w:r>
    </w:p>
    <w:p w14:paraId="011CA771">
      <w:pPr>
        <w:tabs>
          <w:tab w:val="right" w:leader="dot" w:pos="8869"/>
        </w:tabs>
        <w:ind w:left="840" w:leftChars="400"/>
        <w:rPr>
          <w:szCs w:val="24"/>
        </w:rPr>
      </w:pPr>
      <w:r>
        <w:rPr>
          <w:rFonts w:ascii="Times New Roman" w:hAnsi="Times New Roman"/>
          <w:color w:val="0000FF"/>
          <w:szCs w:val="24"/>
          <w:u w:val="single"/>
        </w:rPr>
        <w:fldChar w:fldCharType="begin"/>
      </w:r>
      <w:r>
        <w:rPr>
          <w:rFonts w:ascii="Times New Roman" w:hAnsi="Times New Roman"/>
          <w:color w:val="0000FF"/>
          <w:szCs w:val="24"/>
          <w:u w:val="single"/>
        </w:rPr>
        <w:instrText xml:space="preserve">HYPERLINK </w:instrText>
      </w:r>
      <w:r>
        <w:rPr>
          <w:rFonts w:hint="eastAsia" w:ascii="Times New Roman" w:hAnsi="Times New Roman"/>
          <w:color w:val="0000FF"/>
          <w:szCs w:val="24"/>
          <w:u w:val="single"/>
        </w:rPr>
        <w:instrText xml:space="preserve">"../AppData/Local/Temp/AppData/Local/Temp/AppData/Local/Temp/AppData/Local/Temp/DJWebOffice/南宁市第三职业技术学校无人机虚拟仿真实训室、智能硬件编程实训室采购谈判文件.doc"</w:instrText>
      </w:r>
      <w:r>
        <w:rPr>
          <w:rFonts w:ascii="Times New Roman" w:hAnsi="Times New Roman"/>
          <w:color w:val="0000FF"/>
          <w:szCs w:val="24"/>
          <w:u w:val="single"/>
        </w:rPr>
        <w:instrText xml:space="preserve"> \l "_Toc179528707"</w:instrText>
      </w:r>
      <w:r>
        <w:rPr>
          <w:rFonts w:ascii="Times New Roman" w:hAnsi="Times New Roman"/>
          <w:color w:val="0000FF"/>
          <w:szCs w:val="24"/>
          <w:u w:val="single"/>
        </w:rPr>
        <w:fldChar w:fldCharType="separate"/>
      </w:r>
      <w:r>
        <w:rPr>
          <w:rFonts w:hint="eastAsia" w:ascii="宋体" w:hAnsi="宋体"/>
          <w:color w:val="0000FF"/>
          <w:szCs w:val="24"/>
          <w:u w:val="single"/>
        </w:rPr>
        <w:t>二、谈判文件</w:t>
      </w:r>
      <w:r>
        <w:rPr>
          <w:rFonts w:ascii="Times New Roman" w:hAnsi="Times New Roman"/>
          <w:color w:val="0000FF"/>
          <w:szCs w:val="24"/>
          <w:u w:val="single"/>
        </w:rPr>
        <w:tab/>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 PAGEREF _Toc179528707 \h </w:instrText>
      </w:r>
      <w:r>
        <w:rPr>
          <w:rFonts w:ascii="Times New Roman" w:hAnsi="Times New Roman"/>
          <w:color w:val="0000FF"/>
          <w:szCs w:val="24"/>
          <w:u w:val="single"/>
        </w:rPr>
        <w:fldChar w:fldCharType="separate"/>
      </w:r>
      <w:r>
        <w:rPr>
          <w:rFonts w:ascii="Times New Roman" w:hAnsi="Times New Roman"/>
          <w:color w:val="0000FF"/>
          <w:szCs w:val="24"/>
          <w:u w:val="single"/>
        </w:rPr>
        <w:t>168</w:t>
      </w:r>
      <w:r>
        <w:rPr>
          <w:rFonts w:ascii="Times New Roman" w:hAnsi="Times New Roman"/>
          <w:color w:val="0000FF"/>
          <w:szCs w:val="24"/>
          <w:u w:val="single"/>
        </w:rPr>
        <w:fldChar w:fldCharType="end"/>
      </w:r>
      <w:r>
        <w:rPr>
          <w:rFonts w:ascii="Times New Roman" w:hAnsi="Times New Roman"/>
          <w:color w:val="0000FF"/>
          <w:szCs w:val="24"/>
          <w:u w:val="single"/>
        </w:rPr>
        <w:fldChar w:fldCharType="end"/>
      </w:r>
    </w:p>
    <w:p w14:paraId="7B3844AC">
      <w:pPr>
        <w:tabs>
          <w:tab w:val="right" w:leader="dot" w:pos="8869"/>
        </w:tabs>
        <w:ind w:left="840" w:leftChars="400"/>
        <w:rPr>
          <w:szCs w:val="24"/>
        </w:rPr>
      </w:pPr>
      <w:r>
        <w:rPr>
          <w:rFonts w:ascii="Times New Roman" w:hAnsi="Times New Roman"/>
          <w:color w:val="0000FF"/>
          <w:szCs w:val="24"/>
          <w:u w:val="single"/>
        </w:rPr>
        <w:fldChar w:fldCharType="begin"/>
      </w:r>
      <w:r>
        <w:rPr>
          <w:rFonts w:ascii="Times New Roman" w:hAnsi="Times New Roman"/>
          <w:color w:val="0000FF"/>
          <w:szCs w:val="24"/>
          <w:u w:val="single"/>
        </w:rPr>
        <w:instrText xml:space="preserve">HYPERLINK </w:instrText>
      </w:r>
      <w:r>
        <w:rPr>
          <w:rFonts w:hint="eastAsia" w:ascii="Times New Roman" w:hAnsi="Times New Roman"/>
          <w:color w:val="0000FF"/>
          <w:szCs w:val="24"/>
          <w:u w:val="single"/>
        </w:rPr>
        <w:instrText xml:space="preserve">"../AppData/Local/Temp/AppData/Local/Temp/AppData/Local/Temp/AppData/Local/Temp/DJWebOffice/南宁市第三职业技术学校无人机虚拟仿真实训室、智能硬件编程实训室采购谈判文件.doc"</w:instrText>
      </w:r>
      <w:r>
        <w:rPr>
          <w:rFonts w:ascii="Times New Roman" w:hAnsi="Times New Roman"/>
          <w:color w:val="0000FF"/>
          <w:szCs w:val="24"/>
          <w:u w:val="single"/>
        </w:rPr>
        <w:instrText xml:space="preserve"> \l "_Toc179528708"</w:instrText>
      </w:r>
      <w:r>
        <w:rPr>
          <w:rFonts w:ascii="Times New Roman" w:hAnsi="Times New Roman"/>
          <w:color w:val="0000FF"/>
          <w:szCs w:val="24"/>
          <w:u w:val="single"/>
        </w:rPr>
        <w:fldChar w:fldCharType="separate"/>
      </w:r>
      <w:r>
        <w:rPr>
          <w:rFonts w:hint="eastAsia" w:ascii="宋体" w:hAnsi="宋体"/>
          <w:color w:val="0000FF"/>
          <w:szCs w:val="24"/>
          <w:u w:val="single"/>
        </w:rPr>
        <w:t>三、响应文件的编制</w:t>
      </w:r>
      <w:r>
        <w:rPr>
          <w:rFonts w:ascii="Times New Roman" w:hAnsi="Times New Roman"/>
          <w:color w:val="0000FF"/>
          <w:szCs w:val="24"/>
          <w:u w:val="single"/>
        </w:rPr>
        <w:tab/>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 PAGEREF _Toc179528708 \h </w:instrText>
      </w:r>
      <w:r>
        <w:rPr>
          <w:rFonts w:ascii="Times New Roman" w:hAnsi="Times New Roman"/>
          <w:color w:val="0000FF"/>
          <w:szCs w:val="24"/>
          <w:u w:val="single"/>
        </w:rPr>
        <w:fldChar w:fldCharType="separate"/>
      </w:r>
      <w:r>
        <w:rPr>
          <w:rFonts w:ascii="Times New Roman" w:hAnsi="Times New Roman"/>
          <w:color w:val="0000FF"/>
          <w:szCs w:val="24"/>
          <w:u w:val="single"/>
        </w:rPr>
        <w:t>169</w:t>
      </w:r>
      <w:r>
        <w:rPr>
          <w:rFonts w:ascii="Times New Roman" w:hAnsi="Times New Roman"/>
          <w:color w:val="0000FF"/>
          <w:szCs w:val="24"/>
          <w:u w:val="single"/>
        </w:rPr>
        <w:fldChar w:fldCharType="end"/>
      </w:r>
      <w:r>
        <w:rPr>
          <w:rFonts w:ascii="Times New Roman" w:hAnsi="Times New Roman"/>
          <w:color w:val="0000FF"/>
          <w:szCs w:val="24"/>
          <w:u w:val="single"/>
        </w:rPr>
        <w:fldChar w:fldCharType="end"/>
      </w:r>
    </w:p>
    <w:p w14:paraId="3B66CEF5">
      <w:pPr>
        <w:tabs>
          <w:tab w:val="right" w:leader="dot" w:pos="8869"/>
        </w:tabs>
        <w:ind w:left="840" w:leftChars="400"/>
        <w:rPr>
          <w:szCs w:val="24"/>
        </w:rPr>
      </w:pPr>
      <w:r>
        <w:rPr>
          <w:rFonts w:ascii="Times New Roman" w:hAnsi="Times New Roman"/>
          <w:color w:val="0000FF"/>
          <w:szCs w:val="24"/>
          <w:u w:val="single"/>
        </w:rPr>
        <w:fldChar w:fldCharType="begin"/>
      </w:r>
      <w:r>
        <w:rPr>
          <w:rFonts w:ascii="Times New Roman" w:hAnsi="Times New Roman"/>
          <w:color w:val="0000FF"/>
          <w:szCs w:val="24"/>
          <w:u w:val="single"/>
        </w:rPr>
        <w:instrText xml:space="preserve">HYPERLINK </w:instrText>
      </w:r>
      <w:r>
        <w:rPr>
          <w:rFonts w:hint="eastAsia" w:ascii="Times New Roman" w:hAnsi="Times New Roman"/>
          <w:color w:val="0000FF"/>
          <w:szCs w:val="24"/>
          <w:u w:val="single"/>
        </w:rPr>
        <w:instrText xml:space="preserve">"../AppData/Local/Temp/AppData/Local/Temp/AppData/Local/Temp/AppData/Local/Temp/DJWebOffice/南宁市第三职业技术学校无人机虚拟仿真实训室、智能硬件编程实训室采购谈判文件.doc"</w:instrText>
      </w:r>
      <w:r>
        <w:rPr>
          <w:rFonts w:ascii="Times New Roman" w:hAnsi="Times New Roman"/>
          <w:color w:val="0000FF"/>
          <w:szCs w:val="24"/>
          <w:u w:val="single"/>
        </w:rPr>
        <w:instrText xml:space="preserve"> \l "_Toc179528709"</w:instrText>
      </w:r>
      <w:r>
        <w:rPr>
          <w:rFonts w:ascii="Times New Roman" w:hAnsi="Times New Roman"/>
          <w:color w:val="0000FF"/>
          <w:szCs w:val="24"/>
          <w:u w:val="single"/>
        </w:rPr>
        <w:fldChar w:fldCharType="separate"/>
      </w:r>
      <w:r>
        <w:rPr>
          <w:rFonts w:hint="eastAsia" w:ascii="宋体" w:hAnsi="宋体"/>
          <w:color w:val="0000FF"/>
          <w:szCs w:val="24"/>
          <w:u w:val="single"/>
        </w:rPr>
        <w:t>四、评审及谈判</w:t>
      </w:r>
      <w:r>
        <w:rPr>
          <w:rFonts w:ascii="Times New Roman" w:hAnsi="Times New Roman"/>
          <w:color w:val="0000FF"/>
          <w:szCs w:val="24"/>
          <w:u w:val="single"/>
        </w:rPr>
        <w:tab/>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 PAGEREF _Toc179528709 \h </w:instrText>
      </w:r>
      <w:r>
        <w:rPr>
          <w:rFonts w:ascii="Times New Roman" w:hAnsi="Times New Roman"/>
          <w:color w:val="0000FF"/>
          <w:szCs w:val="24"/>
          <w:u w:val="single"/>
        </w:rPr>
        <w:fldChar w:fldCharType="separate"/>
      </w:r>
      <w:r>
        <w:rPr>
          <w:rFonts w:ascii="Times New Roman" w:hAnsi="Times New Roman"/>
          <w:color w:val="0000FF"/>
          <w:szCs w:val="24"/>
          <w:u w:val="single"/>
        </w:rPr>
        <w:t>171</w:t>
      </w:r>
      <w:r>
        <w:rPr>
          <w:rFonts w:ascii="Times New Roman" w:hAnsi="Times New Roman"/>
          <w:color w:val="0000FF"/>
          <w:szCs w:val="24"/>
          <w:u w:val="single"/>
        </w:rPr>
        <w:fldChar w:fldCharType="end"/>
      </w:r>
      <w:r>
        <w:rPr>
          <w:rFonts w:ascii="Times New Roman" w:hAnsi="Times New Roman"/>
          <w:color w:val="0000FF"/>
          <w:szCs w:val="24"/>
          <w:u w:val="single"/>
        </w:rPr>
        <w:fldChar w:fldCharType="end"/>
      </w:r>
    </w:p>
    <w:p w14:paraId="55EEB0FB">
      <w:pPr>
        <w:tabs>
          <w:tab w:val="right" w:leader="dot" w:pos="8869"/>
        </w:tabs>
        <w:ind w:left="840" w:leftChars="400"/>
        <w:rPr>
          <w:szCs w:val="24"/>
        </w:rPr>
      </w:pPr>
      <w:r>
        <w:rPr>
          <w:rFonts w:ascii="Times New Roman" w:hAnsi="Times New Roman"/>
          <w:color w:val="0000FF"/>
          <w:szCs w:val="24"/>
          <w:u w:val="single"/>
        </w:rPr>
        <w:fldChar w:fldCharType="begin"/>
      </w:r>
      <w:r>
        <w:rPr>
          <w:rFonts w:ascii="Times New Roman" w:hAnsi="Times New Roman"/>
          <w:color w:val="0000FF"/>
          <w:szCs w:val="24"/>
          <w:u w:val="single"/>
        </w:rPr>
        <w:instrText xml:space="preserve">HYPERLINK </w:instrText>
      </w:r>
      <w:r>
        <w:rPr>
          <w:rFonts w:hint="eastAsia" w:ascii="Times New Roman" w:hAnsi="Times New Roman"/>
          <w:color w:val="0000FF"/>
          <w:szCs w:val="24"/>
          <w:u w:val="single"/>
        </w:rPr>
        <w:instrText xml:space="preserve">"../AppData/Local/Temp/AppData/Local/Temp/AppData/Local/Temp/AppData/Local/Temp/DJWebOffice/南宁市第三职业技术学校无人机虚拟仿真实训室、智能硬件编程实训室采购谈判文件.doc"</w:instrText>
      </w:r>
      <w:r>
        <w:rPr>
          <w:rFonts w:ascii="Times New Roman" w:hAnsi="Times New Roman"/>
          <w:color w:val="0000FF"/>
          <w:szCs w:val="24"/>
          <w:u w:val="single"/>
        </w:rPr>
        <w:instrText xml:space="preserve"> \l "_Toc179528710"</w:instrText>
      </w:r>
      <w:r>
        <w:rPr>
          <w:rFonts w:ascii="Times New Roman" w:hAnsi="Times New Roman"/>
          <w:color w:val="0000FF"/>
          <w:szCs w:val="24"/>
          <w:u w:val="single"/>
        </w:rPr>
        <w:fldChar w:fldCharType="separate"/>
      </w:r>
      <w:r>
        <w:rPr>
          <w:rFonts w:hint="eastAsia" w:ascii="宋体" w:hAnsi="宋体"/>
          <w:color w:val="0000FF"/>
          <w:szCs w:val="24"/>
          <w:u w:val="single"/>
        </w:rPr>
        <w:t>五、成交及合同</w:t>
      </w:r>
      <w:r>
        <w:rPr>
          <w:rFonts w:ascii="Times New Roman" w:hAnsi="Times New Roman"/>
          <w:color w:val="0000FF"/>
          <w:szCs w:val="24"/>
          <w:u w:val="single"/>
        </w:rPr>
        <w:tab/>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 PAGEREF _Toc179528710 \h </w:instrText>
      </w:r>
      <w:r>
        <w:rPr>
          <w:rFonts w:ascii="Times New Roman" w:hAnsi="Times New Roman"/>
          <w:color w:val="0000FF"/>
          <w:szCs w:val="24"/>
          <w:u w:val="single"/>
        </w:rPr>
        <w:fldChar w:fldCharType="separate"/>
      </w:r>
      <w:r>
        <w:rPr>
          <w:rFonts w:ascii="Times New Roman" w:hAnsi="Times New Roman"/>
          <w:color w:val="0000FF"/>
          <w:szCs w:val="24"/>
          <w:u w:val="single"/>
        </w:rPr>
        <w:t>173</w:t>
      </w:r>
      <w:r>
        <w:rPr>
          <w:rFonts w:ascii="Times New Roman" w:hAnsi="Times New Roman"/>
          <w:color w:val="0000FF"/>
          <w:szCs w:val="24"/>
          <w:u w:val="single"/>
        </w:rPr>
        <w:fldChar w:fldCharType="end"/>
      </w:r>
      <w:r>
        <w:rPr>
          <w:rFonts w:ascii="Times New Roman" w:hAnsi="Times New Roman"/>
          <w:color w:val="0000FF"/>
          <w:szCs w:val="24"/>
          <w:u w:val="single"/>
        </w:rPr>
        <w:fldChar w:fldCharType="end"/>
      </w:r>
    </w:p>
    <w:p w14:paraId="5E102CA6">
      <w:pPr>
        <w:tabs>
          <w:tab w:val="right" w:leader="dot" w:pos="8869"/>
        </w:tabs>
        <w:ind w:left="840" w:leftChars="400"/>
        <w:rPr>
          <w:szCs w:val="24"/>
        </w:rPr>
      </w:pPr>
      <w:r>
        <w:rPr>
          <w:rFonts w:ascii="Times New Roman" w:hAnsi="Times New Roman"/>
          <w:color w:val="0000FF"/>
          <w:szCs w:val="24"/>
          <w:u w:val="single"/>
        </w:rPr>
        <w:fldChar w:fldCharType="begin"/>
      </w:r>
      <w:r>
        <w:rPr>
          <w:rFonts w:ascii="Times New Roman" w:hAnsi="Times New Roman"/>
          <w:color w:val="0000FF"/>
          <w:szCs w:val="24"/>
          <w:u w:val="single"/>
        </w:rPr>
        <w:instrText xml:space="preserve">HYPERLINK </w:instrText>
      </w:r>
      <w:r>
        <w:rPr>
          <w:rFonts w:hint="eastAsia" w:ascii="Times New Roman" w:hAnsi="Times New Roman"/>
          <w:color w:val="0000FF"/>
          <w:szCs w:val="24"/>
          <w:u w:val="single"/>
        </w:rPr>
        <w:instrText xml:space="preserve">"../AppData/Local/Temp/AppData/Local/Temp/AppData/Local/Temp/AppData/Local/Temp/DJWebOffice/南宁市第三职业技术学校无人机虚拟仿真实训室、智能硬件编程实训室采购谈判文件.doc"</w:instrText>
      </w:r>
      <w:r>
        <w:rPr>
          <w:rFonts w:ascii="Times New Roman" w:hAnsi="Times New Roman"/>
          <w:color w:val="0000FF"/>
          <w:szCs w:val="24"/>
          <w:u w:val="single"/>
        </w:rPr>
        <w:instrText xml:space="preserve"> \l "_Toc179528711"</w:instrText>
      </w:r>
      <w:r>
        <w:rPr>
          <w:rFonts w:ascii="Times New Roman" w:hAnsi="Times New Roman"/>
          <w:color w:val="0000FF"/>
          <w:szCs w:val="24"/>
          <w:u w:val="single"/>
        </w:rPr>
        <w:fldChar w:fldCharType="separate"/>
      </w:r>
      <w:r>
        <w:rPr>
          <w:rFonts w:hint="eastAsia" w:ascii="宋体" w:hAnsi="宋体"/>
          <w:b/>
          <w:bCs/>
          <w:color w:val="0000FF"/>
          <w:szCs w:val="24"/>
          <w:u w:val="single"/>
        </w:rPr>
        <w:t>六</w:t>
      </w:r>
      <w:r>
        <w:rPr>
          <w:rFonts w:hint="eastAsia" w:ascii="宋体" w:hAnsi="宋体"/>
          <w:bCs/>
          <w:color w:val="0000FF"/>
          <w:szCs w:val="24"/>
          <w:u w:val="single"/>
        </w:rPr>
        <w:t>、验收</w:t>
      </w:r>
      <w:r>
        <w:rPr>
          <w:rFonts w:ascii="Times New Roman" w:hAnsi="Times New Roman"/>
          <w:color w:val="0000FF"/>
          <w:szCs w:val="24"/>
          <w:u w:val="single"/>
        </w:rPr>
        <w:tab/>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 PAGEREF _Toc179528711 \h </w:instrText>
      </w:r>
      <w:r>
        <w:rPr>
          <w:rFonts w:ascii="Times New Roman" w:hAnsi="Times New Roman"/>
          <w:color w:val="0000FF"/>
          <w:szCs w:val="24"/>
          <w:u w:val="single"/>
        </w:rPr>
        <w:fldChar w:fldCharType="separate"/>
      </w:r>
      <w:r>
        <w:rPr>
          <w:rFonts w:ascii="Times New Roman" w:hAnsi="Times New Roman"/>
          <w:color w:val="0000FF"/>
          <w:szCs w:val="24"/>
          <w:u w:val="single"/>
        </w:rPr>
        <w:t>175</w:t>
      </w:r>
      <w:r>
        <w:rPr>
          <w:rFonts w:ascii="Times New Roman" w:hAnsi="Times New Roman"/>
          <w:color w:val="0000FF"/>
          <w:szCs w:val="24"/>
          <w:u w:val="single"/>
        </w:rPr>
        <w:fldChar w:fldCharType="end"/>
      </w:r>
      <w:r>
        <w:rPr>
          <w:rFonts w:ascii="Times New Roman" w:hAnsi="Times New Roman"/>
          <w:color w:val="0000FF"/>
          <w:szCs w:val="24"/>
          <w:u w:val="single"/>
        </w:rPr>
        <w:fldChar w:fldCharType="end"/>
      </w:r>
    </w:p>
    <w:p w14:paraId="1785C3DA">
      <w:pPr>
        <w:tabs>
          <w:tab w:val="right" w:leader="dot" w:pos="8869"/>
        </w:tabs>
        <w:ind w:left="840" w:leftChars="400"/>
        <w:rPr>
          <w:szCs w:val="24"/>
        </w:rPr>
      </w:pPr>
      <w:r>
        <w:rPr>
          <w:rFonts w:ascii="Times New Roman" w:hAnsi="Times New Roman"/>
          <w:color w:val="0000FF"/>
          <w:szCs w:val="24"/>
          <w:u w:val="single"/>
        </w:rPr>
        <w:fldChar w:fldCharType="begin"/>
      </w:r>
      <w:r>
        <w:rPr>
          <w:rFonts w:ascii="Times New Roman" w:hAnsi="Times New Roman"/>
          <w:color w:val="0000FF"/>
          <w:szCs w:val="24"/>
          <w:u w:val="single"/>
        </w:rPr>
        <w:instrText xml:space="preserve">HYPERLINK </w:instrText>
      </w:r>
      <w:r>
        <w:rPr>
          <w:rFonts w:hint="eastAsia" w:ascii="Times New Roman" w:hAnsi="Times New Roman"/>
          <w:color w:val="0000FF"/>
          <w:szCs w:val="24"/>
          <w:u w:val="single"/>
        </w:rPr>
        <w:instrText xml:space="preserve">"../AppData/Local/Temp/AppData/Local/Temp/AppData/Local/Temp/AppData/Local/Temp/DJWebOffice/南宁市第三职业技术学校无人机虚拟仿真实训室、智能硬件编程实训室采购谈判文件.doc"</w:instrText>
      </w:r>
      <w:r>
        <w:rPr>
          <w:rFonts w:ascii="Times New Roman" w:hAnsi="Times New Roman"/>
          <w:color w:val="0000FF"/>
          <w:szCs w:val="24"/>
          <w:u w:val="single"/>
        </w:rPr>
        <w:instrText xml:space="preserve"> \l "_Toc179528712"</w:instrText>
      </w:r>
      <w:r>
        <w:rPr>
          <w:rFonts w:ascii="Times New Roman" w:hAnsi="Times New Roman"/>
          <w:color w:val="0000FF"/>
          <w:szCs w:val="24"/>
          <w:u w:val="single"/>
        </w:rPr>
        <w:fldChar w:fldCharType="separate"/>
      </w:r>
      <w:r>
        <w:rPr>
          <w:rFonts w:hint="eastAsia" w:ascii="宋体" w:hAnsi="宋体"/>
          <w:color w:val="0000FF"/>
          <w:szCs w:val="24"/>
          <w:u w:val="single"/>
        </w:rPr>
        <w:t>七、其他事项</w:t>
      </w:r>
      <w:r>
        <w:rPr>
          <w:rFonts w:ascii="Times New Roman" w:hAnsi="Times New Roman"/>
          <w:color w:val="0000FF"/>
          <w:szCs w:val="24"/>
          <w:u w:val="single"/>
        </w:rPr>
        <w:tab/>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 PAGEREF _Toc179528712 \h </w:instrText>
      </w:r>
      <w:r>
        <w:rPr>
          <w:rFonts w:ascii="Times New Roman" w:hAnsi="Times New Roman"/>
          <w:color w:val="0000FF"/>
          <w:szCs w:val="24"/>
          <w:u w:val="single"/>
        </w:rPr>
        <w:fldChar w:fldCharType="separate"/>
      </w:r>
      <w:r>
        <w:rPr>
          <w:rFonts w:ascii="Times New Roman" w:hAnsi="Times New Roman"/>
          <w:color w:val="0000FF"/>
          <w:szCs w:val="24"/>
          <w:u w:val="single"/>
        </w:rPr>
        <w:t>175</w:t>
      </w:r>
      <w:r>
        <w:rPr>
          <w:rFonts w:ascii="Times New Roman" w:hAnsi="Times New Roman"/>
          <w:color w:val="0000FF"/>
          <w:szCs w:val="24"/>
          <w:u w:val="single"/>
        </w:rPr>
        <w:fldChar w:fldCharType="end"/>
      </w:r>
      <w:r>
        <w:rPr>
          <w:rFonts w:ascii="Times New Roman" w:hAnsi="Times New Roman"/>
          <w:color w:val="0000FF"/>
          <w:szCs w:val="24"/>
          <w:u w:val="single"/>
        </w:rPr>
        <w:fldChar w:fldCharType="end"/>
      </w:r>
    </w:p>
    <w:p w14:paraId="3D95A414">
      <w:pPr>
        <w:tabs>
          <w:tab w:val="right" w:leader="dot" w:pos="8869"/>
        </w:tabs>
        <w:rPr>
          <w:szCs w:val="24"/>
        </w:rPr>
      </w:pPr>
      <w:r>
        <w:rPr>
          <w:rFonts w:ascii="Times New Roman" w:hAnsi="Times New Roman"/>
          <w:color w:val="0000FF"/>
          <w:szCs w:val="24"/>
          <w:u w:val="single"/>
        </w:rPr>
        <w:fldChar w:fldCharType="begin"/>
      </w:r>
      <w:r>
        <w:rPr>
          <w:rFonts w:ascii="Times New Roman" w:hAnsi="Times New Roman"/>
          <w:color w:val="0000FF"/>
          <w:szCs w:val="24"/>
          <w:u w:val="single"/>
        </w:rPr>
        <w:instrText xml:space="preserve">HYPERLINK </w:instrText>
      </w:r>
      <w:r>
        <w:rPr>
          <w:rFonts w:hint="eastAsia" w:ascii="Times New Roman" w:hAnsi="Times New Roman"/>
          <w:color w:val="0000FF"/>
          <w:szCs w:val="24"/>
          <w:u w:val="single"/>
        </w:rPr>
        <w:instrText xml:space="preserve">"../AppData/Local/Temp/AppData/Local/Temp/AppData/Local/Temp/AppData/Local/Temp/DJWebOffice/南宁市第三职业技术学校无人机虚拟仿真实训室、智能硬件编程实训室采购谈判文件.doc"</w:instrText>
      </w:r>
      <w:r>
        <w:rPr>
          <w:rFonts w:ascii="Times New Roman" w:hAnsi="Times New Roman"/>
          <w:color w:val="0000FF"/>
          <w:szCs w:val="24"/>
          <w:u w:val="single"/>
        </w:rPr>
        <w:instrText xml:space="preserve"> \l "_Toc179528713"</w:instrText>
      </w:r>
      <w:r>
        <w:rPr>
          <w:rFonts w:ascii="Times New Roman" w:hAnsi="Times New Roman"/>
          <w:color w:val="0000FF"/>
          <w:szCs w:val="24"/>
          <w:u w:val="single"/>
        </w:rPr>
        <w:fldChar w:fldCharType="separate"/>
      </w:r>
      <w:r>
        <w:rPr>
          <w:rFonts w:hint="eastAsia"/>
          <w:b/>
          <w:bCs/>
          <w:color w:val="0000FF"/>
          <w:szCs w:val="24"/>
          <w:u w:val="single"/>
        </w:rPr>
        <w:t>第四章</w:t>
      </w:r>
      <w:r>
        <w:rPr>
          <w:b/>
          <w:bCs/>
          <w:color w:val="0000FF"/>
          <w:szCs w:val="24"/>
          <w:u w:val="single"/>
        </w:rPr>
        <w:t xml:space="preserve">  </w:t>
      </w:r>
      <w:r>
        <w:rPr>
          <w:rFonts w:hint="eastAsia"/>
          <w:b/>
          <w:bCs/>
          <w:color w:val="0000FF"/>
          <w:szCs w:val="24"/>
          <w:u w:val="single"/>
        </w:rPr>
        <w:t>评审程序、评审方法和成交标准</w:t>
      </w:r>
      <w:r>
        <w:rPr>
          <w:rFonts w:ascii="Times New Roman" w:hAnsi="Times New Roman"/>
          <w:color w:val="0000FF"/>
          <w:szCs w:val="24"/>
          <w:u w:val="single"/>
        </w:rPr>
        <w:tab/>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 PAGEREF _Toc179528713 \h </w:instrText>
      </w:r>
      <w:r>
        <w:rPr>
          <w:rFonts w:ascii="Times New Roman" w:hAnsi="Times New Roman"/>
          <w:color w:val="0000FF"/>
          <w:szCs w:val="24"/>
          <w:u w:val="single"/>
        </w:rPr>
        <w:fldChar w:fldCharType="separate"/>
      </w:r>
      <w:r>
        <w:rPr>
          <w:rFonts w:ascii="Times New Roman" w:hAnsi="Times New Roman"/>
          <w:color w:val="0000FF"/>
          <w:szCs w:val="24"/>
          <w:u w:val="single"/>
        </w:rPr>
        <w:t>177</w:t>
      </w:r>
      <w:r>
        <w:rPr>
          <w:rFonts w:ascii="Times New Roman" w:hAnsi="Times New Roman"/>
          <w:color w:val="0000FF"/>
          <w:szCs w:val="24"/>
          <w:u w:val="single"/>
        </w:rPr>
        <w:fldChar w:fldCharType="end"/>
      </w:r>
      <w:r>
        <w:rPr>
          <w:rFonts w:ascii="Times New Roman" w:hAnsi="Times New Roman"/>
          <w:color w:val="0000FF"/>
          <w:szCs w:val="24"/>
          <w:u w:val="single"/>
        </w:rPr>
        <w:fldChar w:fldCharType="end"/>
      </w:r>
    </w:p>
    <w:p w14:paraId="2963176D">
      <w:pPr>
        <w:tabs>
          <w:tab w:val="right" w:leader="dot" w:pos="8296"/>
        </w:tabs>
        <w:ind w:left="420" w:leftChars="200"/>
        <w:rPr>
          <w:szCs w:val="24"/>
        </w:rPr>
      </w:pPr>
      <w:r>
        <w:rPr>
          <w:rFonts w:ascii="Times New Roman" w:hAnsi="Times New Roman"/>
          <w:color w:val="0000FF"/>
          <w:szCs w:val="24"/>
          <w:u w:val="single"/>
        </w:rPr>
        <w:fldChar w:fldCharType="begin"/>
      </w:r>
      <w:r>
        <w:rPr>
          <w:rFonts w:ascii="Times New Roman" w:hAnsi="Times New Roman"/>
          <w:color w:val="0000FF"/>
          <w:szCs w:val="24"/>
          <w:u w:val="single"/>
        </w:rPr>
        <w:instrText xml:space="preserve">HYPERLINK </w:instrText>
      </w:r>
      <w:r>
        <w:rPr>
          <w:rFonts w:hint="eastAsia" w:ascii="Times New Roman" w:hAnsi="Times New Roman"/>
          <w:color w:val="0000FF"/>
          <w:szCs w:val="24"/>
          <w:u w:val="single"/>
        </w:rPr>
        <w:instrText xml:space="preserve">"../AppData/Local/Temp/AppData/Local/Temp/AppData/Local/Temp/AppData/Local/Temp/DJWebOffice/南宁市第三职业技术学校无人机虚拟仿真实训室、智能硬件编程实训室采购谈判文件.doc"</w:instrText>
      </w:r>
      <w:r>
        <w:rPr>
          <w:rFonts w:ascii="Times New Roman" w:hAnsi="Times New Roman"/>
          <w:color w:val="0000FF"/>
          <w:szCs w:val="24"/>
          <w:u w:val="single"/>
        </w:rPr>
        <w:instrText xml:space="preserve"> \l "_Toc179528714"</w:instrText>
      </w:r>
      <w:r>
        <w:rPr>
          <w:rFonts w:ascii="Times New Roman" w:hAnsi="Times New Roman"/>
          <w:color w:val="0000FF"/>
          <w:szCs w:val="24"/>
          <w:u w:val="single"/>
        </w:rPr>
        <w:fldChar w:fldCharType="separate"/>
      </w:r>
      <w:r>
        <w:rPr>
          <w:rFonts w:hint="eastAsia" w:ascii="宋体" w:hAnsi="宋体"/>
          <w:bCs/>
          <w:color w:val="0000FF"/>
          <w:szCs w:val="24"/>
          <w:u w:val="single"/>
        </w:rPr>
        <w:t>第一节 评审程序和评审方法</w:t>
      </w:r>
      <w:r>
        <w:rPr>
          <w:rFonts w:ascii="Times New Roman" w:hAnsi="Times New Roman"/>
          <w:color w:val="0000FF"/>
          <w:szCs w:val="24"/>
          <w:u w:val="single"/>
        </w:rPr>
        <w:tab/>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 PAGEREF _Toc179528714 \h </w:instrText>
      </w:r>
      <w:r>
        <w:rPr>
          <w:rFonts w:ascii="Times New Roman" w:hAnsi="Times New Roman"/>
          <w:color w:val="0000FF"/>
          <w:szCs w:val="24"/>
          <w:u w:val="single"/>
        </w:rPr>
        <w:fldChar w:fldCharType="separate"/>
      </w:r>
      <w:r>
        <w:rPr>
          <w:rFonts w:ascii="Times New Roman" w:hAnsi="Times New Roman"/>
          <w:color w:val="0000FF"/>
          <w:szCs w:val="24"/>
          <w:u w:val="single"/>
        </w:rPr>
        <w:t>177</w:t>
      </w:r>
      <w:r>
        <w:rPr>
          <w:rFonts w:ascii="Times New Roman" w:hAnsi="Times New Roman"/>
          <w:color w:val="0000FF"/>
          <w:szCs w:val="24"/>
          <w:u w:val="single"/>
        </w:rPr>
        <w:fldChar w:fldCharType="end"/>
      </w:r>
      <w:r>
        <w:rPr>
          <w:rFonts w:ascii="Times New Roman" w:hAnsi="Times New Roman"/>
          <w:color w:val="0000FF"/>
          <w:szCs w:val="24"/>
          <w:u w:val="single"/>
        </w:rPr>
        <w:fldChar w:fldCharType="end"/>
      </w:r>
    </w:p>
    <w:p w14:paraId="1C4A28B5">
      <w:pPr>
        <w:tabs>
          <w:tab w:val="right" w:leader="dot" w:pos="8296"/>
        </w:tabs>
        <w:ind w:left="420" w:leftChars="200"/>
        <w:rPr>
          <w:szCs w:val="24"/>
        </w:rPr>
      </w:pPr>
      <w:r>
        <w:rPr>
          <w:rFonts w:ascii="Times New Roman" w:hAnsi="Times New Roman"/>
          <w:color w:val="0000FF"/>
          <w:szCs w:val="24"/>
          <w:u w:val="single"/>
        </w:rPr>
        <w:fldChar w:fldCharType="begin"/>
      </w:r>
      <w:r>
        <w:rPr>
          <w:rFonts w:ascii="Times New Roman" w:hAnsi="Times New Roman"/>
          <w:color w:val="0000FF"/>
          <w:szCs w:val="24"/>
          <w:u w:val="single"/>
        </w:rPr>
        <w:instrText xml:space="preserve">HYPERLINK </w:instrText>
      </w:r>
      <w:r>
        <w:rPr>
          <w:rFonts w:hint="eastAsia" w:ascii="Times New Roman" w:hAnsi="Times New Roman"/>
          <w:color w:val="0000FF"/>
          <w:szCs w:val="24"/>
          <w:u w:val="single"/>
        </w:rPr>
        <w:instrText xml:space="preserve">"../AppData/Local/Temp/AppData/Local/Temp/AppData/Local/Temp/AppData/Local/Temp/DJWebOffice/南宁市第三职业技术学校无人机虚拟仿真实训室、智能硬件编程实训室采购谈判文件.doc"</w:instrText>
      </w:r>
      <w:r>
        <w:rPr>
          <w:rFonts w:ascii="Times New Roman" w:hAnsi="Times New Roman"/>
          <w:color w:val="0000FF"/>
          <w:szCs w:val="24"/>
          <w:u w:val="single"/>
        </w:rPr>
        <w:instrText xml:space="preserve"> \l "_Toc179528715"</w:instrText>
      </w:r>
      <w:r>
        <w:rPr>
          <w:rFonts w:ascii="Times New Roman" w:hAnsi="Times New Roman"/>
          <w:color w:val="0000FF"/>
          <w:szCs w:val="24"/>
          <w:u w:val="single"/>
        </w:rPr>
        <w:fldChar w:fldCharType="separate"/>
      </w:r>
      <w:r>
        <w:rPr>
          <w:rFonts w:hint="eastAsia" w:ascii="宋体" w:hAnsi="宋体"/>
          <w:bCs/>
          <w:color w:val="0000FF"/>
          <w:szCs w:val="24"/>
          <w:u w:val="single"/>
        </w:rPr>
        <w:t>第二节 评审原则</w:t>
      </w:r>
      <w:r>
        <w:rPr>
          <w:rFonts w:ascii="Times New Roman" w:hAnsi="Times New Roman"/>
          <w:color w:val="0000FF"/>
          <w:szCs w:val="24"/>
          <w:u w:val="single"/>
        </w:rPr>
        <w:tab/>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 PAGEREF _Toc179528715 \h </w:instrText>
      </w:r>
      <w:r>
        <w:rPr>
          <w:rFonts w:ascii="Times New Roman" w:hAnsi="Times New Roman"/>
          <w:color w:val="0000FF"/>
          <w:szCs w:val="24"/>
          <w:u w:val="single"/>
        </w:rPr>
        <w:fldChar w:fldCharType="separate"/>
      </w:r>
      <w:r>
        <w:rPr>
          <w:rFonts w:ascii="Times New Roman" w:hAnsi="Times New Roman"/>
          <w:color w:val="0000FF"/>
          <w:szCs w:val="24"/>
          <w:u w:val="single"/>
        </w:rPr>
        <w:t>182</w:t>
      </w:r>
      <w:r>
        <w:rPr>
          <w:rFonts w:ascii="Times New Roman" w:hAnsi="Times New Roman"/>
          <w:color w:val="0000FF"/>
          <w:szCs w:val="24"/>
          <w:u w:val="single"/>
        </w:rPr>
        <w:fldChar w:fldCharType="end"/>
      </w:r>
      <w:r>
        <w:rPr>
          <w:rFonts w:ascii="Times New Roman" w:hAnsi="Times New Roman"/>
          <w:color w:val="0000FF"/>
          <w:szCs w:val="24"/>
          <w:u w:val="single"/>
        </w:rPr>
        <w:fldChar w:fldCharType="end"/>
      </w:r>
    </w:p>
    <w:p w14:paraId="0E64C934">
      <w:pPr>
        <w:tabs>
          <w:tab w:val="right" w:leader="dot" w:pos="8296"/>
        </w:tabs>
        <w:ind w:left="420" w:leftChars="200"/>
        <w:rPr>
          <w:szCs w:val="24"/>
        </w:rPr>
      </w:pPr>
      <w:r>
        <w:rPr>
          <w:rFonts w:ascii="Times New Roman" w:hAnsi="Times New Roman"/>
          <w:color w:val="0000FF"/>
          <w:szCs w:val="24"/>
          <w:u w:val="single"/>
        </w:rPr>
        <w:fldChar w:fldCharType="begin"/>
      </w:r>
      <w:r>
        <w:rPr>
          <w:rFonts w:ascii="Times New Roman" w:hAnsi="Times New Roman"/>
          <w:color w:val="0000FF"/>
          <w:szCs w:val="24"/>
          <w:u w:val="single"/>
        </w:rPr>
        <w:instrText xml:space="preserve">HYPERLINK </w:instrText>
      </w:r>
      <w:r>
        <w:rPr>
          <w:rFonts w:hint="eastAsia" w:ascii="Times New Roman" w:hAnsi="Times New Roman"/>
          <w:color w:val="0000FF"/>
          <w:szCs w:val="24"/>
          <w:u w:val="single"/>
        </w:rPr>
        <w:instrText xml:space="preserve">"../AppData/Local/Temp/AppData/Local/Temp/AppData/Local/Temp/AppData/Local/Temp/DJWebOffice/南宁市第三职业技术学校无人机虚拟仿真实训室、智能硬件编程实训室采购谈判文件.doc"</w:instrText>
      </w:r>
      <w:r>
        <w:rPr>
          <w:rFonts w:ascii="Times New Roman" w:hAnsi="Times New Roman"/>
          <w:color w:val="0000FF"/>
          <w:szCs w:val="24"/>
          <w:u w:val="single"/>
        </w:rPr>
        <w:instrText xml:space="preserve"> \l "_Toc179528716"</w:instrText>
      </w:r>
      <w:r>
        <w:rPr>
          <w:rFonts w:ascii="Times New Roman" w:hAnsi="Times New Roman"/>
          <w:color w:val="0000FF"/>
          <w:szCs w:val="24"/>
          <w:u w:val="single"/>
        </w:rPr>
        <w:fldChar w:fldCharType="separate"/>
      </w:r>
      <w:r>
        <w:rPr>
          <w:rFonts w:hint="eastAsia" w:ascii="宋体" w:hAnsi="宋体"/>
          <w:bCs/>
          <w:color w:val="0000FF"/>
          <w:szCs w:val="24"/>
          <w:u w:val="single"/>
        </w:rPr>
        <w:t xml:space="preserve">第三节 </w:t>
      </w:r>
      <w:r>
        <w:rPr>
          <w:rFonts w:hint="eastAsia" w:ascii="宋体" w:hAnsi="宋体"/>
          <w:bCs/>
          <w:color w:val="0000FF"/>
          <w:szCs w:val="24"/>
          <w:u w:val="single"/>
          <w:lang w:eastAsia="zh-CN"/>
        </w:rPr>
        <w:t>评审报告</w:t>
      </w:r>
      <w:r>
        <w:rPr>
          <w:rFonts w:ascii="Times New Roman" w:hAnsi="Times New Roman"/>
          <w:color w:val="0000FF"/>
          <w:szCs w:val="24"/>
          <w:u w:val="single"/>
        </w:rPr>
        <w:tab/>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 PAGEREF _Toc179528716 \h </w:instrText>
      </w:r>
      <w:r>
        <w:rPr>
          <w:rFonts w:ascii="Times New Roman" w:hAnsi="Times New Roman"/>
          <w:color w:val="0000FF"/>
          <w:szCs w:val="24"/>
          <w:u w:val="single"/>
        </w:rPr>
        <w:fldChar w:fldCharType="separate"/>
      </w:r>
      <w:r>
        <w:rPr>
          <w:rFonts w:ascii="Times New Roman" w:hAnsi="Times New Roman"/>
          <w:color w:val="0000FF"/>
          <w:szCs w:val="24"/>
          <w:u w:val="single"/>
        </w:rPr>
        <w:t>182</w:t>
      </w:r>
      <w:r>
        <w:rPr>
          <w:rFonts w:ascii="Times New Roman" w:hAnsi="Times New Roman"/>
          <w:color w:val="0000FF"/>
          <w:szCs w:val="24"/>
          <w:u w:val="single"/>
        </w:rPr>
        <w:fldChar w:fldCharType="end"/>
      </w:r>
      <w:r>
        <w:rPr>
          <w:rFonts w:ascii="Times New Roman" w:hAnsi="Times New Roman"/>
          <w:color w:val="0000FF"/>
          <w:szCs w:val="24"/>
          <w:u w:val="single"/>
        </w:rPr>
        <w:fldChar w:fldCharType="end"/>
      </w:r>
    </w:p>
    <w:p w14:paraId="795886A9">
      <w:pPr>
        <w:tabs>
          <w:tab w:val="right" w:leader="dot" w:pos="8296"/>
        </w:tabs>
        <w:ind w:left="420" w:leftChars="200"/>
        <w:rPr>
          <w:szCs w:val="24"/>
        </w:rPr>
      </w:pPr>
      <w:r>
        <w:rPr>
          <w:rFonts w:ascii="Times New Roman" w:hAnsi="Times New Roman"/>
          <w:color w:val="0000FF"/>
          <w:szCs w:val="24"/>
          <w:u w:val="single"/>
        </w:rPr>
        <w:fldChar w:fldCharType="begin"/>
      </w:r>
      <w:r>
        <w:rPr>
          <w:rFonts w:ascii="Times New Roman" w:hAnsi="Times New Roman"/>
          <w:color w:val="0000FF"/>
          <w:szCs w:val="24"/>
          <w:u w:val="single"/>
        </w:rPr>
        <w:instrText xml:space="preserve">HYPERLINK </w:instrText>
      </w:r>
      <w:r>
        <w:rPr>
          <w:rFonts w:hint="eastAsia" w:ascii="Times New Roman" w:hAnsi="Times New Roman"/>
          <w:color w:val="0000FF"/>
          <w:szCs w:val="24"/>
          <w:u w:val="single"/>
        </w:rPr>
        <w:instrText xml:space="preserve">"../AppData/Local/Temp/AppData/Local/Temp/AppData/Local/Temp/AppData/Local/Temp/DJWebOffice/南宁市第三职业技术学校无人机虚拟仿真实训室、智能硬件编程实训室采购谈判文件.doc"</w:instrText>
      </w:r>
      <w:r>
        <w:rPr>
          <w:rFonts w:ascii="Times New Roman" w:hAnsi="Times New Roman"/>
          <w:color w:val="0000FF"/>
          <w:szCs w:val="24"/>
          <w:u w:val="single"/>
        </w:rPr>
        <w:instrText xml:space="preserve"> \l "_Toc179528717"</w:instrText>
      </w:r>
      <w:r>
        <w:rPr>
          <w:rFonts w:ascii="Times New Roman" w:hAnsi="Times New Roman"/>
          <w:color w:val="0000FF"/>
          <w:szCs w:val="24"/>
          <w:u w:val="single"/>
        </w:rPr>
        <w:fldChar w:fldCharType="separate"/>
      </w:r>
      <w:r>
        <w:rPr>
          <w:rFonts w:hint="eastAsia" w:ascii="宋体" w:hAnsi="宋体"/>
          <w:bCs/>
          <w:color w:val="0000FF"/>
          <w:szCs w:val="24"/>
          <w:u w:val="single"/>
        </w:rPr>
        <w:t>第四节 评审过程的保密与录像</w:t>
      </w:r>
      <w:r>
        <w:rPr>
          <w:rFonts w:ascii="Times New Roman" w:hAnsi="Times New Roman"/>
          <w:color w:val="0000FF"/>
          <w:szCs w:val="24"/>
          <w:u w:val="single"/>
        </w:rPr>
        <w:tab/>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 PAGEREF _Toc179528717 \h </w:instrText>
      </w:r>
      <w:r>
        <w:rPr>
          <w:rFonts w:ascii="Times New Roman" w:hAnsi="Times New Roman"/>
          <w:color w:val="0000FF"/>
          <w:szCs w:val="24"/>
          <w:u w:val="single"/>
        </w:rPr>
        <w:fldChar w:fldCharType="separate"/>
      </w:r>
      <w:r>
        <w:rPr>
          <w:rFonts w:ascii="Times New Roman" w:hAnsi="Times New Roman"/>
          <w:color w:val="0000FF"/>
          <w:szCs w:val="24"/>
          <w:u w:val="single"/>
        </w:rPr>
        <w:t>183</w:t>
      </w:r>
      <w:r>
        <w:rPr>
          <w:rFonts w:ascii="Times New Roman" w:hAnsi="Times New Roman"/>
          <w:color w:val="0000FF"/>
          <w:szCs w:val="24"/>
          <w:u w:val="single"/>
        </w:rPr>
        <w:fldChar w:fldCharType="end"/>
      </w:r>
      <w:r>
        <w:rPr>
          <w:rFonts w:ascii="Times New Roman" w:hAnsi="Times New Roman"/>
          <w:color w:val="0000FF"/>
          <w:szCs w:val="24"/>
          <w:u w:val="single"/>
        </w:rPr>
        <w:fldChar w:fldCharType="end"/>
      </w:r>
    </w:p>
    <w:p w14:paraId="7817CFD9">
      <w:pPr>
        <w:tabs>
          <w:tab w:val="right" w:leader="dot" w:pos="8869"/>
        </w:tabs>
        <w:rPr>
          <w:szCs w:val="24"/>
        </w:rPr>
      </w:pPr>
      <w:r>
        <w:rPr>
          <w:rFonts w:ascii="Times New Roman" w:hAnsi="Times New Roman"/>
          <w:color w:val="0000FF"/>
          <w:szCs w:val="24"/>
          <w:u w:val="single"/>
        </w:rPr>
        <w:fldChar w:fldCharType="begin"/>
      </w:r>
      <w:r>
        <w:rPr>
          <w:rFonts w:ascii="Times New Roman" w:hAnsi="Times New Roman"/>
          <w:color w:val="0000FF"/>
          <w:szCs w:val="24"/>
          <w:u w:val="single"/>
        </w:rPr>
        <w:instrText xml:space="preserve">HYPERLINK </w:instrText>
      </w:r>
      <w:r>
        <w:rPr>
          <w:rFonts w:hint="eastAsia" w:ascii="Times New Roman" w:hAnsi="Times New Roman"/>
          <w:color w:val="0000FF"/>
          <w:szCs w:val="24"/>
          <w:u w:val="single"/>
        </w:rPr>
        <w:instrText xml:space="preserve">"../AppData/Local/Temp/AppData/Local/Temp/AppData/Local/Temp/AppData/Local/Temp/DJWebOffice/南宁市第三职业技术学校无人机虚拟仿真实训室、智能硬件编程实训室采购谈判文件.doc"</w:instrText>
      </w:r>
      <w:r>
        <w:rPr>
          <w:rFonts w:ascii="Times New Roman" w:hAnsi="Times New Roman"/>
          <w:color w:val="0000FF"/>
          <w:szCs w:val="24"/>
          <w:u w:val="single"/>
        </w:rPr>
        <w:instrText xml:space="preserve"> \l "_Toc179528718"</w:instrText>
      </w:r>
      <w:r>
        <w:rPr>
          <w:rFonts w:ascii="Times New Roman" w:hAnsi="Times New Roman"/>
          <w:color w:val="0000FF"/>
          <w:szCs w:val="24"/>
          <w:u w:val="single"/>
        </w:rPr>
        <w:fldChar w:fldCharType="separate"/>
      </w:r>
      <w:r>
        <w:rPr>
          <w:rFonts w:hint="eastAsia"/>
          <w:b/>
          <w:bCs/>
          <w:color w:val="0000FF"/>
          <w:szCs w:val="24"/>
          <w:u w:val="single"/>
        </w:rPr>
        <w:t>第五章</w:t>
      </w:r>
      <w:r>
        <w:rPr>
          <w:b/>
          <w:bCs/>
          <w:color w:val="0000FF"/>
          <w:szCs w:val="24"/>
          <w:u w:val="single"/>
        </w:rPr>
        <w:t xml:space="preserve"> </w:t>
      </w:r>
      <w:r>
        <w:rPr>
          <w:rFonts w:hint="eastAsia"/>
          <w:b/>
          <w:bCs/>
          <w:color w:val="0000FF"/>
          <w:szCs w:val="24"/>
          <w:u w:val="single"/>
        </w:rPr>
        <w:t>响应文件格式</w:t>
      </w:r>
      <w:r>
        <w:rPr>
          <w:rFonts w:ascii="Times New Roman" w:hAnsi="Times New Roman"/>
          <w:color w:val="0000FF"/>
          <w:szCs w:val="24"/>
          <w:u w:val="single"/>
        </w:rPr>
        <w:tab/>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 PAGEREF _Toc179528718 \h </w:instrText>
      </w:r>
      <w:r>
        <w:rPr>
          <w:rFonts w:ascii="Times New Roman" w:hAnsi="Times New Roman"/>
          <w:color w:val="0000FF"/>
          <w:szCs w:val="24"/>
          <w:u w:val="single"/>
        </w:rPr>
        <w:fldChar w:fldCharType="separate"/>
      </w:r>
      <w:r>
        <w:rPr>
          <w:rFonts w:ascii="Times New Roman" w:hAnsi="Times New Roman"/>
          <w:color w:val="0000FF"/>
          <w:szCs w:val="24"/>
          <w:u w:val="single"/>
        </w:rPr>
        <w:t>184</w:t>
      </w:r>
      <w:r>
        <w:rPr>
          <w:rFonts w:ascii="Times New Roman" w:hAnsi="Times New Roman"/>
          <w:color w:val="0000FF"/>
          <w:szCs w:val="24"/>
          <w:u w:val="single"/>
        </w:rPr>
        <w:fldChar w:fldCharType="end"/>
      </w:r>
      <w:r>
        <w:rPr>
          <w:rFonts w:ascii="Times New Roman" w:hAnsi="Times New Roman"/>
          <w:color w:val="0000FF"/>
          <w:szCs w:val="24"/>
          <w:u w:val="single"/>
        </w:rPr>
        <w:fldChar w:fldCharType="end"/>
      </w:r>
    </w:p>
    <w:p w14:paraId="7EC96264">
      <w:pPr>
        <w:tabs>
          <w:tab w:val="right" w:leader="dot" w:pos="8296"/>
        </w:tabs>
        <w:ind w:left="420" w:leftChars="200"/>
        <w:rPr>
          <w:szCs w:val="24"/>
        </w:rPr>
      </w:pPr>
      <w:r>
        <w:rPr>
          <w:rFonts w:ascii="Times New Roman" w:hAnsi="Times New Roman"/>
          <w:color w:val="0000FF"/>
          <w:szCs w:val="24"/>
          <w:u w:val="single"/>
        </w:rPr>
        <w:fldChar w:fldCharType="begin"/>
      </w:r>
      <w:r>
        <w:rPr>
          <w:rFonts w:ascii="Times New Roman" w:hAnsi="Times New Roman"/>
          <w:color w:val="0000FF"/>
          <w:szCs w:val="24"/>
          <w:u w:val="single"/>
        </w:rPr>
        <w:instrText xml:space="preserve">HYPERLINK </w:instrText>
      </w:r>
      <w:r>
        <w:rPr>
          <w:rFonts w:hint="eastAsia" w:ascii="Times New Roman" w:hAnsi="Times New Roman"/>
          <w:color w:val="0000FF"/>
          <w:szCs w:val="24"/>
          <w:u w:val="single"/>
        </w:rPr>
        <w:instrText xml:space="preserve">"../AppData/Local/Temp/AppData/Local/Temp/AppData/Local/Temp/AppData/Local/Temp/DJWebOffice/南宁市第三职业技术学校无人机虚拟仿真实训室、智能硬件编程实训室采购谈判文件.doc"</w:instrText>
      </w:r>
      <w:r>
        <w:rPr>
          <w:rFonts w:ascii="Times New Roman" w:hAnsi="Times New Roman"/>
          <w:color w:val="0000FF"/>
          <w:szCs w:val="24"/>
          <w:u w:val="single"/>
        </w:rPr>
        <w:instrText xml:space="preserve"> \l "_Toc179528719"</w:instrText>
      </w:r>
      <w:r>
        <w:rPr>
          <w:rFonts w:ascii="Times New Roman" w:hAnsi="Times New Roman"/>
          <w:color w:val="0000FF"/>
          <w:szCs w:val="24"/>
          <w:u w:val="single"/>
        </w:rPr>
        <w:fldChar w:fldCharType="separate"/>
      </w:r>
      <w:r>
        <w:rPr>
          <w:rFonts w:hint="eastAsia" w:ascii="宋体" w:hAnsi="宋体"/>
          <w:bCs/>
          <w:color w:val="0000FF"/>
          <w:szCs w:val="24"/>
          <w:u w:val="single"/>
        </w:rPr>
        <w:t>第一节 封面格式</w:t>
      </w:r>
      <w:r>
        <w:rPr>
          <w:rFonts w:ascii="Times New Roman" w:hAnsi="Times New Roman"/>
          <w:color w:val="0000FF"/>
          <w:szCs w:val="24"/>
          <w:u w:val="single"/>
        </w:rPr>
        <w:tab/>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 PAGEREF _Toc179528719 \h </w:instrText>
      </w:r>
      <w:r>
        <w:rPr>
          <w:rFonts w:ascii="Times New Roman" w:hAnsi="Times New Roman"/>
          <w:color w:val="0000FF"/>
          <w:szCs w:val="24"/>
          <w:u w:val="single"/>
        </w:rPr>
        <w:fldChar w:fldCharType="separate"/>
      </w:r>
      <w:r>
        <w:rPr>
          <w:rFonts w:ascii="Times New Roman" w:hAnsi="Times New Roman"/>
          <w:color w:val="0000FF"/>
          <w:szCs w:val="24"/>
          <w:u w:val="single"/>
        </w:rPr>
        <w:t>185</w:t>
      </w:r>
      <w:r>
        <w:rPr>
          <w:rFonts w:ascii="Times New Roman" w:hAnsi="Times New Roman"/>
          <w:color w:val="0000FF"/>
          <w:szCs w:val="24"/>
          <w:u w:val="single"/>
        </w:rPr>
        <w:fldChar w:fldCharType="end"/>
      </w:r>
      <w:r>
        <w:rPr>
          <w:rFonts w:ascii="Times New Roman" w:hAnsi="Times New Roman"/>
          <w:color w:val="0000FF"/>
          <w:szCs w:val="24"/>
          <w:u w:val="single"/>
        </w:rPr>
        <w:fldChar w:fldCharType="end"/>
      </w:r>
    </w:p>
    <w:p w14:paraId="2E705BEA">
      <w:pPr>
        <w:tabs>
          <w:tab w:val="right" w:leader="dot" w:pos="8296"/>
        </w:tabs>
        <w:ind w:left="420" w:leftChars="200"/>
        <w:rPr>
          <w:szCs w:val="24"/>
        </w:rPr>
      </w:pPr>
      <w:r>
        <w:rPr>
          <w:rFonts w:ascii="Times New Roman" w:hAnsi="Times New Roman"/>
          <w:color w:val="0000FF"/>
          <w:szCs w:val="24"/>
          <w:u w:val="single"/>
        </w:rPr>
        <w:fldChar w:fldCharType="begin"/>
      </w:r>
      <w:r>
        <w:rPr>
          <w:rFonts w:ascii="Times New Roman" w:hAnsi="Times New Roman"/>
          <w:color w:val="0000FF"/>
          <w:szCs w:val="24"/>
          <w:u w:val="single"/>
        </w:rPr>
        <w:instrText xml:space="preserve">HYPERLINK </w:instrText>
      </w:r>
      <w:r>
        <w:rPr>
          <w:rFonts w:hint="eastAsia" w:ascii="Times New Roman" w:hAnsi="Times New Roman"/>
          <w:color w:val="0000FF"/>
          <w:szCs w:val="24"/>
          <w:u w:val="single"/>
        </w:rPr>
        <w:instrText xml:space="preserve">"../AppData/Local/Temp/AppData/Local/Temp/AppData/Local/Temp/AppData/Local/Temp/DJWebOffice/南宁市第三职业技术学校无人机虚拟仿真实训室、智能硬件编程实训室采购谈判文件.doc"</w:instrText>
      </w:r>
      <w:r>
        <w:rPr>
          <w:rFonts w:ascii="Times New Roman" w:hAnsi="Times New Roman"/>
          <w:color w:val="0000FF"/>
          <w:szCs w:val="24"/>
          <w:u w:val="single"/>
        </w:rPr>
        <w:instrText xml:space="preserve"> \l "_Toc179528720"</w:instrText>
      </w:r>
      <w:r>
        <w:rPr>
          <w:rFonts w:ascii="Times New Roman" w:hAnsi="Times New Roman"/>
          <w:color w:val="0000FF"/>
          <w:szCs w:val="24"/>
          <w:u w:val="single"/>
        </w:rPr>
        <w:fldChar w:fldCharType="separate"/>
      </w:r>
      <w:r>
        <w:rPr>
          <w:rFonts w:hint="eastAsia" w:ascii="宋体" w:hAnsi="宋体"/>
          <w:bCs/>
          <w:color w:val="0000FF"/>
          <w:szCs w:val="24"/>
          <w:u w:val="single"/>
        </w:rPr>
        <w:t>第二节 资格证明文件格式</w:t>
      </w:r>
      <w:r>
        <w:rPr>
          <w:rFonts w:ascii="Times New Roman" w:hAnsi="Times New Roman"/>
          <w:color w:val="0000FF"/>
          <w:szCs w:val="24"/>
          <w:u w:val="single"/>
        </w:rPr>
        <w:tab/>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 PAGEREF _Toc179528720 \h </w:instrText>
      </w:r>
      <w:r>
        <w:rPr>
          <w:rFonts w:ascii="Times New Roman" w:hAnsi="Times New Roman"/>
          <w:color w:val="0000FF"/>
          <w:szCs w:val="24"/>
          <w:u w:val="single"/>
        </w:rPr>
        <w:fldChar w:fldCharType="separate"/>
      </w:r>
      <w:r>
        <w:rPr>
          <w:rFonts w:ascii="Times New Roman" w:hAnsi="Times New Roman"/>
          <w:color w:val="0000FF"/>
          <w:szCs w:val="24"/>
          <w:u w:val="single"/>
        </w:rPr>
        <w:t>186</w:t>
      </w:r>
      <w:r>
        <w:rPr>
          <w:rFonts w:ascii="Times New Roman" w:hAnsi="Times New Roman"/>
          <w:color w:val="0000FF"/>
          <w:szCs w:val="24"/>
          <w:u w:val="single"/>
        </w:rPr>
        <w:fldChar w:fldCharType="end"/>
      </w:r>
      <w:r>
        <w:rPr>
          <w:rFonts w:ascii="Times New Roman" w:hAnsi="Times New Roman"/>
          <w:color w:val="0000FF"/>
          <w:szCs w:val="24"/>
          <w:u w:val="single"/>
        </w:rPr>
        <w:fldChar w:fldCharType="end"/>
      </w:r>
    </w:p>
    <w:p w14:paraId="55068675">
      <w:pPr>
        <w:tabs>
          <w:tab w:val="right" w:leader="dot" w:pos="8296"/>
        </w:tabs>
        <w:ind w:left="420" w:leftChars="200"/>
        <w:rPr>
          <w:szCs w:val="24"/>
        </w:rPr>
      </w:pPr>
      <w:r>
        <w:rPr>
          <w:rFonts w:ascii="Times New Roman" w:hAnsi="Times New Roman"/>
          <w:color w:val="0000FF"/>
          <w:szCs w:val="24"/>
          <w:u w:val="single"/>
        </w:rPr>
        <w:fldChar w:fldCharType="begin"/>
      </w:r>
      <w:r>
        <w:rPr>
          <w:rFonts w:ascii="Times New Roman" w:hAnsi="Times New Roman"/>
          <w:color w:val="0000FF"/>
          <w:szCs w:val="24"/>
          <w:u w:val="single"/>
        </w:rPr>
        <w:instrText xml:space="preserve">HYPERLINK </w:instrText>
      </w:r>
      <w:r>
        <w:rPr>
          <w:rFonts w:hint="eastAsia" w:ascii="Times New Roman" w:hAnsi="Times New Roman"/>
          <w:color w:val="0000FF"/>
          <w:szCs w:val="24"/>
          <w:u w:val="single"/>
        </w:rPr>
        <w:instrText xml:space="preserve">"../AppData/Local/Temp/AppData/Local/Temp/AppData/Local/Temp/AppData/Local/Temp/DJWebOffice/南宁市第三职业技术学校无人机虚拟仿真实训室、智能硬件编程实训室采购谈判文件.doc"</w:instrText>
      </w:r>
      <w:r>
        <w:rPr>
          <w:rFonts w:ascii="Times New Roman" w:hAnsi="Times New Roman"/>
          <w:color w:val="0000FF"/>
          <w:szCs w:val="24"/>
          <w:u w:val="single"/>
        </w:rPr>
        <w:instrText xml:space="preserve"> \l "_Toc179528721"</w:instrText>
      </w:r>
      <w:r>
        <w:rPr>
          <w:rFonts w:ascii="Times New Roman" w:hAnsi="Times New Roman"/>
          <w:color w:val="0000FF"/>
          <w:szCs w:val="24"/>
          <w:u w:val="single"/>
        </w:rPr>
        <w:fldChar w:fldCharType="separate"/>
      </w:r>
      <w:r>
        <w:rPr>
          <w:rFonts w:hint="eastAsia" w:ascii="宋体" w:hAnsi="宋体"/>
          <w:color w:val="0000FF"/>
          <w:szCs w:val="24"/>
          <w:u w:val="single"/>
        </w:rPr>
        <w:t xml:space="preserve">第三节 </w:t>
      </w:r>
      <w:r>
        <w:rPr>
          <w:rFonts w:hint="eastAsia" w:ascii="宋体" w:hAnsi="宋体"/>
          <w:bCs/>
          <w:color w:val="0000FF"/>
          <w:szCs w:val="24"/>
          <w:u w:val="single"/>
        </w:rPr>
        <w:t>商务技术文件格式</w:t>
      </w:r>
      <w:r>
        <w:rPr>
          <w:rFonts w:ascii="Times New Roman" w:hAnsi="Times New Roman"/>
          <w:color w:val="0000FF"/>
          <w:szCs w:val="24"/>
          <w:u w:val="single"/>
        </w:rPr>
        <w:tab/>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 PAGEREF _Toc179528721 \h </w:instrText>
      </w:r>
      <w:r>
        <w:rPr>
          <w:rFonts w:ascii="Times New Roman" w:hAnsi="Times New Roman"/>
          <w:color w:val="0000FF"/>
          <w:szCs w:val="24"/>
          <w:u w:val="single"/>
        </w:rPr>
        <w:fldChar w:fldCharType="separate"/>
      </w:r>
      <w:r>
        <w:rPr>
          <w:rFonts w:ascii="Times New Roman" w:hAnsi="Times New Roman"/>
          <w:color w:val="0000FF"/>
          <w:szCs w:val="24"/>
          <w:u w:val="single"/>
        </w:rPr>
        <w:t>201</w:t>
      </w:r>
      <w:r>
        <w:rPr>
          <w:rFonts w:ascii="Times New Roman" w:hAnsi="Times New Roman"/>
          <w:color w:val="0000FF"/>
          <w:szCs w:val="24"/>
          <w:u w:val="single"/>
        </w:rPr>
        <w:fldChar w:fldCharType="end"/>
      </w:r>
      <w:r>
        <w:rPr>
          <w:rFonts w:ascii="Times New Roman" w:hAnsi="Times New Roman"/>
          <w:color w:val="0000FF"/>
          <w:szCs w:val="24"/>
          <w:u w:val="single"/>
        </w:rPr>
        <w:fldChar w:fldCharType="end"/>
      </w:r>
    </w:p>
    <w:p w14:paraId="6F68F7EB">
      <w:pPr>
        <w:tabs>
          <w:tab w:val="right" w:leader="dot" w:pos="8296"/>
        </w:tabs>
        <w:ind w:left="420" w:leftChars="200"/>
        <w:rPr>
          <w:szCs w:val="24"/>
        </w:rPr>
      </w:pPr>
      <w:r>
        <w:rPr>
          <w:rFonts w:ascii="Times New Roman" w:hAnsi="Times New Roman"/>
          <w:color w:val="0000FF"/>
          <w:szCs w:val="24"/>
          <w:u w:val="single"/>
        </w:rPr>
        <w:fldChar w:fldCharType="begin"/>
      </w:r>
      <w:r>
        <w:rPr>
          <w:rFonts w:ascii="Times New Roman" w:hAnsi="Times New Roman"/>
          <w:color w:val="0000FF"/>
          <w:szCs w:val="24"/>
          <w:u w:val="single"/>
        </w:rPr>
        <w:instrText xml:space="preserve">HYPERLINK </w:instrText>
      </w:r>
      <w:r>
        <w:rPr>
          <w:rFonts w:hint="eastAsia" w:ascii="Times New Roman" w:hAnsi="Times New Roman"/>
          <w:color w:val="0000FF"/>
          <w:szCs w:val="24"/>
          <w:u w:val="single"/>
        </w:rPr>
        <w:instrText xml:space="preserve">"../AppData/Local/Temp/AppData/Local/Temp/AppData/Local/Temp/AppData/Local/Temp/DJWebOffice/南宁市第三职业技术学校无人机虚拟仿真实训室、智能硬件编程实训室采购谈判文件.doc"</w:instrText>
      </w:r>
      <w:r>
        <w:rPr>
          <w:rFonts w:ascii="Times New Roman" w:hAnsi="Times New Roman"/>
          <w:color w:val="0000FF"/>
          <w:szCs w:val="24"/>
          <w:u w:val="single"/>
        </w:rPr>
        <w:instrText xml:space="preserve"> \l "_Toc179528722"</w:instrText>
      </w:r>
      <w:r>
        <w:rPr>
          <w:rFonts w:ascii="Times New Roman" w:hAnsi="Times New Roman"/>
          <w:color w:val="0000FF"/>
          <w:szCs w:val="24"/>
          <w:u w:val="single"/>
        </w:rPr>
        <w:fldChar w:fldCharType="separate"/>
      </w:r>
      <w:r>
        <w:rPr>
          <w:rFonts w:hint="eastAsia" w:ascii="宋体" w:hAnsi="宋体"/>
          <w:b/>
          <w:bCs/>
          <w:color w:val="0000FF"/>
          <w:szCs w:val="24"/>
          <w:u w:val="single"/>
        </w:rPr>
        <w:t>第四节 报价文件格式</w:t>
      </w:r>
      <w:r>
        <w:rPr>
          <w:rFonts w:ascii="Times New Roman" w:hAnsi="Times New Roman"/>
          <w:color w:val="0000FF"/>
          <w:szCs w:val="24"/>
          <w:u w:val="single"/>
        </w:rPr>
        <w:tab/>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 PAGEREF _Toc179528722 \h </w:instrText>
      </w:r>
      <w:r>
        <w:rPr>
          <w:rFonts w:ascii="Times New Roman" w:hAnsi="Times New Roman"/>
          <w:color w:val="0000FF"/>
          <w:szCs w:val="24"/>
          <w:u w:val="single"/>
        </w:rPr>
        <w:fldChar w:fldCharType="separate"/>
      </w:r>
      <w:r>
        <w:rPr>
          <w:rFonts w:ascii="Times New Roman" w:hAnsi="Times New Roman"/>
          <w:color w:val="0000FF"/>
          <w:szCs w:val="24"/>
          <w:u w:val="single"/>
        </w:rPr>
        <w:t>213</w:t>
      </w:r>
      <w:r>
        <w:rPr>
          <w:rFonts w:ascii="Times New Roman" w:hAnsi="Times New Roman"/>
          <w:color w:val="0000FF"/>
          <w:szCs w:val="24"/>
          <w:u w:val="single"/>
        </w:rPr>
        <w:fldChar w:fldCharType="end"/>
      </w:r>
      <w:r>
        <w:rPr>
          <w:rFonts w:ascii="Times New Roman" w:hAnsi="Times New Roman"/>
          <w:color w:val="0000FF"/>
          <w:szCs w:val="24"/>
          <w:u w:val="single"/>
        </w:rPr>
        <w:fldChar w:fldCharType="end"/>
      </w:r>
    </w:p>
    <w:p w14:paraId="32321F86">
      <w:pPr>
        <w:tabs>
          <w:tab w:val="right" w:leader="dot" w:pos="8296"/>
        </w:tabs>
        <w:ind w:left="420" w:leftChars="200"/>
        <w:rPr>
          <w:szCs w:val="24"/>
        </w:rPr>
      </w:pPr>
      <w:r>
        <w:rPr>
          <w:rFonts w:ascii="Times New Roman" w:hAnsi="Times New Roman"/>
          <w:color w:val="0000FF"/>
          <w:szCs w:val="24"/>
          <w:u w:val="single"/>
        </w:rPr>
        <w:fldChar w:fldCharType="begin"/>
      </w:r>
      <w:r>
        <w:rPr>
          <w:rFonts w:ascii="Times New Roman" w:hAnsi="Times New Roman"/>
          <w:color w:val="0000FF"/>
          <w:szCs w:val="24"/>
          <w:u w:val="single"/>
        </w:rPr>
        <w:instrText xml:space="preserve">HYPERLINK </w:instrText>
      </w:r>
      <w:r>
        <w:rPr>
          <w:rFonts w:hint="eastAsia" w:ascii="Times New Roman" w:hAnsi="Times New Roman"/>
          <w:color w:val="0000FF"/>
          <w:szCs w:val="24"/>
          <w:u w:val="single"/>
        </w:rPr>
        <w:instrText xml:space="preserve">"../AppData/Local/Temp/AppData/Local/Temp/AppData/Local/Temp/AppData/Local/Temp/DJWebOffice/南宁市第三职业技术学校无人机虚拟仿真实训室、智能硬件编程实训室采购谈判文件.doc"</w:instrText>
      </w:r>
      <w:r>
        <w:rPr>
          <w:rFonts w:ascii="Times New Roman" w:hAnsi="Times New Roman"/>
          <w:color w:val="0000FF"/>
          <w:szCs w:val="24"/>
          <w:u w:val="single"/>
        </w:rPr>
        <w:instrText xml:space="preserve"> \l "_Toc179528723"</w:instrText>
      </w:r>
      <w:r>
        <w:rPr>
          <w:rFonts w:ascii="Times New Roman" w:hAnsi="Times New Roman"/>
          <w:color w:val="0000FF"/>
          <w:szCs w:val="24"/>
          <w:u w:val="single"/>
        </w:rPr>
        <w:fldChar w:fldCharType="separate"/>
      </w:r>
      <w:r>
        <w:rPr>
          <w:rFonts w:hint="eastAsia" w:ascii="宋体" w:hAnsi="宋体"/>
          <w:b/>
          <w:bCs/>
          <w:color w:val="0000FF"/>
          <w:szCs w:val="24"/>
          <w:u w:val="single"/>
        </w:rPr>
        <w:t>第五节 其他文书、文件格式</w:t>
      </w:r>
      <w:r>
        <w:rPr>
          <w:rFonts w:ascii="Times New Roman" w:hAnsi="Times New Roman"/>
          <w:color w:val="0000FF"/>
          <w:szCs w:val="24"/>
          <w:u w:val="single"/>
        </w:rPr>
        <w:tab/>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 PAGEREF _Toc179528723 \h </w:instrText>
      </w:r>
      <w:r>
        <w:rPr>
          <w:rFonts w:ascii="Times New Roman" w:hAnsi="Times New Roman"/>
          <w:color w:val="0000FF"/>
          <w:szCs w:val="24"/>
          <w:u w:val="single"/>
        </w:rPr>
        <w:fldChar w:fldCharType="separate"/>
      </w:r>
      <w:r>
        <w:rPr>
          <w:rFonts w:ascii="Times New Roman" w:hAnsi="Times New Roman"/>
          <w:color w:val="0000FF"/>
          <w:szCs w:val="24"/>
          <w:u w:val="single"/>
        </w:rPr>
        <w:t>218</w:t>
      </w:r>
      <w:r>
        <w:rPr>
          <w:rFonts w:ascii="Times New Roman" w:hAnsi="Times New Roman"/>
          <w:color w:val="0000FF"/>
          <w:szCs w:val="24"/>
          <w:u w:val="single"/>
        </w:rPr>
        <w:fldChar w:fldCharType="end"/>
      </w:r>
      <w:r>
        <w:rPr>
          <w:rFonts w:ascii="Times New Roman" w:hAnsi="Times New Roman"/>
          <w:color w:val="0000FF"/>
          <w:szCs w:val="24"/>
          <w:u w:val="single"/>
        </w:rPr>
        <w:fldChar w:fldCharType="end"/>
      </w:r>
    </w:p>
    <w:p w14:paraId="2B291A2E">
      <w:pPr>
        <w:tabs>
          <w:tab w:val="right" w:leader="dot" w:pos="8869"/>
        </w:tabs>
        <w:rPr>
          <w:szCs w:val="24"/>
        </w:rPr>
      </w:pPr>
      <w:r>
        <w:rPr>
          <w:rFonts w:ascii="Times New Roman" w:hAnsi="Times New Roman"/>
          <w:color w:val="0000FF"/>
          <w:szCs w:val="24"/>
          <w:u w:val="single"/>
        </w:rPr>
        <w:fldChar w:fldCharType="begin"/>
      </w:r>
      <w:r>
        <w:rPr>
          <w:rFonts w:ascii="Times New Roman" w:hAnsi="Times New Roman"/>
          <w:color w:val="0000FF"/>
          <w:szCs w:val="24"/>
          <w:u w:val="single"/>
        </w:rPr>
        <w:instrText xml:space="preserve">HYPERLINK </w:instrText>
      </w:r>
      <w:r>
        <w:rPr>
          <w:rFonts w:hint="eastAsia" w:ascii="Times New Roman" w:hAnsi="Times New Roman"/>
          <w:color w:val="0000FF"/>
          <w:szCs w:val="24"/>
          <w:u w:val="single"/>
        </w:rPr>
        <w:instrText xml:space="preserve">"../AppData/Local/Temp/AppData/Local/Temp/AppData/Local/Temp/AppData/Local/Temp/DJWebOffice/南宁市第三职业技术学校无人机虚拟仿真实训室、智能硬件编程实训室采购谈判文件.doc"</w:instrText>
      </w:r>
      <w:r>
        <w:rPr>
          <w:rFonts w:ascii="Times New Roman" w:hAnsi="Times New Roman"/>
          <w:color w:val="0000FF"/>
          <w:szCs w:val="24"/>
          <w:u w:val="single"/>
        </w:rPr>
        <w:instrText xml:space="preserve"> \l "_Toc179528724"</w:instrText>
      </w:r>
      <w:r>
        <w:rPr>
          <w:rFonts w:ascii="Times New Roman" w:hAnsi="Times New Roman"/>
          <w:color w:val="0000FF"/>
          <w:szCs w:val="24"/>
          <w:u w:val="single"/>
        </w:rPr>
        <w:fldChar w:fldCharType="separate"/>
      </w:r>
      <w:r>
        <w:rPr>
          <w:rFonts w:hint="eastAsia" w:ascii="宋体" w:hAnsi="宋体"/>
          <w:color w:val="0000FF"/>
          <w:szCs w:val="24"/>
          <w:u w:val="single"/>
        </w:rPr>
        <w:t>第六章  合同文本</w:t>
      </w:r>
      <w:r>
        <w:rPr>
          <w:rFonts w:ascii="Times New Roman" w:hAnsi="Times New Roman"/>
          <w:color w:val="0000FF"/>
          <w:szCs w:val="24"/>
          <w:u w:val="single"/>
        </w:rPr>
        <w:tab/>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 PAGEREF _Toc179528724 \h </w:instrText>
      </w:r>
      <w:r>
        <w:rPr>
          <w:rFonts w:ascii="Times New Roman" w:hAnsi="Times New Roman"/>
          <w:color w:val="0000FF"/>
          <w:szCs w:val="24"/>
          <w:u w:val="single"/>
        </w:rPr>
        <w:fldChar w:fldCharType="separate"/>
      </w:r>
      <w:r>
        <w:rPr>
          <w:rFonts w:ascii="Times New Roman" w:hAnsi="Times New Roman"/>
          <w:color w:val="0000FF"/>
          <w:szCs w:val="24"/>
          <w:u w:val="single"/>
        </w:rPr>
        <w:t>222</w:t>
      </w:r>
      <w:r>
        <w:rPr>
          <w:rFonts w:ascii="Times New Roman" w:hAnsi="Times New Roman"/>
          <w:color w:val="0000FF"/>
          <w:szCs w:val="24"/>
          <w:u w:val="single"/>
        </w:rPr>
        <w:fldChar w:fldCharType="end"/>
      </w:r>
      <w:r>
        <w:rPr>
          <w:rFonts w:ascii="Times New Roman" w:hAnsi="Times New Roman"/>
          <w:color w:val="0000FF"/>
          <w:szCs w:val="24"/>
          <w:u w:val="single"/>
        </w:rPr>
        <w:fldChar w:fldCharType="end"/>
      </w:r>
    </w:p>
    <w:p w14:paraId="495EEC4D">
      <w:pPr>
        <w:tabs>
          <w:tab w:val="right" w:leader="dot" w:pos="8296"/>
        </w:tabs>
        <w:ind w:left="420" w:leftChars="200"/>
        <w:rPr>
          <w:szCs w:val="24"/>
        </w:rPr>
      </w:pPr>
      <w:r>
        <w:rPr>
          <w:rFonts w:ascii="Times New Roman" w:hAnsi="Times New Roman"/>
          <w:color w:val="0000FF"/>
          <w:szCs w:val="24"/>
          <w:u w:val="single"/>
        </w:rPr>
        <w:fldChar w:fldCharType="begin"/>
      </w:r>
      <w:r>
        <w:rPr>
          <w:rFonts w:ascii="Times New Roman" w:hAnsi="Times New Roman"/>
          <w:color w:val="0000FF"/>
          <w:szCs w:val="24"/>
          <w:u w:val="single"/>
        </w:rPr>
        <w:instrText xml:space="preserve">HYPERLINK </w:instrText>
      </w:r>
      <w:r>
        <w:rPr>
          <w:rFonts w:hint="eastAsia" w:ascii="Times New Roman" w:hAnsi="Times New Roman"/>
          <w:color w:val="0000FF"/>
          <w:szCs w:val="24"/>
          <w:u w:val="single"/>
        </w:rPr>
        <w:instrText xml:space="preserve">"../AppData/Local/Temp/AppData/Local/Temp/AppData/Local/Temp/AppData/Local/Temp/DJWebOffice/南宁市第三职业技术学校无人机虚拟仿真实训室、智能硬件编程实训室采购谈判文件.doc"</w:instrText>
      </w:r>
      <w:r>
        <w:rPr>
          <w:rFonts w:ascii="Times New Roman" w:hAnsi="Times New Roman"/>
          <w:color w:val="0000FF"/>
          <w:szCs w:val="24"/>
          <w:u w:val="single"/>
        </w:rPr>
        <w:instrText xml:space="preserve"> \l "_Toc179528725"</w:instrText>
      </w:r>
      <w:r>
        <w:rPr>
          <w:rFonts w:ascii="Times New Roman" w:hAnsi="Times New Roman"/>
          <w:color w:val="0000FF"/>
          <w:szCs w:val="24"/>
          <w:u w:val="single"/>
        </w:rPr>
        <w:fldChar w:fldCharType="separate"/>
      </w:r>
      <w:r>
        <w:rPr>
          <w:rFonts w:hint="eastAsia" w:ascii="仿宋_GB2312" w:hAnsi="楷体" w:eastAsia="仿宋_GB2312"/>
          <w:b/>
          <w:color w:val="0000FF"/>
          <w:szCs w:val="24"/>
          <w:u w:val="single"/>
        </w:rPr>
        <w:t>第一部分 合同书</w:t>
      </w:r>
      <w:r>
        <w:rPr>
          <w:rFonts w:ascii="Times New Roman" w:hAnsi="Times New Roman"/>
          <w:color w:val="0000FF"/>
          <w:szCs w:val="24"/>
          <w:u w:val="single"/>
        </w:rPr>
        <w:tab/>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 PAGEREF _Toc179528725 \h </w:instrText>
      </w:r>
      <w:r>
        <w:rPr>
          <w:rFonts w:ascii="Times New Roman" w:hAnsi="Times New Roman"/>
          <w:color w:val="0000FF"/>
          <w:szCs w:val="24"/>
          <w:u w:val="single"/>
        </w:rPr>
        <w:fldChar w:fldCharType="separate"/>
      </w:r>
      <w:r>
        <w:rPr>
          <w:rFonts w:ascii="Times New Roman" w:hAnsi="Times New Roman"/>
          <w:color w:val="0000FF"/>
          <w:szCs w:val="24"/>
          <w:u w:val="single"/>
        </w:rPr>
        <w:t>225</w:t>
      </w:r>
      <w:r>
        <w:rPr>
          <w:rFonts w:ascii="Times New Roman" w:hAnsi="Times New Roman"/>
          <w:color w:val="0000FF"/>
          <w:szCs w:val="24"/>
          <w:u w:val="single"/>
        </w:rPr>
        <w:fldChar w:fldCharType="end"/>
      </w:r>
      <w:r>
        <w:rPr>
          <w:rFonts w:ascii="Times New Roman" w:hAnsi="Times New Roman"/>
          <w:color w:val="0000FF"/>
          <w:szCs w:val="24"/>
          <w:u w:val="single"/>
        </w:rPr>
        <w:fldChar w:fldCharType="end"/>
      </w:r>
    </w:p>
    <w:p w14:paraId="7ED5BD44">
      <w:pPr>
        <w:tabs>
          <w:tab w:val="right" w:leader="dot" w:pos="8296"/>
        </w:tabs>
        <w:ind w:left="420" w:leftChars="200"/>
        <w:rPr>
          <w:szCs w:val="24"/>
        </w:rPr>
      </w:pPr>
      <w:r>
        <w:rPr>
          <w:rFonts w:ascii="Times New Roman" w:hAnsi="Times New Roman"/>
          <w:color w:val="0000FF"/>
          <w:szCs w:val="24"/>
          <w:u w:val="single"/>
        </w:rPr>
        <w:fldChar w:fldCharType="begin"/>
      </w:r>
      <w:r>
        <w:rPr>
          <w:rFonts w:ascii="Times New Roman" w:hAnsi="Times New Roman"/>
          <w:color w:val="0000FF"/>
          <w:szCs w:val="24"/>
          <w:u w:val="single"/>
        </w:rPr>
        <w:instrText xml:space="preserve">HYPERLINK </w:instrText>
      </w:r>
      <w:r>
        <w:rPr>
          <w:rFonts w:hint="eastAsia" w:ascii="Times New Roman" w:hAnsi="Times New Roman"/>
          <w:color w:val="0000FF"/>
          <w:szCs w:val="24"/>
          <w:u w:val="single"/>
        </w:rPr>
        <w:instrText xml:space="preserve">"../AppData/Local/Temp/AppData/Local/Temp/AppData/Local/Temp/AppData/Local/Temp/DJWebOffice/南宁市第三职业技术学校无人机虚拟仿真实训室、智能硬件编程实训室采购谈判文件.doc"</w:instrText>
      </w:r>
      <w:r>
        <w:rPr>
          <w:rFonts w:ascii="Times New Roman" w:hAnsi="Times New Roman"/>
          <w:color w:val="0000FF"/>
          <w:szCs w:val="24"/>
          <w:u w:val="single"/>
        </w:rPr>
        <w:instrText xml:space="preserve"> \l "_Toc179528726"</w:instrText>
      </w:r>
      <w:r>
        <w:rPr>
          <w:rFonts w:ascii="Times New Roman" w:hAnsi="Times New Roman"/>
          <w:color w:val="0000FF"/>
          <w:szCs w:val="24"/>
          <w:u w:val="single"/>
        </w:rPr>
        <w:fldChar w:fldCharType="separate"/>
      </w:r>
      <w:r>
        <w:rPr>
          <w:rFonts w:hint="eastAsia" w:ascii="仿宋_GB2312" w:hAnsi="楷体" w:eastAsia="仿宋_GB2312"/>
          <w:b/>
          <w:color w:val="0000FF"/>
          <w:szCs w:val="24"/>
          <w:u w:val="single"/>
        </w:rPr>
        <w:t>第二部分 合同一般条款</w:t>
      </w:r>
      <w:r>
        <w:rPr>
          <w:rFonts w:ascii="Times New Roman" w:hAnsi="Times New Roman"/>
          <w:color w:val="0000FF"/>
          <w:szCs w:val="24"/>
          <w:u w:val="single"/>
        </w:rPr>
        <w:tab/>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 PAGEREF _Toc179528726 \h </w:instrText>
      </w:r>
      <w:r>
        <w:rPr>
          <w:rFonts w:ascii="Times New Roman" w:hAnsi="Times New Roman"/>
          <w:color w:val="0000FF"/>
          <w:szCs w:val="24"/>
          <w:u w:val="single"/>
        </w:rPr>
        <w:fldChar w:fldCharType="separate"/>
      </w:r>
      <w:r>
        <w:rPr>
          <w:rFonts w:ascii="Times New Roman" w:hAnsi="Times New Roman"/>
          <w:color w:val="0000FF"/>
          <w:szCs w:val="24"/>
          <w:u w:val="single"/>
        </w:rPr>
        <w:t>229</w:t>
      </w:r>
      <w:r>
        <w:rPr>
          <w:rFonts w:ascii="Times New Roman" w:hAnsi="Times New Roman"/>
          <w:color w:val="0000FF"/>
          <w:szCs w:val="24"/>
          <w:u w:val="single"/>
        </w:rPr>
        <w:fldChar w:fldCharType="end"/>
      </w:r>
      <w:r>
        <w:rPr>
          <w:rFonts w:ascii="Times New Roman" w:hAnsi="Times New Roman"/>
          <w:color w:val="0000FF"/>
          <w:szCs w:val="24"/>
          <w:u w:val="single"/>
        </w:rPr>
        <w:fldChar w:fldCharType="end"/>
      </w:r>
    </w:p>
    <w:p w14:paraId="0C68B005">
      <w:pPr>
        <w:tabs>
          <w:tab w:val="right" w:leader="dot" w:pos="8296"/>
        </w:tabs>
        <w:ind w:left="420" w:leftChars="200"/>
        <w:rPr>
          <w:szCs w:val="24"/>
        </w:rPr>
      </w:pPr>
      <w:r>
        <w:rPr>
          <w:rFonts w:ascii="Times New Roman" w:hAnsi="Times New Roman"/>
          <w:color w:val="0000FF"/>
          <w:szCs w:val="24"/>
          <w:u w:val="single"/>
        </w:rPr>
        <w:fldChar w:fldCharType="begin"/>
      </w:r>
      <w:r>
        <w:rPr>
          <w:rFonts w:ascii="Times New Roman" w:hAnsi="Times New Roman"/>
          <w:color w:val="0000FF"/>
          <w:szCs w:val="24"/>
          <w:u w:val="single"/>
        </w:rPr>
        <w:instrText xml:space="preserve">HYPERLINK </w:instrText>
      </w:r>
      <w:r>
        <w:rPr>
          <w:rFonts w:hint="eastAsia" w:ascii="Times New Roman" w:hAnsi="Times New Roman"/>
          <w:color w:val="0000FF"/>
          <w:szCs w:val="24"/>
          <w:u w:val="single"/>
        </w:rPr>
        <w:instrText xml:space="preserve">"../AppData/Local/Temp/AppData/Local/Temp/AppData/Local/Temp/AppData/Local/Temp/DJWebOffice/南宁市第三职业技术学校无人机虚拟仿真实训室、智能硬件编程实训室采购谈判文件.doc"</w:instrText>
      </w:r>
      <w:r>
        <w:rPr>
          <w:rFonts w:ascii="Times New Roman" w:hAnsi="Times New Roman"/>
          <w:color w:val="0000FF"/>
          <w:szCs w:val="24"/>
          <w:u w:val="single"/>
        </w:rPr>
        <w:instrText xml:space="preserve"> \l "_Toc179528727"</w:instrText>
      </w:r>
      <w:r>
        <w:rPr>
          <w:rFonts w:ascii="Times New Roman" w:hAnsi="Times New Roman"/>
          <w:color w:val="0000FF"/>
          <w:szCs w:val="24"/>
          <w:u w:val="single"/>
        </w:rPr>
        <w:fldChar w:fldCharType="separate"/>
      </w:r>
      <w:r>
        <w:rPr>
          <w:rFonts w:hint="eastAsia" w:ascii="仿宋_GB2312" w:hAnsi="楷体" w:eastAsia="仿宋_GB2312"/>
          <w:b/>
          <w:color w:val="0000FF"/>
          <w:szCs w:val="24"/>
          <w:u w:val="single"/>
        </w:rPr>
        <w:t>第三部分  合同专用条款</w:t>
      </w:r>
      <w:r>
        <w:rPr>
          <w:rFonts w:ascii="Times New Roman" w:hAnsi="Times New Roman"/>
          <w:color w:val="0000FF"/>
          <w:szCs w:val="24"/>
          <w:u w:val="single"/>
        </w:rPr>
        <w:tab/>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 PAGEREF _Toc179528727 \h </w:instrText>
      </w:r>
      <w:r>
        <w:rPr>
          <w:rFonts w:ascii="Times New Roman" w:hAnsi="Times New Roman"/>
          <w:color w:val="0000FF"/>
          <w:szCs w:val="24"/>
          <w:u w:val="single"/>
        </w:rPr>
        <w:fldChar w:fldCharType="separate"/>
      </w:r>
      <w:r>
        <w:rPr>
          <w:rFonts w:ascii="Times New Roman" w:hAnsi="Times New Roman"/>
          <w:color w:val="0000FF"/>
          <w:szCs w:val="24"/>
          <w:u w:val="single"/>
        </w:rPr>
        <w:t>234</w:t>
      </w:r>
      <w:r>
        <w:rPr>
          <w:rFonts w:ascii="Times New Roman" w:hAnsi="Times New Roman"/>
          <w:color w:val="0000FF"/>
          <w:szCs w:val="24"/>
          <w:u w:val="single"/>
        </w:rPr>
        <w:fldChar w:fldCharType="end"/>
      </w:r>
      <w:r>
        <w:rPr>
          <w:rFonts w:ascii="Times New Roman" w:hAnsi="Times New Roman"/>
          <w:color w:val="0000FF"/>
          <w:szCs w:val="24"/>
          <w:u w:val="single"/>
        </w:rPr>
        <w:fldChar w:fldCharType="end"/>
      </w:r>
    </w:p>
    <w:p w14:paraId="16B6E21D">
      <w:pPr>
        <w:tabs>
          <w:tab w:val="right" w:leader="dot" w:pos="8869"/>
        </w:tabs>
        <w:rPr>
          <w:szCs w:val="24"/>
        </w:rPr>
      </w:pPr>
      <w:r>
        <w:rPr>
          <w:rFonts w:ascii="Times New Roman" w:hAnsi="Times New Roman"/>
          <w:color w:val="0000FF"/>
          <w:szCs w:val="24"/>
          <w:u w:val="single"/>
        </w:rPr>
        <w:fldChar w:fldCharType="begin"/>
      </w:r>
      <w:r>
        <w:rPr>
          <w:rFonts w:ascii="Times New Roman" w:hAnsi="Times New Roman"/>
          <w:color w:val="0000FF"/>
          <w:szCs w:val="24"/>
          <w:u w:val="single"/>
        </w:rPr>
        <w:instrText xml:space="preserve">HYPERLINK </w:instrText>
      </w:r>
      <w:r>
        <w:rPr>
          <w:rFonts w:hint="eastAsia" w:ascii="Times New Roman" w:hAnsi="Times New Roman"/>
          <w:color w:val="0000FF"/>
          <w:szCs w:val="24"/>
          <w:u w:val="single"/>
        </w:rPr>
        <w:instrText xml:space="preserve">"../AppData/Local/Temp/AppData/Local/Temp/AppData/Local/Temp/AppData/Local/Temp/DJWebOffice/南宁市第三职业技术学校无人机虚拟仿真实训室、智能硬件编程实训室采购谈判文件.doc"</w:instrText>
      </w:r>
      <w:r>
        <w:rPr>
          <w:rFonts w:ascii="Times New Roman" w:hAnsi="Times New Roman"/>
          <w:color w:val="0000FF"/>
          <w:szCs w:val="24"/>
          <w:u w:val="single"/>
        </w:rPr>
        <w:instrText xml:space="preserve"> \l "_Toc179528728"</w:instrText>
      </w:r>
      <w:r>
        <w:rPr>
          <w:rFonts w:ascii="Times New Roman" w:hAnsi="Times New Roman"/>
          <w:color w:val="0000FF"/>
          <w:szCs w:val="24"/>
          <w:u w:val="single"/>
        </w:rPr>
        <w:fldChar w:fldCharType="separate"/>
      </w:r>
      <w:r>
        <w:rPr>
          <w:rFonts w:hint="eastAsia" w:ascii="宋体" w:hAnsi="宋体" w:cs="仿宋_GB2312"/>
          <w:bCs/>
          <w:color w:val="0000FF"/>
          <w:szCs w:val="24"/>
          <w:u w:val="single"/>
        </w:rPr>
        <w:t>第七章 质疑、投诉材料格式</w:t>
      </w:r>
      <w:r>
        <w:rPr>
          <w:rFonts w:ascii="Times New Roman" w:hAnsi="Times New Roman"/>
          <w:color w:val="0000FF"/>
          <w:szCs w:val="24"/>
          <w:u w:val="single"/>
        </w:rPr>
        <w:tab/>
      </w:r>
      <w:r>
        <w:rPr>
          <w:rFonts w:ascii="Times New Roman" w:hAnsi="Times New Roman"/>
          <w:color w:val="0000FF"/>
          <w:szCs w:val="24"/>
          <w:u w:val="single"/>
        </w:rPr>
        <w:fldChar w:fldCharType="begin"/>
      </w:r>
      <w:r>
        <w:rPr>
          <w:rFonts w:ascii="Times New Roman" w:hAnsi="Times New Roman"/>
          <w:color w:val="0000FF"/>
          <w:szCs w:val="24"/>
          <w:u w:val="single"/>
        </w:rPr>
        <w:instrText xml:space="preserve"> PAGEREF _Toc179528728 \h </w:instrText>
      </w:r>
      <w:r>
        <w:rPr>
          <w:rFonts w:ascii="Times New Roman" w:hAnsi="Times New Roman"/>
          <w:color w:val="0000FF"/>
          <w:szCs w:val="24"/>
          <w:u w:val="single"/>
        </w:rPr>
        <w:fldChar w:fldCharType="separate"/>
      </w:r>
      <w:r>
        <w:rPr>
          <w:rFonts w:ascii="Times New Roman" w:hAnsi="Times New Roman"/>
          <w:color w:val="0000FF"/>
          <w:szCs w:val="24"/>
          <w:u w:val="single"/>
        </w:rPr>
        <w:t>237</w:t>
      </w:r>
      <w:r>
        <w:rPr>
          <w:rFonts w:ascii="Times New Roman" w:hAnsi="Times New Roman"/>
          <w:color w:val="0000FF"/>
          <w:szCs w:val="24"/>
          <w:u w:val="single"/>
        </w:rPr>
        <w:fldChar w:fldCharType="end"/>
      </w:r>
      <w:r>
        <w:rPr>
          <w:rFonts w:ascii="Times New Roman" w:hAnsi="Times New Roman"/>
          <w:color w:val="0000FF"/>
          <w:szCs w:val="24"/>
          <w:u w:val="single"/>
        </w:rPr>
        <w:fldChar w:fldCharType="end"/>
      </w:r>
    </w:p>
    <w:p w14:paraId="6D8773B0">
      <w:pPr>
        <w:tabs>
          <w:tab w:val="right" w:leader="dot" w:pos="8869"/>
        </w:tabs>
        <w:rPr>
          <w:rFonts w:ascii="Times New Roman" w:hAnsi="Times New Roman"/>
          <w:szCs w:val="24"/>
        </w:rPr>
      </w:pPr>
      <w:r>
        <w:rPr>
          <w:rFonts w:ascii="Times New Roman" w:hAnsi="Times New Roman"/>
          <w:szCs w:val="24"/>
        </w:rPr>
        <w:fldChar w:fldCharType="end"/>
      </w:r>
    </w:p>
    <w:p w14:paraId="6B5B2FE6">
      <w:pPr>
        <w:spacing w:line="400" w:lineRule="exact"/>
        <w:jc w:val="left"/>
        <w:rPr>
          <w:rFonts w:ascii="宋体" w:hAnsi="宋体"/>
          <w:b/>
          <w:sz w:val="32"/>
          <w:szCs w:val="32"/>
        </w:rPr>
      </w:pPr>
      <w:bookmarkStart w:id="76" w:name="_GoBack"/>
      <w:bookmarkEnd w:id="76"/>
    </w:p>
    <w:p w14:paraId="2BF46D03">
      <w:pPr>
        <w:spacing w:line="400" w:lineRule="exact"/>
        <w:jc w:val="center"/>
        <w:rPr>
          <w:rFonts w:hint="eastAsia" w:ascii="宋体" w:hAnsi="宋体"/>
          <w:b/>
          <w:sz w:val="32"/>
          <w:szCs w:val="32"/>
        </w:rPr>
      </w:pPr>
    </w:p>
    <w:p w14:paraId="357E455E">
      <w:pPr>
        <w:spacing w:line="400" w:lineRule="exact"/>
        <w:jc w:val="center"/>
        <w:rPr>
          <w:rFonts w:hint="eastAsia" w:ascii="宋体" w:hAnsi="宋体"/>
          <w:b/>
          <w:sz w:val="32"/>
          <w:szCs w:val="32"/>
        </w:rPr>
      </w:pPr>
    </w:p>
    <w:p w14:paraId="59C7039E">
      <w:pPr>
        <w:spacing w:line="400" w:lineRule="exact"/>
        <w:jc w:val="center"/>
        <w:rPr>
          <w:rFonts w:hint="eastAsia" w:ascii="宋体" w:hAnsi="宋体"/>
          <w:b/>
          <w:sz w:val="32"/>
          <w:szCs w:val="32"/>
        </w:rPr>
      </w:pPr>
    </w:p>
    <w:p w14:paraId="24A2E81B">
      <w:pPr>
        <w:spacing w:line="400" w:lineRule="exact"/>
        <w:jc w:val="center"/>
        <w:rPr>
          <w:rFonts w:hint="eastAsia" w:ascii="宋体" w:hAnsi="宋体"/>
          <w:b/>
          <w:sz w:val="32"/>
          <w:szCs w:val="32"/>
        </w:rPr>
      </w:pPr>
    </w:p>
    <w:p w14:paraId="226C93A9">
      <w:pPr>
        <w:widowControl/>
        <w:jc w:val="left"/>
        <w:rPr>
          <w:rFonts w:ascii="宋体" w:hAnsi="宋体"/>
          <w:b/>
          <w:kern w:val="0"/>
          <w:sz w:val="32"/>
          <w:szCs w:val="32"/>
        </w:rPr>
        <w:sectPr>
          <w:headerReference r:id="rId3" w:type="default"/>
          <w:footerReference r:id="rId4" w:type="default"/>
          <w:pgSz w:w="11906" w:h="16838"/>
          <w:pgMar w:top="1440" w:right="1440" w:bottom="1440" w:left="1587"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088E57A7">
      <w:pPr>
        <w:spacing w:after="330"/>
        <w:jc w:val="center"/>
        <w:outlineLvl w:val="0"/>
        <w:rPr>
          <w:rFonts w:hint="eastAsia" w:ascii="等线" w:hAnsi="等线"/>
          <w:b/>
          <w:bCs/>
          <w:kern w:val="44"/>
          <w:sz w:val="44"/>
          <w:szCs w:val="44"/>
        </w:rPr>
      </w:pPr>
      <w:r>
        <w:rPr>
          <w:rFonts w:hint="eastAsia"/>
        </w:rPr>
        <mc:AlternateContent>
          <mc:Choice Requires="wps">
            <w:drawing>
              <wp:anchor distT="0" distB="0" distL="114300" distR="114300" simplePos="0" relativeHeight="251659264" behindDoc="1" locked="0" layoutInCell="1" allowOverlap="1">
                <wp:simplePos x="0" y="0"/>
                <wp:positionH relativeFrom="column">
                  <wp:posOffset>-264795</wp:posOffset>
                </wp:positionH>
                <wp:positionV relativeFrom="paragraph">
                  <wp:posOffset>535940</wp:posOffset>
                </wp:positionV>
                <wp:extent cx="5909310" cy="1279525"/>
                <wp:effectExtent l="0" t="0" r="15240" b="15875"/>
                <wp:wrapTight wrapText="bothSides">
                  <wp:wrapPolygon>
                    <wp:start x="0" y="0"/>
                    <wp:lineTo x="0" y="21225"/>
                    <wp:lineTo x="21516" y="21225"/>
                    <wp:lineTo x="21516" y="0"/>
                    <wp:lineTo x="0" y="0"/>
                  </wp:wrapPolygon>
                </wp:wrapTight>
                <wp:docPr id="3" name="文本框 3"/>
                <wp:cNvGraphicFramePr/>
                <a:graphic xmlns:a="http://schemas.openxmlformats.org/drawingml/2006/main">
                  <a:graphicData uri="http://schemas.microsoft.com/office/word/2010/wordprocessingShape">
                    <wps:wsp>
                      <wps:cNvSpPr txBox="1"/>
                      <wps:spPr>
                        <a:xfrm>
                          <a:off x="0" y="0"/>
                          <a:ext cx="5909310" cy="1279525"/>
                        </a:xfrm>
                        <a:prstGeom prst="rect">
                          <a:avLst/>
                        </a:prstGeom>
                        <a:solidFill>
                          <a:srgbClr val="FFFFFF"/>
                        </a:solidFill>
                        <a:ln>
                          <a:noFill/>
                        </a:ln>
                      </wps:spPr>
                      <wps:txbx>
                        <w:txbxContent>
                          <w:p w14:paraId="6C9CB98C">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000000"/>
                                <w:szCs w:val="21"/>
                              </w:rPr>
                            </w:pPr>
                            <w:r>
                              <w:rPr>
                                <w:rFonts w:hint="eastAsia" w:ascii="宋体" w:hAnsi="宋体"/>
                                <w:color w:val="000000"/>
                                <w:szCs w:val="21"/>
                              </w:rPr>
                              <w:t>项目概况</w:t>
                            </w:r>
                          </w:p>
                          <w:p w14:paraId="7957D2F9">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olor w:val="000000"/>
                                <w:szCs w:val="21"/>
                              </w:rPr>
                            </w:pPr>
                            <w:r>
                              <w:rPr>
                                <w:rFonts w:hint="eastAsia" w:ascii="宋体" w:hAnsi="宋体"/>
                                <w:color w:val="000000"/>
                                <w:szCs w:val="21"/>
                                <w:u w:val="single"/>
                                <w:lang w:eastAsia="zh-CN"/>
                              </w:rPr>
                              <w:t>2026年上林县幼儿园设备采购项目（重）</w:t>
                            </w:r>
                            <w:r>
                              <w:rPr>
                                <w:rFonts w:hint="eastAsia" w:ascii="宋体" w:hAnsi="宋体"/>
                                <w:color w:val="000000"/>
                                <w:szCs w:val="21"/>
                              </w:rPr>
                              <w:t>的潜在供应商应在广西政府采购云平台（https://www.gcy.zfcg.gxzf.gov.cn/）获取（下载）获取竞争性谈判文件，并于</w:t>
                            </w:r>
                            <w:r>
                              <w:rPr>
                                <w:rFonts w:hint="eastAsia" w:ascii="宋体" w:hAnsi="宋体"/>
                                <w:color w:val="000000"/>
                                <w:szCs w:val="21"/>
                                <w:u w:val="single"/>
                              </w:rPr>
                              <w:t>2026-0</w:t>
                            </w:r>
                            <w:r>
                              <w:rPr>
                                <w:rFonts w:hint="eastAsia" w:ascii="宋体" w:hAnsi="宋体"/>
                                <w:color w:val="000000"/>
                                <w:szCs w:val="21"/>
                                <w:u w:val="single"/>
                                <w:lang w:val="en-US" w:eastAsia="zh-CN"/>
                              </w:rPr>
                              <w:t>9</w:t>
                            </w:r>
                            <w:r>
                              <w:rPr>
                                <w:rFonts w:hint="eastAsia" w:ascii="宋体" w:hAnsi="宋体"/>
                                <w:color w:val="000000"/>
                                <w:szCs w:val="21"/>
                                <w:u w:val="single"/>
                              </w:rPr>
                              <w:t>-</w:t>
                            </w:r>
                            <w:r>
                              <w:rPr>
                                <w:rFonts w:hint="eastAsia" w:ascii="宋体" w:hAnsi="宋体"/>
                                <w:color w:val="000000"/>
                                <w:szCs w:val="21"/>
                                <w:u w:val="single"/>
                                <w:lang w:val="en-US" w:eastAsia="zh-CN"/>
                              </w:rPr>
                              <w:t>02 14</w:t>
                            </w:r>
                            <w:r>
                              <w:rPr>
                                <w:rFonts w:hint="eastAsia" w:ascii="宋体" w:hAnsi="宋体"/>
                                <w:color w:val="000000"/>
                                <w:szCs w:val="21"/>
                                <w:u w:val="single"/>
                              </w:rPr>
                              <w:t>:</w:t>
                            </w:r>
                            <w:r>
                              <w:rPr>
                                <w:rFonts w:hint="eastAsia" w:ascii="宋体" w:hAnsi="宋体"/>
                                <w:color w:val="000000"/>
                                <w:szCs w:val="21"/>
                                <w:u w:val="single"/>
                                <w:lang w:val="en-US" w:eastAsia="zh-CN"/>
                              </w:rPr>
                              <w:t>0</w:t>
                            </w:r>
                            <w:r>
                              <w:rPr>
                                <w:rFonts w:hint="eastAsia" w:ascii="宋体" w:hAnsi="宋体"/>
                                <w:color w:val="000000"/>
                                <w:szCs w:val="21"/>
                                <w:u w:val="single"/>
                              </w:rPr>
                              <w:t>0:00</w:t>
                            </w:r>
                            <w:r>
                              <w:rPr>
                                <w:rFonts w:hint="eastAsia" w:ascii="宋体" w:hAnsi="宋体"/>
                                <w:color w:val="000000"/>
                                <w:szCs w:val="21"/>
                              </w:rPr>
                              <w:t>（北京时间）前提交响应文件。</w:t>
                            </w:r>
                          </w:p>
                          <w:p w14:paraId="6CE8FB8F">
                            <w:pPr>
                              <w:rPr>
                                <w:rFonts w:hint="eastAsia" w:ascii="等线" w:hAnsi="等线"/>
                              </w:rPr>
                            </w:pPr>
                          </w:p>
                        </w:txbxContent>
                      </wps:txbx>
                      <wps:bodyPr upright="1"/>
                    </wps:wsp>
                  </a:graphicData>
                </a:graphic>
              </wp:anchor>
            </w:drawing>
          </mc:Choice>
          <mc:Fallback>
            <w:pict>
              <v:shape id="_x0000_s1026" o:spid="_x0000_s1026" o:spt="202" type="#_x0000_t202" style="position:absolute;left:0pt;margin-left:-20.85pt;margin-top:42.2pt;height:100.75pt;width:465.3pt;mso-wrap-distance-left:9pt;mso-wrap-distance-right:9pt;z-index:-251657216;mso-width-relative:page;mso-height-relative:page;" fillcolor="#FFFFFF" filled="t" stroked="f" coordsize="21600,21600" wrapcoords="0 0 0 21225 21516 21225 21516 0 0 0" o:gfxdata="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tDhaj2AAAAAoBAAAPAAAAAAAAAAEAIAAAACIAAABkcnMvZG93bnJldi54&#10;bWxQSwECFAAUAAAACACHTuJAYnDRV8EBAAB4AwAADgAAAAAAAAABACAAAAAnAQAAZHJzL2Uyb0Rv&#10;Yy54bWxQSwUGAAAAAAYABgBZAQAAWgUAAAAA&#10;">
                <v:fill on="t" focussize="0,0"/>
                <v:stroke on="f"/>
                <v:imagedata o:title=""/>
                <o:lock v:ext="edit" aspectratio="f"/>
                <v:textbox>
                  <w:txbxContent>
                    <w:p w14:paraId="6C9CB98C">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000000"/>
                          <w:szCs w:val="21"/>
                        </w:rPr>
                      </w:pPr>
                      <w:r>
                        <w:rPr>
                          <w:rFonts w:hint="eastAsia" w:ascii="宋体" w:hAnsi="宋体"/>
                          <w:color w:val="000000"/>
                          <w:szCs w:val="21"/>
                        </w:rPr>
                        <w:t>项目概况</w:t>
                      </w:r>
                    </w:p>
                    <w:p w14:paraId="7957D2F9">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olor w:val="000000"/>
                          <w:szCs w:val="21"/>
                        </w:rPr>
                      </w:pPr>
                      <w:r>
                        <w:rPr>
                          <w:rFonts w:hint="eastAsia" w:ascii="宋体" w:hAnsi="宋体"/>
                          <w:color w:val="000000"/>
                          <w:szCs w:val="21"/>
                          <w:u w:val="single"/>
                          <w:lang w:eastAsia="zh-CN"/>
                        </w:rPr>
                        <w:t>2026年上林县幼儿园设备采购项目（重）</w:t>
                      </w:r>
                      <w:r>
                        <w:rPr>
                          <w:rFonts w:hint="eastAsia" w:ascii="宋体" w:hAnsi="宋体"/>
                          <w:color w:val="000000"/>
                          <w:szCs w:val="21"/>
                        </w:rPr>
                        <w:t>的潜在供应商应在广西政府采购云平台（https://www.gcy.zfcg.gxzf.gov.cn/）获取（下载）获取竞争性谈判文件，并于</w:t>
                      </w:r>
                      <w:r>
                        <w:rPr>
                          <w:rFonts w:hint="eastAsia" w:ascii="宋体" w:hAnsi="宋体"/>
                          <w:color w:val="000000"/>
                          <w:szCs w:val="21"/>
                          <w:u w:val="single"/>
                        </w:rPr>
                        <w:t>2026-0</w:t>
                      </w:r>
                      <w:r>
                        <w:rPr>
                          <w:rFonts w:hint="eastAsia" w:ascii="宋体" w:hAnsi="宋体"/>
                          <w:color w:val="000000"/>
                          <w:szCs w:val="21"/>
                          <w:u w:val="single"/>
                          <w:lang w:val="en-US" w:eastAsia="zh-CN"/>
                        </w:rPr>
                        <w:t>9</w:t>
                      </w:r>
                      <w:r>
                        <w:rPr>
                          <w:rFonts w:hint="eastAsia" w:ascii="宋体" w:hAnsi="宋体"/>
                          <w:color w:val="000000"/>
                          <w:szCs w:val="21"/>
                          <w:u w:val="single"/>
                        </w:rPr>
                        <w:t>-</w:t>
                      </w:r>
                      <w:r>
                        <w:rPr>
                          <w:rFonts w:hint="eastAsia" w:ascii="宋体" w:hAnsi="宋体"/>
                          <w:color w:val="000000"/>
                          <w:szCs w:val="21"/>
                          <w:u w:val="single"/>
                          <w:lang w:val="en-US" w:eastAsia="zh-CN"/>
                        </w:rPr>
                        <w:t>02 14</w:t>
                      </w:r>
                      <w:r>
                        <w:rPr>
                          <w:rFonts w:hint="eastAsia" w:ascii="宋体" w:hAnsi="宋体"/>
                          <w:color w:val="000000"/>
                          <w:szCs w:val="21"/>
                          <w:u w:val="single"/>
                        </w:rPr>
                        <w:t>:</w:t>
                      </w:r>
                      <w:r>
                        <w:rPr>
                          <w:rFonts w:hint="eastAsia" w:ascii="宋体" w:hAnsi="宋体"/>
                          <w:color w:val="000000"/>
                          <w:szCs w:val="21"/>
                          <w:u w:val="single"/>
                          <w:lang w:val="en-US" w:eastAsia="zh-CN"/>
                        </w:rPr>
                        <w:t>0</w:t>
                      </w:r>
                      <w:r>
                        <w:rPr>
                          <w:rFonts w:hint="eastAsia" w:ascii="宋体" w:hAnsi="宋体"/>
                          <w:color w:val="000000"/>
                          <w:szCs w:val="21"/>
                          <w:u w:val="single"/>
                        </w:rPr>
                        <w:t>0:00</w:t>
                      </w:r>
                      <w:r>
                        <w:rPr>
                          <w:rFonts w:hint="eastAsia" w:ascii="宋体" w:hAnsi="宋体"/>
                          <w:color w:val="000000"/>
                          <w:szCs w:val="21"/>
                        </w:rPr>
                        <w:t>（北京时间）前提交响应文件。</w:t>
                      </w:r>
                    </w:p>
                    <w:p w14:paraId="6CE8FB8F">
                      <w:pPr>
                        <w:rPr>
                          <w:rFonts w:hint="eastAsia" w:ascii="等线" w:hAnsi="等线"/>
                        </w:rPr>
                      </w:pPr>
                    </w:p>
                  </w:txbxContent>
                </v:textbox>
                <w10:wrap type="tight"/>
              </v:shape>
            </w:pict>
          </mc:Fallback>
        </mc:AlternateContent>
      </w:r>
      <w:bookmarkStart w:id="0" w:name="_Toc179528701"/>
      <w:r>
        <w:rPr>
          <w:rFonts w:hint="eastAsia"/>
          <w:b/>
          <w:bCs/>
          <w:kern w:val="44"/>
          <w:sz w:val="44"/>
          <w:szCs w:val="44"/>
        </w:rPr>
        <w:t>第一章</w:t>
      </w:r>
      <w:r>
        <w:rPr>
          <w:b/>
          <w:bCs/>
          <w:kern w:val="44"/>
          <w:sz w:val="44"/>
          <w:szCs w:val="44"/>
        </w:rPr>
        <w:t xml:space="preserve"> </w:t>
      </w:r>
      <w:r>
        <w:rPr>
          <w:rFonts w:hint="eastAsia"/>
          <w:b/>
          <w:bCs/>
          <w:kern w:val="44"/>
          <w:sz w:val="44"/>
          <w:szCs w:val="44"/>
        </w:rPr>
        <w:t>竞争性谈判公告</w:t>
      </w:r>
      <w:bookmarkEnd w:id="0"/>
    </w:p>
    <w:p w14:paraId="4826C358">
      <w:pPr>
        <w:rPr>
          <w:rFonts w:hint="eastAsia"/>
        </w:rPr>
      </w:pPr>
    </w:p>
    <w:p w14:paraId="52C105D7">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Cs/>
          <w:sz w:val="21"/>
          <w:szCs w:val="21"/>
        </w:rPr>
        <w:t>一、项目基本情况</w:t>
      </w:r>
    </w:p>
    <w:p w14:paraId="7DD8F4D2">
      <w:pPr>
        <w:spacing w:line="360" w:lineRule="auto"/>
        <w:ind w:firstLine="420" w:firstLineChars="200"/>
        <w:rPr>
          <w:rFonts w:hint="eastAsia" w:asciiTheme="minorEastAsia" w:hAnsiTheme="minorEastAsia" w:eastAsiaTheme="minorEastAsia" w:cstheme="minorEastAsia"/>
          <w:color w:val="000000"/>
          <w:sz w:val="21"/>
          <w:szCs w:val="21"/>
          <w:lang w:eastAsia="zh-CN"/>
        </w:rPr>
      </w:pPr>
      <w:r>
        <w:rPr>
          <w:rFonts w:hint="eastAsia" w:asciiTheme="minorEastAsia" w:hAnsiTheme="minorEastAsia" w:eastAsiaTheme="minorEastAsia" w:cstheme="minorEastAsia"/>
          <w:color w:val="000000"/>
          <w:sz w:val="21"/>
          <w:szCs w:val="21"/>
        </w:rPr>
        <w:t>项目编号：</w:t>
      </w:r>
      <w:r>
        <w:rPr>
          <w:rFonts w:hint="eastAsia" w:asciiTheme="minorEastAsia" w:hAnsiTheme="minorEastAsia" w:eastAsiaTheme="minorEastAsia" w:cstheme="minorEastAsia"/>
          <w:color w:val="000000"/>
          <w:sz w:val="21"/>
          <w:szCs w:val="21"/>
          <w:lang w:eastAsia="zh-CN"/>
        </w:rPr>
        <w:t xml:space="preserve"> NNZC2026-J1-250095-SLXZ</w:t>
      </w:r>
    </w:p>
    <w:p w14:paraId="0EED6324">
      <w:pPr>
        <w:spacing w:line="360" w:lineRule="auto"/>
        <w:ind w:firstLine="420" w:firstLineChars="200"/>
        <w:rPr>
          <w:rFonts w:hint="eastAsia" w:asciiTheme="minorEastAsia" w:hAnsiTheme="minorEastAsia" w:eastAsiaTheme="minorEastAsia" w:cstheme="minorEastAsia"/>
          <w:color w:val="000000"/>
          <w:sz w:val="21"/>
          <w:szCs w:val="21"/>
          <w:lang w:eastAsia="zh-CN"/>
        </w:rPr>
      </w:pPr>
      <w:r>
        <w:rPr>
          <w:rFonts w:hint="eastAsia" w:asciiTheme="minorEastAsia" w:hAnsiTheme="minorEastAsia" w:eastAsiaTheme="minorEastAsia" w:cstheme="minorEastAsia"/>
          <w:color w:val="000000"/>
          <w:sz w:val="21"/>
          <w:szCs w:val="21"/>
        </w:rPr>
        <w:t>项目名称：</w:t>
      </w:r>
      <w:bookmarkStart w:id="1" w:name="OLE_LINK67"/>
      <w:bookmarkStart w:id="2" w:name="OLE_LINK9"/>
      <w:r>
        <w:rPr>
          <w:rFonts w:hint="eastAsia" w:asciiTheme="minorEastAsia" w:hAnsiTheme="minorEastAsia" w:eastAsiaTheme="minorEastAsia" w:cstheme="minorEastAsia"/>
          <w:color w:val="000000"/>
          <w:sz w:val="21"/>
          <w:szCs w:val="21"/>
          <w:lang w:eastAsia="zh-CN"/>
        </w:rPr>
        <w:t>2026年上林县幼儿园设备采购项目（重）</w:t>
      </w:r>
    </w:p>
    <w:bookmarkEnd w:id="1"/>
    <w:bookmarkEnd w:id="2"/>
    <w:p w14:paraId="5AFF52E8">
      <w:pPr>
        <w:spacing w:line="360" w:lineRule="auto"/>
        <w:ind w:firstLine="420" w:firstLineChars="20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预算金额：</w:t>
      </w:r>
      <w:bookmarkStart w:id="3" w:name="OLE_LINK52"/>
      <w:bookmarkStart w:id="4" w:name="OLE_LINK53"/>
      <w:r>
        <w:rPr>
          <w:rFonts w:hint="eastAsia" w:asciiTheme="minorEastAsia" w:hAnsiTheme="minorEastAsia" w:eastAsiaTheme="minorEastAsia" w:cstheme="minorEastAsia"/>
          <w:color w:val="000000"/>
          <w:sz w:val="21"/>
          <w:szCs w:val="21"/>
          <w:lang w:val="en-US" w:eastAsia="zh-CN"/>
        </w:rPr>
        <w:t>2120000</w:t>
      </w:r>
      <w:r>
        <w:rPr>
          <w:rFonts w:hint="eastAsia" w:asciiTheme="minorEastAsia" w:hAnsiTheme="minorEastAsia" w:eastAsiaTheme="minorEastAsia" w:cstheme="minorEastAsia"/>
          <w:color w:val="000000"/>
          <w:sz w:val="21"/>
          <w:szCs w:val="21"/>
        </w:rPr>
        <w:t>.</w:t>
      </w:r>
      <w:bookmarkEnd w:id="3"/>
      <w:bookmarkEnd w:id="4"/>
      <w:r>
        <w:rPr>
          <w:rFonts w:hint="eastAsia" w:asciiTheme="minorEastAsia" w:hAnsiTheme="minorEastAsia" w:eastAsiaTheme="minorEastAsia" w:cstheme="minorEastAsia"/>
          <w:color w:val="000000"/>
          <w:sz w:val="21"/>
          <w:szCs w:val="21"/>
          <w:lang w:val="en-US" w:eastAsia="zh-CN"/>
        </w:rPr>
        <w:t>00</w:t>
      </w:r>
      <w:r>
        <w:rPr>
          <w:rFonts w:hint="eastAsia" w:asciiTheme="minorEastAsia" w:hAnsiTheme="minorEastAsia" w:eastAsiaTheme="minorEastAsia" w:cstheme="minorEastAsia"/>
          <w:color w:val="000000"/>
          <w:sz w:val="21"/>
          <w:szCs w:val="21"/>
        </w:rPr>
        <w:t>元</w:t>
      </w:r>
    </w:p>
    <w:p w14:paraId="2F003DEC">
      <w:pPr>
        <w:spacing w:line="360" w:lineRule="auto"/>
        <w:ind w:firstLine="420" w:firstLineChars="20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 xml:space="preserve">采购需求： </w:t>
      </w:r>
    </w:p>
    <w:tbl>
      <w:tblPr>
        <w:tblStyle w:val="1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2783"/>
        <w:gridCol w:w="774"/>
        <w:gridCol w:w="774"/>
        <w:gridCol w:w="1857"/>
        <w:gridCol w:w="1700"/>
      </w:tblGrid>
      <w:tr w14:paraId="649F9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775" w:type="dxa"/>
            <w:tcBorders>
              <w:top w:val="single" w:color="auto" w:sz="4" w:space="0"/>
              <w:left w:val="single" w:color="auto" w:sz="4" w:space="0"/>
              <w:bottom w:val="single" w:color="auto" w:sz="4" w:space="0"/>
              <w:right w:val="single" w:color="auto" w:sz="4" w:space="0"/>
            </w:tcBorders>
            <w:noWrap w:val="0"/>
            <w:vAlign w:val="center"/>
          </w:tcPr>
          <w:p w14:paraId="272F9BFF">
            <w:pPr>
              <w:spacing w:line="360" w:lineRule="auto"/>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分标</w:t>
            </w:r>
          </w:p>
        </w:tc>
        <w:tc>
          <w:tcPr>
            <w:tcW w:w="2783" w:type="dxa"/>
            <w:tcBorders>
              <w:top w:val="single" w:color="auto" w:sz="4" w:space="0"/>
              <w:left w:val="single" w:color="auto" w:sz="4" w:space="0"/>
              <w:bottom w:val="single" w:color="auto" w:sz="4" w:space="0"/>
              <w:right w:val="single" w:color="auto" w:sz="4" w:space="0"/>
            </w:tcBorders>
            <w:noWrap w:val="0"/>
            <w:vAlign w:val="center"/>
          </w:tcPr>
          <w:p w14:paraId="192D99E1">
            <w:pPr>
              <w:spacing w:line="360" w:lineRule="auto"/>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名称</w:t>
            </w:r>
          </w:p>
        </w:tc>
        <w:tc>
          <w:tcPr>
            <w:tcW w:w="774" w:type="dxa"/>
            <w:tcBorders>
              <w:top w:val="single" w:color="auto" w:sz="4" w:space="0"/>
              <w:left w:val="single" w:color="auto" w:sz="4" w:space="0"/>
              <w:bottom w:val="single" w:color="auto" w:sz="4" w:space="0"/>
              <w:right w:val="single" w:color="auto" w:sz="4" w:space="0"/>
            </w:tcBorders>
            <w:noWrap w:val="0"/>
            <w:vAlign w:val="center"/>
          </w:tcPr>
          <w:p w14:paraId="5C6C54E7">
            <w:pPr>
              <w:spacing w:line="360" w:lineRule="auto"/>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数量</w:t>
            </w:r>
          </w:p>
        </w:tc>
        <w:tc>
          <w:tcPr>
            <w:tcW w:w="774" w:type="dxa"/>
            <w:tcBorders>
              <w:top w:val="single" w:color="auto" w:sz="4" w:space="0"/>
              <w:left w:val="single" w:color="auto" w:sz="4" w:space="0"/>
              <w:bottom w:val="single" w:color="auto" w:sz="4" w:space="0"/>
              <w:right w:val="single" w:color="auto" w:sz="4" w:space="0"/>
            </w:tcBorders>
            <w:noWrap w:val="0"/>
            <w:vAlign w:val="center"/>
          </w:tcPr>
          <w:p w14:paraId="08A326F8">
            <w:pPr>
              <w:spacing w:line="360" w:lineRule="auto"/>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单位</w:t>
            </w:r>
          </w:p>
        </w:tc>
        <w:tc>
          <w:tcPr>
            <w:tcW w:w="1857" w:type="dxa"/>
            <w:tcBorders>
              <w:top w:val="single" w:color="auto" w:sz="4" w:space="0"/>
              <w:left w:val="single" w:color="auto" w:sz="4" w:space="0"/>
              <w:bottom w:val="single" w:color="auto" w:sz="4" w:space="0"/>
              <w:right w:val="single" w:color="auto" w:sz="4" w:space="0"/>
            </w:tcBorders>
            <w:noWrap w:val="0"/>
            <w:vAlign w:val="center"/>
          </w:tcPr>
          <w:p w14:paraId="7FA642A9">
            <w:pPr>
              <w:spacing w:line="360" w:lineRule="auto"/>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预算金额(元)</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51FB9F74">
            <w:pPr>
              <w:spacing w:line="360" w:lineRule="auto"/>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简要规格描述</w:t>
            </w:r>
          </w:p>
        </w:tc>
      </w:tr>
      <w:tr w14:paraId="5D6E4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775" w:type="dxa"/>
            <w:tcBorders>
              <w:top w:val="single" w:color="auto" w:sz="4" w:space="0"/>
              <w:left w:val="single" w:color="auto" w:sz="4" w:space="0"/>
              <w:bottom w:val="single" w:color="auto" w:sz="4" w:space="0"/>
              <w:right w:val="single" w:color="auto" w:sz="4" w:space="0"/>
            </w:tcBorders>
            <w:noWrap w:val="0"/>
            <w:vAlign w:val="center"/>
          </w:tcPr>
          <w:p w14:paraId="55FAA23A">
            <w:pPr>
              <w:spacing w:line="360" w:lineRule="auto"/>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w:t>
            </w:r>
          </w:p>
        </w:tc>
        <w:tc>
          <w:tcPr>
            <w:tcW w:w="2783" w:type="dxa"/>
            <w:tcBorders>
              <w:top w:val="single" w:color="auto" w:sz="4" w:space="0"/>
              <w:left w:val="single" w:color="auto" w:sz="4" w:space="0"/>
              <w:bottom w:val="single" w:color="auto" w:sz="4" w:space="0"/>
              <w:right w:val="single" w:color="auto" w:sz="4" w:space="0"/>
            </w:tcBorders>
            <w:noWrap w:val="0"/>
            <w:vAlign w:val="center"/>
          </w:tcPr>
          <w:p w14:paraId="51CF53BB">
            <w:pP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color w:val="000000"/>
                <w:sz w:val="21"/>
                <w:szCs w:val="21"/>
                <w:lang w:eastAsia="zh-CN"/>
              </w:rPr>
              <w:t>2026年上林县幼儿园设备采购项目（重）</w:t>
            </w:r>
          </w:p>
        </w:tc>
        <w:tc>
          <w:tcPr>
            <w:tcW w:w="774" w:type="dxa"/>
            <w:tcBorders>
              <w:top w:val="single" w:color="auto" w:sz="4" w:space="0"/>
              <w:left w:val="single" w:color="auto" w:sz="4" w:space="0"/>
              <w:bottom w:val="single" w:color="auto" w:sz="4" w:space="0"/>
              <w:right w:val="single" w:color="auto" w:sz="4" w:space="0"/>
            </w:tcBorders>
            <w:noWrap w:val="0"/>
            <w:vAlign w:val="center"/>
          </w:tcPr>
          <w:p w14:paraId="2AC37A2B">
            <w:pPr>
              <w:spacing w:line="360" w:lineRule="auto"/>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w:t>
            </w:r>
          </w:p>
        </w:tc>
        <w:tc>
          <w:tcPr>
            <w:tcW w:w="774" w:type="dxa"/>
            <w:tcBorders>
              <w:top w:val="single" w:color="auto" w:sz="4" w:space="0"/>
              <w:left w:val="single" w:color="auto" w:sz="4" w:space="0"/>
              <w:bottom w:val="single" w:color="auto" w:sz="4" w:space="0"/>
              <w:right w:val="single" w:color="auto" w:sz="4" w:space="0"/>
            </w:tcBorders>
            <w:noWrap w:val="0"/>
            <w:vAlign w:val="center"/>
          </w:tcPr>
          <w:p w14:paraId="69DDBEBE">
            <w:pPr>
              <w:spacing w:line="360" w:lineRule="auto"/>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批</w:t>
            </w:r>
          </w:p>
        </w:tc>
        <w:tc>
          <w:tcPr>
            <w:tcW w:w="1857" w:type="dxa"/>
            <w:tcBorders>
              <w:top w:val="single" w:color="auto" w:sz="4" w:space="0"/>
              <w:left w:val="single" w:color="auto" w:sz="4" w:space="0"/>
              <w:bottom w:val="single" w:color="auto" w:sz="4" w:space="0"/>
              <w:right w:val="single" w:color="auto" w:sz="4" w:space="0"/>
            </w:tcBorders>
            <w:noWrap w:val="0"/>
            <w:vAlign w:val="center"/>
          </w:tcPr>
          <w:p w14:paraId="4C799CC6">
            <w:pPr>
              <w:spacing w:line="360" w:lineRule="auto"/>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val="en-US" w:eastAsia="zh-CN"/>
              </w:rPr>
              <w:t>2120000</w:t>
            </w:r>
            <w:r>
              <w:rPr>
                <w:rFonts w:hint="eastAsia" w:asciiTheme="minorEastAsia" w:hAnsiTheme="minorEastAsia" w:eastAsiaTheme="minorEastAsia" w:cstheme="minorEastAsia"/>
                <w:color w:val="000000"/>
                <w:sz w:val="21"/>
                <w:szCs w:val="21"/>
              </w:rPr>
              <w:t>.</w:t>
            </w:r>
            <w:r>
              <w:rPr>
                <w:rFonts w:hint="eastAsia" w:asciiTheme="minorEastAsia" w:hAnsiTheme="minorEastAsia" w:eastAsiaTheme="minorEastAsia" w:cstheme="minorEastAsia"/>
                <w:color w:val="000000"/>
                <w:sz w:val="21"/>
                <w:szCs w:val="21"/>
                <w:lang w:val="en-US" w:eastAsia="zh-CN"/>
              </w:rPr>
              <w:t>00</w:t>
            </w:r>
            <w:r>
              <w:rPr>
                <w:rFonts w:hint="eastAsia" w:asciiTheme="minorEastAsia" w:hAnsiTheme="minorEastAsia" w:eastAsiaTheme="minorEastAsia" w:cstheme="minorEastAsia"/>
                <w:color w:val="000000"/>
                <w:sz w:val="21"/>
                <w:szCs w:val="21"/>
              </w:rPr>
              <w:t> </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20F6D47B">
            <w:pP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color w:val="000000"/>
                <w:sz w:val="21"/>
                <w:szCs w:val="21"/>
              </w:rPr>
              <w:t>详见采购文件第二章采购需求</w:t>
            </w:r>
          </w:p>
        </w:tc>
      </w:tr>
    </w:tbl>
    <w:p w14:paraId="1B7976F2">
      <w:pPr>
        <w:spacing w:line="360" w:lineRule="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本项目是否接受联合体响应：否。</w:t>
      </w:r>
    </w:p>
    <w:p w14:paraId="028CAA89">
      <w:pPr>
        <w:spacing w:line="360" w:lineRule="auto"/>
        <w:ind w:firstLine="422" w:firstLineChars="20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
          <w:kern w:val="44"/>
          <w:sz w:val="21"/>
          <w:szCs w:val="21"/>
        </w:rPr>
        <w:t>二、供应商的资格条件</w:t>
      </w:r>
    </w:p>
    <w:p w14:paraId="088CBC9F">
      <w:pPr>
        <w:spacing w:line="360" w:lineRule="auto"/>
        <w:ind w:firstLine="420" w:firstLineChars="20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1.满足《中华人民共和国政府采购法》第二十二条规定；</w:t>
      </w:r>
    </w:p>
    <w:p w14:paraId="1B3A4623">
      <w:pPr>
        <w:spacing w:line="360" w:lineRule="auto"/>
        <w:ind w:firstLine="420" w:firstLineChars="200"/>
        <w:rPr>
          <w:rFonts w:hint="eastAsia" w:asciiTheme="minorEastAsia" w:hAnsiTheme="minorEastAsia" w:eastAsiaTheme="minorEastAsia" w:cstheme="minorEastAsia"/>
          <w:b/>
          <w:color w:val="000000"/>
          <w:sz w:val="21"/>
          <w:szCs w:val="21"/>
          <w:highlight w:val="none"/>
          <w:lang w:val="en-US" w:eastAsia="zh-CN"/>
        </w:rPr>
      </w:pPr>
      <w:r>
        <w:rPr>
          <w:rFonts w:hint="eastAsia" w:asciiTheme="minorEastAsia" w:hAnsiTheme="minorEastAsia" w:eastAsiaTheme="minorEastAsia" w:cstheme="minorEastAsia"/>
          <w:color w:val="000000"/>
          <w:sz w:val="21"/>
          <w:szCs w:val="21"/>
        </w:rPr>
        <w:t>2.落实政府采购政策需满足的资格要求：</w:t>
      </w:r>
      <w:r>
        <w:rPr>
          <w:rFonts w:hint="eastAsia" w:asciiTheme="minorEastAsia" w:hAnsiTheme="minorEastAsia" w:eastAsiaTheme="minorEastAsia" w:cstheme="minorEastAsia"/>
          <w:b/>
          <w:color w:val="000000"/>
          <w:sz w:val="21"/>
          <w:szCs w:val="21"/>
          <w:highlight w:val="none"/>
          <w:lang w:eastAsia="zh-CN"/>
        </w:rPr>
        <w:t>非</w:t>
      </w:r>
      <w:r>
        <w:rPr>
          <w:rFonts w:hint="eastAsia" w:asciiTheme="minorEastAsia" w:hAnsiTheme="minorEastAsia" w:eastAsiaTheme="minorEastAsia" w:cstheme="minorEastAsia"/>
          <w:b/>
          <w:color w:val="000000"/>
          <w:sz w:val="21"/>
          <w:szCs w:val="21"/>
          <w:highlight w:val="none"/>
        </w:rPr>
        <w:t>专门面向中小企业采购的项目</w:t>
      </w:r>
      <w:r>
        <w:rPr>
          <w:rFonts w:hint="eastAsia" w:asciiTheme="minorEastAsia" w:hAnsiTheme="minorEastAsia" w:eastAsiaTheme="minorEastAsia" w:cstheme="minorEastAsia"/>
          <w:b/>
          <w:color w:val="000000"/>
          <w:sz w:val="21"/>
          <w:szCs w:val="21"/>
          <w:highlight w:val="none"/>
          <w:lang w:eastAsia="zh-CN"/>
        </w:rPr>
        <w:t>（</w:t>
      </w:r>
      <w:r>
        <w:rPr>
          <w:rFonts w:hint="eastAsia" w:asciiTheme="minorEastAsia" w:hAnsiTheme="minorEastAsia" w:eastAsiaTheme="minorEastAsia" w:cstheme="minorEastAsia"/>
          <w:b/>
          <w:color w:val="000000"/>
          <w:sz w:val="21"/>
          <w:szCs w:val="21"/>
          <w:highlight w:val="none"/>
          <w:lang w:val="zh-CN"/>
        </w:rPr>
        <w:t>供应商提供的商品预算总额达</w:t>
      </w:r>
      <w:r>
        <w:rPr>
          <w:rFonts w:hint="eastAsia" w:asciiTheme="minorEastAsia" w:hAnsiTheme="minorEastAsia" w:eastAsiaTheme="minorEastAsia" w:cstheme="minorEastAsia"/>
          <w:b/>
          <w:color w:val="000000"/>
          <w:sz w:val="21"/>
          <w:szCs w:val="21"/>
          <w:highlight w:val="none"/>
          <w:lang w:val="en-US" w:eastAsia="zh-CN"/>
        </w:rPr>
        <w:t>40%以上由中小企业</w:t>
      </w:r>
      <w:r>
        <w:rPr>
          <w:rFonts w:hint="eastAsia" w:asciiTheme="minorEastAsia" w:hAnsiTheme="minorEastAsia" w:eastAsiaTheme="minorEastAsia" w:cstheme="minorEastAsia"/>
          <w:b/>
          <w:color w:val="000000"/>
          <w:sz w:val="21"/>
          <w:szCs w:val="21"/>
          <w:highlight w:val="none"/>
        </w:rPr>
        <w:t>、监狱企业、残疾人福利性单位</w:t>
      </w:r>
      <w:r>
        <w:rPr>
          <w:rFonts w:hint="eastAsia" w:asciiTheme="minorEastAsia" w:hAnsiTheme="minorEastAsia" w:eastAsiaTheme="minorEastAsia" w:cstheme="minorEastAsia"/>
          <w:b/>
          <w:color w:val="000000"/>
          <w:sz w:val="21"/>
          <w:szCs w:val="21"/>
          <w:highlight w:val="none"/>
          <w:lang w:val="en-US" w:eastAsia="zh-CN"/>
        </w:rPr>
        <w:t>制造；其中，小微企业承担部分达到60%）。</w:t>
      </w:r>
    </w:p>
    <w:p w14:paraId="3A52EA74">
      <w:pPr>
        <w:spacing w:line="360" w:lineRule="auto"/>
        <w:ind w:firstLine="420" w:firstLineChars="200"/>
        <w:rPr>
          <w:rFonts w:hint="eastAsia" w:asciiTheme="minorEastAsia" w:hAnsiTheme="minorEastAsia" w:eastAsiaTheme="minorEastAsia" w:cstheme="minorEastAsia"/>
          <w:i w:val="0"/>
          <w:iCs w:val="0"/>
          <w:caps w:val="0"/>
          <w:color w:val="333333"/>
          <w:spacing w:val="0"/>
          <w:sz w:val="21"/>
          <w:szCs w:val="21"/>
          <w:highlight w:val="none"/>
          <w:shd w:val="clear" w:fill="FFFFFF"/>
          <w:lang w:val="en-US" w:eastAsia="zh-CN"/>
        </w:rPr>
      </w:pPr>
      <w:r>
        <w:rPr>
          <w:rFonts w:hint="eastAsia" w:asciiTheme="minorEastAsia" w:hAnsiTheme="minorEastAsia" w:eastAsiaTheme="minorEastAsia" w:cstheme="minorEastAsia"/>
          <w:i w:val="0"/>
          <w:iCs w:val="0"/>
          <w:caps w:val="0"/>
          <w:color w:val="333333"/>
          <w:spacing w:val="0"/>
          <w:sz w:val="21"/>
          <w:szCs w:val="21"/>
          <w:highlight w:val="none"/>
          <w:shd w:val="clear" w:fill="FFFFFF"/>
        </w:rPr>
        <w:t>3.本项目的特定资格要求：</w:t>
      </w:r>
      <w:r>
        <w:rPr>
          <w:rFonts w:hint="eastAsia" w:asciiTheme="minorEastAsia" w:hAnsiTheme="minorEastAsia" w:eastAsiaTheme="minorEastAsia" w:cstheme="minorEastAsia"/>
          <w:i w:val="0"/>
          <w:iCs w:val="0"/>
          <w:caps w:val="0"/>
          <w:color w:val="333333"/>
          <w:spacing w:val="0"/>
          <w:sz w:val="21"/>
          <w:szCs w:val="21"/>
          <w:highlight w:val="none"/>
          <w:shd w:val="clear" w:fill="FFFFFF"/>
          <w:lang w:eastAsia="zh-CN"/>
        </w:rPr>
        <w:t>无</w:t>
      </w:r>
    </w:p>
    <w:p w14:paraId="4E3A12FA">
      <w:pPr>
        <w:spacing w:line="360" w:lineRule="auto"/>
        <w:ind w:firstLine="420" w:firstLineChars="200"/>
        <w:rPr>
          <w:rFonts w:hint="eastAsia" w:asciiTheme="minorEastAsia" w:hAnsiTheme="minorEastAsia" w:eastAsiaTheme="minorEastAsia" w:cstheme="minorEastAsia"/>
          <w:color w:val="0D0D0D"/>
          <w:sz w:val="21"/>
          <w:szCs w:val="21"/>
        </w:rPr>
      </w:pPr>
      <w:r>
        <w:rPr>
          <w:rFonts w:hint="eastAsia" w:asciiTheme="minorEastAsia" w:hAnsiTheme="minorEastAsia" w:eastAsiaTheme="minorEastAsia" w:cstheme="minorEastAsia"/>
          <w:color w:val="0D0D0D"/>
          <w:sz w:val="21"/>
          <w:szCs w:val="21"/>
        </w:rPr>
        <w:t>4. 本项目的特定条件：无</w:t>
      </w:r>
    </w:p>
    <w:p w14:paraId="4C01399E">
      <w:pPr>
        <w:spacing w:line="360" w:lineRule="auto"/>
        <w:ind w:firstLine="420" w:firstLineChars="200"/>
        <w:rPr>
          <w:rFonts w:hint="eastAsia" w:asciiTheme="minorEastAsia" w:hAnsiTheme="minorEastAsia" w:eastAsiaTheme="minorEastAsia" w:cstheme="minorEastAsia"/>
          <w:color w:val="0D0D0D"/>
          <w:sz w:val="21"/>
          <w:szCs w:val="21"/>
        </w:rPr>
      </w:pPr>
      <w:r>
        <w:rPr>
          <w:rFonts w:hint="eastAsia" w:asciiTheme="minorEastAsia" w:hAnsiTheme="minorEastAsia" w:eastAsiaTheme="minorEastAsia" w:cstheme="minorEastAsia"/>
          <w:color w:val="0D0D0D"/>
          <w:sz w:val="21"/>
          <w:szCs w:val="21"/>
        </w:rPr>
        <w:t>5. 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3FCC53E0">
      <w:pPr>
        <w:spacing w:line="360" w:lineRule="auto"/>
        <w:ind w:firstLine="420" w:firstLineChars="200"/>
        <w:rPr>
          <w:rFonts w:hint="eastAsia" w:asciiTheme="minorEastAsia" w:hAnsiTheme="minorEastAsia" w:eastAsiaTheme="minorEastAsia" w:cstheme="minorEastAsia"/>
          <w:color w:val="0D0D0D"/>
          <w:sz w:val="21"/>
          <w:szCs w:val="21"/>
        </w:rPr>
      </w:pPr>
      <w:r>
        <w:rPr>
          <w:rFonts w:hint="eastAsia" w:asciiTheme="minorEastAsia" w:hAnsiTheme="minorEastAsia" w:eastAsiaTheme="minorEastAsia" w:cstheme="minorEastAsia"/>
          <w:color w:val="0D0D0D"/>
          <w:sz w:val="21"/>
          <w:szCs w:val="21"/>
        </w:rPr>
        <w:t>6. 对在“信用中国”网站(www.creditchina.gov.cn) 、中国政府采购网(www.ccgp.gov.cn)被列入失信被执行人、重大税收违法</w:t>
      </w:r>
      <w:r>
        <w:rPr>
          <w:rFonts w:hint="eastAsia" w:asciiTheme="minorEastAsia" w:hAnsiTheme="minorEastAsia" w:eastAsiaTheme="minorEastAsia" w:cstheme="minorEastAsia"/>
          <w:color w:val="0D0D0D"/>
          <w:sz w:val="21"/>
          <w:szCs w:val="21"/>
          <w:lang w:eastAsia="zh-CN"/>
        </w:rPr>
        <w:t>失信主体</w:t>
      </w:r>
      <w:r>
        <w:rPr>
          <w:rFonts w:hint="eastAsia" w:asciiTheme="minorEastAsia" w:hAnsiTheme="minorEastAsia" w:eastAsiaTheme="minorEastAsia" w:cstheme="minorEastAsia"/>
          <w:color w:val="0D0D0D"/>
          <w:sz w:val="21"/>
          <w:szCs w:val="21"/>
        </w:rPr>
        <w:t>、政府采购严重违法失信行为记录名单及其他不符合《中华人民共和国政府采购法》第二十二条规定条件的供应商，不得参与政府采购活动。</w:t>
      </w:r>
    </w:p>
    <w:p w14:paraId="410713B5">
      <w:pPr>
        <w:spacing w:line="360" w:lineRule="auto"/>
        <w:ind w:firstLine="422" w:firstLineChars="200"/>
        <w:rPr>
          <w:rFonts w:hint="eastAsia" w:asciiTheme="minorEastAsia" w:hAnsiTheme="minorEastAsia" w:eastAsiaTheme="minorEastAsia" w:cstheme="minorEastAsia"/>
          <w:b/>
          <w:bCs/>
          <w:color w:val="000000"/>
          <w:sz w:val="21"/>
          <w:szCs w:val="21"/>
        </w:rPr>
      </w:pPr>
      <w:r>
        <w:rPr>
          <w:rFonts w:hint="eastAsia" w:asciiTheme="minorEastAsia" w:hAnsiTheme="minorEastAsia" w:eastAsiaTheme="minorEastAsia" w:cstheme="minorEastAsia"/>
          <w:b/>
          <w:bCs/>
          <w:color w:val="000000"/>
          <w:sz w:val="21"/>
          <w:szCs w:val="21"/>
        </w:rPr>
        <w:t>三、获取竞争性谈判文件</w:t>
      </w:r>
    </w:p>
    <w:p w14:paraId="72CB4E88">
      <w:pPr>
        <w:snapToGrid w:val="0"/>
        <w:spacing w:line="360" w:lineRule="auto"/>
        <w:ind w:firstLine="420" w:firstLineChars="20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时间：自公告发布之日起。</w:t>
      </w:r>
    </w:p>
    <w:p w14:paraId="7D47F405">
      <w:pPr>
        <w:spacing w:line="360" w:lineRule="auto"/>
        <w:ind w:firstLine="420" w:firstLineChars="200"/>
        <w:rPr>
          <w:rFonts w:hint="eastAsia" w:asciiTheme="minorEastAsia" w:hAnsiTheme="minorEastAsia" w:eastAsiaTheme="minorEastAsia" w:cstheme="minorEastAsia"/>
          <w:b/>
          <w:bCs/>
          <w:color w:val="0D0D0D"/>
          <w:sz w:val="21"/>
          <w:szCs w:val="21"/>
        </w:rPr>
      </w:pPr>
      <w:r>
        <w:rPr>
          <w:rFonts w:hint="eastAsia" w:asciiTheme="minorEastAsia" w:hAnsiTheme="minorEastAsia" w:eastAsiaTheme="minorEastAsia" w:cstheme="minorEastAsia"/>
          <w:color w:val="0D0D0D"/>
          <w:sz w:val="21"/>
          <w:szCs w:val="21"/>
        </w:rPr>
        <w:t>获取方式: 网上下载。本项目不发放纸质文件，供应商可自行在</w:t>
      </w:r>
      <w:r>
        <w:rPr>
          <w:rFonts w:hint="eastAsia" w:asciiTheme="minorEastAsia" w:hAnsiTheme="minorEastAsia" w:eastAsiaTheme="minorEastAsia" w:cstheme="minorEastAsia"/>
          <w:color w:val="0D0D0D"/>
          <w:sz w:val="21"/>
          <w:szCs w:val="21"/>
        </w:rPr>
        <w:fldChar w:fldCharType="begin"/>
      </w:r>
      <w:r>
        <w:rPr>
          <w:rFonts w:hint="eastAsia" w:asciiTheme="minorEastAsia" w:hAnsiTheme="minorEastAsia" w:eastAsiaTheme="minorEastAsia" w:cstheme="minorEastAsia"/>
          <w:color w:val="0D0D0D"/>
          <w:sz w:val="21"/>
          <w:szCs w:val="21"/>
        </w:rPr>
        <w:instrText xml:space="preserve"> HYPERLINK </w:instrText>
      </w:r>
      <w:r>
        <w:rPr>
          <w:rFonts w:hint="eastAsia" w:asciiTheme="minorEastAsia" w:hAnsiTheme="minorEastAsia" w:eastAsiaTheme="minorEastAsia" w:cstheme="minorEastAsia"/>
          <w:color w:val="0D0D0D"/>
          <w:sz w:val="21"/>
          <w:szCs w:val="21"/>
        </w:rPr>
        <w:fldChar w:fldCharType="separate"/>
      </w:r>
      <w:r>
        <w:rPr>
          <w:rFonts w:hint="eastAsia" w:asciiTheme="minorEastAsia" w:hAnsiTheme="minorEastAsia" w:eastAsiaTheme="minorEastAsia" w:cstheme="minorEastAsia"/>
          <w:color w:val="0D0D0D"/>
          <w:sz w:val="21"/>
          <w:szCs w:val="21"/>
        </w:rPr>
        <w:fldChar w:fldCharType="end"/>
      </w:r>
      <w:r>
        <w:rPr>
          <w:rFonts w:hint="eastAsia" w:asciiTheme="minorEastAsia" w:hAnsiTheme="minorEastAsia" w:eastAsiaTheme="minorEastAsia" w:cstheme="minorEastAsia"/>
          <w:color w:val="0D0D0D"/>
          <w:sz w:val="21"/>
          <w:szCs w:val="21"/>
        </w:rPr>
        <w:t>广西政府采购云平台https://www.gcy.zfcg.gxzf.gov.cn/下载</w:t>
      </w:r>
      <w:r>
        <w:rPr>
          <w:rFonts w:hint="eastAsia" w:asciiTheme="minorEastAsia" w:hAnsiTheme="minorEastAsia" w:eastAsiaTheme="minorEastAsia" w:cstheme="minorEastAsia"/>
          <w:color w:val="0D0D0D"/>
          <w:sz w:val="21"/>
          <w:szCs w:val="21"/>
          <w:lang w:eastAsia="zh-CN"/>
        </w:rPr>
        <w:t>采购文件</w:t>
      </w:r>
      <w:r>
        <w:rPr>
          <w:rFonts w:hint="eastAsia" w:asciiTheme="minorEastAsia" w:hAnsiTheme="minorEastAsia" w:eastAsiaTheme="minorEastAsia" w:cstheme="minorEastAsia"/>
          <w:color w:val="0D0D0D"/>
          <w:sz w:val="21"/>
          <w:szCs w:val="21"/>
        </w:rPr>
        <w:t>（操作路径：登录“广西政府采购云”平台-项目采购-获取采购文件-找到本项目-点击“申请获取采购文件”），电子</w:t>
      </w:r>
      <w:r>
        <w:rPr>
          <w:rFonts w:hint="eastAsia" w:asciiTheme="minorEastAsia" w:hAnsiTheme="minorEastAsia" w:eastAsiaTheme="minorEastAsia" w:cstheme="minorEastAsia"/>
          <w:color w:val="0D0D0D"/>
          <w:sz w:val="21"/>
          <w:szCs w:val="21"/>
          <w:lang w:eastAsia="zh-CN"/>
        </w:rPr>
        <w:t>响应文件</w:t>
      </w:r>
      <w:r>
        <w:rPr>
          <w:rFonts w:hint="eastAsia" w:asciiTheme="minorEastAsia" w:hAnsiTheme="minorEastAsia" w:eastAsiaTheme="minorEastAsia" w:cstheme="minorEastAsia"/>
          <w:color w:val="0D0D0D"/>
          <w:sz w:val="21"/>
          <w:szCs w:val="21"/>
        </w:rPr>
        <w:t>制作需要基于“广西政府采购云”平台获取的</w:t>
      </w:r>
      <w:r>
        <w:rPr>
          <w:rFonts w:hint="eastAsia" w:asciiTheme="minorEastAsia" w:hAnsiTheme="minorEastAsia" w:eastAsiaTheme="minorEastAsia" w:cstheme="minorEastAsia"/>
          <w:color w:val="0D0D0D"/>
          <w:sz w:val="21"/>
          <w:szCs w:val="21"/>
          <w:lang w:eastAsia="zh-CN"/>
        </w:rPr>
        <w:t>采购文件</w:t>
      </w:r>
      <w:r>
        <w:rPr>
          <w:rFonts w:hint="eastAsia" w:asciiTheme="minorEastAsia" w:hAnsiTheme="minorEastAsia" w:eastAsiaTheme="minorEastAsia" w:cstheme="minorEastAsia"/>
          <w:color w:val="0D0D0D"/>
          <w:sz w:val="21"/>
          <w:szCs w:val="21"/>
        </w:rPr>
        <w:t>编制。</w:t>
      </w:r>
    </w:p>
    <w:p w14:paraId="5C30C23D">
      <w:pPr>
        <w:snapToGrid w:val="0"/>
        <w:spacing w:line="360" w:lineRule="auto"/>
        <w:ind w:firstLine="420" w:firstLineChars="20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售价：0元。</w:t>
      </w:r>
    </w:p>
    <w:p w14:paraId="795E7D57">
      <w:pPr>
        <w:spacing w:line="360" w:lineRule="auto"/>
        <w:ind w:firstLine="422" w:firstLineChars="200"/>
        <w:rPr>
          <w:rFonts w:hint="eastAsia" w:asciiTheme="minorEastAsia" w:hAnsiTheme="minorEastAsia" w:eastAsiaTheme="minorEastAsia" w:cstheme="minorEastAsia"/>
          <w:b/>
          <w:bCs/>
          <w:color w:val="000000"/>
          <w:sz w:val="21"/>
          <w:szCs w:val="21"/>
        </w:rPr>
      </w:pPr>
      <w:r>
        <w:rPr>
          <w:rFonts w:hint="eastAsia" w:asciiTheme="minorEastAsia" w:hAnsiTheme="minorEastAsia" w:eastAsiaTheme="minorEastAsia" w:cstheme="minorEastAsia"/>
          <w:b/>
          <w:bCs/>
          <w:color w:val="000000"/>
          <w:sz w:val="21"/>
          <w:szCs w:val="21"/>
        </w:rPr>
        <w:t>四、响应文件提交</w:t>
      </w:r>
    </w:p>
    <w:p w14:paraId="4A6C9A60">
      <w:pPr>
        <w:spacing w:line="360" w:lineRule="auto"/>
        <w:ind w:firstLine="420" w:firstLineChars="200"/>
        <w:rPr>
          <w:rFonts w:hint="eastAsia" w:asciiTheme="minorEastAsia" w:hAnsiTheme="minorEastAsia" w:eastAsiaTheme="minorEastAsia" w:cstheme="minorEastAsia"/>
          <w:sz w:val="21"/>
          <w:szCs w:val="21"/>
          <w:u w:val="single"/>
        </w:rPr>
      </w:pPr>
      <w:r>
        <w:rPr>
          <w:rFonts w:hint="eastAsia" w:asciiTheme="minorEastAsia" w:hAnsiTheme="minorEastAsia" w:eastAsiaTheme="minorEastAsia" w:cstheme="minorEastAsia"/>
          <w:sz w:val="21"/>
          <w:szCs w:val="21"/>
        </w:rPr>
        <w:t>1、首次响应文件提交截止时间</w:t>
      </w:r>
      <w:r>
        <w:rPr>
          <w:rFonts w:hint="eastAsia" w:asciiTheme="minorEastAsia" w:hAnsiTheme="minorEastAsia" w:eastAsiaTheme="minorEastAsia" w:cstheme="minorEastAsia"/>
          <w:bCs/>
          <w:sz w:val="21"/>
          <w:szCs w:val="21"/>
        </w:rPr>
        <w:t>（北京时间）</w:t>
      </w:r>
      <w:r>
        <w:rPr>
          <w:rFonts w:hint="eastAsia" w:asciiTheme="minorEastAsia" w:hAnsiTheme="minorEastAsia" w:eastAsiaTheme="minorEastAsia" w:cstheme="minorEastAsia"/>
          <w:bCs/>
          <w:color w:val="000000"/>
          <w:sz w:val="21"/>
          <w:szCs w:val="21"/>
        </w:rPr>
        <w:t>：</w:t>
      </w:r>
      <w:bookmarkStart w:id="5" w:name="PO_3000001871_PM015_1"/>
      <w:r>
        <w:rPr>
          <w:rFonts w:hint="eastAsia" w:asciiTheme="minorEastAsia" w:hAnsiTheme="minorEastAsia" w:eastAsiaTheme="minorEastAsia" w:cstheme="minorEastAsia"/>
          <w:bCs/>
          <w:color w:val="000000"/>
          <w:sz w:val="21"/>
          <w:szCs w:val="21"/>
          <w:u w:val="single"/>
        </w:rPr>
        <w:t>2026-</w:t>
      </w:r>
      <w:r>
        <w:rPr>
          <w:rFonts w:hint="eastAsia" w:asciiTheme="minorEastAsia" w:hAnsiTheme="minorEastAsia" w:eastAsiaTheme="minorEastAsia" w:cstheme="minorEastAsia"/>
          <w:bCs/>
          <w:color w:val="000000"/>
          <w:sz w:val="21"/>
          <w:szCs w:val="21"/>
          <w:u w:val="single"/>
          <w:lang w:val="en-US" w:eastAsia="zh-CN"/>
        </w:rPr>
        <w:t>09</w:t>
      </w:r>
      <w:r>
        <w:rPr>
          <w:rFonts w:hint="eastAsia" w:asciiTheme="minorEastAsia" w:hAnsiTheme="minorEastAsia" w:eastAsiaTheme="minorEastAsia" w:cstheme="minorEastAsia"/>
          <w:bCs/>
          <w:color w:val="000000"/>
          <w:sz w:val="21"/>
          <w:szCs w:val="21"/>
          <w:u w:val="single"/>
        </w:rPr>
        <w:t>-</w:t>
      </w:r>
      <w:r>
        <w:rPr>
          <w:rFonts w:hint="eastAsia" w:asciiTheme="minorEastAsia" w:hAnsiTheme="minorEastAsia" w:eastAsiaTheme="minorEastAsia" w:cstheme="minorEastAsia"/>
          <w:bCs/>
          <w:color w:val="000000"/>
          <w:sz w:val="21"/>
          <w:szCs w:val="21"/>
          <w:u w:val="single"/>
          <w:lang w:val="en-US" w:eastAsia="zh-CN"/>
        </w:rPr>
        <w:t>02</w:t>
      </w:r>
      <w:r>
        <w:rPr>
          <w:rFonts w:hint="eastAsia" w:asciiTheme="minorEastAsia" w:hAnsiTheme="minorEastAsia" w:eastAsiaTheme="minorEastAsia" w:cstheme="minorEastAsia"/>
          <w:bCs/>
          <w:color w:val="000000"/>
          <w:sz w:val="21"/>
          <w:szCs w:val="21"/>
          <w:u w:val="single"/>
        </w:rPr>
        <w:t xml:space="preserve"> </w:t>
      </w:r>
      <w:r>
        <w:rPr>
          <w:rFonts w:hint="eastAsia" w:asciiTheme="minorEastAsia" w:hAnsiTheme="minorEastAsia" w:eastAsiaTheme="minorEastAsia" w:cstheme="minorEastAsia"/>
          <w:bCs/>
          <w:color w:val="000000"/>
          <w:sz w:val="21"/>
          <w:szCs w:val="21"/>
          <w:u w:val="single"/>
          <w:lang w:val="en-US" w:eastAsia="zh-CN"/>
        </w:rPr>
        <w:t>14</w:t>
      </w:r>
      <w:r>
        <w:rPr>
          <w:rFonts w:hint="eastAsia" w:asciiTheme="minorEastAsia" w:hAnsiTheme="minorEastAsia" w:eastAsiaTheme="minorEastAsia" w:cstheme="minorEastAsia"/>
          <w:bCs/>
          <w:color w:val="000000"/>
          <w:sz w:val="21"/>
          <w:szCs w:val="21"/>
          <w:u w:val="single"/>
        </w:rPr>
        <w:t>:</w:t>
      </w:r>
      <w:r>
        <w:rPr>
          <w:rFonts w:hint="eastAsia" w:asciiTheme="minorEastAsia" w:hAnsiTheme="minorEastAsia" w:eastAsiaTheme="minorEastAsia" w:cstheme="minorEastAsia"/>
          <w:bCs/>
          <w:color w:val="000000"/>
          <w:sz w:val="21"/>
          <w:szCs w:val="21"/>
          <w:u w:val="single"/>
          <w:lang w:val="en-US" w:eastAsia="zh-CN"/>
        </w:rPr>
        <w:t>0</w:t>
      </w:r>
      <w:r>
        <w:rPr>
          <w:rFonts w:hint="eastAsia" w:asciiTheme="minorEastAsia" w:hAnsiTheme="minorEastAsia" w:eastAsiaTheme="minorEastAsia" w:cstheme="minorEastAsia"/>
          <w:bCs/>
          <w:color w:val="000000"/>
          <w:sz w:val="21"/>
          <w:szCs w:val="21"/>
          <w:u w:val="single"/>
        </w:rPr>
        <w:t>0:00</w:t>
      </w:r>
      <w:bookmarkEnd w:id="5"/>
      <w:r>
        <w:rPr>
          <w:rFonts w:hint="eastAsia" w:asciiTheme="minorEastAsia" w:hAnsiTheme="minorEastAsia" w:eastAsiaTheme="minorEastAsia" w:cstheme="minorEastAsia"/>
          <w:sz w:val="21"/>
          <w:szCs w:val="21"/>
          <w:u w:val="single"/>
        </w:rPr>
        <w:t>（从谈判文件开始发出之日起至供应商提交首次响应文件截止之日止不得少于3个工作日）</w:t>
      </w:r>
    </w:p>
    <w:p w14:paraId="078DEEE7">
      <w:pPr>
        <w:spacing w:line="360" w:lineRule="auto"/>
        <w:ind w:firstLine="420" w:firstLineChars="200"/>
        <w:rPr>
          <w:rFonts w:hint="eastAsia" w:asciiTheme="minorEastAsia" w:hAnsiTheme="minorEastAsia" w:eastAsiaTheme="minorEastAsia" w:cstheme="minorEastAsia"/>
          <w:color w:val="0D0D0D"/>
          <w:sz w:val="21"/>
          <w:szCs w:val="21"/>
        </w:rPr>
      </w:pPr>
      <w:r>
        <w:rPr>
          <w:rFonts w:hint="eastAsia" w:asciiTheme="minorEastAsia" w:hAnsiTheme="minorEastAsia" w:eastAsiaTheme="minorEastAsia" w:cstheme="minorEastAsia"/>
          <w:color w:val="0D0D0D"/>
          <w:sz w:val="21"/>
          <w:szCs w:val="21"/>
        </w:rPr>
        <w:t>2、首次响应文件提交地点：</w:t>
      </w:r>
    </w:p>
    <w:p w14:paraId="5464C35C">
      <w:pPr>
        <w:widowControl/>
        <w:spacing w:line="360" w:lineRule="auto"/>
        <w:ind w:firstLine="420" w:firstLineChars="200"/>
        <w:jc w:val="left"/>
        <w:rPr>
          <w:rFonts w:hint="eastAsia" w:asciiTheme="minorEastAsia" w:hAnsiTheme="minorEastAsia" w:eastAsiaTheme="minorEastAsia" w:cstheme="minorEastAsia"/>
          <w:color w:val="0D0D0D"/>
          <w:sz w:val="21"/>
          <w:szCs w:val="21"/>
        </w:rPr>
      </w:pPr>
      <w:r>
        <w:rPr>
          <w:rFonts w:hint="eastAsia" w:asciiTheme="minorEastAsia" w:hAnsiTheme="minorEastAsia" w:eastAsiaTheme="minorEastAsia" w:cstheme="minorEastAsia"/>
          <w:color w:val="0D0D0D"/>
          <w:sz w:val="21"/>
          <w:szCs w:val="21"/>
        </w:rPr>
        <w:t>（1）响应文件提交方式：本项目为南宁市全流程电子化项目，通过广西政府采购云平台https://www.gcy.zfcg.gxzf.gov.cn/实行在线电子响应，供应商应先安装“广西政府采购云电子交易客户端”（请自行前往广西政府采购云平台进行下载），并按照本项目采购文件和“广西政府采购云平台的要求编制、加密后在</w:t>
      </w:r>
      <w:r>
        <w:rPr>
          <w:rFonts w:hint="eastAsia" w:asciiTheme="minorEastAsia" w:hAnsiTheme="minorEastAsia" w:eastAsiaTheme="minorEastAsia" w:cstheme="minorEastAsia"/>
          <w:color w:val="0D0D0D"/>
          <w:sz w:val="21"/>
          <w:szCs w:val="21"/>
          <w:lang w:eastAsia="zh-CN"/>
        </w:rPr>
        <w:t>响应</w:t>
      </w:r>
      <w:r>
        <w:rPr>
          <w:rFonts w:hint="eastAsia" w:asciiTheme="minorEastAsia" w:hAnsiTheme="minorEastAsia" w:eastAsiaTheme="minorEastAsia" w:cstheme="minorEastAsia"/>
          <w:color w:val="0D0D0D"/>
          <w:sz w:val="21"/>
          <w:szCs w:val="21"/>
        </w:rPr>
        <w:t>截止时间前通过网络上传至广西政府采购云平台平台，</w:t>
      </w:r>
      <w:r>
        <w:rPr>
          <w:rFonts w:hint="eastAsia" w:asciiTheme="minorEastAsia" w:hAnsiTheme="minorEastAsia" w:eastAsiaTheme="minorEastAsia" w:cstheme="minorEastAsia"/>
          <w:b/>
          <w:color w:val="0D0D0D"/>
          <w:sz w:val="21"/>
          <w:szCs w:val="21"/>
        </w:rPr>
        <w:t>供应商在</w:t>
      </w:r>
      <w:r>
        <w:rPr>
          <w:rFonts w:hint="eastAsia" w:asciiTheme="minorEastAsia" w:hAnsiTheme="minorEastAsia" w:eastAsiaTheme="minorEastAsia" w:cstheme="minorEastAsia"/>
          <w:color w:val="0D0D0D"/>
          <w:sz w:val="21"/>
          <w:szCs w:val="21"/>
        </w:rPr>
        <w:t>广西政府采购云平台</w:t>
      </w:r>
      <w:r>
        <w:rPr>
          <w:rFonts w:hint="eastAsia" w:asciiTheme="minorEastAsia" w:hAnsiTheme="minorEastAsia" w:eastAsiaTheme="minorEastAsia" w:cstheme="minorEastAsia"/>
          <w:b/>
          <w:color w:val="0D0D0D"/>
          <w:sz w:val="21"/>
          <w:szCs w:val="21"/>
        </w:rPr>
        <w:t>提交电子版响应文件时，请填写参加远程采购活动经办人联系方式，</w:t>
      </w:r>
      <w:r>
        <w:rPr>
          <w:rFonts w:hint="eastAsia" w:asciiTheme="minorEastAsia" w:hAnsiTheme="minorEastAsia" w:eastAsiaTheme="minorEastAsia" w:cstheme="minorEastAsia"/>
          <w:color w:val="0D0D0D"/>
          <w:sz w:val="21"/>
          <w:szCs w:val="21"/>
        </w:rPr>
        <w:t>电子响应文件具体操作流程详见本公告</w:t>
      </w:r>
      <w:r>
        <w:rPr>
          <w:rFonts w:hint="eastAsia" w:asciiTheme="minorEastAsia" w:hAnsiTheme="minorEastAsia" w:eastAsiaTheme="minorEastAsia" w:cstheme="minorEastAsia"/>
          <w:b/>
          <w:color w:val="0D0D0D"/>
          <w:sz w:val="21"/>
          <w:szCs w:val="21"/>
        </w:rPr>
        <w:t>附件</w:t>
      </w:r>
      <w:r>
        <w:rPr>
          <w:rFonts w:hint="eastAsia" w:asciiTheme="minorEastAsia" w:hAnsiTheme="minorEastAsia" w:eastAsiaTheme="minorEastAsia" w:cstheme="minorEastAsia"/>
          <w:b/>
          <w:color w:val="0D0D0D"/>
          <w:sz w:val="21"/>
          <w:szCs w:val="21"/>
          <w:lang w:val="en-US" w:eastAsia="zh-CN"/>
        </w:rPr>
        <w:t>2</w:t>
      </w:r>
      <w:r>
        <w:rPr>
          <w:rFonts w:hint="eastAsia" w:asciiTheme="minorEastAsia" w:hAnsiTheme="minorEastAsia" w:eastAsiaTheme="minorEastAsia" w:cstheme="minorEastAsia"/>
          <w:color w:val="0D0D0D"/>
          <w:sz w:val="21"/>
          <w:szCs w:val="21"/>
        </w:rPr>
        <w:t>。</w:t>
      </w:r>
    </w:p>
    <w:p w14:paraId="586F55C0">
      <w:pPr>
        <w:widowControl/>
        <w:spacing w:line="360" w:lineRule="auto"/>
        <w:ind w:firstLine="420" w:firstLineChars="200"/>
        <w:jc w:val="left"/>
        <w:rPr>
          <w:rFonts w:hint="eastAsia" w:asciiTheme="minorEastAsia" w:hAnsiTheme="minorEastAsia" w:eastAsiaTheme="minorEastAsia" w:cstheme="minorEastAsia"/>
          <w:color w:val="0D0D0D"/>
          <w:sz w:val="21"/>
          <w:szCs w:val="21"/>
        </w:rPr>
      </w:pPr>
      <w:r>
        <w:rPr>
          <w:rFonts w:hint="eastAsia" w:asciiTheme="minorEastAsia" w:hAnsiTheme="minorEastAsia" w:eastAsiaTheme="minorEastAsia" w:cstheme="minorEastAsia"/>
          <w:color w:val="0D0D0D"/>
          <w:sz w:val="21"/>
          <w:szCs w:val="21"/>
        </w:rPr>
        <w:t>（2）未进行网上注册并办理数字证书（CA认证）的供应商将无法参与本项目政府采购活动，潜在供应商应要尽早完成电子交易平台上的CA数字证书办理（申领流程见本公告</w:t>
      </w:r>
      <w:r>
        <w:rPr>
          <w:rFonts w:hint="eastAsia" w:asciiTheme="minorEastAsia" w:hAnsiTheme="minorEastAsia" w:eastAsiaTheme="minorEastAsia" w:cstheme="minorEastAsia"/>
          <w:b/>
          <w:color w:val="0D0D0D"/>
          <w:sz w:val="21"/>
          <w:szCs w:val="21"/>
        </w:rPr>
        <w:t>附件</w:t>
      </w:r>
      <w:r>
        <w:rPr>
          <w:rFonts w:hint="eastAsia" w:asciiTheme="minorEastAsia" w:hAnsiTheme="minorEastAsia" w:eastAsiaTheme="minorEastAsia" w:cstheme="minorEastAsia"/>
          <w:b/>
          <w:color w:val="0D0D0D"/>
          <w:sz w:val="21"/>
          <w:szCs w:val="21"/>
          <w:lang w:val="en-US" w:eastAsia="zh-CN"/>
        </w:rPr>
        <w:t>1</w:t>
      </w:r>
      <w:r>
        <w:rPr>
          <w:rFonts w:hint="eastAsia" w:asciiTheme="minorEastAsia" w:hAnsiTheme="minorEastAsia" w:eastAsiaTheme="minorEastAsia" w:cstheme="minorEastAsia"/>
          <w:color w:val="0D0D0D"/>
          <w:sz w:val="21"/>
          <w:szCs w:val="21"/>
        </w:rPr>
        <w:t>），并在首次响应文件提交截止时间前提交响应文件。</w:t>
      </w:r>
    </w:p>
    <w:p w14:paraId="62927CC1">
      <w:pPr>
        <w:widowControl/>
        <w:spacing w:line="360" w:lineRule="auto"/>
        <w:ind w:firstLine="420" w:firstLineChars="200"/>
        <w:jc w:val="left"/>
        <w:rPr>
          <w:rFonts w:hint="eastAsia" w:asciiTheme="minorEastAsia" w:hAnsiTheme="minorEastAsia" w:eastAsiaTheme="minorEastAsia" w:cstheme="minorEastAsia"/>
          <w:color w:val="0D0D0D"/>
          <w:sz w:val="21"/>
          <w:szCs w:val="21"/>
        </w:rPr>
      </w:pPr>
      <w:r>
        <w:rPr>
          <w:rFonts w:hint="eastAsia" w:asciiTheme="minorEastAsia" w:hAnsiTheme="minorEastAsia" w:eastAsiaTheme="minorEastAsia" w:cstheme="minorEastAsia"/>
          <w:color w:val="0D0D0D"/>
          <w:sz w:val="21"/>
          <w:szCs w:val="21"/>
        </w:rPr>
        <w:t>（3）为确保网上操作合法、有效和安全，请供应商确保在电子响应过程中能够对相关数据电文进行加密和使用电子签章，妥善保管CA数字证书并使用有效的CA数字证书参与整个采购活动。</w:t>
      </w:r>
    </w:p>
    <w:p w14:paraId="4D2558DA">
      <w:pPr>
        <w:spacing w:line="360" w:lineRule="auto"/>
        <w:ind w:firstLine="420" w:firstLineChars="200"/>
        <w:rPr>
          <w:rFonts w:hint="eastAsia" w:asciiTheme="minorEastAsia" w:hAnsiTheme="minorEastAsia" w:eastAsiaTheme="minorEastAsia" w:cstheme="minorEastAsia"/>
          <w:bCs/>
          <w:color w:val="0D0D0D"/>
          <w:sz w:val="21"/>
          <w:szCs w:val="21"/>
          <w:u w:val="single"/>
        </w:rPr>
      </w:pPr>
      <w:r>
        <w:rPr>
          <w:rFonts w:hint="eastAsia" w:asciiTheme="minorEastAsia" w:hAnsiTheme="minorEastAsia" w:eastAsiaTheme="minorEastAsia" w:cstheme="minorEastAsia"/>
          <w:bCs/>
          <w:color w:val="0D0D0D"/>
          <w:sz w:val="21"/>
          <w:szCs w:val="21"/>
          <w:u w:val="single"/>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广西政府采购云”平台将予以拒收。</w:t>
      </w:r>
    </w:p>
    <w:p w14:paraId="60CBC327">
      <w:pPr>
        <w:snapToGrid w:val="0"/>
        <w:spacing w:line="360" w:lineRule="auto"/>
        <w:ind w:firstLine="420" w:firstLineChars="200"/>
        <w:rPr>
          <w:rFonts w:hint="eastAsia" w:asciiTheme="minorEastAsia" w:hAnsiTheme="minorEastAsia" w:eastAsiaTheme="minorEastAsia" w:cstheme="minorEastAsia"/>
          <w:color w:val="0D0D0D"/>
          <w:kern w:val="0"/>
          <w:sz w:val="21"/>
          <w:szCs w:val="21"/>
        </w:rPr>
      </w:pPr>
      <w:r>
        <w:rPr>
          <w:rFonts w:hint="eastAsia" w:asciiTheme="minorEastAsia" w:hAnsiTheme="minorEastAsia" w:eastAsiaTheme="minorEastAsia" w:cstheme="minorEastAsia"/>
          <w:color w:val="0D0D0D"/>
          <w:kern w:val="0"/>
          <w:sz w:val="21"/>
          <w:szCs w:val="21"/>
        </w:rPr>
        <w:t>3、CA证书在线解密：首次响应文件开启时，</w:t>
      </w:r>
      <w:r>
        <w:rPr>
          <w:rFonts w:hint="eastAsia" w:asciiTheme="minorEastAsia" w:hAnsiTheme="minorEastAsia" w:eastAsiaTheme="minorEastAsia" w:cstheme="minorEastAsia"/>
          <w:b/>
          <w:color w:val="0D0D0D"/>
          <w:kern w:val="0"/>
          <w:sz w:val="21"/>
          <w:szCs w:val="21"/>
        </w:rPr>
        <w:t>须要供应商携带制作响应文件时用来加密的有效数字证书（CA认证）</w:t>
      </w:r>
      <w:r>
        <w:rPr>
          <w:rFonts w:hint="eastAsia" w:asciiTheme="minorEastAsia" w:hAnsiTheme="minorEastAsia" w:eastAsiaTheme="minorEastAsia" w:cstheme="minorEastAsia"/>
          <w:color w:val="0D0D0D"/>
          <w:kern w:val="0"/>
          <w:sz w:val="21"/>
          <w:szCs w:val="21"/>
        </w:rPr>
        <w:t>登录</w:t>
      </w:r>
      <w:r>
        <w:rPr>
          <w:rFonts w:hint="eastAsia" w:asciiTheme="minorEastAsia" w:hAnsiTheme="minorEastAsia" w:eastAsiaTheme="minorEastAsia" w:cstheme="minorEastAsia"/>
          <w:color w:val="0D0D0D"/>
          <w:sz w:val="21"/>
          <w:szCs w:val="21"/>
        </w:rPr>
        <w:t>广西政府采购云平台</w:t>
      </w:r>
      <w:r>
        <w:rPr>
          <w:rFonts w:hint="eastAsia" w:asciiTheme="minorEastAsia" w:hAnsiTheme="minorEastAsia" w:eastAsiaTheme="minorEastAsia" w:cstheme="minorEastAsia"/>
          <w:color w:val="0D0D0D"/>
          <w:kern w:val="0"/>
          <w:sz w:val="21"/>
          <w:szCs w:val="21"/>
        </w:rPr>
        <w:t>电子开标大厅现场按规定时间对加密的响应文件进行解密，</w:t>
      </w:r>
      <w:r>
        <w:rPr>
          <w:rFonts w:hint="eastAsia" w:asciiTheme="minorEastAsia" w:hAnsiTheme="minorEastAsia" w:eastAsiaTheme="minorEastAsia" w:cstheme="minorEastAsia"/>
          <w:color w:val="0D0D0D"/>
          <w:sz w:val="21"/>
          <w:szCs w:val="21"/>
        </w:rPr>
        <w:t>详见采购文件“第三章供应商须知正文25.2条”</w:t>
      </w:r>
      <w:r>
        <w:rPr>
          <w:rFonts w:hint="eastAsia" w:asciiTheme="minorEastAsia" w:hAnsiTheme="minorEastAsia" w:eastAsiaTheme="minorEastAsia" w:cstheme="minorEastAsia"/>
          <w:color w:val="0D0D0D"/>
          <w:kern w:val="0"/>
          <w:sz w:val="21"/>
          <w:szCs w:val="21"/>
        </w:rPr>
        <w:t xml:space="preserve"> ，未能按要求进行解密的，由此产生的后果由</w:t>
      </w:r>
      <w:r>
        <w:rPr>
          <w:rFonts w:hint="eastAsia" w:asciiTheme="minorEastAsia" w:hAnsiTheme="minorEastAsia" w:eastAsiaTheme="minorEastAsia" w:cstheme="minorEastAsia"/>
          <w:color w:val="0D0D0D"/>
          <w:kern w:val="0"/>
          <w:sz w:val="21"/>
          <w:szCs w:val="21"/>
          <w:lang w:eastAsia="zh-CN"/>
        </w:rPr>
        <w:t>响应供应商</w:t>
      </w:r>
      <w:r>
        <w:rPr>
          <w:rFonts w:hint="eastAsia" w:asciiTheme="minorEastAsia" w:hAnsiTheme="minorEastAsia" w:eastAsiaTheme="minorEastAsia" w:cstheme="minorEastAsia"/>
          <w:color w:val="0D0D0D"/>
          <w:kern w:val="0"/>
          <w:sz w:val="21"/>
          <w:szCs w:val="21"/>
        </w:rPr>
        <w:t>自行承担。4、供应商需要在具备有摄像头及语音功能且互联网网络状况良好的电脑登录</w:t>
      </w:r>
      <w:r>
        <w:rPr>
          <w:rFonts w:hint="eastAsia" w:asciiTheme="minorEastAsia" w:hAnsiTheme="minorEastAsia" w:eastAsiaTheme="minorEastAsia" w:cstheme="minorEastAsia"/>
          <w:color w:val="0D0D0D"/>
          <w:sz w:val="21"/>
          <w:szCs w:val="21"/>
        </w:rPr>
        <w:t>广西政府采购云平台</w:t>
      </w:r>
      <w:r>
        <w:rPr>
          <w:rFonts w:hint="eastAsia" w:asciiTheme="minorEastAsia" w:hAnsiTheme="minorEastAsia" w:eastAsiaTheme="minorEastAsia" w:cstheme="minorEastAsia"/>
          <w:color w:val="0D0D0D"/>
          <w:kern w:val="0"/>
          <w:sz w:val="21"/>
          <w:szCs w:val="21"/>
        </w:rPr>
        <w:t>远程开标大厅参与本次谈判，否则后果自负。</w:t>
      </w:r>
    </w:p>
    <w:p w14:paraId="1D536227">
      <w:pPr>
        <w:spacing w:line="360" w:lineRule="auto"/>
        <w:ind w:firstLine="422" w:firstLineChars="200"/>
        <w:rPr>
          <w:rFonts w:hint="eastAsia" w:asciiTheme="minorEastAsia" w:hAnsiTheme="minorEastAsia" w:eastAsiaTheme="minorEastAsia" w:cstheme="minorEastAsia"/>
          <w:b/>
          <w:bCs/>
          <w:color w:val="000000"/>
          <w:sz w:val="21"/>
          <w:szCs w:val="21"/>
        </w:rPr>
      </w:pPr>
      <w:r>
        <w:rPr>
          <w:rFonts w:hint="eastAsia" w:asciiTheme="minorEastAsia" w:hAnsiTheme="minorEastAsia" w:eastAsiaTheme="minorEastAsia" w:cstheme="minorEastAsia"/>
          <w:b/>
          <w:bCs/>
          <w:color w:val="000000"/>
          <w:sz w:val="21"/>
          <w:szCs w:val="21"/>
        </w:rPr>
        <w:t>五、开启（首次响应文件开启时间）</w:t>
      </w:r>
    </w:p>
    <w:p w14:paraId="3B72BF9C">
      <w:pPr>
        <w:spacing w:line="360" w:lineRule="auto"/>
        <w:ind w:firstLine="420" w:firstLineChars="200"/>
        <w:rPr>
          <w:rFonts w:hint="eastAsia" w:asciiTheme="minorEastAsia" w:hAnsiTheme="minorEastAsia" w:eastAsiaTheme="minorEastAsia" w:cstheme="minorEastAsia"/>
          <w:bCs/>
          <w:sz w:val="21"/>
          <w:szCs w:val="21"/>
          <w:u w:val="single"/>
        </w:rPr>
      </w:pPr>
      <w:r>
        <w:rPr>
          <w:rFonts w:hint="eastAsia" w:asciiTheme="minorEastAsia" w:hAnsiTheme="minorEastAsia" w:eastAsiaTheme="minorEastAsia" w:cstheme="minorEastAsia"/>
          <w:sz w:val="21"/>
          <w:szCs w:val="21"/>
        </w:rPr>
        <w:t>1.时间</w:t>
      </w:r>
      <w:r>
        <w:rPr>
          <w:rFonts w:hint="eastAsia" w:asciiTheme="minorEastAsia" w:hAnsiTheme="minorEastAsia" w:eastAsiaTheme="minorEastAsia" w:cstheme="minorEastAsia"/>
          <w:bCs/>
          <w:sz w:val="21"/>
          <w:szCs w:val="21"/>
        </w:rPr>
        <w:t>（北京时间）</w:t>
      </w:r>
      <w:r>
        <w:rPr>
          <w:rFonts w:hint="eastAsia" w:asciiTheme="minorEastAsia" w:hAnsiTheme="minorEastAsia" w:eastAsiaTheme="minorEastAsia" w:cstheme="minorEastAsia"/>
          <w:sz w:val="21"/>
          <w:szCs w:val="21"/>
        </w:rPr>
        <w:t>：</w:t>
      </w:r>
      <w:bookmarkStart w:id="6" w:name="PO_3000001871_PM015_2"/>
      <w:r>
        <w:rPr>
          <w:rFonts w:hint="eastAsia" w:asciiTheme="minorEastAsia" w:hAnsiTheme="minorEastAsia" w:eastAsiaTheme="minorEastAsia" w:cstheme="minorEastAsia"/>
          <w:sz w:val="21"/>
          <w:szCs w:val="21"/>
          <w:u w:val="single"/>
        </w:rPr>
        <w:t>2026-0</w:t>
      </w:r>
      <w:r>
        <w:rPr>
          <w:rFonts w:hint="eastAsia" w:asciiTheme="minorEastAsia" w:hAnsiTheme="minorEastAsia" w:eastAsiaTheme="minorEastAsia" w:cstheme="minorEastAsia"/>
          <w:sz w:val="21"/>
          <w:szCs w:val="21"/>
          <w:u w:val="single"/>
          <w:lang w:val="en-US" w:eastAsia="zh-CN"/>
        </w:rPr>
        <w:t>9</w:t>
      </w:r>
      <w:r>
        <w:rPr>
          <w:rFonts w:hint="eastAsia" w:asciiTheme="minorEastAsia" w:hAnsiTheme="minorEastAsia" w:eastAsiaTheme="minorEastAsia" w:cstheme="minorEastAsia"/>
          <w:sz w:val="21"/>
          <w:szCs w:val="21"/>
          <w:u w:val="single"/>
        </w:rPr>
        <w:t>-</w:t>
      </w:r>
      <w:r>
        <w:rPr>
          <w:rFonts w:hint="eastAsia" w:asciiTheme="minorEastAsia" w:hAnsiTheme="minorEastAsia" w:eastAsiaTheme="minorEastAsia" w:cstheme="minorEastAsia"/>
          <w:sz w:val="21"/>
          <w:szCs w:val="21"/>
          <w:u w:val="single"/>
          <w:lang w:val="en-US" w:eastAsia="zh-CN"/>
        </w:rPr>
        <w:t xml:space="preserve">02 </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single"/>
          <w:lang w:val="en-US" w:eastAsia="zh-CN"/>
        </w:rPr>
        <w:t>14</w:t>
      </w:r>
      <w:r>
        <w:rPr>
          <w:rFonts w:hint="eastAsia" w:asciiTheme="minorEastAsia" w:hAnsiTheme="minorEastAsia" w:eastAsiaTheme="minorEastAsia" w:cstheme="minorEastAsia"/>
          <w:sz w:val="21"/>
          <w:szCs w:val="21"/>
          <w:u w:val="single"/>
        </w:rPr>
        <w:t>:</w:t>
      </w:r>
      <w:r>
        <w:rPr>
          <w:rFonts w:hint="eastAsia" w:asciiTheme="minorEastAsia" w:hAnsiTheme="minorEastAsia" w:eastAsiaTheme="minorEastAsia" w:cstheme="minorEastAsia"/>
          <w:sz w:val="21"/>
          <w:szCs w:val="21"/>
          <w:u w:val="single"/>
          <w:lang w:val="en-US" w:eastAsia="zh-CN"/>
        </w:rPr>
        <w:t>0</w:t>
      </w:r>
      <w:r>
        <w:rPr>
          <w:rFonts w:hint="eastAsia" w:asciiTheme="minorEastAsia" w:hAnsiTheme="minorEastAsia" w:eastAsiaTheme="minorEastAsia" w:cstheme="minorEastAsia"/>
          <w:sz w:val="21"/>
          <w:szCs w:val="21"/>
          <w:u w:val="single"/>
        </w:rPr>
        <w:t>0:00</w:t>
      </w:r>
      <w:bookmarkEnd w:id="6"/>
      <w:r>
        <w:rPr>
          <w:rFonts w:hint="eastAsia" w:asciiTheme="minorEastAsia" w:hAnsiTheme="minorEastAsia" w:eastAsiaTheme="minorEastAsia" w:cstheme="minorEastAsia"/>
          <w:sz w:val="21"/>
          <w:szCs w:val="21"/>
        </w:rPr>
        <w:t>后</w:t>
      </w:r>
    </w:p>
    <w:p w14:paraId="700C0DC3">
      <w:pPr>
        <w:spacing w:line="360" w:lineRule="auto"/>
        <w:ind w:firstLine="420" w:firstLineChars="200"/>
        <w:rPr>
          <w:rFonts w:hint="eastAsia" w:asciiTheme="minorEastAsia" w:hAnsiTheme="minorEastAsia" w:eastAsiaTheme="minorEastAsia" w:cstheme="minorEastAsia"/>
          <w:bCs/>
          <w:sz w:val="21"/>
          <w:szCs w:val="21"/>
          <w:u w:val="single"/>
        </w:rPr>
      </w:pPr>
      <w:r>
        <w:rPr>
          <w:rFonts w:hint="eastAsia" w:asciiTheme="minorEastAsia" w:hAnsiTheme="minorEastAsia" w:eastAsiaTheme="minorEastAsia" w:cstheme="minorEastAsia"/>
          <w:sz w:val="21"/>
          <w:szCs w:val="21"/>
        </w:rPr>
        <w:t>2.地点：</w:t>
      </w:r>
      <w:r>
        <w:rPr>
          <w:rFonts w:hint="eastAsia" w:asciiTheme="minorEastAsia" w:hAnsiTheme="minorEastAsia" w:eastAsiaTheme="minorEastAsia" w:cstheme="minorEastAsia"/>
          <w:color w:val="0D0D0D"/>
          <w:sz w:val="21"/>
          <w:szCs w:val="21"/>
          <w:u w:val="single"/>
        </w:rPr>
        <w:t xml:space="preserve">广西政府采购云平台开标大厅 </w:t>
      </w:r>
      <w:r>
        <w:rPr>
          <w:rFonts w:hint="eastAsia" w:asciiTheme="minorEastAsia" w:hAnsiTheme="minorEastAsia" w:eastAsiaTheme="minorEastAsia" w:cstheme="minorEastAsia"/>
          <w:sz w:val="21"/>
          <w:szCs w:val="21"/>
          <w:u w:val="single"/>
        </w:rPr>
        <w:t xml:space="preserve">  </w:t>
      </w:r>
    </w:p>
    <w:p w14:paraId="1BB8CBDD">
      <w:pPr>
        <w:spacing w:line="360" w:lineRule="auto"/>
        <w:ind w:firstLine="422" w:firstLineChars="200"/>
        <w:rPr>
          <w:rFonts w:hint="eastAsia" w:asciiTheme="minorEastAsia" w:hAnsiTheme="minorEastAsia" w:eastAsiaTheme="minorEastAsia" w:cstheme="minorEastAsia"/>
          <w:b/>
          <w:bCs/>
          <w:color w:val="000000"/>
          <w:sz w:val="21"/>
          <w:szCs w:val="21"/>
        </w:rPr>
      </w:pPr>
      <w:r>
        <w:rPr>
          <w:rFonts w:hint="eastAsia" w:asciiTheme="minorEastAsia" w:hAnsiTheme="minorEastAsia" w:eastAsiaTheme="minorEastAsia" w:cstheme="minorEastAsia"/>
          <w:b/>
          <w:bCs/>
          <w:color w:val="000000"/>
          <w:sz w:val="21"/>
          <w:szCs w:val="21"/>
        </w:rPr>
        <w:t>六、公告期限</w:t>
      </w:r>
    </w:p>
    <w:p w14:paraId="4273A575">
      <w:pPr>
        <w:spacing w:line="360" w:lineRule="auto"/>
        <w:ind w:firstLine="420" w:firstLineChars="200"/>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自本公告发布之日起3个工作日。</w:t>
      </w:r>
    </w:p>
    <w:p w14:paraId="4B8C1337">
      <w:pPr>
        <w:spacing w:line="360" w:lineRule="auto"/>
        <w:ind w:firstLine="422" w:firstLineChars="200"/>
        <w:rPr>
          <w:rFonts w:hint="eastAsia" w:asciiTheme="minorEastAsia" w:hAnsiTheme="minorEastAsia" w:eastAsiaTheme="minorEastAsia" w:cstheme="minorEastAsia"/>
          <w:b/>
          <w:bCs/>
          <w:color w:val="000000"/>
          <w:sz w:val="21"/>
          <w:szCs w:val="21"/>
        </w:rPr>
      </w:pPr>
      <w:r>
        <w:rPr>
          <w:rFonts w:hint="eastAsia" w:asciiTheme="minorEastAsia" w:hAnsiTheme="minorEastAsia" w:eastAsiaTheme="minorEastAsia" w:cstheme="minorEastAsia"/>
          <w:b/>
          <w:bCs/>
          <w:color w:val="000000"/>
          <w:sz w:val="21"/>
          <w:szCs w:val="21"/>
        </w:rPr>
        <w:t>七、其他补充事宜</w:t>
      </w:r>
    </w:p>
    <w:p w14:paraId="6F15C90B">
      <w:pPr>
        <w:spacing w:line="360" w:lineRule="auto"/>
        <w:ind w:firstLine="420" w:firstLineChars="200"/>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1.谈判保证金：本项目不收取谈判保证金</w:t>
      </w:r>
    </w:p>
    <w:p w14:paraId="65BC2F3E">
      <w:pPr>
        <w:spacing w:line="360" w:lineRule="auto"/>
        <w:ind w:firstLine="420" w:firstLineChars="200"/>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2.采购意向公开链接</w:t>
      </w:r>
      <w:bookmarkStart w:id="7" w:name="PO_3000001871_PM100"/>
      <w:r>
        <w:rPr>
          <w:rFonts w:hint="eastAsia" w:asciiTheme="minorEastAsia" w:hAnsiTheme="minorEastAsia" w:eastAsiaTheme="minorEastAsia" w:cstheme="minorEastAsia"/>
          <w:color w:val="000000"/>
          <w:kern w:val="0"/>
          <w:sz w:val="21"/>
          <w:szCs w:val="21"/>
        </w:rPr>
        <w:t>：</w:t>
      </w:r>
    </w:p>
    <w:tbl>
      <w:tblPr>
        <w:tblStyle w:val="10"/>
        <w:tblW w:w="5000" w:type="pct"/>
        <w:tblInd w:w="0" w:type="dxa"/>
        <w:tblLayout w:type="autofit"/>
        <w:tblCellMar>
          <w:top w:w="0" w:type="dxa"/>
          <w:left w:w="108" w:type="dxa"/>
          <w:bottom w:w="0" w:type="dxa"/>
          <w:right w:w="108" w:type="dxa"/>
        </w:tblCellMar>
      </w:tblPr>
      <w:tblGrid>
        <w:gridCol w:w="8946"/>
      </w:tblGrid>
      <w:tr w14:paraId="6D55F38F">
        <w:tblPrEx>
          <w:tblCellMar>
            <w:top w:w="0" w:type="dxa"/>
            <w:left w:w="108" w:type="dxa"/>
            <w:bottom w:w="0" w:type="dxa"/>
            <w:right w:w="108" w:type="dxa"/>
          </w:tblCellMar>
        </w:tblPrEx>
        <w:tc>
          <w:tcPr>
            <w:tcW w:w="5000" w:type="pct"/>
            <w:noWrap w:val="0"/>
            <w:vAlign w:val="top"/>
          </w:tcPr>
          <w:p w14:paraId="554FE4C1">
            <w:pPr>
              <w:widowControl/>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https://zfcg.gxzf.gov.cn/luban/detail?parentId=66485&amp;articleId=ann_WBjX7+MX1qPWtSgMAE4AWtD5ndTMr3NGt5TILBJnhQo=&amp;utm=web-micro-app-back-front.b5aaeaa.cPlanInfo.3.5b018ed08bbb11f1817e9b50e893e5e0</w:t>
            </w:r>
          </w:p>
        </w:tc>
      </w:tr>
      <w:tr w14:paraId="7C68438B">
        <w:tblPrEx>
          <w:tblCellMar>
            <w:top w:w="0" w:type="dxa"/>
            <w:left w:w="108" w:type="dxa"/>
            <w:bottom w:w="0" w:type="dxa"/>
            <w:right w:w="108" w:type="dxa"/>
          </w:tblCellMar>
        </w:tblPrEx>
        <w:tc>
          <w:tcPr>
            <w:tcW w:w="5000" w:type="pct"/>
            <w:noWrap w:val="0"/>
            <w:vAlign w:val="top"/>
          </w:tcPr>
          <w:p w14:paraId="7037354E">
            <w:pPr>
              <w:widowControl/>
              <w:jc w:val="left"/>
              <w:rPr>
                <w:rFonts w:hint="eastAsia" w:asciiTheme="minorEastAsia" w:hAnsiTheme="minorEastAsia" w:eastAsiaTheme="minorEastAsia" w:cstheme="minorEastAsia"/>
                <w:sz w:val="21"/>
                <w:szCs w:val="21"/>
              </w:rPr>
            </w:pPr>
          </w:p>
        </w:tc>
      </w:tr>
      <w:bookmarkEnd w:id="7"/>
    </w:tbl>
    <w:p w14:paraId="73968832">
      <w:pPr>
        <w:spacing w:line="360" w:lineRule="auto"/>
        <w:ind w:firstLine="420" w:firstLineChars="200"/>
        <w:rPr>
          <w:rFonts w:hint="eastAsia" w:asciiTheme="minorEastAsia" w:hAnsiTheme="minorEastAsia" w:eastAsiaTheme="minorEastAsia" w:cstheme="minorEastAsia"/>
          <w:color w:val="0D0D0D"/>
          <w:kern w:val="0"/>
          <w:sz w:val="21"/>
          <w:szCs w:val="21"/>
        </w:rPr>
      </w:pPr>
      <w:r>
        <w:rPr>
          <w:rFonts w:hint="eastAsia" w:asciiTheme="minorEastAsia" w:hAnsiTheme="minorEastAsia" w:eastAsiaTheme="minorEastAsia" w:cstheme="minorEastAsia"/>
          <w:color w:val="0D0D0D"/>
          <w:kern w:val="0"/>
          <w:sz w:val="21"/>
          <w:szCs w:val="21"/>
        </w:rPr>
        <w:t>3.网上查询地址</w:t>
      </w:r>
    </w:p>
    <w:p w14:paraId="205CB81D">
      <w:pPr>
        <w:spacing w:line="360" w:lineRule="auto"/>
        <w:ind w:firstLine="420" w:firstLineChars="200"/>
        <w:rPr>
          <w:rFonts w:hint="eastAsia" w:asciiTheme="minorEastAsia" w:hAnsiTheme="minorEastAsia" w:eastAsiaTheme="minorEastAsia" w:cstheme="minorEastAsia"/>
          <w:color w:val="0D0D0D"/>
          <w:kern w:val="0"/>
          <w:sz w:val="21"/>
          <w:szCs w:val="21"/>
        </w:rPr>
      </w:pPr>
      <w:bookmarkStart w:id="8" w:name="PO_3000001871_PM023"/>
      <w:r>
        <w:rPr>
          <w:rFonts w:hint="eastAsia" w:asciiTheme="minorEastAsia" w:hAnsiTheme="minorEastAsia" w:eastAsiaTheme="minorEastAsia" w:cstheme="minorEastAsia"/>
          <w:color w:val="0D0D0D"/>
          <w:kern w:val="0"/>
          <w:sz w:val="21"/>
          <w:szCs w:val="21"/>
        </w:rPr>
        <w:t xml:space="preserve">http://zfcg.gxzf.gov.cn (广西政府采购网) </w:t>
      </w:r>
    </w:p>
    <w:p w14:paraId="3BE1816E">
      <w:pPr>
        <w:spacing w:line="360" w:lineRule="auto"/>
        <w:ind w:firstLine="420" w:firstLineChars="200"/>
        <w:rPr>
          <w:rFonts w:hint="eastAsia" w:asciiTheme="minorEastAsia" w:hAnsiTheme="minorEastAsia" w:eastAsiaTheme="minorEastAsia" w:cstheme="minorEastAsia"/>
          <w:color w:val="0D0D0D"/>
          <w:kern w:val="0"/>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"http://ggzy.jgswj.gxzf.gov.cn/nnggzy" </w:instrText>
      </w:r>
      <w:r>
        <w:rPr>
          <w:rFonts w:hint="eastAsia" w:asciiTheme="minorEastAsia" w:hAnsiTheme="minorEastAsia" w:eastAsiaTheme="minorEastAsia" w:cstheme="minorEastAsia"/>
          <w:sz w:val="21"/>
          <w:szCs w:val="21"/>
        </w:rPr>
        <w:fldChar w:fldCharType="separate"/>
      </w:r>
      <w:bookmarkStart w:id="9" w:name="_Toc175308590"/>
      <w:r>
        <w:rPr>
          <w:rFonts w:hint="eastAsia" w:asciiTheme="minorEastAsia" w:hAnsiTheme="minorEastAsia" w:eastAsiaTheme="minorEastAsia" w:cstheme="minorEastAsia"/>
          <w:color w:val="0D0D0D"/>
          <w:kern w:val="0"/>
          <w:sz w:val="21"/>
          <w:szCs w:val="21"/>
          <w:u w:val="single"/>
        </w:rPr>
        <w:t>http://ggzy.jgswj.gxzf.gov.cn/nnggzy</w:t>
      </w:r>
      <w:bookmarkEnd w:id="9"/>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color w:val="0D0D0D"/>
          <w:kern w:val="0"/>
          <w:sz w:val="21"/>
          <w:szCs w:val="21"/>
        </w:rPr>
        <w:t>【全国公共资源交易平台（广西.南宁）】</w:t>
      </w:r>
    </w:p>
    <w:p w14:paraId="4413A4FE">
      <w:pPr>
        <w:spacing w:line="360" w:lineRule="auto"/>
        <w:ind w:firstLine="420" w:firstLineChars="200"/>
        <w:rPr>
          <w:rFonts w:hint="eastAsia" w:asciiTheme="minorEastAsia" w:hAnsiTheme="minorEastAsia" w:eastAsiaTheme="minorEastAsia" w:cstheme="minorEastAsia"/>
          <w:color w:val="0D0D0D"/>
          <w:kern w:val="0"/>
          <w:sz w:val="21"/>
          <w:szCs w:val="21"/>
        </w:rPr>
      </w:pPr>
      <w:r>
        <w:rPr>
          <w:rFonts w:hint="eastAsia" w:asciiTheme="minorEastAsia" w:hAnsiTheme="minorEastAsia" w:eastAsiaTheme="minorEastAsia" w:cstheme="minorEastAsia"/>
          <w:color w:val="0D0D0D"/>
          <w:kern w:val="0"/>
          <w:sz w:val="21"/>
          <w:szCs w:val="21"/>
        </w:rPr>
        <w:t>4</w:t>
      </w:r>
      <w:r>
        <w:rPr>
          <w:rFonts w:hint="eastAsia" w:asciiTheme="minorEastAsia" w:hAnsiTheme="minorEastAsia" w:eastAsiaTheme="minorEastAsia" w:cstheme="minorEastAsia"/>
          <w:color w:val="0D0D0D"/>
          <w:sz w:val="21"/>
          <w:szCs w:val="21"/>
        </w:rPr>
        <w:t xml:space="preserve">. </w:t>
      </w:r>
      <w:r>
        <w:rPr>
          <w:rFonts w:hint="eastAsia" w:asciiTheme="minorEastAsia" w:hAnsiTheme="minorEastAsia" w:eastAsiaTheme="minorEastAsia" w:cstheme="minorEastAsia"/>
          <w:color w:val="0D0D0D"/>
          <w:kern w:val="0"/>
          <w:sz w:val="21"/>
          <w:szCs w:val="21"/>
        </w:rPr>
        <w:t>本项目需要落实的政府采购政策</w:t>
      </w:r>
    </w:p>
    <w:p w14:paraId="23C1FC75">
      <w:pPr>
        <w:spacing w:line="360" w:lineRule="auto"/>
        <w:ind w:firstLine="420" w:firstLineChars="200"/>
        <w:rPr>
          <w:rFonts w:hint="eastAsia" w:asciiTheme="minorEastAsia" w:hAnsiTheme="minorEastAsia" w:eastAsiaTheme="minorEastAsia" w:cstheme="minorEastAsia"/>
          <w:color w:val="0D0D0D"/>
          <w:sz w:val="21"/>
          <w:szCs w:val="21"/>
        </w:rPr>
      </w:pPr>
      <w:r>
        <w:rPr>
          <w:rFonts w:hint="eastAsia" w:asciiTheme="minorEastAsia" w:hAnsiTheme="minorEastAsia" w:eastAsiaTheme="minorEastAsia" w:cstheme="minorEastAsia"/>
          <w:color w:val="0D0D0D"/>
          <w:kern w:val="0"/>
          <w:sz w:val="21"/>
          <w:szCs w:val="21"/>
        </w:rPr>
        <w:t xml:space="preserve"> </w:t>
      </w:r>
      <w:r>
        <w:rPr>
          <w:rFonts w:hint="eastAsia" w:asciiTheme="minorEastAsia" w:hAnsiTheme="minorEastAsia" w:eastAsiaTheme="minorEastAsia" w:cstheme="minorEastAsia"/>
          <w:color w:val="0D0D0D"/>
          <w:sz w:val="21"/>
          <w:szCs w:val="21"/>
        </w:rPr>
        <w:t>（1）政府采购促进中小企业发展。</w:t>
      </w:r>
    </w:p>
    <w:p w14:paraId="2A8CE153">
      <w:pPr>
        <w:spacing w:line="360" w:lineRule="auto"/>
        <w:ind w:firstLine="420" w:firstLineChars="200"/>
        <w:rPr>
          <w:rFonts w:hint="eastAsia" w:asciiTheme="minorEastAsia" w:hAnsiTheme="minorEastAsia" w:eastAsiaTheme="minorEastAsia" w:cstheme="minorEastAsia"/>
          <w:color w:val="0D0D0D"/>
          <w:sz w:val="21"/>
          <w:szCs w:val="21"/>
        </w:rPr>
      </w:pPr>
      <w:r>
        <w:rPr>
          <w:rFonts w:hint="eastAsia" w:asciiTheme="minorEastAsia" w:hAnsiTheme="minorEastAsia" w:eastAsiaTheme="minorEastAsia" w:cstheme="minorEastAsia"/>
          <w:color w:val="0D0D0D"/>
          <w:sz w:val="21"/>
          <w:szCs w:val="21"/>
        </w:rPr>
        <w:t>（2）政府采购支持采用本国产品的政策。</w:t>
      </w:r>
    </w:p>
    <w:p w14:paraId="20657F85">
      <w:pPr>
        <w:spacing w:line="360" w:lineRule="auto"/>
        <w:ind w:firstLine="420" w:firstLineChars="200"/>
        <w:rPr>
          <w:rFonts w:hint="eastAsia" w:asciiTheme="minorEastAsia" w:hAnsiTheme="minorEastAsia" w:eastAsiaTheme="minorEastAsia" w:cstheme="minorEastAsia"/>
          <w:color w:val="0D0D0D"/>
          <w:sz w:val="21"/>
          <w:szCs w:val="21"/>
        </w:rPr>
      </w:pPr>
      <w:r>
        <w:rPr>
          <w:rFonts w:hint="eastAsia" w:asciiTheme="minorEastAsia" w:hAnsiTheme="minorEastAsia" w:eastAsiaTheme="minorEastAsia" w:cstheme="minorEastAsia"/>
          <w:color w:val="0D0D0D"/>
          <w:sz w:val="21"/>
          <w:szCs w:val="21"/>
        </w:rPr>
        <w:t>（3）强制采购节能产品；优先采购节能产品、环境标志产品。</w:t>
      </w:r>
    </w:p>
    <w:p w14:paraId="58693C2D">
      <w:pPr>
        <w:spacing w:line="360" w:lineRule="auto"/>
        <w:ind w:firstLine="420" w:firstLineChars="200"/>
        <w:rPr>
          <w:rFonts w:hint="eastAsia" w:asciiTheme="minorEastAsia" w:hAnsiTheme="minorEastAsia" w:eastAsiaTheme="minorEastAsia" w:cstheme="minorEastAsia"/>
          <w:color w:val="0D0D0D"/>
          <w:sz w:val="21"/>
          <w:szCs w:val="21"/>
        </w:rPr>
      </w:pPr>
      <w:r>
        <w:rPr>
          <w:rFonts w:hint="eastAsia" w:asciiTheme="minorEastAsia" w:hAnsiTheme="minorEastAsia" w:eastAsiaTheme="minorEastAsia" w:cstheme="minorEastAsia"/>
          <w:color w:val="0D0D0D"/>
          <w:sz w:val="21"/>
          <w:szCs w:val="21"/>
        </w:rPr>
        <w:t>（4）政府采购促进残疾人就业政策。</w:t>
      </w:r>
    </w:p>
    <w:p w14:paraId="5F145B20">
      <w:pPr>
        <w:spacing w:line="360" w:lineRule="auto"/>
        <w:ind w:firstLine="420" w:firstLineChars="200"/>
        <w:rPr>
          <w:rFonts w:hint="eastAsia" w:asciiTheme="minorEastAsia" w:hAnsiTheme="minorEastAsia" w:eastAsiaTheme="minorEastAsia" w:cstheme="minorEastAsia"/>
          <w:color w:val="0D0D0D"/>
          <w:sz w:val="21"/>
          <w:szCs w:val="21"/>
        </w:rPr>
      </w:pPr>
      <w:r>
        <w:rPr>
          <w:rFonts w:hint="eastAsia" w:asciiTheme="minorEastAsia" w:hAnsiTheme="minorEastAsia" w:eastAsiaTheme="minorEastAsia" w:cstheme="minorEastAsia"/>
          <w:color w:val="0D0D0D"/>
          <w:sz w:val="21"/>
          <w:szCs w:val="21"/>
        </w:rPr>
        <w:t>（5）政府采购支持监狱企业发展。</w:t>
      </w:r>
    </w:p>
    <w:p w14:paraId="5E501B34">
      <w:pPr>
        <w:spacing w:line="360" w:lineRule="auto"/>
        <w:ind w:firstLine="420" w:firstLineChars="200"/>
        <w:rPr>
          <w:rFonts w:hint="eastAsia" w:asciiTheme="minorEastAsia" w:hAnsiTheme="minorEastAsia" w:eastAsiaTheme="minorEastAsia" w:cstheme="minorEastAsia"/>
          <w:color w:val="0D0D0D"/>
          <w:kern w:val="0"/>
          <w:sz w:val="21"/>
          <w:szCs w:val="21"/>
        </w:rPr>
      </w:pPr>
      <w:r>
        <w:rPr>
          <w:rFonts w:hint="eastAsia" w:asciiTheme="minorEastAsia" w:hAnsiTheme="minorEastAsia" w:eastAsiaTheme="minorEastAsia" w:cstheme="minorEastAsia"/>
          <w:color w:val="0D0D0D"/>
          <w:sz w:val="21"/>
          <w:szCs w:val="21"/>
        </w:rPr>
        <w:t>（6）扶持不发达地区和少数民族地区政策。</w:t>
      </w:r>
    </w:p>
    <w:bookmarkEnd w:id="8"/>
    <w:p w14:paraId="6946C31E">
      <w:pPr>
        <w:spacing w:line="360" w:lineRule="auto"/>
        <w:ind w:firstLine="420" w:firstLineChars="200"/>
        <w:rPr>
          <w:rFonts w:hint="eastAsia" w:asciiTheme="minorEastAsia" w:hAnsiTheme="minorEastAsia" w:eastAsiaTheme="minorEastAsia" w:cstheme="minorEastAsia"/>
          <w:color w:val="0D0D0D"/>
          <w:kern w:val="0"/>
          <w:sz w:val="21"/>
          <w:szCs w:val="21"/>
        </w:rPr>
      </w:pPr>
      <w:r>
        <w:rPr>
          <w:rFonts w:hint="eastAsia" w:asciiTheme="minorEastAsia" w:hAnsiTheme="minorEastAsia" w:eastAsiaTheme="minorEastAsia" w:cstheme="minorEastAsia"/>
          <w:color w:val="0D0D0D"/>
          <w:kern w:val="0"/>
          <w:sz w:val="21"/>
          <w:szCs w:val="21"/>
        </w:rPr>
        <w:t>5.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05D52905">
      <w:pPr>
        <w:spacing w:line="360" w:lineRule="auto"/>
        <w:ind w:firstLine="420" w:firstLineChars="200"/>
        <w:rPr>
          <w:rFonts w:hint="eastAsia" w:asciiTheme="minorEastAsia" w:hAnsiTheme="minorEastAsia" w:eastAsiaTheme="minorEastAsia" w:cstheme="minorEastAsia"/>
          <w:color w:val="0D0D0D"/>
          <w:kern w:val="0"/>
          <w:sz w:val="21"/>
          <w:szCs w:val="21"/>
        </w:rPr>
      </w:pPr>
      <w:r>
        <w:rPr>
          <w:rFonts w:hint="eastAsia" w:asciiTheme="minorEastAsia" w:hAnsiTheme="minorEastAsia" w:eastAsiaTheme="minorEastAsia" w:cstheme="minorEastAsia"/>
          <w:color w:val="0D0D0D"/>
          <w:kern w:val="0"/>
          <w:sz w:val="21"/>
          <w:szCs w:val="21"/>
        </w:rPr>
        <w:t>6. 若对项目采购电子交易系统操作有疑问，可登录</w:t>
      </w:r>
      <w:r>
        <w:rPr>
          <w:rFonts w:hint="eastAsia" w:asciiTheme="minorEastAsia" w:hAnsiTheme="minorEastAsia" w:eastAsiaTheme="minorEastAsia" w:cstheme="minorEastAsia"/>
          <w:color w:val="0D0D0D"/>
          <w:sz w:val="21"/>
          <w:szCs w:val="21"/>
        </w:rPr>
        <w:t>广西政府采购云平台https://www.gcy.zfcg.gxzf.gov.cn/</w:t>
      </w:r>
      <w:r>
        <w:rPr>
          <w:rFonts w:hint="eastAsia" w:asciiTheme="minorEastAsia" w:hAnsiTheme="minorEastAsia" w:eastAsiaTheme="minorEastAsia" w:cstheme="minorEastAsia"/>
          <w:color w:val="0D0D0D"/>
          <w:kern w:val="0"/>
          <w:sz w:val="21"/>
          <w:szCs w:val="21"/>
        </w:rPr>
        <w:t>，点击右侧咨询小采，获取采小蜜智能服务管家帮助，或拨打广西政府采购云服务热线400-881-7190获取热线服务帮助。</w:t>
      </w:r>
    </w:p>
    <w:p w14:paraId="094ED23C">
      <w:pPr>
        <w:spacing w:line="360" w:lineRule="auto"/>
        <w:ind w:firstLine="422" w:firstLineChars="20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
          <w:kern w:val="44"/>
          <w:sz w:val="21"/>
          <w:szCs w:val="21"/>
        </w:rPr>
        <w:t>八、凡对本次采购提出询问，请按以下方式联系</w:t>
      </w:r>
    </w:p>
    <w:p w14:paraId="0FA688AE">
      <w:pPr>
        <w:spacing w:line="360" w:lineRule="auto"/>
        <w:ind w:firstLine="735" w:firstLineChars="35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1.采购人信息</w:t>
      </w:r>
    </w:p>
    <w:p w14:paraId="7F1146D3">
      <w:pPr>
        <w:spacing w:line="360" w:lineRule="auto"/>
        <w:ind w:left="1041" w:leftChars="371" w:hanging="262" w:hangingChars="125"/>
        <w:jc w:val="left"/>
        <w:rPr>
          <w:rFonts w:hint="eastAsia" w:asciiTheme="minorEastAsia" w:hAnsiTheme="minorEastAsia" w:eastAsiaTheme="minorEastAsia" w:cstheme="minorEastAsia"/>
          <w:color w:val="000000"/>
          <w:sz w:val="21"/>
          <w:szCs w:val="21"/>
          <w:lang w:eastAsia="zh-CN"/>
        </w:rPr>
      </w:pPr>
      <w:r>
        <w:rPr>
          <w:rFonts w:hint="eastAsia" w:asciiTheme="minorEastAsia" w:hAnsiTheme="minorEastAsia" w:eastAsiaTheme="minorEastAsia" w:cstheme="minorEastAsia"/>
          <w:color w:val="000000"/>
          <w:sz w:val="21"/>
          <w:szCs w:val="21"/>
        </w:rPr>
        <w:t>名 称：</w:t>
      </w:r>
      <w:r>
        <w:rPr>
          <w:rFonts w:hint="eastAsia" w:asciiTheme="minorEastAsia" w:hAnsiTheme="minorEastAsia" w:eastAsiaTheme="minorEastAsia" w:cstheme="minorEastAsia"/>
          <w:color w:val="000000"/>
          <w:sz w:val="21"/>
          <w:szCs w:val="21"/>
          <w:lang w:eastAsia="zh-CN"/>
        </w:rPr>
        <w:t>上林县教育局</w:t>
      </w:r>
    </w:p>
    <w:p w14:paraId="705A69CC">
      <w:pPr>
        <w:spacing w:line="360" w:lineRule="auto"/>
        <w:ind w:left="1041" w:leftChars="371" w:hanging="262" w:hangingChars="125"/>
        <w:jc w:val="left"/>
        <w:rPr>
          <w:rFonts w:hint="eastAsia" w:asciiTheme="minorEastAsia" w:hAnsiTheme="minorEastAsia" w:eastAsiaTheme="minorEastAsia" w:cstheme="minorEastAsia"/>
          <w:bCs/>
          <w:kern w:val="0"/>
          <w:sz w:val="21"/>
          <w:szCs w:val="21"/>
          <w:u w:val="single"/>
        </w:rPr>
      </w:pPr>
      <w:r>
        <w:rPr>
          <w:rFonts w:hint="eastAsia" w:asciiTheme="minorEastAsia" w:hAnsiTheme="minorEastAsia" w:eastAsiaTheme="minorEastAsia" w:cstheme="minorEastAsia"/>
          <w:color w:val="000000"/>
          <w:sz w:val="21"/>
          <w:szCs w:val="21"/>
        </w:rPr>
        <w:t>地址：</w:t>
      </w:r>
      <w:r>
        <w:rPr>
          <w:rFonts w:hint="eastAsia" w:asciiTheme="minorEastAsia" w:hAnsiTheme="minorEastAsia" w:eastAsiaTheme="minorEastAsia" w:cstheme="minorEastAsia"/>
          <w:bCs/>
          <w:color w:val="000000"/>
          <w:kern w:val="0"/>
          <w:sz w:val="21"/>
          <w:szCs w:val="21"/>
          <w:u w:val="single"/>
          <w:lang w:eastAsia="zh-CN"/>
        </w:rPr>
        <w:t>上林县林康路</w:t>
      </w:r>
      <w:r>
        <w:rPr>
          <w:rFonts w:hint="eastAsia" w:asciiTheme="minorEastAsia" w:hAnsiTheme="minorEastAsia" w:eastAsiaTheme="minorEastAsia" w:cstheme="minorEastAsia"/>
          <w:bCs/>
          <w:color w:val="000000"/>
          <w:kern w:val="0"/>
          <w:sz w:val="21"/>
          <w:szCs w:val="21"/>
          <w:u w:val="single"/>
          <w:lang w:val="en-US" w:eastAsia="zh-CN"/>
        </w:rPr>
        <w:t>7</w:t>
      </w:r>
      <w:r>
        <w:rPr>
          <w:rFonts w:hint="eastAsia" w:asciiTheme="minorEastAsia" w:hAnsiTheme="minorEastAsia" w:eastAsiaTheme="minorEastAsia" w:cstheme="minorEastAsia"/>
          <w:bCs/>
          <w:color w:val="000000"/>
          <w:kern w:val="0"/>
          <w:sz w:val="21"/>
          <w:szCs w:val="21"/>
          <w:u w:val="single"/>
        </w:rPr>
        <w:t>号</w:t>
      </w:r>
    </w:p>
    <w:p w14:paraId="6AB50AD4">
      <w:pPr>
        <w:spacing w:line="360" w:lineRule="auto"/>
        <w:ind w:firstLine="735" w:firstLineChars="350"/>
        <w:rPr>
          <w:rFonts w:hint="eastAsia" w:asciiTheme="minorEastAsia" w:hAnsiTheme="minorEastAsia" w:eastAsiaTheme="minorEastAsia" w:cstheme="minorEastAsia"/>
          <w:bCs/>
          <w:kern w:val="0"/>
          <w:sz w:val="21"/>
          <w:szCs w:val="21"/>
          <w:u w:val="single"/>
        </w:rPr>
      </w:pPr>
      <w:r>
        <w:rPr>
          <w:rFonts w:hint="eastAsia" w:asciiTheme="minorEastAsia" w:hAnsiTheme="minorEastAsia" w:eastAsiaTheme="minorEastAsia" w:cstheme="minorEastAsia"/>
          <w:color w:val="000000"/>
          <w:sz w:val="21"/>
          <w:szCs w:val="21"/>
        </w:rPr>
        <w:t>项目联系人</w:t>
      </w:r>
      <w:r>
        <w:rPr>
          <w:rFonts w:hint="eastAsia" w:asciiTheme="minorEastAsia" w:hAnsiTheme="minorEastAsia" w:eastAsiaTheme="minorEastAsia" w:cstheme="minorEastAsia"/>
          <w:color w:val="000000"/>
          <w:kern w:val="0"/>
          <w:sz w:val="21"/>
          <w:szCs w:val="21"/>
        </w:rPr>
        <w:t>：</w:t>
      </w:r>
      <w:r>
        <w:rPr>
          <w:rFonts w:hint="eastAsia" w:asciiTheme="minorEastAsia" w:hAnsiTheme="minorEastAsia" w:eastAsiaTheme="minorEastAsia" w:cstheme="minorEastAsia"/>
          <w:bCs/>
          <w:kern w:val="0"/>
          <w:sz w:val="21"/>
          <w:szCs w:val="21"/>
          <w:u w:val="single"/>
          <w:lang w:eastAsia="zh-CN"/>
        </w:rPr>
        <w:t>李老师</w:t>
      </w:r>
      <w:r>
        <w:rPr>
          <w:rFonts w:hint="eastAsia" w:asciiTheme="minorEastAsia" w:hAnsiTheme="minorEastAsia" w:eastAsiaTheme="minorEastAsia" w:cstheme="minorEastAsia"/>
          <w:bCs/>
          <w:kern w:val="0"/>
          <w:sz w:val="21"/>
          <w:szCs w:val="21"/>
          <w:u w:val="single"/>
        </w:rPr>
        <w:t> </w:t>
      </w:r>
    </w:p>
    <w:p w14:paraId="227E82F6">
      <w:pPr>
        <w:spacing w:line="360" w:lineRule="auto"/>
        <w:ind w:left="1041" w:leftChars="371" w:hanging="262" w:hangingChars="125"/>
        <w:jc w:val="left"/>
        <w:rPr>
          <w:rFonts w:hint="eastAsia" w:asciiTheme="minorEastAsia" w:hAnsiTheme="minorEastAsia" w:eastAsiaTheme="minorEastAsia" w:cstheme="minorEastAsia"/>
          <w:bCs/>
          <w:kern w:val="0"/>
          <w:sz w:val="21"/>
          <w:szCs w:val="21"/>
          <w:u w:val="single"/>
          <w:lang w:eastAsia="zh-CN"/>
        </w:rPr>
      </w:pPr>
      <w:r>
        <w:rPr>
          <w:rFonts w:hint="eastAsia" w:asciiTheme="minorEastAsia" w:hAnsiTheme="minorEastAsia" w:eastAsiaTheme="minorEastAsia" w:cstheme="minorEastAsia"/>
          <w:color w:val="000000"/>
          <w:sz w:val="21"/>
          <w:szCs w:val="21"/>
        </w:rPr>
        <w:t>联系电话：</w:t>
      </w:r>
      <w:r>
        <w:rPr>
          <w:rFonts w:hint="eastAsia" w:asciiTheme="minorEastAsia" w:hAnsiTheme="minorEastAsia" w:eastAsiaTheme="minorEastAsia" w:cstheme="minorEastAsia"/>
          <w:bCs/>
          <w:color w:val="000000"/>
          <w:kern w:val="0"/>
          <w:sz w:val="21"/>
          <w:szCs w:val="21"/>
          <w:u w:val="single"/>
        </w:rPr>
        <w:t xml:space="preserve"> </w:t>
      </w:r>
      <w:r>
        <w:rPr>
          <w:rFonts w:hint="eastAsia" w:asciiTheme="minorEastAsia" w:hAnsiTheme="minorEastAsia" w:eastAsiaTheme="minorEastAsia" w:cstheme="minorEastAsia"/>
          <w:bCs/>
          <w:kern w:val="0"/>
          <w:sz w:val="21"/>
          <w:szCs w:val="21"/>
          <w:u w:val="single"/>
          <w:lang w:eastAsia="zh-CN"/>
        </w:rPr>
        <w:t>0771-5227026</w:t>
      </w:r>
    </w:p>
    <w:p w14:paraId="5F379C8B">
      <w:pPr>
        <w:spacing w:line="360" w:lineRule="auto"/>
        <w:ind w:left="1041" w:leftChars="371" w:hanging="262" w:hangingChars="125"/>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2.采购代理机构信息</w:t>
      </w:r>
    </w:p>
    <w:p w14:paraId="11D05E2C">
      <w:pPr>
        <w:spacing w:line="360" w:lineRule="auto"/>
        <w:ind w:firstLine="735" w:firstLineChars="350"/>
        <w:rPr>
          <w:rFonts w:hint="eastAsia" w:asciiTheme="minorEastAsia" w:hAnsiTheme="minorEastAsia" w:eastAsiaTheme="minorEastAsia" w:cstheme="minorEastAsia"/>
          <w:color w:val="000000"/>
          <w:sz w:val="21"/>
          <w:szCs w:val="21"/>
          <w:lang w:eastAsia="zh-CN"/>
        </w:rPr>
      </w:pPr>
      <w:r>
        <w:rPr>
          <w:rFonts w:hint="eastAsia" w:asciiTheme="minorEastAsia" w:hAnsiTheme="minorEastAsia" w:eastAsiaTheme="minorEastAsia" w:cstheme="minorEastAsia"/>
          <w:color w:val="000000"/>
          <w:sz w:val="21"/>
          <w:szCs w:val="21"/>
        </w:rPr>
        <w:t>名 称：</w:t>
      </w:r>
      <w:r>
        <w:rPr>
          <w:rFonts w:hint="eastAsia" w:asciiTheme="minorEastAsia" w:hAnsiTheme="minorEastAsia" w:eastAsiaTheme="minorEastAsia" w:cstheme="minorEastAsia"/>
          <w:color w:val="000000"/>
          <w:sz w:val="21"/>
          <w:szCs w:val="21"/>
          <w:lang w:eastAsia="zh-CN"/>
        </w:rPr>
        <w:t>上林县政府集中采购中心</w:t>
      </w:r>
    </w:p>
    <w:p w14:paraId="6FC958FE">
      <w:pPr>
        <w:spacing w:line="360" w:lineRule="auto"/>
        <w:ind w:firstLine="735" w:firstLineChars="350"/>
        <w:rPr>
          <w:rFonts w:hint="eastAsia" w:asciiTheme="minorEastAsia" w:hAnsiTheme="minorEastAsia" w:eastAsiaTheme="minorEastAsia" w:cstheme="minorEastAsia"/>
          <w:color w:val="000000"/>
          <w:sz w:val="21"/>
          <w:szCs w:val="21"/>
          <w:lang w:eastAsia="zh-CN"/>
        </w:rPr>
      </w:pPr>
      <w:r>
        <w:rPr>
          <w:rFonts w:hint="eastAsia" w:asciiTheme="minorEastAsia" w:hAnsiTheme="minorEastAsia" w:eastAsiaTheme="minorEastAsia" w:cstheme="minorEastAsia"/>
          <w:color w:val="000000"/>
          <w:sz w:val="21"/>
          <w:szCs w:val="21"/>
        </w:rPr>
        <w:t>地　址：</w:t>
      </w:r>
      <w:r>
        <w:rPr>
          <w:rFonts w:hint="eastAsia" w:asciiTheme="minorEastAsia" w:hAnsiTheme="minorEastAsia" w:eastAsiaTheme="minorEastAsia" w:cstheme="minorEastAsia"/>
          <w:color w:val="000000"/>
          <w:sz w:val="21"/>
          <w:szCs w:val="21"/>
          <w:lang w:eastAsia="zh-CN"/>
        </w:rPr>
        <w:t>上林县林溪路4号（上林县财政局）</w:t>
      </w:r>
    </w:p>
    <w:p w14:paraId="30238F12">
      <w:pPr>
        <w:spacing w:line="360" w:lineRule="auto"/>
        <w:ind w:firstLine="735" w:firstLineChars="35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联系电话：</w:t>
      </w:r>
      <w:bookmarkStart w:id="10" w:name="PO_3000001871_PM028_1"/>
      <w:r>
        <w:rPr>
          <w:rFonts w:hint="eastAsia" w:asciiTheme="minorEastAsia" w:hAnsiTheme="minorEastAsia" w:eastAsiaTheme="minorEastAsia" w:cstheme="minorEastAsia"/>
          <w:color w:val="000000"/>
          <w:sz w:val="21"/>
          <w:szCs w:val="21"/>
        </w:rPr>
        <w:t>0771-</w:t>
      </w:r>
      <w:bookmarkEnd w:id="10"/>
      <w:r>
        <w:rPr>
          <w:rFonts w:hint="eastAsia" w:asciiTheme="minorEastAsia" w:hAnsiTheme="minorEastAsia" w:eastAsiaTheme="minorEastAsia" w:cstheme="minorEastAsia"/>
          <w:color w:val="000000"/>
          <w:sz w:val="21"/>
          <w:szCs w:val="21"/>
          <w:lang w:val="en-US" w:eastAsia="zh-CN"/>
        </w:rPr>
        <w:t>5280359</w:t>
      </w:r>
    </w:p>
    <w:p w14:paraId="70E15325">
      <w:pPr>
        <w:spacing w:line="360" w:lineRule="auto"/>
        <w:ind w:firstLine="735" w:firstLineChars="350"/>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 w:val="21"/>
          <w:szCs w:val="21"/>
        </w:rPr>
        <w:t>项目联系人：</w:t>
      </w:r>
      <w:r>
        <w:rPr>
          <w:rFonts w:hint="eastAsia" w:asciiTheme="minorEastAsia" w:hAnsiTheme="minorEastAsia" w:eastAsiaTheme="minorEastAsia" w:cstheme="minorEastAsia"/>
          <w:color w:val="000000"/>
          <w:sz w:val="21"/>
          <w:szCs w:val="21"/>
          <w:lang w:eastAsia="zh-CN"/>
        </w:rPr>
        <w:t>覃</w:t>
      </w:r>
      <w:r>
        <w:rPr>
          <w:rFonts w:hint="eastAsia" w:asciiTheme="minorEastAsia" w:hAnsiTheme="minorEastAsia" w:eastAsiaTheme="minorEastAsia" w:cstheme="minorEastAsia"/>
          <w:color w:val="000000"/>
          <w:sz w:val="21"/>
          <w:szCs w:val="21"/>
        </w:rPr>
        <w:t>工</w:t>
      </w:r>
    </w:p>
    <w:p w14:paraId="73E75D5F">
      <w:pPr>
        <w:spacing w:after="120" w:line="360" w:lineRule="auto"/>
        <w:ind w:firstLine="420" w:firstLineChars="200"/>
        <w:rPr>
          <w:rFonts w:hint="eastAsia" w:asciiTheme="minorEastAsia" w:hAnsiTheme="minorEastAsia" w:eastAsiaTheme="minorEastAsia" w:cstheme="minorEastAsia"/>
          <w:color w:val="000000"/>
          <w:szCs w:val="21"/>
        </w:rPr>
      </w:pPr>
    </w:p>
    <w:p w14:paraId="231475EA">
      <w:pPr>
        <w:spacing w:after="120"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21"/>
        </w:rPr>
        <w:t>附件： 1.CA证书申请方式及操作指南下载地址（登陆</w:t>
      </w:r>
      <w:r>
        <w:rPr>
          <w:rFonts w:hint="eastAsia" w:asciiTheme="minorEastAsia" w:hAnsiTheme="minorEastAsia" w:eastAsiaTheme="minorEastAsia" w:cstheme="minorEastAsia"/>
          <w:szCs w:val="24"/>
        </w:rPr>
        <w:fldChar w:fldCharType="begin"/>
      </w:r>
      <w:r>
        <w:rPr>
          <w:rFonts w:hint="eastAsia" w:asciiTheme="minorEastAsia" w:hAnsiTheme="minorEastAsia" w:eastAsiaTheme="minorEastAsia" w:cstheme="minorEastAsia"/>
          <w:szCs w:val="24"/>
        </w:rPr>
        <w:instrText xml:space="preserve"> HYPERLINK "http://nncz.nanning.gov.cn/" </w:instrText>
      </w:r>
      <w:r>
        <w:rPr>
          <w:rFonts w:hint="eastAsia" w:asciiTheme="minorEastAsia" w:hAnsiTheme="minorEastAsia" w:eastAsiaTheme="minorEastAsia" w:cstheme="minorEastAsia"/>
          <w:szCs w:val="24"/>
        </w:rPr>
        <w:fldChar w:fldCharType="separate"/>
      </w:r>
      <w:r>
        <w:rPr>
          <w:rFonts w:hint="eastAsia" w:asciiTheme="minorEastAsia" w:hAnsiTheme="minorEastAsia" w:eastAsiaTheme="minorEastAsia" w:cstheme="minorEastAsia"/>
          <w:color w:val="0000FF"/>
          <w:szCs w:val="24"/>
          <w:u w:val="single"/>
        </w:rPr>
        <w:t>http://nncz.nanning.gov.cn/</w:t>
      </w:r>
      <w:r>
        <w:rPr>
          <w:rFonts w:hint="eastAsia" w:asciiTheme="minorEastAsia" w:hAnsiTheme="minorEastAsia" w:eastAsiaTheme="minorEastAsia" w:cstheme="minorEastAsia"/>
          <w:szCs w:val="24"/>
        </w:rPr>
        <w:fldChar w:fldCharType="end"/>
      </w:r>
      <w:r>
        <w:rPr>
          <w:rFonts w:hint="eastAsia" w:asciiTheme="minorEastAsia" w:hAnsiTheme="minorEastAsia" w:eastAsiaTheme="minorEastAsia" w:cstheme="minorEastAsia"/>
          <w:szCs w:val="24"/>
        </w:rPr>
        <w:t>（南宁市财政局官网）-业务专题-政府采购监督管理-资料下载-“广西政采云西部CA办理方式”或“南宁市政采云CA证书办理操作指南”</w:t>
      </w:r>
      <w:r>
        <w:rPr>
          <w:rFonts w:hint="eastAsia" w:asciiTheme="minorEastAsia" w:hAnsiTheme="minorEastAsia" w:eastAsiaTheme="minorEastAsia" w:cstheme="minorEastAsia"/>
          <w:color w:val="000000"/>
          <w:szCs w:val="21"/>
        </w:rPr>
        <w:t>）</w:t>
      </w:r>
    </w:p>
    <w:p w14:paraId="3B1A0B62">
      <w:pPr>
        <w:spacing w:after="120" w:line="360" w:lineRule="auto"/>
        <w:ind w:firstLine="420" w:firstLineChars="200"/>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2.电子</w:t>
      </w:r>
      <w:r>
        <w:rPr>
          <w:rFonts w:hint="eastAsia" w:asciiTheme="minorEastAsia" w:hAnsiTheme="minorEastAsia" w:eastAsiaTheme="minorEastAsia" w:cstheme="minorEastAsia"/>
          <w:color w:val="000000"/>
          <w:szCs w:val="21"/>
          <w:lang w:eastAsia="zh-CN"/>
        </w:rPr>
        <w:t>响应文件</w:t>
      </w:r>
      <w:r>
        <w:rPr>
          <w:rFonts w:hint="eastAsia" w:asciiTheme="minorEastAsia" w:hAnsiTheme="minorEastAsia" w:eastAsiaTheme="minorEastAsia" w:cstheme="minorEastAsia"/>
          <w:color w:val="000000"/>
          <w:szCs w:val="21"/>
        </w:rPr>
        <w:t>制作与投送教程（在此网址下载：</w:t>
      </w:r>
      <w:r>
        <w:rPr>
          <w:rFonts w:hint="eastAsia" w:asciiTheme="minorEastAsia" w:hAnsiTheme="minorEastAsia" w:eastAsiaTheme="minorEastAsia" w:cstheme="minorEastAsia"/>
          <w:szCs w:val="24"/>
        </w:rPr>
        <w:fldChar w:fldCharType="begin"/>
      </w:r>
      <w:r>
        <w:rPr>
          <w:rFonts w:hint="eastAsia" w:asciiTheme="minorEastAsia" w:hAnsiTheme="minorEastAsia" w:eastAsiaTheme="minorEastAsia" w:cstheme="minorEastAsia"/>
          <w:szCs w:val="24"/>
        </w:rPr>
        <w:instrText xml:space="preserve"> HYPERLINK "http://nncz.nanning.gov.cn/" </w:instrText>
      </w:r>
      <w:r>
        <w:rPr>
          <w:rFonts w:hint="eastAsia" w:asciiTheme="minorEastAsia" w:hAnsiTheme="minorEastAsia" w:eastAsiaTheme="minorEastAsia" w:cstheme="minorEastAsia"/>
          <w:szCs w:val="24"/>
        </w:rPr>
        <w:fldChar w:fldCharType="separate"/>
      </w:r>
      <w:r>
        <w:rPr>
          <w:rFonts w:hint="eastAsia" w:asciiTheme="minorEastAsia" w:hAnsiTheme="minorEastAsia" w:eastAsiaTheme="minorEastAsia" w:cstheme="minorEastAsia"/>
          <w:color w:val="0000FF"/>
          <w:szCs w:val="24"/>
          <w:u w:val="single"/>
        </w:rPr>
        <w:t>http://nncz.nanning.gov.cn/</w:t>
      </w:r>
      <w:r>
        <w:rPr>
          <w:rFonts w:hint="eastAsia" w:asciiTheme="minorEastAsia" w:hAnsiTheme="minorEastAsia" w:eastAsiaTheme="minorEastAsia" w:cstheme="minorEastAsia"/>
          <w:szCs w:val="24"/>
        </w:rPr>
        <w:fldChar w:fldCharType="end"/>
      </w:r>
      <w:r>
        <w:rPr>
          <w:rFonts w:hint="eastAsia" w:asciiTheme="minorEastAsia" w:hAnsiTheme="minorEastAsia" w:eastAsiaTheme="minorEastAsia" w:cstheme="minorEastAsia"/>
          <w:szCs w:val="24"/>
        </w:rPr>
        <w:t>（南宁市财政局官网）-业务专题-政府采购监督管理-资料下载-南宁市政府采购项目全流程电子化交易操作指南</w:t>
      </w:r>
      <w:r>
        <w:rPr>
          <w:rFonts w:hint="eastAsia" w:asciiTheme="minorEastAsia" w:hAnsiTheme="minorEastAsia" w:eastAsiaTheme="minorEastAsia" w:cstheme="minorEastAsia"/>
          <w:color w:val="000000"/>
          <w:szCs w:val="21"/>
        </w:rPr>
        <w:t>）</w:t>
      </w:r>
    </w:p>
    <w:p w14:paraId="4786696F">
      <w:pPr>
        <w:spacing w:line="360" w:lineRule="auto"/>
        <w:ind w:firstLine="420" w:firstLineChars="200"/>
        <w:rPr>
          <w:rFonts w:hint="eastAsia" w:asciiTheme="minorEastAsia" w:hAnsiTheme="minorEastAsia" w:eastAsiaTheme="minorEastAsia" w:cstheme="minorEastAsia"/>
          <w:color w:val="000000"/>
          <w:szCs w:val="21"/>
          <w:u w:val="single"/>
        </w:rPr>
      </w:pPr>
    </w:p>
    <w:p w14:paraId="7B7509B5">
      <w:pPr>
        <w:spacing w:line="360" w:lineRule="auto"/>
        <w:ind w:firstLine="420" w:firstLineChars="200"/>
        <w:rPr>
          <w:rFonts w:hint="eastAsia" w:ascii="宋体" w:hAnsi="宋体"/>
          <w:color w:val="000000"/>
          <w:szCs w:val="21"/>
          <w:u w:val="single"/>
        </w:rPr>
      </w:pPr>
    </w:p>
    <w:p w14:paraId="0A3B5163">
      <w:pPr>
        <w:spacing w:line="360" w:lineRule="auto"/>
        <w:ind w:firstLine="420" w:firstLineChars="200"/>
        <w:rPr>
          <w:rFonts w:hint="eastAsia" w:ascii="宋体" w:hAnsi="宋体"/>
          <w:color w:val="000000"/>
          <w:szCs w:val="21"/>
          <w:u w:val="single"/>
        </w:rPr>
      </w:pPr>
    </w:p>
    <w:p w14:paraId="63319E1B">
      <w:pPr>
        <w:spacing w:line="360" w:lineRule="auto"/>
        <w:ind w:firstLine="420" w:firstLineChars="200"/>
        <w:rPr>
          <w:rFonts w:hint="eastAsia" w:ascii="宋体" w:hAnsi="宋体"/>
          <w:color w:val="000000"/>
          <w:szCs w:val="21"/>
          <w:u w:val="single"/>
        </w:rPr>
      </w:pPr>
    </w:p>
    <w:p w14:paraId="3C17E890">
      <w:pPr>
        <w:spacing w:line="360" w:lineRule="auto"/>
        <w:ind w:firstLine="5985" w:firstLineChars="2850"/>
        <w:jc w:val="right"/>
        <w:rPr>
          <w:rFonts w:hint="eastAsia" w:ascii="宋体" w:hAnsi="宋体" w:eastAsia="宋体"/>
          <w:color w:val="000000"/>
          <w:szCs w:val="21"/>
          <w:lang w:eastAsia="zh-CN"/>
        </w:rPr>
      </w:pPr>
      <w:r>
        <w:rPr>
          <w:rFonts w:hint="eastAsia" w:ascii="宋体" w:hAnsi="宋体"/>
          <w:color w:val="000000"/>
          <w:szCs w:val="21"/>
          <w:lang w:eastAsia="zh-CN"/>
        </w:rPr>
        <w:t>上林县政府集中采购中心</w:t>
      </w:r>
    </w:p>
    <w:p w14:paraId="651B8CD8">
      <w:pPr>
        <w:wordWrap w:val="0"/>
        <w:spacing w:line="360" w:lineRule="auto"/>
        <w:ind w:firstLine="5985" w:firstLineChars="2850"/>
        <w:jc w:val="right"/>
        <w:rPr>
          <w:rFonts w:hint="eastAsia" w:ascii="宋体" w:hAnsi="宋体"/>
          <w:color w:val="000000"/>
          <w:szCs w:val="21"/>
        </w:rPr>
      </w:pPr>
      <w:r>
        <w:rPr>
          <w:rFonts w:hint="eastAsia" w:ascii="宋体" w:hAnsi="宋体"/>
          <w:color w:val="000000"/>
          <w:szCs w:val="21"/>
        </w:rPr>
        <w:t>2026年0</w:t>
      </w:r>
      <w:r>
        <w:rPr>
          <w:rFonts w:hint="eastAsia" w:ascii="宋体" w:hAnsi="宋体"/>
          <w:color w:val="000000"/>
          <w:szCs w:val="21"/>
          <w:lang w:val="en-US" w:eastAsia="zh-CN"/>
        </w:rPr>
        <w:t>8</w:t>
      </w:r>
      <w:r>
        <w:rPr>
          <w:rFonts w:hint="eastAsia" w:ascii="宋体" w:hAnsi="宋体"/>
          <w:color w:val="000000"/>
          <w:szCs w:val="21"/>
        </w:rPr>
        <w:t>月</w:t>
      </w:r>
      <w:r>
        <w:rPr>
          <w:rFonts w:hint="eastAsia" w:ascii="宋体" w:hAnsi="宋体"/>
          <w:color w:val="000000"/>
          <w:szCs w:val="21"/>
          <w:lang w:val="en-US" w:eastAsia="zh-CN"/>
        </w:rPr>
        <w:t xml:space="preserve">27 </w:t>
      </w:r>
      <w:r>
        <w:rPr>
          <w:rFonts w:hint="eastAsia" w:ascii="宋体" w:hAnsi="宋体"/>
          <w:color w:val="000000"/>
          <w:szCs w:val="21"/>
        </w:rPr>
        <w:t>日</w:t>
      </w:r>
    </w:p>
    <w:p w14:paraId="4D17BA93">
      <w:pPr>
        <w:widowControl/>
        <w:spacing w:line="360" w:lineRule="auto"/>
        <w:jc w:val="left"/>
        <w:rPr>
          <w:rFonts w:ascii="宋体" w:hAnsi="宋体"/>
          <w:color w:val="000000"/>
          <w:kern w:val="0"/>
          <w:szCs w:val="21"/>
        </w:rPr>
        <w:sectPr>
          <w:footerReference r:id="rId5" w:type="default"/>
          <w:pgSz w:w="11910" w:h="16840"/>
          <w:pgMar w:top="1520" w:right="1500" w:bottom="280" w:left="1680" w:header="720" w:footer="720" w:gutter="0"/>
          <w:pgBorders>
            <w:top w:val="none" w:sz="0" w:space="0"/>
            <w:left w:val="none" w:sz="0" w:space="0"/>
            <w:bottom w:val="none" w:sz="0" w:space="0"/>
            <w:right w:val="none" w:sz="0" w:space="0"/>
          </w:pgBorders>
          <w:pgNumType w:fmt="decimal" w:start="1"/>
          <w:cols w:space="720" w:num="1"/>
        </w:sectPr>
      </w:pPr>
    </w:p>
    <w:p w14:paraId="24601521">
      <w:pPr>
        <w:spacing w:before="340" w:after="330" w:line="576" w:lineRule="auto"/>
        <w:jc w:val="center"/>
        <w:outlineLvl w:val="0"/>
        <w:rPr>
          <w:rFonts w:hint="eastAsia" w:ascii="等线" w:hAnsi="等线"/>
          <w:b/>
          <w:bCs/>
          <w:kern w:val="44"/>
          <w:sz w:val="44"/>
          <w:szCs w:val="44"/>
        </w:rPr>
      </w:pPr>
      <w:bookmarkStart w:id="11" w:name="_Toc179528702"/>
      <w:r>
        <w:rPr>
          <w:rFonts w:hint="eastAsia" w:ascii="Cambria" w:hAnsi="Cambria"/>
          <w:b/>
          <w:kern w:val="44"/>
          <w:sz w:val="32"/>
          <w:szCs w:val="32"/>
        </w:rPr>
        <w:t>第二章</w:t>
      </w:r>
      <w:r>
        <w:rPr>
          <w:rFonts w:ascii="Cambria" w:hAnsi="Cambria"/>
          <w:b/>
          <w:kern w:val="44"/>
          <w:sz w:val="32"/>
          <w:szCs w:val="32"/>
        </w:rPr>
        <w:t xml:space="preserve"> </w:t>
      </w:r>
      <w:r>
        <w:rPr>
          <w:rFonts w:hint="eastAsia" w:ascii="Cambria" w:hAnsi="Cambria"/>
          <w:b/>
          <w:kern w:val="44"/>
          <w:sz w:val="32"/>
          <w:szCs w:val="32"/>
        </w:rPr>
        <w:t>采购需求</w:t>
      </w:r>
      <w:bookmarkEnd w:id="11"/>
    </w:p>
    <w:p w14:paraId="77A68B04">
      <w:pPr>
        <w:spacing w:line="420" w:lineRule="exact"/>
        <w:jc w:val="left"/>
        <w:rPr>
          <w:rFonts w:hint="eastAsia" w:ascii="宋体" w:hAnsi="宋体" w:cs="宋体"/>
          <w:szCs w:val="21"/>
        </w:rPr>
      </w:pPr>
      <w:r>
        <w:rPr>
          <w:rFonts w:hint="eastAsia" w:ascii="宋体" w:hAnsi="宋体" w:cs="宋体"/>
          <w:szCs w:val="21"/>
        </w:rPr>
        <w:t>说明：</w:t>
      </w:r>
    </w:p>
    <w:p w14:paraId="4AF5B0D4">
      <w:pPr>
        <w:spacing w:line="360" w:lineRule="auto"/>
        <w:ind w:firstLine="420" w:firstLineChars="200"/>
        <w:jc w:val="left"/>
        <w:rPr>
          <w:rFonts w:hint="default" w:ascii="宋体" w:hAnsi="宋体" w:eastAsia="宋体" w:cs="宋体"/>
          <w:szCs w:val="21"/>
          <w:lang w:val="en-US" w:eastAsia="zh-CN"/>
        </w:rPr>
      </w:pPr>
      <w:r>
        <w:rPr>
          <w:szCs w:val="24"/>
        </w:rPr>
        <w:t xml:space="preserve">1. </w:t>
      </w:r>
      <w:r>
        <w:rPr>
          <w:rFonts w:hint="eastAsia"/>
          <w:szCs w:val="24"/>
        </w:rPr>
        <w:t>为落实政府采购政策需满足的要求</w:t>
      </w:r>
      <w:r>
        <w:rPr>
          <w:rFonts w:hint="eastAsia"/>
          <w:szCs w:val="24"/>
          <w:lang w:val="en-US" w:eastAsia="zh-CN"/>
        </w:rPr>
        <w:t>:</w:t>
      </w:r>
    </w:p>
    <w:p w14:paraId="0E7F75D2">
      <w:pPr>
        <w:spacing w:line="360" w:lineRule="auto"/>
        <w:ind w:firstLine="420" w:firstLineChars="200"/>
        <w:jc w:val="left"/>
        <w:rPr>
          <w:rFonts w:hint="eastAsia" w:ascii="宋体" w:hAnsi="宋体" w:cs="宋体"/>
          <w:szCs w:val="21"/>
        </w:rPr>
      </w:pPr>
      <w:r>
        <w:rPr>
          <w:rFonts w:hint="eastAsia" w:ascii="宋体" w:hAnsi="宋体" w:cs="宋体"/>
          <w:szCs w:val="21"/>
        </w:rPr>
        <w:t>（1）本竞争性谈判采购文件所称中小企业必须符合《政府采购促进中小企业发展管理办法》（财库〔2020〕46号）的规定。</w:t>
      </w:r>
    </w:p>
    <w:p w14:paraId="49D8D301">
      <w:pPr>
        <w:spacing w:line="360" w:lineRule="auto"/>
        <w:ind w:firstLine="420" w:firstLineChars="200"/>
        <w:jc w:val="left"/>
        <w:rPr>
          <w:rFonts w:hint="eastAsia" w:ascii="宋体" w:hAnsi="宋体" w:cs="宋体"/>
          <w:szCs w:val="21"/>
        </w:rPr>
      </w:pPr>
      <w:r>
        <w:rPr>
          <w:rFonts w:hint="eastAsia" w:ascii="宋体" w:hAnsi="宋体" w:cs="宋体"/>
          <w:szCs w:val="21"/>
        </w:rPr>
        <w:t>（2）根据《财政部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w:t>
      </w:r>
      <w:r>
        <w:rPr>
          <w:rFonts w:hint="eastAsia" w:ascii="宋体" w:hAnsi="宋体" w:cs="宋体"/>
          <w:szCs w:val="21"/>
          <w:lang w:eastAsia="zh-CN"/>
        </w:rPr>
        <w:t>响应</w:t>
      </w:r>
      <w:r>
        <w:rPr>
          <w:rFonts w:hint="eastAsia" w:ascii="宋体" w:hAnsi="宋体" w:cs="宋体"/>
          <w:szCs w:val="21"/>
        </w:rPr>
        <w:t>产品的节能产品认证证书扫描件（加盖供应商公章），否则响应文件作无效处理。</w:t>
      </w:r>
    </w:p>
    <w:p w14:paraId="5A0EAED2">
      <w:pPr>
        <w:autoSpaceDE w:val="0"/>
        <w:autoSpaceDN w:val="0"/>
        <w:adjustRightInd w:val="0"/>
        <w:ind w:left="200"/>
        <w:jc w:val="left"/>
        <w:rPr>
          <w:rFonts w:hint="eastAsia" w:ascii="宋体" w:hAnsi="宋体" w:cs="宋体"/>
          <w:color w:val="000000"/>
          <w:szCs w:val="21"/>
        </w:rPr>
      </w:pPr>
      <w:r>
        <w:rPr>
          <w:rFonts w:hint="eastAsia" w:ascii="宋体" w:hAnsi="宋体" w:cs="宋体"/>
          <w:szCs w:val="21"/>
        </w:rPr>
        <w:t>（3）服务项目中伴随的货物包含列入《网络关键设备和网络安全专用产品目录》的网络安全专用产品，应当按照《信息安全技术 网络安全专用产品安全技术要求》等相关国家标准的强制性要求，提供具备资格的机构安全认证合格或者安全检测证明材料（加盖</w:t>
      </w:r>
      <w:r>
        <w:rPr>
          <w:rFonts w:hint="eastAsia" w:ascii="宋体" w:hAnsi="宋体" w:cs="宋体"/>
          <w:szCs w:val="21"/>
          <w:lang w:eastAsia="zh-CN"/>
        </w:rPr>
        <w:t>响应供应商</w:t>
      </w:r>
      <w:r>
        <w:rPr>
          <w:rFonts w:hint="eastAsia" w:ascii="宋体" w:hAnsi="宋体" w:cs="宋体"/>
          <w:szCs w:val="21"/>
        </w:rPr>
        <w:t>公章），否则</w:t>
      </w:r>
      <w:r>
        <w:rPr>
          <w:rFonts w:hint="eastAsia" w:ascii="宋体" w:hAnsi="宋体" w:cs="宋体"/>
          <w:szCs w:val="21"/>
          <w:lang w:eastAsia="zh-CN"/>
        </w:rPr>
        <w:t>响应文件</w:t>
      </w:r>
      <w:r>
        <w:rPr>
          <w:rFonts w:hint="eastAsia" w:ascii="宋体" w:hAnsi="宋体" w:cs="宋体"/>
          <w:szCs w:val="21"/>
        </w:rPr>
        <w:t>作无效处理。</w:t>
      </w:r>
    </w:p>
    <w:p w14:paraId="5CA33D75">
      <w:pPr>
        <w:spacing w:line="360" w:lineRule="auto"/>
        <w:ind w:left="424"/>
        <w:jc w:val="left"/>
        <w:rPr>
          <w:rFonts w:hint="eastAsia" w:ascii="宋体" w:hAnsi="宋体" w:cs="宋体"/>
          <w:bCs/>
          <w:szCs w:val="21"/>
        </w:rPr>
      </w:pPr>
      <w:r>
        <w:rPr>
          <w:rFonts w:hint="eastAsia" w:ascii="宋体" w:hAnsi="宋体" w:cs="宋体"/>
          <w:bCs/>
          <w:szCs w:val="21"/>
        </w:rPr>
        <w:t>2. “实质性要求”是指采购需求中带“▲”的条款或者不能负偏离的条款或者已经指明不满足按响应文件作无效处理的条款。</w:t>
      </w:r>
    </w:p>
    <w:p w14:paraId="44884548">
      <w:pPr>
        <w:spacing w:line="360" w:lineRule="auto"/>
        <w:ind w:firstLine="420" w:firstLineChars="200"/>
        <w:jc w:val="left"/>
        <w:rPr>
          <w:rFonts w:hint="eastAsia" w:ascii="宋体" w:hAnsi="宋体" w:cs="宋体"/>
          <w:szCs w:val="21"/>
        </w:rPr>
      </w:pPr>
      <w:r>
        <w:rPr>
          <w:rFonts w:hint="eastAsia" w:ascii="宋体" w:hAnsi="宋体" w:cs="宋体"/>
          <w:bCs/>
          <w:szCs w:val="21"/>
        </w:rPr>
        <w:t>3.不需要供应商对采购需求响应为具体数值的，此采购需求的数值后将以</w:t>
      </w:r>
      <w:bookmarkStart w:id="12" w:name="OLE_LINK12"/>
      <w:bookmarkStart w:id="13" w:name="OLE_LINK11"/>
      <w:bookmarkStart w:id="14" w:name="OLE_LINK37"/>
      <w:r>
        <w:rPr>
          <w:rFonts w:hint="eastAsia" w:ascii="宋体" w:hAnsi="宋体" w:cs="宋体"/>
          <w:bCs/>
          <w:szCs w:val="21"/>
        </w:rPr>
        <w:t>◆</w:t>
      </w:r>
      <w:bookmarkEnd w:id="12"/>
      <w:bookmarkEnd w:id="13"/>
      <w:bookmarkEnd w:id="14"/>
      <w:r>
        <w:rPr>
          <w:rFonts w:hint="eastAsia" w:ascii="宋体" w:hAnsi="宋体" w:cs="宋体"/>
          <w:bCs/>
          <w:szCs w:val="21"/>
        </w:rPr>
        <w:t>号标注。</w:t>
      </w:r>
    </w:p>
    <w:p w14:paraId="5F5FCD52">
      <w:pPr>
        <w:spacing w:line="360" w:lineRule="auto"/>
        <w:ind w:firstLine="420" w:firstLineChars="200"/>
        <w:jc w:val="left"/>
        <w:rPr>
          <w:rFonts w:hint="eastAsia" w:ascii="宋体" w:hAnsi="宋体" w:cs="宋体"/>
          <w:szCs w:val="21"/>
        </w:rPr>
      </w:pPr>
      <w:r>
        <w:rPr>
          <w:rFonts w:hint="eastAsia" w:ascii="宋体" w:hAnsi="宋体" w:cs="宋体"/>
          <w:szCs w:val="21"/>
        </w:rPr>
        <w:t>4.供应商必须自行为其</w:t>
      </w:r>
      <w:r>
        <w:rPr>
          <w:rFonts w:hint="eastAsia" w:ascii="宋体" w:hAnsi="宋体" w:cs="宋体"/>
          <w:szCs w:val="21"/>
          <w:lang w:eastAsia="zh-CN"/>
        </w:rPr>
        <w:t>响应</w:t>
      </w:r>
      <w:r>
        <w:rPr>
          <w:rFonts w:hint="eastAsia" w:ascii="宋体" w:hAnsi="宋体" w:cs="宋体"/>
          <w:szCs w:val="21"/>
        </w:rPr>
        <w:t>产品侵犯他人的知识产权或者专利成果的行为承担相应法律责任。</w:t>
      </w:r>
    </w:p>
    <w:tbl>
      <w:tblPr>
        <w:tblStyle w:val="10"/>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02"/>
        <w:gridCol w:w="585"/>
        <w:gridCol w:w="6451"/>
        <w:gridCol w:w="402"/>
        <w:gridCol w:w="609"/>
        <w:gridCol w:w="447"/>
        <w:gridCol w:w="865"/>
      </w:tblGrid>
      <w:tr w14:paraId="0C9CE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5455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305B7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货物名称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A208D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型号及技术参数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23CF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B4D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E7A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55E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分项小计（元）</w:t>
            </w:r>
          </w:p>
        </w:tc>
      </w:tr>
      <w:tr w14:paraId="10568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7C6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25603E63">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2F7568E0">
            <w:pPr>
              <w:jc w:val="left"/>
              <w:rPr>
                <w:rFonts w:hint="eastAsia" w:ascii="宋体" w:hAnsi="宋体" w:eastAsia="宋体" w:cs="宋体"/>
                <w:i w:val="0"/>
                <w:iCs w:val="0"/>
                <w:color w:val="000000"/>
                <w:sz w:val="20"/>
                <w:szCs w:val="20"/>
                <w:u w:val="none"/>
              </w:rPr>
            </w:pPr>
            <w:r>
              <w:rPr>
                <w:rFonts w:hint="eastAsia" w:ascii="宋体" w:hAnsi="宋体" w:eastAsia="宋体" w:cs="宋体"/>
                <w:b/>
                <w:bCs/>
                <w:i w:val="0"/>
                <w:iCs w:val="0"/>
                <w:color w:val="FF0000"/>
                <w:kern w:val="0"/>
                <w:sz w:val="20"/>
                <w:szCs w:val="20"/>
                <w:u w:val="none"/>
                <w:lang w:val="en-US" w:eastAsia="zh-CN" w:bidi="ar"/>
              </w:rPr>
              <w:t>上林县直属机关幼儿</w:t>
            </w: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603ED50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68BECCE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397EC5A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1D7878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150000</w:t>
            </w:r>
          </w:p>
        </w:tc>
      </w:tr>
      <w:tr w14:paraId="08AFF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13E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92D2F4">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教学一体机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9095B2">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一、整体设计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1、整机采用一体设计，外部无任何可见内部功能模块连接线。</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2、整机采用全金属外壳设计，边角采用弧形设计，表面无尖锐边缘或凸起；整机屏幕边缘采用金属圆角包边防护，整机背板采用金属材质。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3、整机屏幕采用65英寸液晶显示器。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4、整机采用LED液晶A规屏，显示比例16:9。</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w:t>
            </w:r>
            <w:r>
              <w:rPr>
                <w:color w:val="auto"/>
                <w:sz w:val="20"/>
                <w:szCs w:val="20"/>
                <w:highlight w:val="none"/>
              </w:rPr>
              <w:t>整机硬件性能与接口</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w:t>
            </w:r>
            <w:r>
              <w:rPr>
                <w:rStyle w:val="12"/>
                <w:color w:val="auto"/>
                <w:sz w:val="20"/>
                <w:szCs w:val="20"/>
                <w:highlight w:val="none"/>
              </w:rPr>
              <w:t>双系统配置</w:t>
            </w:r>
            <w:r>
              <w:rPr>
                <w:color w:val="auto"/>
                <w:sz w:val="20"/>
                <w:szCs w:val="20"/>
                <w:highlight w:val="none"/>
              </w:rPr>
              <w:t xml:space="preserve"> </w:t>
            </w:r>
            <w:r>
              <w:rPr>
                <w:rFonts w:hint="eastAsia"/>
                <w:color w:val="auto"/>
                <w:sz w:val="20"/>
                <w:szCs w:val="20"/>
                <w:highlight w:val="none"/>
              </w:rPr>
              <w:t>整机搭载 电脑模块 + 嵌入式系统，系统版本不低于 当前最新版本；系统内存 RAM≥4G，存储 ROM≥32G；安卓端可独立实现白板书写、文档编辑、网页浏览等基础教学功能。（相关性能指标可提供厂商彩页、功能截图、第三方检测报告任意一种佐证，设备到货验收时提供完整 CMA/CNAS 检测报告备查）</w:t>
            </w:r>
            <w:r>
              <w:rPr>
                <w:rFonts w:hint="eastAsia"/>
                <w:color w:val="auto"/>
                <w:sz w:val="20"/>
                <w:szCs w:val="20"/>
                <w:highlight w:val="none"/>
                <w:lang w:eastAsia="zh-CN"/>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color w:val="auto"/>
                <w:sz w:val="20"/>
                <w:szCs w:val="20"/>
                <w:highlight w:val="none"/>
                <w:lang w:val="en-US" w:eastAsia="zh-CN"/>
              </w:rPr>
              <w:t>2、</w:t>
            </w:r>
            <w:r>
              <w:rPr>
                <w:color w:val="auto"/>
                <w:sz w:val="20"/>
                <w:szCs w:val="20"/>
                <w:highlight w:val="none"/>
              </w:rPr>
              <w:t>整机配备前置外接接口，支持双系统共用读取 U 盘等存储设备；整机配备全功能 Type-C、HDMI、USB3.0 输入接口，侧置预留 HDMI、RS232、USB、音频输出、触控 USB 等拓展接口；整机外设拓展能力满足日常教学设备接驳需求，可通过拓展坞实现同等外接能力。前置接口配有防尘防护盖板，保护接口与外接 U 盘。</w:t>
            </w:r>
          </w:p>
          <w:p w14:paraId="36A229B0">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jc w:val="both"/>
              <w:rPr>
                <w:color w:val="auto"/>
                <w:sz w:val="20"/>
                <w:szCs w:val="20"/>
                <w:highlight w:val="none"/>
              </w:rPr>
            </w:pPr>
            <w:r>
              <w:rPr>
                <w:rFonts w:hint="eastAsia"/>
                <w:color w:val="auto"/>
                <w:sz w:val="20"/>
                <w:szCs w:val="20"/>
                <w:highlight w:val="none"/>
                <w:lang w:val="en-US" w:eastAsia="zh-CN"/>
              </w:rPr>
              <w:t>3、</w:t>
            </w:r>
            <w:r>
              <w:rPr>
                <w:color w:val="auto"/>
                <w:sz w:val="20"/>
                <w:szCs w:val="20"/>
                <w:highlight w:val="none"/>
              </w:rPr>
              <w:t>整机内置高品质扬声器，整机额定总输出功率≥60W，发声均匀，无杂音、破音，满足教室扩声需求。</w:t>
            </w:r>
          </w:p>
          <w:p w14:paraId="3B7EAA20">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4、</w:t>
            </w:r>
            <w:r>
              <w:rPr>
                <w:color w:val="auto"/>
                <w:sz w:val="20"/>
                <w:szCs w:val="20"/>
                <w:highlight w:val="none"/>
              </w:rPr>
              <w:t>红外触控技术，最小识别触控物体≤3mm；整机支持双系统多点触控，触控流畅无断触。</w:t>
            </w:r>
          </w:p>
          <w:p w14:paraId="1C0CD2B1">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5、</w:t>
            </w:r>
            <w:r>
              <w:rPr>
                <w:color w:val="auto"/>
                <w:sz w:val="20"/>
                <w:szCs w:val="20"/>
                <w:highlight w:val="none"/>
              </w:rPr>
              <w:t>整机内置高清摄像头与阵列麦克风，无需外接线材；摄像头像素≥1600 万，广角设计，可完整覆盖教室区域，满足远程巡课、课堂录播；麦克风有效拾音距离≥10 米，多人发言清晰收录。设备自带摄像头工作指示灯，摄像状态直观提示。</w:t>
            </w:r>
          </w:p>
          <w:p w14:paraId="0D016025">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6、</w:t>
            </w:r>
            <w:r>
              <w:rPr>
                <w:color w:val="auto"/>
                <w:sz w:val="20"/>
                <w:szCs w:val="20"/>
                <w:highlight w:val="none"/>
              </w:rPr>
              <w:t>支持无线投屏功能，可通过 NFC、扫码、无线连接等任意一种方式实现手机、平板投屏，支持多台移动设备同时分屏展示。</w:t>
            </w:r>
          </w:p>
          <w:p w14:paraId="51350880">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 xml:space="preserve"> 7、内置双频 WiFi（2.4G+5GHz）、蓝牙模块，蓝牙标准不低于 Bluetooth 5.2；整机可无线联网、发射无线热点，双系统共用一套无线网络配置，无需重复设置；蓝牙可稳定连接外设，无线传输距离满足教室使用。</w:t>
            </w:r>
          </w:p>
          <w:p w14:paraId="5C247F57">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 xml:space="preserve"> 8、设备搭载护眼低蓝光背光方案，从硬件层面削减有害蓝光，显示画面无明显泛黄、色偏，符合校园护眼相关规范；屏幕 NTSC 色域覆盖率≥72%，安卓系统支持 4K 高清 UI 显示。</w:t>
            </w:r>
          </w:p>
          <w:p w14:paraId="325D09D9">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9、OPS 电脑配置：运行内存≥8G，固态硬盘≥256G。</w:t>
            </w:r>
          </w:p>
          <w:p w14:paraId="74C0DB7F">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br w:type="textWrapping"/>
            </w:r>
            <w:r>
              <w:rPr>
                <w:rFonts w:hint="eastAsia" w:ascii="宋体" w:hAnsi="宋体" w:eastAsia="宋体" w:cs="宋体"/>
                <w:i w:val="0"/>
                <w:iCs w:val="0"/>
                <w:color w:val="auto"/>
                <w:kern w:val="0"/>
                <w:sz w:val="20"/>
                <w:szCs w:val="20"/>
                <w:highlight w:val="none"/>
                <w:u w:val="none"/>
                <w:lang w:val="en-US" w:eastAsia="zh-CN" w:bidi="ar"/>
              </w:rPr>
              <w:t>三、</w:t>
            </w:r>
            <w:r>
              <w:rPr>
                <w:color w:val="auto"/>
                <w:sz w:val="20"/>
                <w:szCs w:val="20"/>
                <w:highlight w:val="none"/>
              </w:rPr>
              <w:t>整机基础交互功能</w:t>
            </w:r>
          </w:p>
          <w:p w14:paraId="2A616B10">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1、</w:t>
            </w:r>
            <w:r>
              <w:rPr>
                <w:color w:val="auto"/>
                <w:sz w:val="20"/>
                <w:szCs w:val="20"/>
                <w:highlight w:val="none"/>
              </w:rPr>
              <w:t>整机内置图像、音效调节模块，提供多种预设图像、音效模式，支持手动调节亮度、对比度、高低音、色温等参数，适配不同教学场景。</w:t>
            </w:r>
          </w:p>
          <w:p w14:paraId="730FB037">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 xml:space="preserve"> 2、支持分屏、半屏显示功能，可一键切换全屏 / 半屏，画面完整无裁剪，触控操作正常；支持画面局部放大、聚光灯（区域高亮、其余区域暗化）教学工具。</w:t>
            </w:r>
          </w:p>
          <w:p w14:paraId="4834038B">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3、</w:t>
            </w:r>
            <w:r>
              <w:rPr>
                <w:color w:val="auto"/>
                <w:sz w:val="20"/>
                <w:szCs w:val="20"/>
                <w:highlight w:val="none"/>
              </w:rPr>
              <w:t>系统悬浮快捷工具栏，可调取批注、截屏、计时、锁屏、硬件自检、聚光灯、学科工具等教学常用功能，工具栏支持自定义调整。</w:t>
            </w:r>
          </w:p>
          <w:p w14:paraId="6AD24BBD">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4、</w:t>
            </w:r>
            <w:r>
              <w:rPr>
                <w:color w:val="auto"/>
                <w:sz w:val="20"/>
                <w:szCs w:val="20"/>
                <w:highlight w:val="none"/>
              </w:rPr>
              <w:t>支持智能手势快捷操作，可通过手势触发熄屏、批注、分屏等自定义功能，手势识别灵敏稳定。</w:t>
            </w:r>
          </w:p>
          <w:p w14:paraId="1C058CE3">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5、</w:t>
            </w:r>
            <w:r>
              <w:rPr>
                <w:color w:val="auto"/>
                <w:sz w:val="20"/>
                <w:szCs w:val="20"/>
                <w:highlight w:val="none"/>
              </w:rPr>
              <w:t>全通道支持自由截屏，可框选任意区域保存截图；授课过程中可一键调取各类教学小工具：答题器、倒计时、节拍器、日历、随机抽选等。</w:t>
            </w:r>
          </w:p>
          <w:p w14:paraId="68D09D03">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6、</w:t>
            </w:r>
            <w:r>
              <w:rPr>
                <w:color w:val="auto"/>
                <w:sz w:val="20"/>
                <w:szCs w:val="20"/>
                <w:highlight w:val="none"/>
              </w:rPr>
              <w:t>双系统实现功能互通：一键切换系统、共享 USB 外设、共享网络、背光手势快捷控制。</w:t>
            </w:r>
          </w:p>
          <w:p w14:paraId="5E2FF804">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7、</w:t>
            </w:r>
            <w:r>
              <w:rPr>
                <w:color w:val="auto"/>
                <w:sz w:val="20"/>
                <w:szCs w:val="20"/>
                <w:highlight w:val="none"/>
              </w:rPr>
              <w:t>内置互动白板，支持多笔同时书写、手掌智能擦除，笔迹自带笔锋；白板文件支持导出 PDF、SVG、IWB 等通用格式；内置充足平面、立体学科绘图工具，满足数理化教学绘图需求。</w:t>
            </w:r>
          </w:p>
          <w:p w14:paraId="742E5D55">
            <w:pPr>
              <w:keepNext w:val="0"/>
              <w:keepLines w:val="0"/>
              <w:widowControl/>
              <w:numPr>
                <w:ilvl w:val="0"/>
                <w:numId w:val="0"/>
              </w:numPr>
              <w:suppressLineNumbers w:val="0"/>
              <w:jc w:val="both"/>
              <w:textAlignment w:val="center"/>
              <w:rPr>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四、</w:t>
            </w:r>
            <w:r>
              <w:rPr>
                <w:color w:val="auto"/>
                <w:sz w:val="20"/>
                <w:szCs w:val="20"/>
                <w:highlight w:val="none"/>
              </w:rPr>
              <w:t>配套教学软件功能</w:t>
            </w:r>
            <w:r>
              <w:rPr>
                <w:rFonts w:hint="eastAsia" w:ascii="宋体" w:hAnsi="宋体" w:eastAsia="宋体" w:cs="宋体"/>
                <w:i w:val="0"/>
                <w:iCs w:val="0"/>
                <w:strike/>
                <w:dstrike w:val="0"/>
                <w:color w:val="auto"/>
                <w:kern w:val="0"/>
                <w:sz w:val="20"/>
                <w:szCs w:val="20"/>
                <w:highlight w:val="none"/>
                <w:u w:val="none"/>
                <w:lang w:val="en-US" w:eastAsia="zh-CN" w:bidi="ar"/>
              </w:rPr>
              <w:br w:type="textWrapping"/>
            </w:r>
            <w:r>
              <w:rPr>
                <w:rFonts w:hint="eastAsia"/>
                <w:color w:val="auto"/>
                <w:sz w:val="20"/>
                <w:szCs w:val="20"/>
                <w:highlight w:val="none"/>
                <w:lang w:val="en-US" w:eastAsia="zh-CN"/>
              </w:rPr>
              <w:t>1、</w:t>
            </w:r>
            <w:r>
              <w:rPr>
                <w:color w:val="auto"/>
                <w:sz w:val="20"/>
                <w:szCs w:val="20"/>
                <w:highlight w:val="none"/>
              </w:rPr>
              <w:t>教学资源分类管理：可按年级、学科、教材版本收纳课件、习题、阅读资料，支持云端存储、本地资源调取。</w:t>
            </w:r>
          </w:p>
          <w:p w14:paraId="14B58A33">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2、</w:t>
            </w:r>
            <w:r>
              <w:rPr>
                <w:color w:val="auto"/>
                <w:sz w:val="20"/>
                <w:szCs w:val="20"/>
                <w:highlight w:val="none"/>
              </w:rPr>
              <w:t>白板教学模板丰富，支持田字格、五线谱、米字格、坐标纸等学科专用背景，支持原笔迹批注、拖拽、擦除。</w:t>
            </w:r>
          </w:p>
          <w:p w14:paraId="02373805">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3、</w:t>
            </w:r>
            <w:r>
              <w:rPr>
                <w:color w:val="auto"/>
                <w:sz w:val="20"/>
                <w:szCs w:val="20"/>
                <w:highlight w:val="none"/>
              </w:rPr>
              <w:t>支持 PPT 原生播放、手势翻页、多级放大，批注笔迹同步保存；支持一键将课件上传至个人云空间，授课时云端直接下载使用。</w:t>
            </w:r>
          </w:p>
          <w:p w14:paraId="02BE7214">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4、</w:t>
            </w:r>
            <w:r>
              <w:rPr>
                <w:color w:val="auto"/>
                <w:sz w:val="20"/>
                <w:szCs w:val="20"/>
                <w:highlight w:val="none"/>
              </w:rPr>
              <w:t>支持集体备课、在线听评课功能：可自定义评课评分模板、评分细则，听课记录可保存、导出分享；支持教师扫码听课评价。</w:t>
            </w:r>
          </w:p>
          <w:p w14:paraId="0E5A36A0">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5、</w:t>
            </w:r>
            <w:r>
              <w:rPr>
                <w:color w:val="auto"/>
                <w:sz w:val="20"/>
                <w:szCs w:val="20"/>
                <w:highlight w:val="none"/>
              </w:rPr>
              <w:t>课堂录播功能：授课全过程可录制，支持暂停、停止，可自定义录制音视频画质，录制窗口可隐藏不遮挡教学画面。</w:t>
            </w:r>
          </w:p>
          <w:p w14:paraId="5C564F3F">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6、</w:t>
            </w:r>
            <w:r>
              <w:rPr>
                <w:color w:val="auto"/>
                <w:sz w:val="20"/>
                <w:szCs w:val="20"/>
                <w:highlight w:val="none"/>
              </w:rPr>
              <w:t>支持手机远程控制大屏课件翻页；支持课堂互动答题，学生扫码答题，教师查看答题正确率、导出课堂学情报告；支持课堂弹幕、班级成员管理。</w:t>
            </w:r>
          </w:p>
          <w:p w14:paraId="0DCE7BFC">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7、</w:t>
            </w:r>
            <w:r>
              <w:rPr>
                <w:color w:val="auto"/>
                <w:sz w:val="20"/>
                <w:szCs w:val="20"/>
                <w:highlight w:val="none"/>
              </w:rPr>
              <w:t>支持网页资源一键导入课件，可制作课堂互动小游戏并保存至个人云盘，随时调取复用。</w:t>
            </w:r>
          </w:p>
          <w:p w14:paraId="54366412">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8、</w:t>
            </w:r>
            <w:r>
              <w:rPr>
                <w:color w:val="auto"/>
                <w:sz w:val="20"/>
                <w:szCs w:val="20"/>
                <w:highlight w:val="none"/>
              </w:rPr>
              <w:t>为每位教师提供免费教学云存储空间，支持本地个人资源同步至云端，授课随时调取。</w:t>
            </w:r>
          </w:p>
          <w:p w14:paraId="216D06C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both"/>
              <w:rPr>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五、</w:t>
            </w:r>
            <w:r>
              <w:rPr>
                <w:color w:val="auto"/>
                <w:sz w:val="20"/>
                <w:szCs w:val="20"/>
                <w:highlight w:val="none"/>
              </w:rPr>
              <w:t>集控管理平台功能</w:t>
            </w:r>
          </w:p>
          <w:p w14:paraId="49080677">
            <w:pPr>
              <w:keepNext w:val="0"/>
              <w:keepLines w:val="0"/>
              <w:widowControl/>
              <w:numPr>
                <w:ilvl w:val="0"/>
                <w:numId w:val="0"/>
              </w:numPr>
              <w:suppressLineNumbers w:val="0"/>
              <w:jc w:val="both"/>
              <w:textAlignment w:val="center"/>
              <w:rPr>
                <w:color w:val="auto"/>
                <w:sz w:val="20"/>
                <w:szCs w:val="20"/>
                <w:highlight w:val="none"/>
              </w:rPr>
            </w:pPr>
            <w:r>
              <w:rPr>
                <w:rFonts w:hint="eastAsia"/>
                <w:color w:val="auto"/>
                <w:sz w:val="20"/>
                <w:szCs w:val="20"/>
                <w:highlight w:val="none"/>
                <w:lang w:val="en-US" w:eastAsia="zh-CN"/>
              </w:rPr>
              <w:t xml:space="preserve"> 1、</w:t>
            </w:r>
            <w:r>
              <w:rPr>
                <w:color w:val="auto"/>
                <w:sz w:val="20"/>
                <w:szCs w:val="20"/>
                <w:highlight w:val="none"/>
              </w:rPr>
              <w:t>平台可统一查看所有教学设备硬件信息：屏幕尺寸、系统版本、CPU、内存、硬盘、网络状态等；支持列表、缩略图两种设备查看模式，批量预览设备实时画面。</w:t>
            </w:r>
          </w:p>
          <w:p w14:paraId="017903F8">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2、</w:t>
            </w:r>
            <w:r>
              <w:rPr>
                <w:color w:val="auto"/>
                <w:sz w:val="20"/>
                <w:szCs w:val="20"/>
                <w:highlight w:val="none"/>
              </w:rPr>
              <w:t>远程巡课督导：可实时查看设备屏幕画面与课堂摄像头画面；支持远程下发设备系统、集控软件升级包，设备空闲时段自动完成更新。</w:t>
            </w:r>
          </w:p>
          <w:p w14:paraId="40883D54">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3、</w:t>
            </w:r>
            <w:r>
              <w:rPr>
                <w:color w:val="auto"/>
                <w:sz w:val="20"/>
                <w:szCs w:val="20"/>
                <w:highlight w:val="none"/>
              </w:rPr>
              <w:t>远程管理功能：支持批量设置定时锁屏 / 解锁，可按工作日、周末自定义循环策略；远程下发考场考试安排，设备按时展示考试信息。</w:t>
            </w:r>
          </w:p>
          <w:p w14:paraId="62DDCC5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jc w:val="left"/>
              <w:rPr>
                <w:rFonts w:hint="eastAsia" w:ascii="宋体" w:hAnsi="宋体" w:eastAsia="宋体" w:cs="宋体"/>
                <w:i w:val="0"/>
                <w:iCs w:val="0"/>
                <w:strike/>
                <w:dstrike w:val="0"/>
                <w:color w:val="auto"/>
                <w:kern w:val="0"/>
                <w:sz w:val="20"/>
                <w:szCs w:val="20"/>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FD8D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9CCB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A7F5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88AE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20000</w:t>
            </w:r>
          </w:p>
        </w:tc>
      </w:tr>
      <w:tr w14:paraId="3968D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C69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B08C1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活动室LED电子彩屏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524604">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1.像素间距：≤2mm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2.像素密度：≥250000点</w:t>
            </w:r>
            <w:r>
              <w:rPr>
                <w:color w:val="auto"/>
                <w:sz w:val="24"/>
                <w:szCs w:val="24"/>
                <w:highlight w:val="none"/>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w:t>
            </w:r>
            <w:r>
              <w:rPr>
                <w:color w:val="auto"/>
                <w:sz w:val="20"/>
                <w:szCs w:val="20"/>
                <w:highlight w:val="none"/>
              </w:rPr>
              <w:t>模组尺寸参考 320*160mm，同等分辨率、同等拼接精度的模组规格均可</w:t>
            </w:r>
            <w:r>
              <w:rPr>
                <w:rFonts w:hint="eastAsia"/>
                <w:color w:val="auto"/>
                <w:sz w:val="20"/>
                <w:szCs w:val="20"/>
                <w:highlight w:val="none"/>
                <w:lang w:eastAsia="zh-CN"/>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w:t>
            </w:r>
            <w:r>
              <w:rPr>
                <w:color w:val="auto"/>
                <w:sz w:val="20"/>
                <w:szCs w:val="20"/>
                <w:highlight w:val="none"/>
              </w:rPr>
              <w:t>白平衡亮度≥450cd/㎡，亮度 0-100% 无级可调</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▲5.色温：3000K-15000K连续可调，</w:t>
            </w:r>
            <w:r>
              <w:rPr>
                <w:color w:val="auto"/>
                <w:sz w:val="20"/>
                <w:szCs w:val="20"/>
                <w:highlight w:val="none"/>
              </w:rPr>
              <w:t>满足不同场景色彩需求</w:t>
            </w:r>
            <w:r>
              <w:rPr>
                <w:rFonts w:hint="eastAsia"/>
                <w:color w:val="auto"/>
                <w:sz w:val="20"/>
                <w:szCs w:val="20"/>
                <w:highlight w:val="none"/>
                <w:lang w:eastAsia="zh-CN"/>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▲6.静态对比度：≥5000：1</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▲7.峰值功耗：≤</w:t>
            </w:r>
            <w:r>
              <w:rPr>
                <w:rFonts w:hint="eastAsia"/>
                <w:color w:val="auto"/>
                <w:sz w:val="20"/>
                <w:szCs w:val="20"/>
                <w:highlight w:val="none"/>
                <w:lang w:val="en-US" w:eastAsia="zh-CN"/>
              </w:rPr>
              <w:t>500</w:t>
            </w:r>
            <w:r>
              <w:rPr>
                <w:color w:val="auto"/>
                <w:sz w:val="20"/>
                <w:szCs w:val="20"/>
                <w:highlight w:val="none"/>
              </w:rPr>
              <w:t>W/㎡</w:t>
            </w:r>
            <w:r>
              <w:rPr>
                <w:rFonts w:hint="eastAsia" w:ascii="宋体" w:hAnsi="宋体" w:eastAsia="宋体" w:cs="宋体"/>
                <w:i w:val="0"/>
                <w:iCs w:val="0"/>
                <w:color w:val="auto"/>
                <w:kern w:val="0"/>
                <w:sz w:val="20"/>
                <w:szCs w:val="20"/>
                <w:highlight w:val="cyan"/>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▲8.平均功耗：≤</w:t>
            </w:r>
            <w:r>
              <w:rPr>
                <w:rFonts w:hint="eastAsia" w:ascii="宋体" w:hAnsi="宋体" w:cs="宋体"/>
                <w:i w:val="0"/>
                <w:iCs w:val="0"/>
                <w:color w:val="auto"/>
                <w:kern w:val="0"/>
                <w:sz w:val="20"/>
                <w:szCs w:val="20"/>
                <w:highlight w:val="none"/>
                <w:u w:val="none"/>
                <w:lang w:val="en-US" w:eastAsia="zh-CN" w:bidi="ar"/>
              </w:rPr>
              <w:t>20</w:t>
            </w:r>
            <w:r>
              <w:rPr>
                <w:color w:val="auto"/>
                <w:sz w:val="20"/>
                <w:szCs w:val="20"/>
                <w:highlight w:val="none"/>
              </w:rPr>
              <w:t>0W/㎡</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▲9.可视角度：水平≥160°，垂直：≥140°，</w:t>
            </w:r>
            <w:r>
              <w:rPr>
                <w:color w:val="auto"/>
                <w:sz w:val="20"/>
                <w:szCs w:val="20"/>
                <w:highlight w:val="none"/>
              </w:rPr>
              <w:t>大视角无偏色</w:t>
            </w:r>
            <w:r>
              <w:rPr>
                <w:rFonts w:hint="eastAsia"/>
                <w:color w:val="auto"/>
                <w:sz w:val="20"/>
                <w:szCs w:val="20"/>
                <w:highlight w:val="none"/>
                <w:lang w:eastAsia="zh-CN"/>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▲10.亮度均匀性：≥97%，</w:t>
            </w:r>
            <w:r>
              <w:rPr>
                <w:color w:val="auto"/>
                <w:sz w:val="20"/>
                <w:szCs w:val="20"/>
                <w:highlight w:val="none"/>
              </w:rPr>
              <w:t>整屏色彩一致性良好</w:t>
            </w:r>
            <w:r>
              <w:rPr>
                <w:rFonts w:hint="eastAsia"/>
                <w:color w:val="auto"/>
                <w:sz w:val="20"/>
                <w:szCs w:val="20"/>
                <w:highlight w:val="none"/>
                <w:lang w:eastAsia="zh-CN"/>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11. 换帧频率：50&amp;60</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12. 驱动方式：恒流驱动，</w:t>
            </w:r>
            <w:r>
              <w:rPr>
                <w:color w:val="auto"/>
                <w:sz w:val="20"/>
                <w:szCs w:val="20"/>
                <w:highlight w:val="none"/>
              </w:rPr>
              <w:t>灰度表现均匀细腻</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▲13. 发光点中心距偏差：</w:t>
            </w:r>
            <w:r>
              <w:rPr>
                <w:rFonts w:hint="eastAsia"/>
                <w:color w:val="auto"/>
                <w:sz w:val="20"/>
                <w:szCs w:val="20"/>
                <w:highlight w:val="none"/>
                <w:lang w:eastAsia="zh-CN"/>
              </w:rPr>
              <w:t>符合</w:t>
            </w:r>
            <w:r>
              <w:rPr>
                <w:color w:val="auto"/>
                <w:sz w:val="20"/>
                <w:szCs w:val="20"/>
                <w:highlight w:val="none"/>
              </w:rPr>
              <w:t>国标 SJ/T11141 优等品要求</w:t>
            </w:r>
            <w:r>
              <w:rPr>
                <w:rFonts w:hint="eastAsia"/>
                <w:color w:val="auto"/>
                <w:sz w:val="20"/>
                <w:szCs w:val="20"/>
                <w:highlight w:val="none"/>
                <w:lang w:eastAsia="zh-CN"/>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▲14.</w:t>
            </w:r>
            <w:r>
              <w:rPr>
                <w:color w:val="auto"/>
                <w:sz w:val="20"/>
                <w:szCs w:val="20"/>
                <w:highlight w:val="none"/>
              </w:rPr>
              <w:t>模组拼接平整度≤0.2mm，拼接缝隙无明显台阶</w:t>
            </w:r>
            <w:r>
              <w:rPr>
                <w:rFonts w:hint="eastAsia"/>
                <w:color w:val="auto"/>
                <w:sz w:val="20"/>
                <w:szCs w:val="20"/>
                <w:highlight w:val="none"/>
                <w:lang w:eastAsia="zh-CN"/>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15. 像素失控率：≤0.00001</w:t>
            </w:r>
            <w:r>
              <w:rPr>
                <w:color w:val="auto"/>
                <w:sz w:val="20"/>
                <w:szCs w:val="20"/>
                <w:highlight w:val="none"/>
              </w:rPr>
              <w:t>，长期使用无批量死灯</w:t>
            </w:r>
            <w:r>
              <w:rPr>
                <w:rFonts w:hint="eastAsia"/>
                <w:color w:val="auto"/>
                <w:sz w:val="20"/>
                <w:szCs w:val="20"/>
                <w:highlight w:val="none"/>
                <w:lang w:eastAsia="zh-CN"/>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▲16. 色域覆盖率：≥</w:t>
            </w:r>
            <w:r>
              <w:rPr>
                <w:rFonts w:hint="eastAsia" w:ascii="宋体" w:hAnsi="宋体" w:cs="宋体"/>
                <w:i w:val="0"/>
                <w:iCs w:val="0"/>
                <w:color w:val="auto"/>
                <w:kern w:val="0"/>
                <w:sz w:val="20"/>
                <w:szCs w:val="20"/>
                <w:highlight w:val="none"/>
                <w:u w:val="none"/>
                <w:lang w:val="en-US" w:eastAsia="zh-CN" w:bidi="ar"/>
              </w:rPr>
              <w:t>9</w:t>
            </w:r>
            <w:r>
              <w:rPr>
                <w:rFonts w:hint="eastAsia" w:ascii="宋体" w:hAnsi="宋体" w:eastAsia="宋体" w:cs="宋体"/>
                <w:i w:val="0"/>
                <w:iCs w:val="0"/>
                <w:color w:val="auto"/>
                <w:kern w:val="0"/>
                <w:sz w:val="20"/>
                <w:szCs w:val="20"/>
                <w:highlight w:val="none"/>
                <w:u w:val="none"/>
                <w:lang w:val="en-US" w:eastAsia="zh-CN" w:bidi="ar"/>
              </w:rPr>
              <w:t>0%。</w:t>
            </w:r>
            <w:r>
              <w:rPr>
                <w:rFonts w:hint="eastAsia" w:ascii="宋体" w:hAnsi="宋体" w:eastAsia="宋体" w:cs="宋体"/>
                <w:i w:val="0"/>
                <w:iCs w:val="0"/>
                <w:color w:val="auto"/>
                <w:kern w:val="0"/>
                <w:sz w:val="20"/>
                <w:szCs w:val="20"/>
                <w:highlight w:val="cyan"/>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17.低亮高灰：100%亮度下≥16bits 灰度；20%低亮度下≥12bits 灰度，</w:t>
            </w:r>
            <w:r>
              <w:rPr>
                <w:color w:val="auto"/>
                <w:sz w:val="20"/>
                <w:szCs w:val="20"/>
                <w:highlight w:val="none"/>
              </w:rPr>
              <w:t>低亮度无分层偏色</w:t>
            </w:r>
            <w:r>
              <w:rPr>
                <w:rFonts w:hint="eastAsia"/>
                <w:color w:val="auto"/>
                <w:sz w:val="20"/>
                <w:szCs w:val="20"/>
                <w:highlight w:val="none"/>
                <w:lang w:eastAsia="zh-CN"/>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18.</w:t>
            </w:r>
            <w:r>
              <w:rPr>
                <w:color w:val="auto"/>
                <w:sz w:val="20"/>
                <w:szCs w:val="20"/>
                <w:highlight w:val="none"/>
              </w:rPr>
              <w:t>支持单点亮度、色度校正，整屏白平衡一致性可调</w:t>
            </w:r>
            <w:r>
              <w:rPr>
                <w:rFonts w:hint="eastAsia"/>
                <w:color w:val="auto"/>
                <w:sz w:val="20"/>
                <w:szCs w:val="20"/>
                <w:highlight w:val="none"/>
                <w:lang w:eastAsia="zh-CN"/>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19.维护：支持前拆前维护</w:t>
            </w:r>
            <w:r>
              <w:rPr>
                <w:rFonts w:hint="eastAsia" w:ascii="宋体" w:hAnsi="宋体" w:eastAsia="宋体" w:cs="宋体"/>
                <w:i w:val="0"/>
                <w:iCs w:val="0"/>
                <w:strike w:val="0"/>
                <w:dstrike w:val="0"/>
                <w:color w:val="auto"/>
                <w:kern w:val="0"/>
                <w:sz w:val="20"/>
                <w:szCs w:val="20"/>
                <w:highlight w:val="none"/>
                <w:u w:val="none"/>
                <w:lang w:val="en-US" w:eastAsia="zh-CN" w:bidi="ar"/>
              </w:rPr>
              <w:t>，</w:t>
            </w:r>
            <w:r>
              <w:rPr>
                <w:color w:val="auto"/>
                <w:sz w:val="20"/>
                <w:szCs w:val="20"/>
                <w:highlight w:val="none"/>
              </w:rPr>
              <w:t>可同步提供后维护结构方案更佳</w:t>
            </w:r>
            <w:r>
              <w:rPr>
                <w:rFonts w:hint="eastAsia"/>
                <w:color w:val="auto"/>
                <w:sz w:val="20"/>
                <w:szCs w:val="20"/>
                <w:highlight w:val="none"/>
                <w:lang w:eastAsia="zh-CN"/>
              </w:rPr>
              <w:t>。</w:t>
            </w:r>
            <w:r>
              <w:rPr>
                <w:rFonts w:hint="eastAsia" w:ascii="宋体" w:hAnsi="宋体" w:eastAsia="宋体" w:cs="宋体"/>
                <w:i w:val="0"/>
                <w:iCs w:val="0"/>
                <w:strike w:val="0"/>
                <w:dstrike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20.材质：模块采用高强度塑胶套件，产品轻巧安装精度高。</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strike w:val="0"/>
                <w:dstrike w:val="0"/>
                <w:color w:val="auto"/>
                <w:kern w:val="0"/>
                <w:sz w:val="20"/>
                <w:szCs w:val="20"/>
                <w:highlight w:val="none"/>
                <w:u w:val="none"/>
                <w:lang w:val="en-US" w:eastAsia="zh-CN" w:bidi="ar"/>
              </w:rPr>
              <w:t>21、</w:t>
            </w:r>
            <w:r>
              <w:rPr>
                <w:color w:val="auto"/>
                <w:sz w:val="20"/>
                <w:szCs w:val="20"/>
                <w:highlight w:val="none"/>
              </w:rPr>
              <w:t>模组电源接口带防呆、防短路设计，免工具拆装；集成 HUB 接收卡，支持线路状态监测</w:t>
            </w:r>
            <w:r>
              <w:rPr>
                <w:rFonts w:hint="eastAsia"/>
                <w:color w:val="auto"/>
                <w:sz w:val="20"/>
                <w:szCs w:val="20"/>
                <w:highlight w:val="none"/>
                <w:lang w:eastAsia="zh-CN"/>
              </w:rPr>
              <w:t>。</w:t>
            </w:r>
            <w:r>
              <w:rPr>
                <w:rFonts w:hint="eastAsia" w:ascii="宋体" w:hAnsi="宋体" w:eastAsia="宋体" w:cs="宋体"/>
                <w:i w:val="0"/>
                <w:iCs w:val="0"/>
                <w:strike/>
                <w:dstrike w:val="0"/>
                <w:color w:val="auto"/>
                <w:kern w:val="0"/>
                <w:sz w:val="20"/>
                <w:szCs w:val="20"/>
                <w:highlight w:val="none"/>
                <w:u w:val="none"/>
                <w:lang w:val="en-US" w:eastAsia="zh-CN" w:bidi="ar"/>
              </w:rPr>
              <w:br w:type="textWrapping"/>
            </w:r>
            <w:r>
              <w:rPr>
                <w:rFonts w:hint="eastAsia" w:ascii="宋体" w:hAnsi="宋体" w:eastAsia="宋体" w:cs="宋体"/>
                <w:i w:val="0"/>
                <w:iCs w:val="0"/>
                <w:strike w:val="0"/>
                <w:dstrike w:val="0"/>
                <w:color w:val="auto"/>
                <w:kern w:val="0"/>
                <w:sz w:val="20"/>
                <w:szCs w:val="20"/>
                <w:highlight w:val="none"/>
                <w:u w:val="none"/>
                <w:lang w:val="en-US" w:eastAsia="zh-CN" w:bidi="ar"/>
              </w:rPr>
              <w:t>22、</w:t>
            </w:r>
            <w:r>
              <w:rPr>
                <w:color w:val="auto"/>
                <w:sz w:val="20"/>
                <w:szCs w:val="20"/>
                <w:highlight w:val="none"/>
              </w:rPr>
              <w:t>供电安全：模组采用≤5V 安全低压直流供电；电源具备冗余备份，单路电源故障不中断显示；支持双路供电方案可选</w:t>
            </w:r>
            <w:r>
              <w:rPr>
                <w:rFonts w:hint="eastAsia"/>
                <w:color w:val="auto"/>
                <w:sz w:val="20"/>
                <w:szCs w:val="20"/>
                <w:highlight w:val="none"/>
                <w:lang w:eastAsia="zh-CN"/>
              </w:rPr>
              <w:t>。</w:t>
            </w:r>
            <w:r>
              <w:rPr>
                <w:rFonts w:hint="eastAsia" w:ascii="宋体" w:hAnsi="宋体" w:eastAsia="宋体" w:cs="宋体"/>
                <w:i w:val="0"/>
                <w:iCs w:val="0"/>
                <w:color w:val="auto"/>
                <w:kern w:val="0"/>
                <w:sz w:val="20"/>
                <w:szCs w:val="20"/>
                <w:highlight w:val="none"/>
                <w:u w:val="none"/>
                <w:lang w:val="en-US" w:eastAsia="zh-CN" w:bidi="ar"/>
              </w:rPr>
              <w:br w:type="textWrapping"/>
            </w:r>
            <w:r>
              <w:rPr>
                <w:color w:val="auto"/>
                <w:sz w:val="20"/>
                <w:szCs w:val="20"/>
                <w:highlight w:val="none"/>
              </w:rPr>
              <w:t>2</w:t>
            </w:r>
            <w:r>
              <w:rPr>
                <w:rFonts w:hint="eastAsia"/>
                <w:color w:val="auto"/>
                <w:sz w:val="20"/>
                <w:szCs w:val="20"/>
                <w:highlight w:val="none"/>
                <w:lang w:val="en-US" w:eastAsia="zh-CN"/>
              </w:rPr>
              <w:t>3</w:t>
            </w:r>
            <w:r>
              <w:rPr>
                <w:color w:val="auto"/>
                <w:sz w:val="20"/>
                <w:szCs w:val="20"/>
                <w:highlight w:val="none"/>
              </w:rPr>
              <w:t>. 屏体散热方案散热充分，整机温升低、运行噪音低；无风扇自然散热、静音风扇散热均可</w:t>
            </w:r>
            <w:r>
              <w:rPr>
                <w:rFonts w:hint="eastAsia"/>
                <w:color w:val="auto"/>
                <w:sz w:val="20"/>
                <w:szCs w:val="20"/>
                <w:highlight w:val="none"/>
                <w:lang w:eastAsia="zh-CN"/>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24.彩色信号处理位数：≥16bit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25.故障智能自查诊断及排查：具备故障自诊断及排查功能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26.智能节电：带有智能（黑屏）节电功能，开启智能节电功能比没有开启节能 40%以上</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▲27.图像处理：图像有降噪、增强、运动补偿、色坐标变换处理、钝化处理、无几何失真和非线性失真现象、消鬼影拖尾，</w:t>
            </w:r>
            <w:r>
              <w:rPr>
                <w:rFonts w:hint="eastAsia" w:ascii="宋体" w:hAnsi="宋体" w:cs="宋体"/>
                <w:i w:val="0"/>
                <w:iCs w:val="0"/>
                <w:color w:val="auto"/>
                <w:kern w:val="0"/>
                <w:sz w:val="20"/>
                <w:szCs w:val="20"/>
                <w:highlight w:val="none"/>
                <w:u w:val="none"/>
                <w:lang w:val="en-US" w:eastAsia="zh-CN" w:bidi="ar"/>
              </w:rPr>
              <w:t>具备完整低碳度校正、画面无明显色差拼接缝等常规性能描述。</w:t>
            </w:r>
            <w:r>
              <w:rPr>
                <w:rFonts w:hint="eastAsia" w:ascii="宋体" w:hAnsi="宋体" w:eastAsia="宋体" w:cs="宋体"/>
                <w:i w:val="0"/>
                <w:iCs w:val="0"/>
                <w:color w:val="auto"/>
                <w:kern w:val="0"/>
                <w:sz w:val="20"/>
                <w:szCs w:val="20"/>
                <w:highlight w:val="cyan"/>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28.软件功能1、LED显示屏可实现监控显示屏工作状态，具有故障自动告警功能，发送故障立即发消息到指定邮箱，及时处理；2、LED显示屏具有多点测温系统，均衡散热，防止局部温度过高造成色彩漂移。3、LED显示屏具有电源温度控制系统，提供电源实时温度监控，超出设定温度自动报警，防止过温失效。</w:t>
            </w:r>
          </w:p>
          <w:p w14:paraId="16A85ABC">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auto"/>
                <w:sz w:val="20"/>
                <w:szCs w:val="20"/>
                <w:highlight w:val="none"/>
              </w:rPr>
            </w:pPr>
            <w:r>
              <w:rPr>
                <w:rFonts w:hint="eastAsia" w:ascii="宋体" w:hAnsi="宋体" w:eastAsia="宋体" w:cs="宋体"/>
                <w:i w:val="0"/>
                <w:iCs w:val="0"/>
                <w:strike w:val="0"/>
                <w:dstrike w:val="0"/>
                <w:color w:val="auto"/>
                <w:kern w:val="0"/>
                <w:sz w:val="20"/>
                <w:szCs w:val="20"/>
                <w:highlight w:val="none"/>
                <w:u w:val="none"/>
                <w:lang w:val="en-US" w:eastAsia="zh-CN" w:bidi="ar"/>
              </w:rPr>
              <w:t>29、</w:t>
            </w:r>
            <w:r>
              <w:rPr>
                <w:color w:val="auto"/>
                <w:sz w:val="20"/>
                <w:szCs w:val="20"/>
                <w:highlight w:val="none"/>
              </w:rPr>
              <w:t>产品典型使用寿命≥100000 小时，平均无故障工作时间≥100000 小时</w:t>
            </w:r>
            <w:r>
              <w:rPr>
                <w:rFonts w:hint="eastAsia"/>
                <w:color w:val="auto"/>
                <w:sz w:val="20"/>
                <w:szCs w:val="20"/>
                <w:highlight w:val="none"/>
                <w:lang w:eastAsia="zh-CN"/>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30. 稳定性：支持 7×24H 连续工作；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strike w:val="0"/>
                <w:dstrike w:val="0"/>
                <w:color w:val="auto"/>
                <w:kern w:val="0"/>
                <w:sz w:val="20"/>
                <w:szCs w:val="20"/>
                <w:highlight w:val="none"/>
                <w:u w:val="none"/>
                <w:lang w:val="en-US" w:eastAsia="zh-CN" w:bidi="ar"/>
              </w:rPr>
              <w:t>31、</w:t>
            </w:r>
            <w:r>
              <w:rPr>
                <w:color w:val="auto"/>
                <w:sz w:val="20"/>
                <w:szCs w:val="20"/>
                <w:highlight w:val="none"/>
              </w:rPr>
              <w:t>环境适应性：可稳定在 40℃/80% RH 高温高湿、-30℃低温环境通电工作；支持 60℃/85% RH 高温存储、-40℃低温存储，通过冷热冲击测试，试验后外观、功能无异常</w:t>
            </w:r>
            <w:r>
              <w:rPr>
                <w:rFonts w:hint="eastAsia"/>
                <w:color w:val="auto"/>
                <w:sz w:val="20"/>
                <w:szCs w:val="20"/>
                <w:highlight w:val="none"/>
                <w:lang w:eastAsia="zh-CN"/>
              </w:rPr>
              <w:t>。</w:t>
            </w:r>
            <w:r>
              <w:rPr>
                <w:rFonts w:hint="eastAsia" w:ascii="宋体" w:hAnsi="宋体" w:eastAsia="宋体" w:cs="宋体"/>
                <w:i w:val="0"/>
                <w:iCs w:val="0"/>
                <w:strike/>
                <w:dstrike w:val="0"/>
                <w:color w:val="auto"/>
                <w:kern w:val="0"/>
                <w:sz w:val="20"/>
                <w:szCs w:val="20"/>
                <w:highlight w:val="none"/>
                <w:u w:val="none"/>
                <w:lang w:val="en-US" w:eastAsia="zh-CN" w:bidi="ar"/>
              </w:rPr>
              <w:br w:type="textWrapping"/>
            </w:r>
            <w:r>
              <w:rPr>
                <w:rFonts w:hint="eastAsia" w:ascii="宋体" w:hAnsi="宋体" w:eastAsia="宋体" w:cs="宋体"/>
                <w:i w:val="0"/>
                <w:iCs w:val="0"/>
                <w:strike w:val="0"/>
                <w:dstrike w:val="0"/>
                <w:color w:val="auto"/>
                <w:kern w:val="0"/>
                <w:sz w:val="20"/>
                <w:szCs w:val="20"/>
                <w:highlight w:val="none"/>
                <w:u w:val="none"/>
                <w:lang w:val="en-US" w:eastAsia="zh-CN" w:bidi="ar"/>
              </w:rPr>
              <w:t>32、</w:t>
            </w:r>
            <w:r>
              <w:rPr>
                <w:color w:val="auto"/>
                <w:sz w:val="20"/>
                <w:szCs w:val="20"/>
                <w:highlight w:val="none"/>
              </w:rPr>
              <w:t>电气安全：抗电强度 1500VAC/60s；整机泄漏电流≤3.5mA/㎡</w:t>
            </w:r>
          </w:p>
          <w:p w14:paraId="74B45851">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auto"/>
                <w:sz w:val="24"/>
                <w:szCs w:val="24"/>
                <w:highlight w:val="none"/>
              </w:rPr>
            </w:pPr>
            <w:r>
              <w:rPr>
                <w:rFonts w:hint="eastAsia" w:ascii="宋体" w:hAnsi="宋体" w:eastAsia="宋体" w:cs="宋体"/>
                <w:i w:val="0"/>
                <w:iCs w:val="0"/>
                <w:strike w:val="0"/>
                <w:dstrike w:val="0"/>
                <w:color w:val="auto"/>
                <w:kern w:val="0"/>
                <w:sz w:val="20"/>
                <w:szCs w:val="20"/>
                <w:highlight w:val="none"/>
                <w:u w:val="none"/>
                <w:lang w:val="en-US" w:eastAsia="zh-CN" w:bidi="ar"/>
              </w:rPr>
              <w:t>33、</w:t>
            </w:r>
            <w:r>
              <w:rPr>
                <w:color w:val="auto"/>
                <w:sz w:val="20"/>
                <w:szCs w:val="20"/>
                <w:highlight w:val="none"/>
              </w:rPr>
              <w:t>防护等级：正面防尘性能达到 IP6X 标准，长期使用无积尘影响显示</w:t>
            </w:r>
            <w:r>
              <w:rPr>
                <w:rFonts w:hint="eastAsia"/>
                <w:color w:val="auto"/>
                <w:sz w:val="20"/>
                <w:szCs w:val="20"/>
                <w:highlight w:val="none"/>
                <w:lang w:eastAsia="zh-CN"/>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34、 保护技术：显示屏具有防潮、防尘、防腐蚀、防电磁干扰、防静电等功能，并具有过流、短路、过压、欠压保护等功能。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35、阻燃（防火）：PCB 的阻燃等级应达到 UL94 V-0 级，面罩阻燃等级应达到 UL94 V-0 级</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strike w:val="0"/>
                <w:dstrike w:val="0"/>
                <w:color w:val="auto"/>
                <w:kern w:val="0"/>
                <w:sz w:val="20"/>
                <w:szCs w:val="20"/>
                <w:highlight w:val="none"/>
                <w:u w:val="none"/>
                <w:lang w:val="en-US" w:eastAsia="zh-CN" w:bidi="ar"/>
              </w:rPr>
              <w:t>36、</w:t>
            </w:r>
            <w:r>
              <w:rPr>
                <w:color w:val="auto"/>
                <w:sz w:val="20"/>
                <w:szCs w:val="20"/>
                <w:highlight w:val="none"/>
              </w:rPr>
              <w:t>通过 9 级模拟地震振动测试，拼接屏体振动后无松动、无损坏</w:t>
            </w:r>
            <w:r>
              <w:rPr>
                <w:rFonts w:hint="eastAsia"/>
                <w:color w:val="auto"/>
                <w:sz w:val="20"/>
                <w:szCs w:val="20"/>
                <w:highlight w:val="none"/>
                <w:lang w:eastAsia="zh-CN"/>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strike w:val="0"/>
                <w:dstrike w:val="0"/>
                <w:color w:val="auto"/>
                <w:kern w:val="0"/>
                <w:sz w:val="20"/>
                <w:szCs w:val="20"/>
                <w:highlight w:val="none"/>
                <w:u w:val="none"/>
                <w:lang w:val="en-US" w:eastAsia="zh-CN" w:bidi="ar"/>
              </w:rPr>
              <w:t>37、</w:t>
            </w:r>
            <w:r>
              <w:rPr>
                <w:color w:val="auto"/>
                <w:sz w:val="20"/>
                <w:szCs w:val="20"/>
                <w:highlight w:val="none"/>
              </w:rPr>
              <w:t>光生物安全：蓝光、紫外辐射符合国家护眼标准，无视网膜、皮肤伤害风险</w:t>
            </w:r>
            <w:r>
              <w:rPr>
                <w:rFonts w:hint="eastAsia"/>
                <w:color w:val="auto"/>
                <w:sz w:val="20"/>
                <w:szCs w:val="20"/>
                <w:highlight w:val="none"/>
                <w:lang w:eastAsia="zh-CN"/>
              </w:rPr>
              <w:t>。</w:t>
            </w:r>
            <w:r>
              <w:rPr>
                <w:rFonts w:hint="eastAsia" w:ascii="宋体" w:hAnsi="宋体" w:eastAsia="宋体" w:cs="宋体"/>
                <w:i w:val="0"/>
                <w:iCs w:val="0"/>
                <w:strike/>
                <w:dstrike w:val="0"/>
                <w:color w:val="auto"/>
                <w:kern w:val="0"/>
                <w:sz w:val="20"/>
                <w:szCs w:val="20"/>
                <w:highlight w:val="none"/>
                <w:u w:val="none"/>
                <w:lang w:val="en-US" w:eastAsia="zh-CN" w:bidi="ar"/>
              </w:rPr>
              <w:br w:type="textWrapping"/>
            </w:r>
            <w:r>
              <w:rPr>
                <w:rFonts w:hint="eastAsia" w:ascii="宋体" w:hAnsi="宋体" w:eastAsia="宋体" w:cs="宋体"/>
                <w:i w:val="0"/>
                <w:iCs w:val="0"/>
                <w:strike w:val="0"/>
                <w:dstrike w:val="0"/>
                <w:color w:val="auto"/>
                <w:kern w:val="0"/>
                <w:sz w:val="20"/>
                <w:szCs w:val="20"/>
                <w:highlight w:val="none"/>
                <w:u w:val="none"/>
                <w:lang w:val="en-US" w:eastAsia="zh-CN" w:bidi="ar"/>
              </w:rPr>
              <w:t>38、</w:t>
            </w:r>
            <w:r>
              <w:rPr>
                <w:color w:val="auto"/>
                <w:sz w:val="20"/>
                <w:szCs w:val="20"/>
                <w:highlight w:val="none"/>
              </w:rPr>
              <w:t>人眼视觉舒适度符合国标相关要求，有效减少紫外线、抑制摩尔纹，长时间观看不易视觉疲劳</w:t>
            </w:r>
            <w:r>
              <w:rPr>
                <w:rFonts w:hint="eastAsia"/>
                <w:color w:val="auto"/>
                <w:sz w:val="20"/>
                <w:szCs w:val="20"/>
                <w:highlight w:val="none"/>
                <w:lang w:eastAsia="zh-CN"/>
              </w:rPr>
              <w:t>。</w:t>
            </w:r>
          </w:p>
          <w:p w14:paraId="7DC7C4D4">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trike w:val="0"/>
                <w:dstrike w:val="0"/>
                <w:color w:val="auto"/>
                <w:kern w:val="0"/>
                <w:sz w:val="20"/>
                <w:szCs w:val="20"/>
                <w:highlight w:val="none"/>
                <w:u w:val="none"/>
                <w:lang w:val="en-US" w:eastAsia="zh-CN" w:bidi="ar"/>
              </w:rPr>
              <w:t>39、</w:t>
            </w:r>
            <w:r>
              <w:rPr>
                <w:color w:val="auto"/>
                <w:sz w:val="20"/>
                <w:szCs w:val="20"/>
                <w:highlight w:val="none"/>
              </w:rPr>
              <w:t>耐紫外老化：整机通过紫外辐照老化测试，长期使用不褪色、变色</w:t>
            </w:r>
            <w:r>
              <w:rPr>
                <w:rFonts w:hint="eastAsia"/>
                <w:color w:val="auto"/>
                <w:sz w:val="20"/>
                <w:szCs w:val="20"/>
                <w:highlight w:val="none"/>
                <w:lang w:eastAsia="zh-CN"/>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▲40.以上带▲的参数必须提供第三方检测机构出具的CNAS或CMA或ilac-MRA检测报告复印件</w:t>
            </w:r>
            <w:r>
              <w:rPr>
                <w:rFonts w:hint="eastAsia" w:ascii="宋体" w:hAnsi="宋体" w:eastAsia="宋体" w:cs="宋体"/>
                <w:i w:val="0"/>
                <w:iCs w:val="0"/>
                <w:strike w:val="0"/>
                <w:dstrike w:val="0"/>
                <w:color w:val="auto"/>
                <w:kern w:val="0"/>
                <w:sz w:val="20"/>
                <w:szCs w:val="20"/>
                <w:highlight w:val="none"/>
                <w:u w:val="none"/>
                <w:lang w:val="en-US" w:eastAsia="zh-CN" w:bidi="ar"/>
              </w:rPr>
              <w:t>，需加盖</w:t>
            </w:r>
            <w:r>
              <w:rPr>
                <w:rFonts w:hint="eastAsia" w:ascii="宋体" w:hAnsi="宋体" w:cs="宋体"/>
                <w:i w:val="0"/>
                <w:iCs w:val="0"/>
                <w:strike w:val="0"/>
                <w:dstrike w:val="0"/>
                <w:color w:val="auto"/>
                <w:kern w:val="0"/>
                <w:sz w:val="20"/>
                <w:szCs w:val="20"/>
                <w:highlight w:val="none"/>
                <w:u w:val="none"/>
                <w:lang w:val="en-US" w:eastAsia="zh-CN" w:bidi="ar"/>
              </w:rPr>
              <w:t>响应供应商</w:t>
            </w:r>
            <w:r>
              <w:rPr>
                <w:rFonts w:hint="eastAsia" w:ascii="宋体" w:hAnsi="宋体" w:eastAsia="宋体" w:cs="宋体"/>
                <w:i w:val="0"/>
                <w:iCs w:val="0"/>
                <w:strike w:val="0"/>
                <w:dstrike w:val="0"/>
                <w:color w:val="auto"/>
                <w:kern w:val="0"/>
                <w:sz w:val="20"/>
                <w:szCs w:val="20"/>
                <w:highlight w:val="none"/>
                <w:u w:val="none"/>
                <w:lang w:val="en-US" w:eastAsia="zh-CN" w:bidi="ar"/>
              </w:rPr>
              <w:t>公章</w:t>
            </w:r>
            <w:r>
              <w:rPr>
                <w:rFonts w:hint="eastAsia" w:ascii="宋体" w:hAnsi="宋体" w:eastAsia="宋体" w:cs="宋体"/>
                <w:i w:val="0"/>
                <w:iCs w:val="0"/>
                <w:color w:val="auto"/>
                <w:kern w:val="0"/>
                <w:sz w:val="20"/>
                <w:szCs w:val="20"/>
                <w:highlight w:val="none"/>
                <w:u w:val="none"/>
                <w:lang w:val="en-US" w:eastAsia="zh-CN" w:bidi="ar"/>
              </w:rPr>
              <w:t>，否则</w:t>
            </w:r>
            <w:r>
              <w:rPr>
                <w:rFonts w:hint="eastAsia" w:ascii="宋体" w:hAnsi="宋体" w:cs="宋体"/>
                <w:i w:val="0"/>
                <w:iCs w:val="0"/>
                <w:color w:val="auto"/>
                <w:kern w:val="0"/>
                <w:sz w:val="20"/>
                <w:szCs w:val="20"/>
                <w:highlight w:val="none"/>
                <w:u w:val="none"/>
                <w:lang w:val="en-US" w:eastAsia="zh-CN" w:bidi="ar"/>
              </w:rPr>
              <w:t>响应</w:t>
            </w:r>
            <w:r>
              <w:rPr>
                <w:rFonts w:hint="eastAsia" w:ascii="宋体" w:hAnsi="宋体" w:eastAsia="宋体" w:cs="宋体"/>
                <w:i w:val="0"/>
                <w:iCs w:val="0"/>
                <w:color w:val="auto"/>
                <w:kern w:val="0"/>
                <w:sz w:val="20"/>
                <w:szCs w:val="20"/>
                <w:highlight w:val="none"/>
                <w:u w:val="none"/>
                <w:lang w:val="en-US" w:eastAsia="zh-CN" w:bidi="ar"/>
              </w:rPr>
              <w:t>无效。</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w:t>
            </w: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响应</w:t>
            </w:r>
            <w:r>
              <w:rPr>
                <w:rFonts w:hint="eastAsia" w:ascii="宋体" w:hAnsi="宋体" w:eastAsia="宋体" w:cs="宋体"/>
                <w:i w:val="0"/>
                <w:iCs w:val="0"/>
                <w:color w:val="auto"/>
                <w:kern w:val="0"/>
                <w:sz w:val="20"/>
                <w:szCs w:val="20"/>
                <w:highlight w:val="none"/>
                <w:u w:val="none"/>
                <w:lang w:val="en-US" w:eastAsia="zh-CN" w:bidi="ar"/>
              </w:rPr>
              <w:t>产品通过3C认证；</w:t>
            </w:r>
            <w:r>
              <w:rPr>
                <w:rFonts w:hint="eastAsia" w:ascii="宋体" w:hAnsi="宋体" w:cs="宋体"/>
                <w:i w:val="0"/>
                <w:iCs w:val="0"/>
                <w:color w:val="auto"/>
                <w:kern w:val="0"/>
                <w:sz w:val="20"/>
                <w:szCs w:val="20"/>
                <w:highlight w:val="none"/>
                <w:u w:val="none"/>
                <w:lang w:val="en-US" w:eastAsia="zh-CN" w:bidi="ar"/>
              </w:rPr>
              <w:t>响应</w:t>
            </w:r>
            <w:r>
              <w:rPr>
                <w:rFonts w:hint="eastAsia" w:ascii="宋体" w:hAnsi="宋体" w:eastAsia="宋体" w:cs="宋体"/>
                <w:i w:val="0"/>
                <w:iCs w:val="0"/>
                <w:color w:val="auto"/>
                <w:kern w:val="0"/>
                <w:sz w:val="20"/>
                <w:szCs w:val="20"/>
                <w:highlight w:val="none"/>
                <w:u w:val="none"/>
                <w:lang w:val="en-US" w:eastAsia="zh-CN" w:bidi="ar"/>
              </w:rPr>
              <w:t>时必须提供3C证书复印件并加盖</w:t>
            </w:r>
            <w:r>
              <w:rPr>
                <w:rFonts w:hint="eastAsia" w:ascii="宋体" w:hAnsi="宋体" w:cs="宋体"/>
                <w:i w:val="0"/>
                <w:iCs w:val="0"/>
                <w:color w:val="auto"/>
                <w:kern w:val="0"/>
                <w:sz w:val="20"/>
                <w:szCs w:val="20"/>
                <w:highlight w:val="none"/>
                <w:u w:val="none"/>
                <w:lang w:val="en-US" w:eastAsia="zh-CN" w:bidi="ar"/>
              </w:rPr>
              <w:t>响应供应商</w:t>
            </w:r>
            <w:r>
              <w:rPr>
                <w:rFonts w:hint="eastAsia" w:ascii="宋体" w:hAnsi="宋体" w:eastAsia="宋体" w:cs="宋体"/>
                <w:i w:val="0"/>
                <w:iCs w:val="0"/>
                <w:color w:val="auto"/>
                <w:kern w:val="0"/>
                <w:sz w:val="20"/>
                <w:szCs w:val="20"/>
                <w:highlight w:val="none"/>
                <w:u w:val="none"/>
                <w:lang w:val="en-US" w:eastAsia="zh-CN" w:bidi="ar"/>
              </w:rPr>
              <w:t>公章。</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w:t>
            </w: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w:t>
            </w:r>
            <w:r>
              <w:rPr>
                <w:color w:val="auto"/>
                <w:sz w:val="20"/>
                <w:szCs w:val="20"/>
                <w:highlight w:val="none"/>
              </w:rPr>
              <w:t>模组支持磁吸安装、卡扣安装、螺丝固定等多种安装结构，</w:t>
            </w:r>
            <w:r>
              <w:rPr>
                <w:rFonts w:hint="eastAsia"/>
                <w:color w:val="auto"/>
                <w:sz w:val="20"/>
                <w:szCs w:val="20"/>
                <w:highlight w:val="none"/>
                <w:lang w:eastAsia="zh-CN"/>
              </w:rPr>
              <w:t>响应时</w:t>
            </w:r>
            <w:r>
              <w:rPr>
                <w:color w:val="auto"/>
                <w:sz w:val="20"/>
                <w:szCs w:val="20"/>
                <w:highlight w:val="none"/>
              </w:rPr>
              <w:t>提供对应结构厂家证明材料</w:t>
            </w:r>
            <w:r>
              <w:rPr>
                <w:rFonts w:hint="eastAsia"/>
                <w:color w:val="auto"/>
                <w:sz w:val="20"/>
                <w:szCs w:val="20"/>
                <w:highlight w:val="none"/>
                <w:lang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7D3E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6B34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平方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35F3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7140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BE66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124950</w:t>
            </w:r>
          </w:p>
        </w:tc>
      </w:tr>
      <w:tr w14:paraId="26DCB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DFE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304BE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儿童5号篮球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BC7FAC">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一、产品基础规格</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规格型号：5 号幼儿专用篮球</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标称外径：220mm（22cm），成品尺寸公差 ±2mm；圆周约 69～71cm，适配 3～7 岁幼儿园幼儿手掌抓握、拍球训练。</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球体重量：320g～360g，重量均衡，幼儿轻松拍击不伤手腕。</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球面筋沟：标准深筋槽设计，筋沟宽度 4±0.5mm，深度 2.5±0.3mm，防滑易抓握。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二、材质要求（环保橡胶核心条款）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球面主体材质：</w:t>
            </w:r>
            <w:r>
              <w:rPr>
                <w:rFonts w:ascii="宋体" w:hAnsi="宋体" w:eastAsia="宋体" w:cs="宋体"/>
                <w:color w:val="auto"/>
                <w:sz w:val="20"/>
                <w:szCs w:val="20"/>
                <w:highlight w:val="none"/>
              </w:rPr>
              <w:t>全新环保橡胶混合料，可采用食品级天然橡胶搭配改性合成橡胶或其他同等环保全新橡胶配方；</w:t>
            </w:r>
            <w:r>
              <w:rPr>
                <w:rFonts w:hint="eastAsia" w:ascii="宋体" w:hAnsi="宋体" w:eastAsia="宋体" w:cs="宋体"/>
                <w:i w:val="0"/>
                <w:iCs w:val="0"/>
                <w:color w:val="auto"/>
                <w:kern w:val="0"/>
                <w:sz w:val="20"/>
                <w:szCs w:val="20"/>
                <w:highlight w:val="none"/>
                <w:u w:val="none"/>
                <w:lang w:val="en-US" w:eastAsia="zh-CN" w:bidi="ar"/>
              </w:rPr>
              <w:t>禁用再生废橡胶、回收劣质废旧胶皮，不含废旧轮胎碎料、工业废胶。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环保指标：无刺鼻异味，甲醛含量≤10mg/kg、重金属（铅、镉、汞、铬）符合 GB 6675 玩具安全国标，不含邻苯二甲酸酯（6P），满足幼儿园室内密闭环境使用。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内胆：丁基橡胶密闭内胆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气密性优异，常温常压充气后静置 72h 气压压降≤10%，不漏气、不易慢撒气；中胎为高弹橡胶中胎，缓冲减震，落地回弹高度：充气标准状态下落高 1.2m 自由落体，回弹 60～70cm。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缠纱：高强度尼龙纤维全缠纱</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整球全缠绕尼龙纱线，不变形、不起鼓，长期拍打球体不鼓包、不椭圆。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三、外观与工艺参数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球面纹路：凹凸颗粒防滑纹</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颗粒圆润无尖锐棱角，颗粒高度 0.8～1.2mm，避免划伤幼儿手掌；球面无毛边、毛刺、尖锐凸起，边角打磨圆润。</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配色：多色可选（红 / 黄 / 蓝 / 橙幼儿园常规配色）</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球面油墨采用环保水性油墨印刷，不掉色、不脱色，幼儿出汗触摸无掉色沾染皮肤，印刷图案附着力达标，反复摩擦不掉漆。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气嘴：内嵌式防吞安全气嘴</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气嘴凹陷内嵌设计，无外突硬质凸起，防止幼儿磕碰、抠咬误食，气嘴密封胶圈为环保硅胶材质。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四、执行国家标准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执行GB 6675.1~4-2014《玩具安全》国家强制性标准、GB/T 19851.11 中小学体育器材安全标准；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供货随附：第三方质检报告（甲醛、邻苯、重金属检测）、产品合格证、出厂检验单。</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五、验收验收标准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尺寸抽检：随机抽取 10% 货品卡尺实测直径，控制在 21.8～22.2cm；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气味验收：开箱无刺鼻化工臭味、塑胶异味；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充气验收：标准充气后静置 3 天不漏气，无变形鼓包；</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耐磨测试：常温地面连续拍打 500 次，球面无开裂、掉皮、大面积掉漆。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六、包装要求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单球 OPP 环保塑料袋独立封装，外箱瓦楞纸箱打包，标注品名、规格、执行标准、生产日期、厂家信息，便于幼儿园入库盘点。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B2F7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F45D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C374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5B41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2500</w:t>
            </w:r>
          </w:p>
        </w:tc>
      </w:tr>
      <w:tr w14:paraId="062B4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AC1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83674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儿童平衡车</w:t>
            </w:r>
          </w:p>
        </w:tc>
        <w:tc>
          <w:tcPr>
            <w:tcW w:w="0" w:type="auto"/>
            <w:tcBorders>
              <w:top w:val="nil"/>
              <w:left w:val="nil"/>
              <w:bottom w:val="nil"/>
              <w:right w:val="nil"/>
            </w:tcBorders>
            <w:shd w:val="clear" w:color="auto" w:fill="auto"/>
            <w:vAlign w:val="center"/>
          </w:tcPr>
          <w:p w14:paraId="46A77B30">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一、基础规格参数</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轮径：标准 14 寸（轮胎外径约 355mm），无脚踏、无链条滑行结构，适用 3～7 岁幼儿园幼儿；</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整车尺寸：总长 86±3cm，座高可调 33～43cm，车把高度可调 37～46cm；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整车净重：3.3～3.9kg，重量适中，方便幼儿自主抓握推行，不易侧翻。</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二、车架（高碳钢）技术标准</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主材：加厚高碳钢管一体车架，管材壁厚≥1.0mm，禁用薄铁皮、回收劣质管材，管壁无凹陷、砂眼、开裂；</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焊接：全车满焊工艺，焊口精细打磨，整车所有外露边角全圆弧钝化处理，无毛刺、尖角、凸起焊点，防止划伤幼儿；</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表面喷涂：车架整体磷化除锈 + 环氧防锈底漆 + 环保静电粉末面漆，全覆盖喷涂，管口、切口内壁一并喷漆；儿童环保烤漆，无刺鼻异味，铅、镉重金属达标，日晒不掉皮、不起锈。</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三、车把与握把配件</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车把高碳钢折弯成型，握把整段全包环保原生橡胶护套，橡胶厚度≥4.5mm；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橡胶防滑无异味、邻苯含量符合国标，用力拉扯不脱落、不开裂，无金属裸边外露。</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四、车轮轮胎配置</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14 寸橡胶充气越野轮胎，全新原生橡胶，禁止废旧再生橡胶，胎纹加深防滑耐磨，户外草地、塑胶跑道通用；</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钢制辐条轮毂 + 实心碳钢轮轴，轴尾加装防脱卡扣，车轮转动顺滑静音、无卡顿，承重≥55kg 不变形、不脱圈。</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五、座椅配件</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高弹加厚环保 PU 软座，弧形人体工学设计，边角全圆角；</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座椅高度螺丝无级可调，固定卡扣牢固，骑行不晃动、不下滑。</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六、环保与执行国标</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整车符合 GB 6675-2014 玩具安全国家标准，漆面、橡胶件可溶性重金属、甲醛、邻苯二甲酸酯检测合格，满足幼儿园室内外使用。</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七、到货验收标准</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轮胎实测外径符合 14 寸规格，尺寸误差≤5mm；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整车重量在 3.3～3.9kg 区间；</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漆面指甲轻刮无成片脱落，开箱无刺激性气味；</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整车推行顺畅，车轮无偏摆脱落、握把胶套无松动。</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八、供货资料</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单台独立纸箱 + 边角珍珠棉防护，随货附带产品合格证、出厂质检单，可提供第三方环保检测报告。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03B7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CDCC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BFB1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9AE8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420</w:t>
            </w:r>
          </w:p>
        </w:tc>
      </w:tr>
      <w:tr w14:paraId="490DB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AFD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C4EAD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脚踏自行车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FA55B7">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一、整体规格参数</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车架规格：14 寸儿童脚踏自行车，带脚踏、链条传动结构，适用 4～7 岁幼儿户外骑行锻炼。</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整车总长：105cm，尺寸公差 ±2cm；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车轮外径：35cm，公差 ±0.2cm；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座垫调节高度：53cm～64cm（竖向无级升降调节）；</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车把（龙头）调节高度：67cm～75cm（竖向可调）。</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二、车架（高碳钢）技术要求</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原材料：优质加厚高碳钢管车架，管材壁厚≥1.0mm，禁用薄铁皮、废旧回收钢管，管材无凹陷、砂眼、裂纹。</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焊接工艺：车架连接处满焊加工，焊口精细打磨，整车所有外露边角圆弧钝化处理，无毛刺、尖角、凸起焊渣，防止划伤幼儿。</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表面涂装：车架经除油、除锈、磷化处理，环氧防锈底漆 + 环保水性面漆双层静电喷涂，管材管口、切口内壁完整喷漆；漆面环保低气味，铅、镉、铬可溶性重金属符合玩具国标，日晒、磕碰不易起皮、锈蚀、脱落。</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三、车把与握把</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车把一体高碳钢弯折成型，握持位置全包全新环保软橡胶握把，胶套厚度≥4mm；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橡胶无回收废胶、无刺鼻异味、防滑耐磨，用力拉扯不脱落、不开裂，无金属裸边外露；车把锁紧组件为加厚紧固锁扣，调完高度锁紧牢靠，骑行无晃动。</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四、车轮配置</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轮胎：全新原生橡胶充气轮胎，加深防滑胎纹，严禁废旧再生橡胶，无刺激性塑胶异味，耐磨抗磕碰，适配塑胶跑道、草坪、水泥地面。</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轮毂：加厚钢制轮毂，实心碳钢轮轴，轴尾装配防脱卡扣，车轮空转顺滑无卡顿、无刺耳异响，单轮承重≥50kg，重压不变形、不脱胎。</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五、传动脚踏系统</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曲柄、牙盘、链条配件：碳钢材质，链条装配防护全包裹链罩，杜绝幼儿夹手、夹裤脚；</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脚踏外包防滑软橡胶，边角圆角处理，踩踏稳固不打滑，曲柄承重踩踏无变形弯曲。</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六、坐垫参数</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高弹加厚环保 PU 坐垫，人体工学弧形造型，全圆角包边无尖锐棱角；</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座管升降顺畅，锁紧螺丝紧固，颠簸骑行坐垫不下滑、不晃动，调节区间严格满足 53cm-64cm。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七、安全配件</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标配钢制手刹装置，刹车灵敏、制动平稳；整车无外露尖锐凸起零部件，符合幼儿园幼儿使用安全规范。</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八、环保执行标准</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整车漆面、橡胶、塑料配件符合 GB 6675-2014《玩具安全》国家标准，可溶性重金属、甲醛、邻苯二甲酸酯检测达标。</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九、验收标准</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尺寸抽检：车长 103～107cm、轮径 34.8～35.2cm，坐垫、车把可调范围满足参数要求；</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外观：无漏喷、流漆，开箱无浓烈化工异味；</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试车：骑行刹车灵敏、车轮不跑偏、链条不掉链、配件无松动脱落。</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十、包装及资料</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单车关键位置珍珠棉防护，独立瓦楞纸箱包装；随货附带产品合格证、出厂质检单，可提供第三方环保检测报告。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AF1F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DC5F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BA7E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8BEB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1050</w:t>
            </w:r>
          </w:p>
        </w:tc>
      </w:tr>
      <w:tr w14:paraId="4ACFA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269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831DE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脚踏自行车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E6FF7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一、整机规格参数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产品类型：儿童脚踏两轮自行车，车架 16 寸，适配 5～8 周岁幼儿户外活动骑行。</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整车总长：115cm，公差 ±2cm；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车轮外径：40cm，公差 ±0.2cm；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坐垫可调高度：58cm～69cm（竖向无级升降）；</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车把（龙头）可调高度：72cm～80cm。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二、车架（高碳钢）技术要求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主材：加厚优质高碳钢管，管壁厚度≥1.1mm，严禁薄料钢管、回收废旧管材，管材无沙眼、凹陷、开裂变形。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焊接：车架各连接点位满焊工艺，焊口打磨平整，整车外露管材边角全部圆弧倒角，无毛刺、尖角、突出焊瘤，防止划伤幼儿。</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表面喷涂：车架经除油→除锈→磷化预处理，环氧防锈底漆 + 环保儿童专用面漆静电全喷涂，管材切口、管口内壁完整上漆；漆面低气味、重金属（铅、镉、铬）达标，户外日晒不易起皮、生锈、掉漆。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三、车把与握把配置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车把高碳钢一体折弯成型，手握区域全包全新环保原生橡胶握套，胶厚≥4mm；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握把无再生废胶、无刺鼻异味，防滑耐磨，大力拉扯不脱落、不开裂，无金属裸边外露；</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车把紧固锁扣为加厚金属件，高度锁紧后骑行无晃动、移位。</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四、车轮总成</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轮胎：全新环保橡胶充气轮胎，加深防滑胎纹，禁用废旧再生橡胶，耐磨减震，适配塑胶场地、草坪、水泥地。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轮毂：加厚钢制轮毂，实心碳钢轮轴，轴端配防脱落卡扣；车轮空转顺滑无卡顿、无刺耳噪音，单轮承重≥60kg，重压不变形、不脱圈。</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五、传动、脚踏系统</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牙盘、曲柄、链条均为碳钢材质，标配全包封闭式链罩，有效防止幼儿夹手、夹裤脚；</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脚踏外层包裹防滑软橡胶，边角全圆角处理，踩踏稳固不打滑，长期承重不变形。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六、坐垫</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高弹加厚环保 PU 软座，人体工学弧形结构，全圆角包边无尖锐棱角；</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座管升降顺畅，锁紧螺栓紧固可靠，颠簸骑行不下滑、不松动，</w:t>
            </w:r>
            <w:r>
              <w:rPr>
                <w:rFonts w:ascii="宋体" w:hAnsi="宋体" w:eastAsia="宋体" w:cs="宋体"/>
                <w:color w:val="auto"/>
                <w:sz w:val="20"/>
                <w:szCs w:val="20"/>
                <w:highlight w:val="none"/>
              </w:rPr>
              <w:t>坐垫可调高度区间：58cm～69cm，支持竖向无级升降</w:t>
            </w:r>
            <w:r>
              <w:rPr>
                <w:rFonts w:hint="eastAsia" w:ascii="宋体" w:hAnsi="宋体" w:eastAsia="宋体" w:cs="宋体"/>
                <w:color w:val="auto"/>
                <w:sz w:val="20"/>
                <w:szCs w:val="20"/>
                <w:highlight w:val="none"/>
                <w:lang w:eastAsia="zh-CN"/>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七、安全制动配件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前后手刹配置，闸皮环保耐磨，刹车制动灵敏平稳；整车外露五金无尖锐凸起，符合幼教安全使用要求。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八、环保执行标准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整车漆面、橡胶、塑料配件符合 GB 6675-2014《玩具安全》国家强制性标准，甲醛、可溶性重金属、邻苯二甲酸酯检测合格。</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九、到货验收标准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尺寸抽检：车长 113～117cm、车轮直径 39.8～40.2cm，坐垫、车把调节范围符合参数；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气味：开箱无浓烈油漆、塑胶异味；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试车：刹车灵敏、车轮不跑偏、链条不掉链、所有配件无松脱。</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十、包装及随车资料</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单车关键部位珍珠棉防护，独立瓦楞纸箱封装；随货附带产品合格证、出厂检验单，供货方可提供第三方环保检测报告。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9FDB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71DB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D50E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7069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1080</w:t>
            </w:r>
          </w:p>
        </w:tc>
      </w:tr>
      <w:tr w14:paraId="1703E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220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5883D30F">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0E79D948">
            <w:pPr>
              <w:keepNext w:val="0"/>
              <w:keepLines w:val="0"/>
              <w:widowControl/>
              <w:suppressLineNumbers w:val="0"/>
              <w:jc w:val="center"/>
              <w:textAlignment w:val="center"/>
              <w:rPr>
                <w:rFonts w:hint="eastAsia" w:ascii="宋体" w:hAnsi="宋体" w:eastAsia="宋体" w:cs="宋体"/>
                <w:b/>
                <w:bCs/>
                <w:i w:val="0"/>
                <w:iCs w:val="0"/>
                <w:color w:val="FF0000"/>
                <w:kern w:val="2"/>
                <w:sz w:val="20"/>
                <w:szCs w:val="20"/>
                <w:u w:val="none"/>
                <w:lang w:val="en-US" w:eastAsia="zh-CN" w:bidi="ar-SA"/>
              </w:rPr>
            </w:pPr>
            <w:r>
              <w:rPr>
                <w:rFonts w:hint="eastAsia" w:ascii="宋体" w:hAnsi="宋体" w:eastAsia="宋体" w:cs="宋体"/>
                <w:b/>
                <w:bCs/>
                <w:i w:val="0"/>
                <w:iCs w:val="0"/>
                <w:color w:val="FF0000"/>
                <w:kern w:val="0"/>
                <w:sz w:val="20"/>
                <w:szCs w:val="20"/>
                <w:u w:val="none"/>
                <w:lang w:val="en-US" w:eastAsia="zh-CN" w:bidi="ar"/>
              </w:rPr>
              <w:t>上林县直属机关第二幼儿园</w:t>
            </w:r>
          </w:p>
        </w:tc>
        <w:tc>
          <w:tcPr>
            <w:tcW w:w="0" w:type="auto"/>
            <w:tcBorders>
              <w:top w:val="single" w:color="000000" w:sz="4" w:space="0"/>
              <w:left w:val="single" w:color="000000" w:sz="4" w:space="0"/>
              <w:bottom w:val="single" w:color="000000" w:sz="4" w:space="0"/>
              <w:right w:val="nil"/>
            </w:tcBorders>
            <w:shd w:val="clear" w:color="auto" w:fill="92D050"/>
            <w:noWrap/>
            <w:vAlign w:val="center"/>
          </w:tcPr>
          <w:p w14:paraId="64380C35">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2AA50212">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2C360029">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1C879BC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150000</w:t>
            </w:r>
          </w:p>
        </w:tc>
      </w:tr>
      <w:tr w14:paraId="0D984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C95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72FC4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教学一体机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93E21C">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一、整体设计</w:t>
            </w:r>
          </w:p>
          <w:p w14:paraId="251745FE">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1、整机采用一体设计，外部无任何可见内部功能模块连接线。</w:t>
            </w:r>
          </w:p>
          <w:p w14:paraId="307D8772">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2、整机采用全金属外壳设计，边角采用弧形设计，表面无尖锐边缘或凸起；整机屏幕边缘采用金属圆角包边防护，整机背板采用金属材质。</w:t>
            </w:r>
          </w:p>
          <w:p w14:paraId="28C4BFA3">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3、整机屏幕采用65英寸液晶显示器。</w:t>
            </w:r>
          </w:p>
          <w:p w14:paraId="3A8F0299">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4、整机采用LED液晶A规屏，显示比例16:9。</w:t>
            </w:r>
          </w:p>
          <w:p w14:paraId="0B4CAB1A">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二、整机硬件性能与接口</w:t>
            </w:r>
          </w:p>
          <w:p w14:paraId="4EDC8391">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1、双系统配置 整机搭载 电脑模块 + 嵌入式系统，系统版本不低于 当前最新版本；系统内存 RAM≥4G，存储 ROM≥32G；安卓端可独立实现白板书写、文档编辑、网页浏览等基础教学功能。（相关性能指标可提供厂商彩页、功能截图、第三方检测报告任意一种佐证，设备到货验收时提供完整 CMA/CNAS 检测报告备查）。</w:t>
            </w:r>
          </w:p>
          <w:p w14:paraId="443A4418">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2、整机配备前置外接接口，支持双系统共用读取 U 盘等存储设备；整机配备全功能 Type-C、HDMI、USB3.0 输入接口，侧置预留 HDMI、RS232、USB、音频输出、触控 USB 等拓展接口；整机外设拓展能力满足日常教学设备接驳需求，可通过拓展坞实现同等外接能力。前置接口配有防尘防护盖板，保护接口与外接 U 盘。</w:t>
            </w:r>
          </w:p>
          <w:p w14:paraId="0B3DF468">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3、整机内置高品质扬声器，整机额定总输出功率≥60W，发声均匀，无杂音、破音，满足教室扩声需求。</w:t>
            </w:r>
          </w:p>
          <w:p w14:paraId="716CFC3D">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4、红外触控技术，最小识别触控物体≤3mm；整机支持双系统多点触控，触控流畅无断触。</w:t>
            </w:r>
          </w:p>
          <w:p w14:paraId="351AFB0A">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5、整机内置高清摄像头与阵列麦克风，无需外接线材；摄像头像素≥1600 万，广角设计，可完整覆盖教室区域，满足远程巡课、课堂录播；麦克风有效拾音距离≥10 米，多人发言清晰收录。设备自带摄像头工作指示灯，摄像状态直观提示。</w:t>
            </w:r>
          </w:p>
          <w:p w14:paraId="4A13DC88">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6、支持无线投屏功能，可通过 NFC、扫码、无线连接等任意一种方式实现手机、平板投屏，支持多台移动设备同时分屏展示。</w:t>
            </w:r>
          </w:p>
          <w:p w14:paraId="1B83EF65">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7、内置双频 WiFi（2.4G+5GHz）、蓝牙模块，蓝牙标准不低于 Bluetooth 5.2；整机可无线联网、发射无线热点，双系统共用一套无线网络配置，无需重复设置；蓝牙可稳定连接外设，无线传输距离满足教室使用。</w:t>
            </w:r>
          </w:p>
          <w:p w14:paraId="1CC00966">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8、设备搭载护眼低蓝光背光方案，从硬件层面削减有害蓝光，显示画面无明显泛黄、色偏，符合校园护眼相关规范；屏幕 NTSC 色域覆盖率≥72%，安卓系统支持 4K 高清 UI 显示。</w:t>
            </w:r>
          </w:p>
          <w:p w14:paraId="0CFFD5FF">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9、OPS 电脑配置：运行内存≥8G，固态硬盘≥256G。</w:t>
            </w:r>
          </w:p>
          <w:p w14:paraId="25184F57">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p>
          <w:p w14:paraId="25CBF759">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三、整机基础交互功能</w:t>
            </w:r>
          </w:p>
          <w:p w14:paraId="69261658">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1、整机内置图像、音效调节模块，提供多种预设图像、音效模式，支持手动调节亮度、对比度、高低音、色温等参数，适配不同教学场景。</w:t>
            </w:r>
          </w:p>
          <w:p w14:paraId="1326D78B">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2、支持分屏、半屏显示功能，可一键切换全屏 / 半屏，画面完整无裁剪，触控操作正常；支持画面局部放大、聚光灯（区域高亮、其余区域暗化）教学工具。</w:t>
            </w:r>
          </w:p>
          <w:p w14:paraId="5976FBF4">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3、系统悬浮快捷工具栏，可调取批注、截屏、计时、锁屏、硬件自检、聚光灯、学科工具等教学常用功能，工具栏支持自定义调整。</w:t>
            </w:r>
          </w:p>
          <w:p w14:paraId="61B686BA">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4、支持智能手势快捷操作，可通过手势触发熄屏、批注、分屏等自定义功能，手势识别灵敏稳定。</w:t>
            </w:r>
          </w:p>
          <w:p w14:paraId="567703BD">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5、全通道支持自由截屏，可框选任意区域保存截图；授课过程中可一键调取各类教学小工具：答题器、倒计时、节拍器、日历、随机抽选等。</w:t>
            </w:r>
          </w:p>
          <w:p w14:paraId="51C4E874">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6、双系统实现功能互通：一键切换系统、共享 USB 外设、共享网络、背光手势快捷控制。</w:t>
            </w:r>
          </w:p>
          <w:p w14:paraId="3886596A">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7、内置互动白板，支持多笔同时书写、手掌智能擦除，笔迹自带笔锋；白板文件支持导出 PDF、SVG、IWB 等通用格式；内置充足平面、立体学科绘图工具，满足数理化教学绘图需求。</w:t>
            </w:r>
          </w:p>
          <w:p w14:paraId="67606895">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四、配套教学软件功能</w:t>
            </w:r>
          </w:p>
          <w:p w14:paraId="11D1C7E0">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1、教学资源分类管理：可按年级、学科、教材版本收纳课件、习题、阅读资料，支持云端存储、本地资源调取。</w:t>
            </w:r>
          </w:p>
          <w:p w14:paraId="3081221C">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2、白板教学模板丰富，支持田字格、五线谱、米字格、坐标纸等学科专用背景，支持原笔迹批注、拖拽、擦除。</w:t>
            </w:r>
          </w:p>
          <w:p w14:paraId="1B562D0B">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3、支持 PPT 原生播放、手势翻页、多级放大，批注笔迹同步保存；支持一键将课件上传至个人云空间，授课时云端直接下载使用。</w:t>
            </w:r>
          </w:p>
          <w:p w14:paraId="14893B46">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4、支持集体备课、在线听评课功能：可自定义评课评分模板、评分细则，听课记录可保存、导出分享；支持教师扫码听课评价。</w:t>
            </w:r>
          </w:p>
          <w:p w14:paraId="4635685F">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5、课堂录播功能：授课全过程可录制，支持暂停、停止，可自定义录制音视频画质，录制窗口可隐藏不遮挡教学画面。</w:t>
            </w:r>
          </w:p>
          <w:p w14:paraId="1967B716">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6、支持手机远程控制大屏课件翻页；支持课堂互动答题，学生扫码答题，教师查看答题正确率、导出课堂学情报告；支持课堂弹幕、班级成员管理。</w:t>
            </w:r>
          </w:p>
          <w:p w14:paraId="4BD8D36B">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7、支持网页资源一键导入课件，可制作课堂互动小游戏并保存至个人云盘，随时调取复用。</w:t>
            </w:r>
          </w:p>
          <w:p w14:paraId="0F93DECD">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8、为每位教师提供免费教学云存储空间，支持本地个人资源同步至云端，授课随时调取。</w:t>
            </w:r>
          </w:p>
          <w:p w14:paraId="2415F6ED">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五、集控管理平台功能</w:t>
            </w:r>
          </w:p>
          <w:p w14:paraId="2786E99D">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 xml:space="preserve"> 1、平台可统一查看所有教学设备硬件信息：屏幕尺寸、系统版本、CPU、内存、硬盘、网络状态等；支持列表、缩略图两种设备查看模式，批量预览设备实时画面。</w:t>
            </w:r>
          </w:p>
          <w:p w14:paraId="20750732">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 xml:space="preserve"> 2、远程巡课督导：可实时查看设备屏幕画面与课堂摄像头画面；支持远程下发设备系统、集控软件升级包，设备空闲时段自动完成更新。</w:t>
            </w:r>
          </w:p>
          <w:p w14:paraId="38EDC430">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 xml:space="preserve"> 3、远程管理功能：支持批量设置定时锁屏 / 解锁，可按工作日、周末自定义循环策略；远程下发考场考试安排，设备按时展示考试信息。</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0AEA4A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393E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48AE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E5B0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30000 </w:t>
            </w:r>
          </w:p>
        </w:tc>
      </w:tr>
      <w:tr w14:paraId="7EEBE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95E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4ABF7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移动一体机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599B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一、显示参数（整机≥75 寸，Windows+Android 双系统）</w:t>
            </w:r>
          </w:p>
          <w:p w14:paraId="5A976A3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1.OPS 配置：可配套 OPS 电脑模块，OPS 厚度≥43mm，支持背部插入安装，同等规格通用 OPS 均可适配；</w:t>
            </w:r>
          </w:p>
          <w:p w14:paraId="7D4685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2.图像模式：支持标准、动态、亮丽、用户等多种预设图像模式；侧边栏可调节亮度、对比度、饱和度、色温等参数；音效具备多套预设模式，支持高低音、平衡、环绕声开关调节；</w:t>
            </w:r>
          </w:p>
          <w:p w14:paraId="164647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3.背光类型：DLED 直下式背光；</w:t>
            </w:r>
          </w:p>
          <w:p w14:paraId="57CA2D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4.屏幕规格：≥75 英寸，16:9 A 规液晶面板，物理分辨率 3840×2160 4K 超高清；</w:t>
            </w:r>
          </w:p>
          <w:p w14:paraId="700A8E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5.屏幕基础性能：屏幕亮度≥380cd/㎡，静态对比度≥4000:1，灰阶响应时间≤6.5ms，NTSC 色域覆盖率≥72%；可视区域尺寸为参考值，同等 75 寸 4K 面板均可；</w:t>
            </w:r>
          </w:p>
          <w:p w14:paraId="297AADE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6.分屏功能：HDMI、安卓、Windows 全通道支持手势半屏显示，一键切换全屏，具备多类分屏适配模式即可，不强制固定数量。</w:t>
            </w:r>
          </w:p>
          <w:p w14:paraId="20B667C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二、系统参数</w:t>
            </w:r>
          </w:p>
          <w:p w14:paraId="294FC2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1.嵌入式安卓系统版本不低于 Android 1</w:t>
            </w:r>
            <w:r>
              <w:rPr>
                <w:rFonts w:hint="eastAsia" w:ascii="宋体" w:hAnsi="宋体" w:cs="宋体"/>
                <w:color w:val="auto"/>
                <w:kern w:val="0"/>
                <w:sz w:val="20"/>
                <w:szCs w:val="20"/>
                <w:highlight w:val="none"/>
                <w:lang w:val="en-US" w:eastAsia="zh-CN" w:bidi="ar"/>
              </w:rPr>
              <w:t>1</w:t>
            </w:r>
            <w:r>
              <w:rPr>
                <w:rFonts w:hint="eastAsia" w:ascii="宋体" w:hAnsi="宋体" w:eastAsia="宋体" w:cs="宋体"/>
                <w:color w:val="auto"/>
                <w:kern w:val="0"/>
                <w:sz w:val="20"/>
                <w:szCs w:val="20"/>
                <w:highlight w:val="none"/>
                <w:lang w:val="en-US" w:eastAsia="zh-CN" w:bidi="ar"/>
              </w:rPr>
              <w:t>，运行内存≥4GB，本地存储≥32GB；</w:t>
            </w:r>
          </w:p>
          <w:p w14:paraId="027F724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2.安卓主控：8 核处理器，等效主频≥1.55GHz（Cortex A55 或同性能架构均可）。</w:t>
            </w:r>
          </w:p>
          <w:p w14:paraId="08FC7B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三、智能音视频与互联</w:t>
            </w:r>
          </w:p>
          <w:p w14:paraId="111728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1.内置高清广角摄像头，像素≥1600 万，视场角≥130°，覆盖整间会议室巡课拍摄；支持人脸快速解锁识别；</w:t>
            </w:r>
          </w:p>
          <w:p w14:paraId="4ED871F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2.内置立体环绕音响，整机额定总功率≥60W，发声均匀无杂音；麦克风阵列拾音距离≥10 米，满足全室收音；不限喇叭腔体、出声结构；</w:t>
            </w:r>
          </w:p>
          <w:p w14:paraId="60407C8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3.内置蓝牙 5.2、2.4G/5G 双频 WiFi；双系统共用无线网络，无需重复配置；可发射 AP 热点，支持多终端无线接入，蓝牙稳定传输距离≥15 米；</w:t>
            </w:r>
          </w:p>
          <w:p w14:paraId="3DB8D5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4.支持无线投屏，可通过 NFC、扫码、无线直连任意一种方式实现手机 / 平板投屏，支持多设备同时分屏；</w:t>
            </w:r>
          </w:p>
          <w:p w14:paraId="331C0C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5.可选配环境温湿度监测模块，可对接管理平台查看教室环境数据，无强制硬性要求。</w:t>
            </w:r>
          </w:p>
          <w:p w14:paraId="77A446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四、红外触控参数</w:t>
            </w:r>
          </w:p>
          <w:p w14:paraId="458D63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1.红外多点触控，AG 防眩光钢化玻璃，光线透过率≥88%；</w:t>
            </w:r>
          </w:p>
          <w:p w14:paraId="2698B4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2.支持≥50 点同步书写触控，触控响应速度≤5ms，最小识别触摸物体≤3mm，强光下书写触控无失效；</w:t>
            </w:r>
          </w:p>
          <w:p w14:paraId="7680FAD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3.白板功能：无 PC 安卓端支持多笔同时书写、手掌智能擦除；可导出 PDF、SVG、IWB 等通用文档格式；内置充足数理化平面、立体绘图学科工具；差值分辨率满足 4K 高清书写精度即可，不强制固定数值。</w:t>
            </w:r>
          </w:p>
          <w:p w14:paraId="09CB18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五、整机接口（满足拓展需求，可配套拓展坞补充接口）</w:t>
            </w:r>
          </w:p>
          <w:p w14:paraId="1FAC97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1.输入：前置 HDMI、全功能 Type-C、多组 USB3.0；后置预留 HDMI 输入、3.5mm 音频输入；</w:t>
            </w:r>
          </w:p>
          <w:p w14:paraId="41A1814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2.输出：3.5mm 音频输出；</w:t>
            </w:r>
          </w:p>
          <w:p w14:paraId="5039EC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3.网络：配备不少于 1 路千兆网口，双网口更佳；</w:t>
            </w:r>
          </w:p>
          <w:p w14:paraId="6C7FE69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0"/>
                <w:szCs w:val="20"/>
                <w:highlight w:val="none"/>
                <w:lang w:val="en-US" w:eastAsia="zh-CN" w:bidi="ar"/>
              </w:rPr>
              <w:t>4.板载内置 USB、触控 USB 等拓展接口，整机外设接驳能力满足会议电脑、U 盘、摄像头、麦克风等常规设备使用。</w:t>
            </w:r>
          </w:p>
          <w:p w14:paraId="0481CCF2">
            <w:pPr>
              <w:keepNext w:val="0"/>
              <w:keepLines w:val="0"/>
              <w:widowControl/>
              <w:numPr>
                <w:ilvl w:val="0"/>
                <w:numId w:val="0"/>
              </w:numPr>
              <w:suppressLineNumbers w:val="0"/>
              <w:jc w:val="left"/>
              <w:textAlignment w:val="center"/>
              <w:rPr>
                <w:rStyle w:val="14"/>
                <w:rFonts w:hint="eastAsia"/>
                <w:strike/>
                <w:dstrike w:val="0"/>
                <w:color w:val="auto"/>
                <w:highlight w:val="none"/>
                <w:lang w:val="en-US" w:eastAsia="zh-CN" w:bidi="ar"/>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F3A9B8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BA4A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3E67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30CD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13000 </w:t>
            </w:r>
          </w:p>
        </w:tc>
      </w:tr>
      <w:tr w14:paraId="2218B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257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2C0F8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笔记本电脑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0671D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一、硬件技术参数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1、处理器：采用国产处理器，核心数≥4核，主频≥3.0GHz。</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2、内存：容量≥16GB，内存插槽≥2个，最高可支持内存≥32G DDR4。</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3、硬盘：配置≥512GB M.2 NVMe SSD硬盘，支持容量扩展。</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4、接口：USB3.0接口≥2个，USB-C接口≥2个，标准RJ45网口≥1个，HDMI接口≥1个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5、屏幕：≤14英寸, 1920*1080，≥180°开合。</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6、电源：电池容量≥60WH，适配器功率≥65W，适配器输出接口形态Type-C。</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7、无线网络：支持WiFi 6 并向下兼容， 支持BT 5.0。</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8、摄像头：720P分辨率，具备物理滑盖，可物理遮挡保护隐私。</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9</w:t>
            </w:r>
            <w:r>
              <w:rPr>
                <w:rFonts w:hint="eastAsia" w:ascii="宋体" w:hAnsi="宋体" w:eastAsia="宋体" w:cs="宋体"/>
                <w:i w:val="0"/>
                <w:iCs w:val="0"/>
                <w:color w:val="auto"/>
                <w:kern w:val="0"/>
                <w:sz w:val="20"/>
                <w:szCs w:val="20"/>
                <w:highlight w:val="none"/>
                <w:u w:val="none"/>
                <w:lang w:val="en-US" w:eastAsia="zh-CN" w:bidi="ar"/>
              </w:rPr>
              <w:t>、数据安全：</w:t>
            </w:r>
            <w:r>
              <w:rPr>
                <w:rFonts w:ascii="宋体" w:hAnsi="宋体" w:eastAsia="宋体" w:cs="宋体"/>
                <w:color w:val="auto"/>
                <w:sz w:val="20"/>
                <w:szCs w:val="20"/>
                <w:highlight w:val="none"/>
              </w:rPr>
              <w:t>具备独立安全分区 / 底层隐藏分区。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10</w:t>
            </w:r>
            <w:r>
              <w:rPr>
                <w:rFonts w:hint="eastAsia" w:ascii="宋体" w:hAnsi="宋体" w:eastAsia="宋体" w:cs="宋体"/>
                <w:i w:val="0"/>
                <w:iCs w:val="0"/>
                <w:color w:val="auto"/>
                <w:kern w:val="0"/>
                <w:sz w:val="20"/>
                <w:szCs w:val="20"/>
                <w:highlight w:val="none"/>
                <w:u w:val="none"/>
                <w:lang w:val="en-US" w:eastAsia="zh-CN" w:bidi="ar"/>
              </w:rPr>
              <w:t>、操作系统：预装符合桌面操作系统政府采购需求标准的正版操作系统；预装的操作系统符合《操作系统政府采购需求标准》中加*指标要求（财政部工业和信息化部关于印发《操作系统政府采购需求标准（2023年版）》的通知）。</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11</w:t>
            </w:r>
            <w:r>
              <w:rPr>
                <w:rFonts w:hint="eastAsia" w:ascii="宋体" w:hAnsi="宋体" w:eastAsia="宋体" w:cs="宋体"/>
                <w:i w:val="0"/>
                <w:iCs w:val="0"/>
                <w:color w:val="auto"/>
                <w:kern w:val="0"/>
                <w:sz w:val="20"/>
                <w:szCs w:val="20"/>
                <w:highlight w:val="none"/>
                <w:u w:val="none"/>
                <w:lang w:val="en-US" w:eastAsia="zh-CN" w:bidi="ar"/>
              </w:rPr>
              <w:t>、办公软件：预装带正版授权的办公软件（含三年服务）；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w:t>
            </w: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服务：针对产品提供原厂1-3年质保，提供专业的7*24h远程服务支持。且在产品生命周期结束后，原厂需提供符合工信部要求的IT资产环保处置服务，包括上门回收、数据销毁、环保拆解，并提供《资产环保处置证明》，服务可通过电话或官方网站查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15、关键部件安全要求：CPU和操作系统等关键部件应当符合安全可靠测评要求。（提供通过安全可靠测评的证明书或作出承诺）。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二、班级管理系统</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1、后台采用 B/S 架构设计，能够支持不同角色在 web 上进行操作，支持微信和账号登录、支持学校自定义角色、教师角色切换。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2、支持上传多个备课文档、支持一屏稿件对比，支持查看该次集体备课数据统计及访问记录。集体备课终稿存到我的成果库。并支持查看集体备课数据报告；</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、支持区域、学校管理者发起在线收集资料的任务，老师按照在线任务要求上传资料，支持管理者将收集上来的资料分类归档管理【</w:t>
            </w:r>
            <w:r>
              <w:rPr>
                <w:rFonts w:hint="eastAsia" w:ascii="宋体" w:hAnsi="宋体" w:cs="宋体"/>
                <w:i w:val="0"/>
                <w:iCs w:val="0"/>
                <w:color w:val="auto"/>
                <w:kern w:val="0"/>
                <w:sz w:val="20"/>
                <w:szCs w:val="20"/>
                <w:highlight w:val="none"/>
                <w:u w:val="none"/>
                <w:lang w:val="en-US" w:eastAsia="zh-CN" w:bidi="ar"/>
              </w:rPr>
              <w:t>响应供应商</w:t>
            </w:r>
            <w:r>
              <w:rPr>
                <w:rFonts w:hint="eastAsia" w:ascii="宋体" w:hAnsi="宋体" w:eastAsia="宋体" w:cs="宋体"/>
                <w:i w:val="0"/>
                <w:iCs w:val="0"/>
                <w:color w:val="auto"/>
                <w:kern w:val="0"/>
                <w:sz w:val="20"/>
                <w:szCs w:val="20"/>
                <w:highlight w:val="none"/>
                <w:u w:val="none"/>
                <w:lang w:val="en-US" w:eastAsia="zh-CN" w:bidi="ar"/>
              </w:rPr>
              <w:t>于</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中必须提供所投产品满足本条技术要求的相关有效证明材料复印件，证明材料可以是国家认可的第三方检验（测）机构出具的合格有效的检验（测）报告或官网截图或功能截图或产品彩页】</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三、备授课教学平台软件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 xml:space="preserve">.无需导入平台，可直接在PPT中通过备课插件添加课堂互动游戏、思维导图、网站链接、网络画板等。课件编辑完成可一键同步至云端；如教师不想保存在云平台可直接以PPT格式保存在本地，不允许系统自动在云平台中更新教师的资源；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 xml:space="preserve">.试题能够根据课本章节、题型、难易程度进行筛选，并提供知识点试题，可按知识点筛选，支持收藏、查看试题答案、解析、关联知识点，支持对试题进行二次编辑，支持将试题一键加入备课；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.通过对纸质试题拍照，可将图片上传，将纸质文字变为电子版文字，便于老师优质试题的收集使用；（</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4</w:t>
            </w:r>
            <w:r>
              <w:rPr>
                <w:rFonts w:hint="eastAsia" w:ascii="宋体" w:hAnsi="宋体" w:eastAsia="宋体" w:cs="宋体"/>
                <w:i w:val="0"/>
                <w:iCs w:val="0"/>
                <w:color w:val="auto"/>
                <w:kern w:val="0"/>
                <w:sz w:val="20"/>
                <w:szCs w:val="20"/>
                <w:highlight w:val="none"/>
                <w:u w:val="none"/>
                <w:lang w:val="en-US" w:eastAsia="zh-CN" w:bidi="ar"/>
              </w:rPr>
              <w:t>.支持音频和视频进行关键点标记，并将音视频分成不同小节，支持自定义视频小节名称，播放时可通过点击小节名称快速定位关键教学内容。（</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课堂互动题型：内置多种课堂互动练习模板，可自主编辑题目插入课件，用于课堂随堂练习。</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6</w:t>
            </w:r>
            <w:r>
              <w:rPr>
                <w:rFonts w:hint="eastAsia" w:ascii="宋体" w:hAnsi="宋体" w:eastAsia="宋体" w:cs="宋体"/>
                <w:i w:val="0"/>
                <w:iCs w:val="0"/>
                <w:color w:val="auto"/>
                <w:kern w:val="0"/>
                <w:sz w:val="20"/>
                <w:szCs w:val="20"/>
                <w:highlight w:val="none"/>
                <w:u w:val="none"/>
                <w:lang w:val="en-US" w:eastAsia="zh-CN" w:bidi="ar"/>
              </w:rPr>
              <w:t>.为方便教师快速查找，所有备课资源均可按照系统自带教材章节进行存储，无需教师自建存储条目；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7</w:t>
            </w:r>
            <w:r>
              <w:rPr>
                <w:rFonts w:hint="eastAsia" w:ascii="宋体" w:hAnsi="宋体" w:eastAsia="宋体" w:cs="宋体"/>
                <w:i w:val="0"/>
                <w:iCs w:val="0"/>
                <w:color w:val="auto"/>
                <w:kern w:val="0"/>
                <w:sz w:val="20"/>
                <w:szCs w:val="20"/>
                <w:highlight w:val="none"/>
                <w:u w:val="none"/>
                <w:lang w:val="en-US" w:eastAsia="zh-CN" w:bidi="ar"/>
              </w:rPr>
              <w:t>.备课界面支持将教案、课件、学案、试题、练习、</w:t>
            </w:r>
            <w:r>
              <w:rPr>
                <w:rFonts w:hint="eastAsia" w:ascii="宋体" w:hAnsi="宋体" w:eastAsia="宋体" w:cs="宋体"/>
                <w:i w:val="0"/>
                <w:iCs w:val="0"/>
                <w:strike w:val="0"/>
                <w:dstrike w:val="0"/>
                <w:color w:val="auto"/>
                <w:kern w:val="0"/>
                <w:sz w:val="20"/>
                <w:szCs w:val="20"/>
                <w:highlight w:val="none"/>
                <w:u w:val="none"/>
                <w:lang w:val="en-US" w:eastAsia="zh-CN" w:bidi="ar"/>
              </w:rPr>
              <w:t>网络画板、</w:t>
            </w:r>
            <w:r>
              <w:rPr>
                <w:rFonts w:hint="eastAsia" w:ascii="宋体" w:hAnsi="宋体" w:eastAsia="宋体" w:cs="宋体"/>
                <w:i w:val="0"/>
                <w:iCs w:val="0"/>
                <w:color w:val="auto"/>
                <w:kern w:val="0"/>
                <w:sz w:val="20"/>
                <w:szCs w:val="20"/>
                <w:highlight w:val="none"/>
                <w:u w:val="none"/>
                <w:lang w:val="en-US" w:eastAsia="zh-CN" w:bidi="ar"/>
              </w:rPr>
              <w:t xml:space="preserve">虚拟实验、微课等教学资源分享给校内指定教师使用；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8</w:t>
            </w:r>
            <w:r>
              <w:rPr>
                <w:rFonts w:hint="eastAsia" w:ascii="宋体" w:hAnsi="宋体" w:eastAsia="宋体" w:cs="宋体"/>
                <w:i w:val="0"/>
                <w:iCs w:val="0"/>
                <w:color w:val="auto"/>
                <w:kern w:val="0"/>
                <w:sz w:val="20"/>
                <w:szCs w:val="20"/>
                <w:highlight w:val="none"/>
                <w:u w:val="none"/>
                <w:lang w:val="en-US" w:eastAsia="zh-CN" w:bidi="ar"/>
              </w:rPr>
              <w:t xml:space="preserve">. </w:t>
            </w:r>
            <w:r>
              <w:rPr>
                <w:rFonts w:ascii="宋体" w:hAnsi="宋体" w:eastAsia="宋体" w:cs="宋体"/>
                <w:color w:val="auto"/>
                <w:kern w:val="0"/>
                <w:sz w:val="20"/>
                <w:szCs w:val="20"/>
                <w:highlight w:val="none"/>
                <w:lang w:val="en-US" w:eastAsia="zh-CN" w:bidi="ar"/>
              </w:rPr>
              <w:t>白板书写功能：提供硬笔、粉笔、荧光笔等多种书写笔触，支持自由调整粗细、颜色；支持自定义保存常用配色，色彩调节包含色调、饱和度、亮度参数设置。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9</w:t>
            </w:r>
            <w:r>
              <w:rPr>
                <w:rFonts w:hint="eastAsia" w:ascii="宋体" w:hAnsi="宋体" w:eastAsia="宋体" w:cs="宋体"/>
                <w:i w:val="0"/>
                <w:iCs w:val="0"/>
                <w:color w:val="auto"/>
                <w:kern w:val="0"/>
                <w:sz w:val="20"/>
                <w:szCs w:val="20"/>
                <w:highlight w:val="none"/>
                <w:u w:val="none"/>
                <w:lang w:val="en-US" w:eastAsia="zh-CN" w:bidi="ar"/>
              </w:rPr>
              <w:t>.支持三个及以上学生同时进行书写或手势擦除操作，不同学生各自进行书写或擦除，互不影响；</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10</w:t>
            </w:r>
            <w:r>
              <w:rPr>
                <w:rFonts w:hint="eastAsia" w:ascii="宋体" w:hAnsi="宋体" w:eastAsia="宋体" w:cs="宋体"/>
                <w:i w:val="0"/>
                <w:iCs w:val="0"/>
                <w:color w:val="auto"/>
                <w:kern w:val="0"/>
                <w:sz w:val="20"/>
                <w:szCs w:val="20"/>
                <w:highlight w:val="none"/>
                <w:u w:val="none"/>
                <w:lang w:val="en-US" w:eastAsia="zh-CN" w:bidi="ar"/>
              </w:rPr>
              <w:t>.支持对白板页面中的元素进行隐藏、锁定、缩放、旋转、置顶等操作，被隐藏元素可以一键重新显示在白板上；（</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11</w:t>
            </w:r>
            <w:r>
              <w:rPr>
                <w:rFonts w:hint="eastAsia" w:ascii="宋体" w:hAnsi="宋体" w:eastAsia="宋体" w:cs="宋体"/>
                <w:i w:val="0"/>
                <w:iCs w:val="0"/>
                <w:color w:val="auto"/>
                <w:kern w:val="0"/>
                <w:sz w:val="20"/>
                <w:szCs w:val="20"/>
                <w:highlight w:val="none"/>
                <w:u w:val="none"/>
                <w:lang w:val="en-US" w:eastAsia="zh-CN" w:bidi="ar"/>
              </w:rPr>
              <w:t>.能够在桌面授课或PPT授课时打开板中板辅助教学，应支持任意调整板中板大小，在板中板中进行板书书写与擦除、板书缩放、插入文件等操作不影响课件主画面（</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12</w:t>
            </w:r>
            <w:r>
              <w:rPr>
                <w:rFonts w:hint="eastAsia" w:ascii="宋体" w:hAnsi="宋体" w:eastAsia="宋体" w:cs="宋体"/>
                <w:i w:val="0"/>
                <w:iCs w:val="0"/>
                <w:color w:val="auto"/>
                <w:kern w:val="0"/>
                <w:sz w:val="20"/>
                <w:szCs w:val="20"/>
                <w:highlight w:val="none"/>
                <w:u w:val="none"/>
                <w:lang w:val="en-US" w:eastAsia="zh-CN" w:bidi="ar"/>
              </w:rPr>
              <w:t xml:space="preserve">.智能转写可支持连续书写多个汉字并将书写的内容自动转换为楷体，转换文字大小自动跟随手写输入字体大小变化，支持查看笔顺、朗读读音；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13</w:t>
            </w:r>
            <w:r>
              <w:rPr>
                <w:rFonts w:hint="eastAsia" w:ascii="宋体" w:hAnsi="宋体" w:eastAsia="宋体" w:cs="宋体"/>
                <w:i w:val="0"/>
                <w:iCs w:val="0"/>
                <w:color w:val="auto"/>
                <w:kern w:val="0"/>
                <w:sz w:val="20"/>
                <w:szCs w:val="20"/>
                <w:highlight w:val="none"/>
                <w:u w:val="none"/>
                <w:lang w:val="en-US" w:eastAsia="zh-CN" w:bidi="ar"/>
              </w:rPr>
              <w:t>.划词搜索：</w:t>
            </w:r>
            <w:r>
              <w:rPr>
                <w:rFonts w:ascii="宋体" w:hAnsi="宋体" w:eastAsia="宋体" w:cs="宋体"/>
                <w:color w:val="auto"/>
                <w:kern w:val="0"/>
                <w:sz w:val="20"/>
                <w:szCs w:val="20"/>
                <w:highlight w:val="none"/>
                <w:lang w:val="en-US" w:eastAsia="zh-CN" w:bidi="ar"/>
              </w:rPr>
              <w:t>白板上手写中英文内容可智能识别，一键调取互联网教育类素材、知识点资料辅助授课；不限定单一检索网站，可对接正规教育资源库。</w:t>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14</w:t>
            </w:r>
            <w:r>
              <w:rPr>
                <w:rFonts w:hint="eastAsia" w:ascii="宋体" w:hAnsi="宋体" w:eastAsia="宋体" w:cs="宋体"/>
                <w:i w:val="0"/>
                <w:iCs w:val="0"/>
                <w:color w:val="auto"/>
                <w:kern w:val="0"/>
                <w:sz w:val="20"/>
                <w:szCs w:val="20"/>
                <w:highlight w:val="none"/>
                <w:u w:val="none"/>
                <w:lang w:val="en-US" w:eastAsia="zh-CN" w:bidi="ar"/>
              </w:rPr>
              <w:t>.图形识别：</w:t>
            </w:r>
            <w:r>
              <w:rPr>
                <w:rFonts w:ascii="宋体" w:hAnsi="宋体" w:eastAsia="宋体" w:cs="宋体"/>
                <w:color w:val="auto"/>
                <w:kern w:val="0"/>
                <w:sz w:val="20"/>
                <w:szCs w:val="20"/>
                <w:highlight w:val="none"/>
                <w:lang w:val="en-US" w:eastAsia="zh-CN" w:bidi="ar"/>
              </w:rPr>
              <w:t>平面几何图形可自动规整为标准矢量图形，支持识别多种常用几何类型。</w:t>
            </w:r>
            <w:r>
              <w:rPr>
                <w:rFonts w:hint="eastAsia" w:ascii="宋体" w:hAnsi="宋体" w:eastAsia="宋体" w:cs="宋体"/>
                <w:i w:val="0"/>
                <w:iCs w:val="0"/>
                <w:strike/>
                <w:dstrike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15</w:t>
            </w:r>
            <w:r>
              <w:rPr>
                <w:rFonts w:hint="eastAsia" w:ascii="宋体" w:hAnsi="宋体" w:eastAsia="宋体" w:cs="宋体"/>
                <w:i w:val="0"/>
                <w:iCs w:val="0"/>
                <w:color w:val="auto"/>
                <w:kern w:val="0"/>
                <w:sz w:val="20"/>
                <w:szCs w:val="20"/>
                <w:highlight w:val="none"/>
                <w:u w:val="none"/>
                <w:lang w:val="en-US" w:eastAsia="zh-CN" w:bidi="ar"/>
              </w:rPr>
              <w:t>.英文转写： 可支持自由、连续书写多个单词并将书写的内容自动识别转换为印刷体，转换单词大小自动跟随手写输入单词大小变化，支持二次修改及前后增删单词、朗读、增加四线三格背景、词卡等功能；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16</w:t>
            </w:r>
            <w:r>
              <w:rPr>
                <w:rFonts w:hint="eastAsia" w:ascii="宋体" w:hAnsi="宋体" w:eastAsia="宋体" w:cs="宋体"/>
                <w:i w:val="0"/>
                <w:iCs w:val="0"/>
                <w:color w:val="auto"/>
                <w:kern w:val="0"/>
                <w:sz w:val="20"/>
                <w:szCs w:val="20"/>
                <w:highlight w:val="none"/>
                <w:u w:val="none"/>
                <w:lang w:val="en-US" w:eastAsia="zh-CN" w:bidi="ar"/>
              </w:rPr>
              <w:t>.白板教学中，支持从电脑中导入图片、视频、PPT、Word、Excel、PDF等资源，导入的PPT、Word、Excel文件可以进行二次编辑，导入的图片可以进行批注，导入的视频播放时可以进行批注讲解、擦除操作；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17</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白板背景素材：配备田字格、五线谱、坐标轴、运动场地等多类学科专用背景，同时支持教师上传自定义背景图片。</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18</w:t>
            </w:r>
            <w:r>
              <w:rPr>
                <w:rFonts w:hint="eastAsia" w:ascii="宋体" w:hAnsi="宋体" w:eastAsia="宋体" w:cs="宋体"/>
                <w:i w:val="0"/>
                <w:iCs w:val="0"/>
                <w:color w:val="auto"/>
                <w:kern w:val="0"/>
                <w:sz w:val="20"/>
                <w:szCs w:val="20"/>
                <w:highlight w:val="none"/>
                <w:u w:val="none"/>
                <w:lang w:val="en-US" w:eastAsia="zh-CN" w:bidi="ar"/>
              </w:rPr>
              <w:t>.美术画板工具提供铅笔 、蜡笔、毛笔 、油画笔等笔触，具备模拟调色盘 ，可选择不同颜色混合调色；支持在美术画板导入jpg、jpeg、bmp 、png格式的实物彩色图片一键转换为素描效果，用于美术教学；</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19</w:t>
            </w:r>
            <w:r>
              <w:rPr>
                <w:rFonts w:hint="eastAsia" w:ascii="宋体" w:hAnsi="宋体" w:eastAsia="宋体" w:cs="宋体"/>
                <w:i w:val="0"/>
                <w:iCs w:val="0"/>
                <w:color w:val="auto"/>
                <w:kern w:val="0"/>
                <w:sz w:val="20"/>
                <w:szCs w:val="20"/>
                <w:highlight w:val="none"/>
                <w:u w:val="none"/>
                <w:lang w:val="en-US" w:eastAsia="zh-CN" w:bidi="ar"/>
              </w:rPr>
              <w:t xml:space="preserve">.截屏支持对屏幕上任意区域进行自由截图或矩形截图，应支持截取过程中，在截取页面上进行书写操作，并将截取的页面保存为图片；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20</w:t>
            </w:r>
            <w:r>
              <w:rPr>
                <w:rFonts w:hint="eastAsia" w:ascii="宋体" w:hAnsi="宋体" w:eastAsia="宋体" w:cs="宋体"/>
                <w:i w:val="0"/>
                <w:iCs w:val="0"/>
                <w:color w:val="auto"/>
                <w:kern w:val="0"/>
                <w:sz w:val="20"/>
                <w:szCs w:val="20"/>
                <w:highlight w:val="none"/>
                <w:u w:val="none"/>
                <w:lang w:val="en-US" w:eastAsia="zh-CN" w:bidi="ar"/>
              </w:rPr>
              <w:t xml:space="preserve">.学生自主学习：支持学生进行闯关模式下难度递进的自主学习。闯关练习应按学段、科目、版本、册别筛选，答题完成可以査看答题是否正确以及答题解析，满足不同学生的个性化练习需求； </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101E49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DBC763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B6A4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20D3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5500 </w:t>
            </w:r>
          </w:p>
        </w:tc>
      </w:tr>
      <w:tr w14:paraId="289A3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660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DF670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空调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A104DD">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auto"/>
                <w:kern w:val="0"/>
                <w:sz w:val="20"/>
                <w:szCs w:val="20"/>
                <w:highlight w:val="none"/>
                <w:lang w:val="en-US" w:eastAsia="zh-CN" w:bidi="ar"/>
              </w:rPr>
            </w:pPr>
            <w:r>
              <w:rPr>
                <w:rFonts w:ascii="宋体" w:hAnsi="宋体" w:eastAsia="宋体" w:cs="宋体"/>
                <w:color w:val="auto"/>
                <w:kern w:val="0"/>
                <w:sz w:val="20"/>
                <w:szCs w:val="20"/>
                <w:highlight w:val="none"/>
                <w:lang w:val="en-US" w:eastAsia="zh-CN" w:bidi="ar"/>
              </w:rPr>
              <w:t xml:space="preserve">机型：3 匹壁挂式全变频冷暖空调 </w:t>
            </w:r>
          </w:p>
          <w:p w14:paraId="170F1E93">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firstLine="0" w:firstLineChars="0"/>
              <w:jc w:val="left"/>
              <w:rPr>
                <w:rFonts w:ascii="宋体" w:hAnsi="宋体" w:eastAsia="宋体" w:cs="宋体"/>
                <w:color w:val="auto"/>
                <w:kern w:val="0"/>
                <w:sz w:val="20"/>
                <w:szCs w:val="20"/>
                <w:highlight w:val="none"/>
                <w:lang w:val="en-US" w:eastAsia="zh-CN" w:bidi="ar"/>
              </w:rPr>
            </w:pPr>
            <w:r>
              <w:rPr>
                <w:rFonts w:ascii="宋体" w:hAnsi="宋体" w:eastAsia="宋体" w:cs="宋体"/>
                <w:color w:val="auto"/>
                <w:kern w:val="0"/>
                <w:sz w:val="20"/>
                <w:szCs w:val="20"/>
                <w:highlight w:val="none"/>
                <w:lang w:val="en-US" w:eastAsia="zh-CN" w:bidi="ar"/>
              </w:rPr>
              <w:t xml:space="preserve">能效等级：新国标一级能效 </w:t>
            </w:r>
          </w:p>
          <w:p w14:paraId="787BEED0">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firstLine="0" w:firstLineChars="0"/>
              <w:jc w:val="left"/>
              <w:rPr>
                <w:rFonts w:ascii="宋体" w:hAnsi="宋体" w:eastAsia="宋体" w:cs="宋体"/>
                <w:color w:val="auto"/>
                <w:kern w:val="0"/>
                <w:sz w:val="20"/>
                <w:szCs w:val="20"/>
                <w:highlight w:val="none"/>
                <w:lang w:val="en-US" w:eastAsia="zh-CN" w:bidi="ar"/>
              </w:rPr>
            </w:pPr>
            <w:r>
              <w:rPr>
                <w:rFonts w:ascii="宋体" w:hAnsi="宋体" w:eastAsia="宋体" w:cs="宋体"/>
                <w:color w:val="auto"/>
                <w:kern w:val="0"/>
                <w:sz w:val="20"/>
                <w:szCs w:val="20"/>
                <w:highlight w:val="none"/>
                <w:lang w:val="en-US" w:eastAsia="zh-CN" w:bidi="ar"/>
              </w:rPr>
              <w:t xml:space="preserve">全年能源消耗效率 APF≥4.55（以中国能效标识网备案数据为准） </w:t>
            </w:r>
          </w:p>
          <w:p w14:paraId="61F033DF">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firstLine="0" w:firstLineChars="0"/>
              <w:jc w:val="left"/>
              <w:rPr>
                <w:rFonts w:ascii="宋体" w:hAnsi="宋体" w:eastAsia="宋体" w:cs="宋体"/>
                <w:color w:val="auto"/>
                <w:kern w:val="0"/>
                <w:sz w:val="20"/>
                <w:szCs w:val="20"/>
                <w:highlight w:val="none"/>
                <w:lang w:val="en-US" w:eastAsia="zh-CN" w:bidi="ar"/>
              </w:rPr>
            </w:pPr>
            <w:r>
              <w:rPr>
                <w:rFonts w:ascii="宋体" w:hAnsi="宋体" w:eastAsia="宋体" w:cs="宋体"/>
                <w:color w:val="auto"/>
                <w:kern w:val="0"/>
                <w:sz w:val="20"/>
                <w:szCs w:val="20"/>
                <w:highlight w:val="none"/>
                <w:lang w:val="en-US" w:eastAsia="zh-CN" w:bidi="ar"/>
              </w:rPr>
              <w:t>额定制冷量≥7310W，国标合理公差范围内有效</w:t>
            </w:r>
          </w:p>
          <w:p w14:paraId="7AA2226C">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firstLine="0" w:firstLineChars="0"/>
              <w:jc w:val="left"/>
              <w:rPr>
                <w:rFonts w:ascii="宋体" w:hAnsi="宋体" w:eastAsia="宋体" w:cs="宋体"/>
                <w:color w:val="auto"/>
                <w:kern w:val="0"/>
                <w:sz w:val="20"/>
                <w:szCs w:val="20"/>
                <w:highlight w:val="none"/>
                <w:lang w:val="en-US" w:eastAsia="zh-CN" w:bidi="ar"/>
              </w:rPr>
            </w:pPr>
            <w:r>
              <w:rPr>
                <w:rFonts w:ascii="宋体" w:hAnsi="宋体" w:eastAsia="宋体" w:cs="宋体"/>
                <w:color w:val="auto"/>
                <w:kern w:val="0"/>
                <w:sz w:val="20"/>
                <w:szCs w:val="20"/>
                <w:highlight w:val="none"/>
                <w:lang w:val="en-US" w:eastAsia="zh-CN" w:bidi="ar"/>
              </w:rPr>
              <w:t xml:space="preserve">额定制热量≥9810W，国标合理公差范围内有效 </w:t>
            </w:r>
          </w:p>
          <w:p w14:paraId="5A2E56B7">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firstLine="0" w:firstLineChars="0"/>
              <w:jc w:val="left"/>
              <w:rPr>
                <w:rFonts w:ascii="宋体" w:hAnsi="宋体" w:eastAsia="宋体" w:cs="宋体"/>
                <w:color w:val="auto"/>
                <w:kern w:val="0"/>
                <w:sz w:val="20"/>
                <w:szCs w:val="20"/>
                <w:highlight w:val="none"/>
                <w:lang w:val="en-US" w:eastAsia="zh-CN" w:bidi="ar"/>
              </w:rPr>
            </w:pPr>
            <w:r>
              <w:rPr>
                <w:rFonts w:ascii="宋体" w:hAnsi="宋体" w:eastAsia="宋体" w:cs="宋体"/>
                <w:color w:val="auto"/>
                <w:kern w:val="0"/>
                <w:sz w:val="20"/>
                <w:szCs w:val="20"/>
                <w:highlight w:val="none"/>
                <w:lang w:val="en-US" w:eastAsia="zh-CN" w:bidi="ar"/>
              </w:rPr>
              <w:t xml:space="preserve">额定制冷功率≤1940W </w:t>
            </w:r>
          </w:p>
          <w:p w14:paraId="21AB7B6D">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firstLine="0" w:firstLineChars="0"/>
              <w:jc w:val="left"/>
              <w:rPr>
                <w:rFonts w:ascii="宋体" w:hAnsi="宋体" w:eastAsia="宋体" w:cs="宋体"/>
                <w:color w:val="auto"/>
                <w:kern w:val="0"/>
                <w:sz w:val="20"/>
                <w:szCs w:val="20"/>
                <w:highlight w:val="none"/>
                <w:lang w:val="en-US" w:eastAsia="zh-CN" w:bidi="ar"/>
              </w:rPr>
            </w:pPr>
            <w:r>
              <w:rPr>
                <w:rFonts w:ascii="宋体" w:hAnsi="宋体" w:eastAsia="宋体" w:cs="宋体"/>
                <w:color w:val="auto"/>
                <w:kern w:val="0"/>
                <w:sz w:val="20"/>
                <w:szCs w:val="20"/>
                <w:highlight w:val="none"/>
                <w:lang w:val="en-US" w:eastAsia="zh-CN" w:bidi="ar"/>
              </w:rPr>
              <w:t xml:space="preserve">额定制热功率≤2880W </w:t>
            </w:r>
          </w:p>
          <w:p w14:paraId="4157B933">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firstLine="0" w:firstLineChars="0"/>
              <w:jc w:val="left"/>
              <w:rPr>
                <w:rFonts w:ascii="宋体" w:hAnsi="宋体" w:eastAsia="宋体" w:cs="宋体"/>
                <w:color w:val="auto"/>
                <w:kern w:val="0"/>
                <w:sz w:val="20"/>
                <w:szCs w:val="20"/>
                <w:highlight w:val="none"/>
                <w:lang w:val="en-US" w:eastAsia="zh-CN" w:bidi="ar"/>
              </w:rPr>
            </w:pPr>
            <w:r>
              <w:rPr>
                <w:rFonts w:ascii="宋体" w:hAnsi="宋体" w:eastAsia="宋体" w:cs="宋体"/>
                <w:color w:val="auto"/>
                <w:kern w:val="0"/>
                <w:sz w:val="20"/>
                <w:szCs w:val="20"/>
                <w:highlight w:val="none"/>
                <w:lang w:val="en-US" w:eastAsia="zh-CN" w:bidi="ar"/>
              </w:rPr>
              <w:t>室内机高风运行噪音≤43dB (A)</w:t>
            </w:r>
          </w:p>
          <w:p w14:paraId="06C48E57">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firstLine="0" w:firstLineChars="0"/>
              <w:jc w:val="left"/>
              <w:rPr>
                <w:rFonts w:ascii="宋体" w:hAnsi="宋体" w:eastAsia="宋体" w:cs="宋体"/>
                <w:color w:val="auto"/>
                <w:kern w:val="0"/>
                <w:sz w:val="20"/>
                <w:szCs w:val="20"/>
                <w:highlight w:val="none"/>
                <w:lang w:val="en-US" w:eastAsia="zh-CN" w:bidi="ar"/>
              </w:rPr>
            </w:pPr>
            <w:r>
              <w:rPr>
                <w:rFonts w:ascii="宋体" w:hAnsi="宋体" w:eastAsia="宋体" w:cs="宋体"/>
                <w:color w:val="auto"/>
                <w:kern w:val="0"/>
                <w:sz w:val="20"/>
                <w:szCs w:val="20"/>
                <w:highlight w:val="none"/>
                <w:lang w:val="en-US" w:eastAsia="zh-CN" w:bidi="ar"/>
              </w:rPr>
              <w:t>室外机运行噪音≤56dB (A)</w:t>
            </w:r>
          </w:p>
          <w:p w14:paraId="699E78FD">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firstLine="0" w:firstLineChars="0"/>
              <w:jc w:val="left"/>
              <w:rPr>
                <w:rFonts w:ascii="宋体" w:hAnsi="宋体" w:eastAsia="宋体" w:cs="宋体"/>
                <w:color w:val="auto"/>
                <w:kern w:val="0"/>
                <w:sz w:val="20"/>
                <w:szCs w:val="20"/>
                <w:highlight w:val="none"/>
                <w:lang w:val="en-US" w:eastAsia="zh-CN" w:bidi="ar"/>
              </w:rPr>
            </w:pPr>
            <w:r>
              <w:rPr>
                <w:rFonts w:ascii="宋体" w:hAnsi="宋体" w:eastAsia="宋体" w:cs="宋体"/>
                <w:color w:val="auto"/>
                <w:kern w:val="0"/>
                <w:sz w:val="20"/>
                <w:szCs w:val="20"/>
                <w:highlight w:val="none"/>
                <w:lang w:val="en-US" w:eastAsia="zh-CN" w:bidi="ar"/>
              </w:rPr>
              <w:t xml:space="preserve">循环风量≥1410m³/h </w:t>
            </w:r>
          </w:p>
          <w:p w14:paraId="1827832D">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firstLine="0" w:firstLineChars="0"/>
              <w:jc w:val="left"/>
              <w:rPr>
                <w:rFonts w:ascii="宋体" w:hAnsi="宋体" w:eastAsia="宋体" w:cs="宋体"/>
                <w:color w:val="auto"/>
                <w:kern w:val="0"/>
                <w:sz w:val="20"/>
                <w:szCs w:val="20"/>
                <w:highlight w:val="none"/>
                <w:lang w:val="en-US" w:eastAsia="zh-CN" w:bidi="ar"/>
              </w:rPr>
            </w:pPr>
            <w:r>
              <w:rPr>
                <w:rFonts w:ascii="宋体" w:hAnsi="宋体" w:eastAsia="宋体" w:cs="宋体"/>
                <w:color w:val="auto"/>
                <w:kern w:val="0"/>
                <w:sz w:val="20"/>
                <w:szCs w:val="20"/>
                <w:highlight w:val="none"/>
                <w:lang w:val="en-US" w:eastAsia="zh-CN" w:bidi="ar"/>
              </w:rPr>
              <w:t>电源规格：220V～50Hz 交流市电</w:t>
            </w:r>
          </w:p>
          <w:p w14:paraId="1D140DFA">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firstLine="0" w:firstLineChars="0"/>
              <w:jc w:val="left"/>
              <w:rPr>
                <w:rFonts w:ascii="宋体" w:hAnsi="宋体" w:eastAsia="宋体" w:cs="宋体"/>
                <w:color w:val="auto"/>
                <w:kern w:val="0"/>
                <w:sz w:val="20"/>
                <w:szCs w:val="20"/>
                <w:highlight w:val="none"/>
                <w:lang w:val="en-US" w:eastAsia="zh-CN" w:bidi="ar"/>
              </w:rPr>
            </w:pPr>
            <w:r>
              <w:rPr>
                <w:rFonts w:ascii="宋体" w:hAnsi="宋体" w:eastAsia="宋体" w:cs="宋体"/>
                <w:color w:val="auto"/>
                <w:kern w:val="0"/>
                <w:sz w:val="20"/>
                <w:szCs w:val="20"/>
                <w:highlight w:val="none"/>
                <w:lang w:val="en-US" w:eastAsia="zh-CN" w:bidi="ar"/>
              </w:rPr>
              <w:t xml:space="preserve">标准出厂配件：室内机 1 台、室外机 1 台、配套遥控器 1 个、电池 1 对、密封胶泥 1 块、墙孔装饰套 1 个、产品保修卡、产品说明书、产品合格证各 1 份 </w:t>
            </w:r>
          </w:p>
          <w:p w14:paraId="430B632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Chars="0" w:right="0" w:rightChars="0"/>
              <w:jc w:val="left"/>
              <w:rPr>
                <w:rFonts w:hint="eastAsia" w:ascii="宋体" w:hAnsi="宋体" w:eastAsia="宋体" w:cs="宋体"/>
                <w:i w:val="0"/>
                <w:iCs w:val="0"/>
                <w:color w:val="auto"/>
                <w:sz w:val="20"/>
                <w:szCs w:val="20"/>
                <w:highlight w:val="none"/>
                <w:u w:val="none"/>
              </w:rPr>
            </w:pPr>
            <w:r>
              <w:rPr>
                <w:rFonts w:ascii="宋体" w:hAnsi="宋体" w:eastAsia="宋体" w:cs="宋体"/>
                <w:color w:val="auto"/>
                <w:kern w:val="0"/>
                <w:sz w:val="20"/>
                <w:szCs w:val="20"/>
                <w:highlight w:val="none"/>
                <w:lang w:val="en-US" w:eastAsia="zh-CN" w:bidi="ar"/>
              </w:rPr>
              <w:t>13、配套安装服务及辅材（同等性能辅材均可）：含 3 米加长连接铜管、墙体打孔 1 个、适配 3 匹室外机镀锌防腐安装支架、配套空气开关、外径不小于 50mm PVC 室外排水管 3 米、整机高空作业、标准抽真空安装、整机调试。</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8C6CD4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2E5040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CE92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8F07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15900 </w:t>
            </w:r>
          </w:p>
        </w:tc>
      </w:tr>
      <w:tr w14:paraId="4C7A7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3CF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462C6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空调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ED9C01">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r>
              <w:rPr>
                <w:rFonts w:ascii="宋体" w:hAnsi="宋体" w:eastAsia="宋体" w:cs="宋体"/>
                <w:color w:val="auto"/>
                <w:kern w:val="0"/>
                <w:sz w:val="20"/>
                <w:szCs w:val="20"/>
                <w:highlight w:val="none"/>
                <w:lang w:val="en-US" w:eastAsia="zh-CN" w:bidi="ar"/>
              </w:rPr>
              <w:t>机型：3 匹立式变频冷暖柜机</w:t>
            </w:r>
            <w:r>
              <w:rPr>
                <w:rFonts w:hint="eastAsia" w:ascii="宋体" w:hAnsi="宋体" w:eastAsia="宋体" w:cs="宋体"/>
                <w:color w:val="auto"/>
                <w:kern w:val="0"/>
                <w:sz w:val="20"/>
                <w:szCs w:val="20"/>
                <w:highlight w:val="none"/>
                <w:lang w:val="en-US" w:eastAsia="zh-CN" w:bidi="ar"/>
              </w:rPr>
              <w:t>；</w:t>
            </w:r>
            <w:r>
              <w:rPr>
                <w:rFonts w:ascii="宋体" w:hAnsi="宋体" w:eastAsia="宋体" w:cs="宋体"/>
                <w:color w:val="auto"/>
                <w:kern w:val="0"/>
                <w:sz w:val="24"/>
                <w:szCs w:val="24"/>
                <w:highlight w:val="none"/>
                <w:lang w:val="en-US" w:eastAsia="zh-CN" w:bidi="ar"/>
              </w:rPr>
              <w:t xml:space="preserve">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2、能效等级：</w:t>
            </w:r>
            <w:r>
              <w:rPr>
                <w:rFonts w:ascii="宋体" w:hAnsi="宋体" w:eastAsia="宋体" w:cs="宋体"/>
                <w:color w:val="auto"/>
                <w:kern w:val="0"/>
                <w:sz w:val="20"/>
                <w:szCs w:val="20"/>
                <w:highlight w:val="none"/>
                <w:lang w:val="en-US" w:eastAsia="zh-CN" w:bidi="ar"/>
              </w:rPr>
              <w:t>新国标</w:t>
            </w:r>
            <w:r>
              <w:rPr>
                <w:rFonts w:hint="eastAsia" w:ascii="宋体" w:hAnsi="宋体" w:eastAsia="宋体" w:cs="宋体"/>
                <w:i w:val="0"/>
                <w:iCs w:val="0"/>
                <w:color w:val="auto"/>
                <w:kern w:val="0"/>
                <w:sz w:val="20"/>
                <w:szCs w:val="20"/>
                <w:highlight w:val="none"/>
                <w:u w:val="none"/>
                <w:lang w:val="en-US" w:eastAsia="zh-CN" w:bidi="ar"/>
              </w:rPr>
              <w:t>二级能效；</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3、能效比APF：≥4.18</w:t>
            </w:r>
            <w:r>
              <w:rPr>
                <w:rFonts w:ascii="宋体" w:hAnsi="宋体" w:eastAsia="宋体" w:cs="宋体"/>
                <w:color w:val="auto"/>
                <w:kern w:val="0"/>
                <w:sz w:val="20"/>
                <w:szCs w:val="20"/>
                <w:highlight w:val="none"/>
                <w:lang w:val="en-US" w:eastAsia="zh-CN" w:bidi="ar"/>
              </w:rPr>
              <w:t>（以国家能效标识备案数据为准）</w:t>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4、额定制冷量：≥7280W；</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5、额定制热量：≥9780W；</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6、额定制冷功率：≤2050W；</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7、额定制热功率：≤2860W；</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8、室内机噪音：≤42.5dB（A）（高风档）；</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9、室外机噪音：≤56.5dB（A）（高风档）；</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10、循环风量(m3/h):≥1300；</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11、电辅热功率：≥2490W；</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12、电源参考规格：220V-50Hz；</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13、冷媒：</w:t>
            </w:r>
            <w:r>
              <w:rPr>
                <w:rFonts w:ascii="宋体" w:hAnsi="宋体" w:eastAsia="宋体" w:cs="宋体"/>
                <w:color w:val="auto"/>
                <w:kern w:val="0"/>
                <w:sz w:val="20"/>
                <w:szCs w:val="20"/>
                <w:highlight w:val="none"/>
                <w:lang w:val="en-US" w:eastAsia="zh-CN" w:bidi="ar"/>
              </w:rPr>
              <w:t>采用</w:t>
            </w:r>
            <w:r>
              <w:rPr>
                <w:rFonts w:hint="eastAsia" w:ascii="宋体" w:hAnsi="宋体" w:eastAsia="宋体" w:cs="宋体"/>
                <w:i w:val="0"/>
                <w:iCs w:val="0"/>
                <w:color w:val="auto"/>
                <w:kern w:val="0"/>
                <w:sz w:val="20"/>
                <w:szCs w:val="20"/>
                <w:highlight w:val="none"/>
                <w:u w:val="none"/>
                <w:lang w:val="en-US" w:eastAsia="zh-CN" w:bidi="ar"/>
              </w:rPr>
              <w:t>R32</w:t>
            </w:r>
            <w:r>
              <w:rPr>
                <w:rFonts w:ascii="宋体" w:hAnsi="宋体" w:eastAsia="宋体" w:cs="宋体"/>
                <w:color w:val="auto"/>
                <w:kern w:val="0"/>
                <w:sz w:val="20"/>
                <w:szCs w:val="20"/>
                <w:highlight w:val="none"/>
                <w:lang w:val="en-US" w:eastAsia="zh-CN" w:bidi="ar"/>
              </w:rPr>
              <w:t xml:space="preserve">冷媒或同等换热效率、符合国家环保标准的合规冷媒 </w:t>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14、其他功能：智能除菌，智能化霜，自动清洁，独立除湿，多种睡眠模式。</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15、标准配置：室内机1台、室外机1台、电池1对、胶泥1块、墙孔套1个、保修卡1份、说明书1份、合格证1份。报价包含空调整体安装调试辅材、空调专用加长铜管、室外机专用三角架，信号线及电源线、排水管等以上设备安装所需辅材及运输、打孔、安装等，</w:t>
            </w:r>
            <w:r>
              <w:rPr>
                <w:rFonts w:ascii="宋体" w:hAnsi="宋体" w:eastAsia="宋体" w:cs="宋体"/>
                <w:color w:val="auto"/>
                <w:kern w:val="0"/>
                <w:sz w:val="20"/>
                <w:szCs w:val="20"/>
                <w:highlight w:val="none"/>
                <w:lang w:val="en-US" w:eastAsia="zh-CN" w:bidi="ar"/>
              </w:rPr>
              <w:t>所有辅材均符合国家相关标准，同等国标规格辅材均可使用。</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7BE34B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7AA394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54EF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982F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19500 </w:t>
            </w:r>
          </w:p>
        </w:tc>
      </w:tr>
      <w:tr w14:paraId="1938F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360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80DA1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大型磁力思维积木（旗舰版）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F190A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rFonts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▲一、</w:t>
            </w:r>
            <w:r>
              <w:rPr>
                <w:color w:val="auto"/>
                <w:sz w:val="20"/>
                <w:szCs w:val="20"/>
                <w:highlight w:val="none"/>
              </w:rPr>
              <w:t>整体配套规模</w:t>
            </w:r>
            <w:r>
              <w:rPr>
                <w:rFonts w:hint="eastAsia"/>
                <w:color w:val="auto"/>
                <w:sz w:val="20"/>
                <w:szCs w:val="20"/>
                <w:highlight w:val="none"/>
                <w:lang w:eastAsia="zh-CN"/>
              </w:rPr>
              <w:t>：</w:t>
            </w:r>
            <w:r>
              <w:rPr>
                <w:rFonts w:ascii="宋体" w:hAnsi="宋体" w:eastAsia="宋体" w:cs="宋体"/>
                <w:color w:val="auto"/>
                <w:kern w:val="0"/>
                <w:sz w:val="20"/>
                <w:szCs w:val="20"/>
                <w:highlight w:val="none"/>
                <w:lang w:val="en-US" w:eastAsia="zh-CN" w:bidi="ar"/>
              </w:rPr>
              <w:t>整套大型磁力思维积木总配套物料不少于 951 件（含磁力建构主件、游戏操作卡片），配套整箱分装，满足幼儿园多班级同步开展建构游戏使用。</w:t>
            </w:r>
          </w:p>
          <w:p w14:paraId="036346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二、适用场景</w:t>
            </w:r>
          </w:p>
          <w:p w14:paraId="63E59E4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适配幼儿园户外自主游戏区、室内建构区、主题活动室、音乐厅等多场景集体教学、小组建构游戏。</w:t>
            </w:r>
          </w:p>
          <w:p w14:paraId="028976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三、主体材质要求</w:t>
            </w:r>
          </w:p>
          <w:p w14:paraId="3E8C68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积木主体采用食品级 EPP、高性能 ABS、EVA 复合环保材料，无异味、无毒无害；材质轻便，幼儿可自主搬运收纳，表面防水耐脏，清水冲洗即可清洁，符合 GB 6675 儿童玩具安全标准。</w:t>
            </w:r>
          </w:p>
          <w:p w14:paraId="4CEA4AC5">
            <w:pPr>
              <w:keepNext w:val="0"/>
              <w:keepLines w:val="0"/>
              <w:widowControl/>
              <w:numPr>
                <w:ilvl w:val="0"/>
                <w:numId w:val="0"/>
              </w:numPr>
              <w:suppressLineNumbers w:val="0"/>
              <w:jc w:val="left"/>
              <w:textAlignment w:val="center"/>
              <w:rPr>
                <w:rFonts w:hint="eastAsia" w:ascii="宋体" w:hAnsi="宋体" w:eastAsia="宋体" w:cs="宋体"/>
                <w:i w:val="0"/>
                <w:iCs w:val="0"/>
                <w:strike/>
                <w:dstrike w:val="0"/>
                <w:color w:val="auto"/>
                <w:kern w:val="0"/>
                <w:sz w:val="20"/>
                <w:szCs w:val="20"/>
                <w:highlight w:val="none"/>
                <w:u w:val="none"/>
                <w:lang w:val="en-US" w:eastAsia="zh-CN" w:bidi="ar"/>
              </w:rPr>
            </w:pPr>
            <w:r>
              <w:rPr>
                <w:rFonts w:hint="eastAsia" w:ascii="宋体" w:hAnsi="宋体" w:eastAsia="宋体" w:cs="宋体"/>
                <w:color w:val="auto"/>
                <w:kern w:val="0"/>
                <w:sz w:val="20"/>
                <w:szCs w:val="20"/>
                <w:highlight w:val="none"/>
                <w:lang w:val="en-US" w:eastAsia="zh-CN" w:bidi="ar"/>
              </w:rPr>
              <w:t>四、磁力建构配件配置（配套规模不低于以下配置，尺寸允许 ±10mm 公差）</w:t>
            </w:r>
          </w:p>
          <w:p w14:paraId="76B89397">
            <w:pPr>
              <w:keepNext w:val="0"/>
              <w:keepLines w:val="0"/>
              <w:widowControl/>
              <w:numPr>
                <w:ilvl w:val="0"/>
                <w:numId w:val="0"/>
              </w:numPr>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b w:val="0"/>
                <w:bCs w:val="0"/>
                <w:i w:val="0"/>
                <w:iCs w:val="0"/>
                <w:strike w:val="0"/>
                <w:dstrike w:val="0"/>
                <w:color w:val="auto"/>
                <w:kern w:val="0"/>
                <w:sz w:val="20"/>
                <w:szCs w:val="20"/>
                <w:highlight w:val="none"/>
                <w:u w:val="none"/>
                <w:lang w:val="en-US" w:eastAsia="zh-CN" w:bidi="ar"/>
              </w:rPr>
              <w:t>磁力方片350*350*55mm60片、磁力三角片332*290*22mm60片、磁力方框350*350*22mm60片、磁力梯形框700*305*22mm15片、磁力梯形片700*305*22mm15片、</w:t>
            </w:r>
            <w:r>
              <w:rPr>
                <w:rFonts w:hint="eastAsia" w:ascii="宋体" w:hAnsi="宋体" w:eastAsia="宋体" w:cs="宋体"/>
                <w:i w:val="0"/>
                <w:iCs w:val="0"/>
                <w:strike w:val="0"/>
                <w:dstrike w:val="0"/>
                <w:color w:val="auto"/>
                <w:kern w:val="0"/>
                <w:sz w:val="20"/>
                <w:szCs w:val="20"/>
                <w:highlight w:val="none"/>
                <w:u w:val="none"/>
                <w:lang w:val="en-US" w:eastAsia="zh-CN" w:bidi="ar"/>
              </w:rPr>
              <w:t>实心圆盘（蓝）230*230*70mm10个、 实心圆盘（橙）230*230*70mm10个、打孔圆盘（蓝）230*230*70mm20个、打孔圆盘（橙）230*230*70mm20个、打孔方片（蓝）230*230*70mm20个、打孔方片（橙）230*230*70mm20个、打孔方块（蓝）230*230*250mm20个、打孔方块（绿）230*230*250mm20个、移动底盘300*300*176mm16个、移动连接件108*40*36mm20个、长连接绳1350mm16条、短连接绳350mm8条、数字骰子200*200*200mm4个、运动环380*380mm120个、管道框250*250*25mm12个、光影框250*250*25mm12个，管道700*70*35mm20根、球 60mm 30个、长棒 60*1500mm（蓝）10根、长棒 60*1500mm（橙）10根、中棒（蓝）60*1000mm 10根、中棒（橙）60*1000mm 10根、短棒（蓝）60*600mm 20根、短棒（橙）60*600mm 20根。</w:t>
            </w:r>
          </w:p>
          <w:p w14:paraId="0E5CBA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五、工艺通用安全要求</w:t>
            </w:r>
          </w:p>
          <w:p w14:paraId="0BFF4C3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1.所有磁力片外缘全包防护塑料包边，包边壁厚≥2mm，内外角全圆弧倒角，无尖锐棱角；中心拼接孔洞直径统一适配通用连接件，拼接凸起尺寸兼容整套积木；</w:t>
            </w:r>
          </w:p>
          <w:p w14:paraId="3FEE32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2.移动底盘塑料壁厚≥3mm，中心拼接凸起结构稳固，拼接不易脱落；</w:t>
            </w:r>
          </w:p>
          <w:p w14:paraId="5D04E1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3.管道、管道外框壁厚≥2mm，管口倒圆角，内置多通道拼接孔位，可自由组合立体管道；</w:t>
            </w:r>
          </w:p>
          <w:p w14:paraId="3F7628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4.光影框配套≥6 色透光亚克力板材，板材厚度≥3mm，透光均匀；</w:t>
            </w:r>
          </w:p>
          <w:p w14:paraId="30A691F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5.所有塑料件一体成型，无毛刺、无锐角，跌落不易开裂，磁力吸附牢固，幼儿大力拼搭不脱落。</w:t>
            </w:r>
          </w:p>
          <w:p w14:paraId="7215D084">
            <w:pPr>
              <w:keepNext w:val="0"/>
              <w:keepLines w:val="0"/>
              <w:widowControl/>
              <w:numPr>
                <w:ilvl w:val="0"/>
                <w:numId w:val="0"/>
              </w:numPr>
              <w:suppressLineNumbers w:val="0"/>
              <w:jc w:val="left"/>
              <w:textAlignment w:val="center"/>
              <w:rPr>
                <w:rFonts w:hint="eastAsia" w:ascii="宋体" w:hAnsi="宋体" w:eastAsia="宋体" w:cs="宋体"/>
                <w:i w:val="0"/>
                <w:iCs w:val="0"/>
                <w:strike/>
                <w:dstrike w:val="0"/>
                <w:color w:val="auto"/>
                <w:kern w:val="0"/>
                <w:sz w:val="20"/>
                <w:szCs w:val="20"/>
                <w:highlight w:val="none"/>
                <w:u w:val="none"/>
                <w:lang w:val="en-US" w:eastAsia="zh-CN" w:bidi="ar"/>
              </w:rPr>
            </w:pPr>
            <w:r>
              <w:rPr>
                <w:rFonts w:hint="eastAsia" w:ascii="宋体" w:hAnsi="宋体" w:eastAsia="宋体" w:cs="宋体"/>
                <w:color w:val="auto"/>
                <w:kern w:val="0"/>
                <w:sz w:val="20"/>
                <w:szCs w:val="20"/>
                <w:highlight w:val="none"/>
                <w:lang w:val="en-US" w:eastAsia="zh-CN" w:bidi="ar"/>
              </w:rPr>
              <w:t>六、配套教辅材料</w:t>
            </w:r>
          </w:p>
          <w:p w14:paraId="2966DCBE">
            <w:pPr>
              <w:keepNext w:val="0"/>
              <w:keepLines w:val="0"/>
              <w:widowControl/>
              <w:numPr>
                <w:ilvl w:val="0"/>
                <w:numId w:val="0"/>
              </w:numPr>
              <w:suppressLineNumbers w:val="0"/>
              <w:jc w:val="left"/>
              <w:textAlignment w:val="center"/>
              <w:rPr>
                <w:rFonts w:hint="eastAsia" w:ascii="宋体" w:hAnsi="宋体" w:eastAsia="宋体" w:cs="宋体"/>
                <w:i w:val="0"/>
                <w:iCs w:val="0"/>
                <w:strike/>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《教师指导手册》不少于3册、《建构游戏图卡》不少于120</w:t>
            </w:r>
            <w:r>
              <w:rPr>
                <w:rFonts w:hint="eastAsia" w:ascii="宋体" w:hAnsi="宋体" w:eastAsia="宋体" w:cs="宋体"/>
                <w:i w:val="0"/>
                <w:iCs w:val="0"/>
                <w:strike/>
                <w:dstrike w:val="0"/>
                <w:color w:val="auto"/>
                <w:kern w:val="0"/>
                <w:sz w:val="20"/>
                <w:szCs w:val="20"/>
                <w:highlight w:val="none"/>
                <w:u w:val="none"/>
                <w:lang w:val="en-US" w:eastAsia="zh-CN" w:bidi="ar"/>
              </w:rPr>
              <w:t>张</w:t>
            </w:r>
            <w:r>
              <w:rPr>
                <w:rFonts w:hint="eastAsia" w:ascii="宋体" w:hAnsi="宋体" w:eastAsia="宋体" w:cs="宋体"/>
                <w:i w:val="0"/>
                <w:iCs w:val="0"/>
                <w:strike w:val="0"/>
                <w:dstrike w:val="0"/>
                <w:color w:val="auto"/>
                <w:kern w:val="0"/>
                <w:sz w:val="20"/>
                <w:szCs w:val="20"/>
                <w:highlight w:val="none"/>
                <w:u w:val="none"/>
                <w:lang w:val="en-US" w:eastAsia="zh-CN" w:bidi="ar"/>
              </w:rPr>
              <w:t>、《规则游戏图卡》不少于60张、《运动游戏图卡》不少于80张。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E6EB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918D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3A3B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48000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524A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48000 </w:t>
            </w:r>
          </w:p>
        </w:tc>
      </w:tr>
      <w:tr w14:paraId="1CB94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790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085D7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幼儿三轮车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0009B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1.外形参考尺寸：长 110cm× 宽 58cm× 高 65cm，尺寸允许 ±8cm 合理公差，适配 3-6 岁幼儿骑行；</w:t>
            </w:r>
          </w:p>
          <w:p w14:paraId="306200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2.整车自重参考 12kg，自重浮动范围 10.5kg～13.5kg，结构稳固不易侧翻；</w:t>
            </w:r>
          </w:p>
          <w:p w14:paraId="023C07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3.主体车架：加厚高碳钢管材，整体经除锈、磷化、静电喷漆多层防腐处理，漆面附着力强，不易生锈掉皮；</w:t>
            </w:r>
          </w:p>
          <w:p w14:paraId="76C37AF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4.车轮：耐磨实心橡胶轮胎，减震防滑，适配园区塑胶、水泥地面；</w:t>
            </w:r>
          </w:p>
          <w:p w14:paraId="4A1C2C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5.车把手：外层全包加厚橡胶防滑握套，无金属裸边，避免磕碰划伤幼儿手部；</w:t>
            </w:r>
          </w:p>
          <w:p w14:paraId="06E1F4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i w:val="0"/>
                <w:iCs w:val="0"/>
                <w:strike/>
                <w:dstrike w:val="0"/>
                <w:color w:val="auto"/>
                <w:kern w:val="0"/>
                <w:sz w:val="20"/>
                <w:szCs w:val="20"/>
                <w:highlight w:val="none"/>
                <w:u w:val="none"/>
                <w:lang w:val="en-US" w:eastAsia="zh-CN" w:bidi="ar"/>
              </w:rPr>
            </w:pPr>
            <w:r>
              <w:rPr>
                <w:rFonts w:hint="eastAsia"/>
                <w:color w:val="auto"/>
                <w:sz w:val="20"/>
                <w:szCs w:val="20"/>
                <w:highlight w:val="none"/>
                <w:lang w:val="en-US" w:eastAsia="zh-CN"/>
              </w:rPr>
              <w:t>6.安全要求：整车无尖锐棱角、毛刺，焊接牢固，符合 GB 6675 儿童玩具安全标准，承重满足幼儿日常骑行。</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CEBC0E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F234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E5F0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EBF6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600 </w:t>
            </w:r>
          </w:p>
        </w:tc>
      </w:tr>
      <w:tr w14:paraId="6031F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FF4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94CAD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感统滑板车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4840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1、板面参考尺寸 40cm×42cm，长宽允许 ±5cm 公差；</w:t>
            </w:r>
          </w:p>
          <w:p w14:paraId="44360EB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2、板面做防滑颗粒处理，防滑面积充足，不易打滑； 配备静音万向滑轮，滑行无刺耳噪音，轮子耐磨、轴承顺滑；</w:t>
            </w:r>
          </w:p>
          <w:p w14:paraId="1D6DA8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3、预留牵引接口 / 配套牵引绳，支持单人、多人牵引滑行训练；</w:t>
            </w:r>
          </w:p>
          <w:p w14:paraId="27A46AD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4、 板面采用加厚环保硬质塑料，无毛刺、无尖锐边角，符合 GB 6675 儿童玩具安全标准；</w:t>
            </w:r>
          </w:p>
          <w:p w14:paraId="58E4FE4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5、 整体承重≥60kg，满足多名幼儿协同感统训练使用；</w:t>
            </w:r>
          </w:p>
          <w:p w14:paraId="4F5712B0">
            <w:pPr>
              <w:keepNext w:val="0"/>
              <w:keepLines w:val="0"/>
              <w:widowControl/>
              <w:suppressLineNumbers w:val="0"/>
              <w:jc w:val="left"/>
              <w:textAlignment w:val="center"/>
              <w:rPr>
                <w:rFonts w:hint="eastAsia" w:ascii="宋体" w:hAnsi="宋体" w:eastAsia="宋体" w:cs="宋体"/>
                <w:i w:val="0"/>
                <w:iCs w:val="0"/>
                <w:strike/>
                <w:dstrike w:val="0"/>
                <w:color w:val="auto"/>
                <w:kern w:val="0"/>
                <w:sz w:val="20"/>
                <w:szCs w:val="20"/>
                <w:highlight w:val="none"/>
                <w:u w:val="none"/>
                <w:lang w:val="en-US" w:eastAsia="zh-CN" w:bidi="ar"/>
              </w:rPr>
            </w:pPr>
            <w:r>
              <w:rPr>
                <w:rFonts w:hint="eastAsia"/>
                <w:color w:val="auto"/>
                <w:sz w:val="20"/>
                <w:szCs w:val="20"/>
                <w:highlight w:val="none"/>
                <w:lang w:val="en-US" w:eastAsia="zh-CN"/>
              </w:rPr>
              <w:t>6、 四轮带限位防侧翻结构，万向轮间隙符合国标防夹手要求。</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F09704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D81B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D1BF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1611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500 </w:t>
            </w:r>
          </w:p>
        </w:tc>
      </w:tr>
      <w:tr w14:paraId="1A94F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4C1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62727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幼儿角色表演区服装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778382">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一、整体采购配置要求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职业类表演服：含 上衣+裤子/裙子+配套帽子+配套鞋子，每款各3套，尺码适配幼儿园小、中、大班幼儿。</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动物类表演服：连体全套服装（含头饰/头套），每款各2套，宽松版型适配全园幼儿。</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整体要求：面料柔软、透气、不褪色、不起球、无异味，符合幼儿皮肤接触安全标准，耐洗耐穿、不易变形。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二、通用面料材质标准（所有服装统一要求）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主体面料</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采用优质加厚亲肤聚酯纤维+棉混纺面料，高密度织布，克重≥180g/㎡；面料细腻平滑、透气不透光、亲肤不扎皮肤，适合幼儿长时间穿着表演。</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禁止使用薄透、粗糙、起球、廉价纱布料、回收二次面料。</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印花、贴花、装饰材质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采用环保水性胶印/烫画工艺，无刺鼻气味，不掉色、不开裂、不脱落；装饰边角全部包边锁边，无硬胶凸起，不磨皮肤。</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毛绒面料（动物服专用）</w:t>
            </w:r>
            <w:r>
              <w:rPr>
                <w:rFonts w:hint="eastAsia" w:ascii="宋体" w:hAnsi="宋体" w:eastAsia="宋体" w:cs="宋体"/>
                <w:i w:val="0"/>
                <w:iCs w:val="0"/>
                <w:color w:val="auto"/>
                <w:kern w:val="0"/>
                <w:sz w:val="20"/>
                <w:szCs w:val="20"/>
                <w:highlight w:val="none"/>
                <w:u w:val="none"/>
                <w:lang w:val="en-US" w:eastAsia="zh-CN" w:bidi="ar"/>
              </w:rPr>
              <w:br w:type="textWrapping"/>
            </w:r>
            <w:r>
              <w:rPr>
                <w:rFonts w:ascii="宋体" w:hAnsi="宋体" w:eastAsia="宋体" w:cs="宋体"/>
                <w:color w:val="auto"/>
                <w:sz w:val="20"/>
                <w:szCs w:val="20"/>
                <w:highlight w:val="none"/>
              </w:rPr>
              <w:t>采用高密短毛绒、南韩绒或同等不掉毛环保毛绒材质，毛面平整饱满，使用过程不飞絮、不粘身、无枯乱结块毛绒，杜绝毛绒吸入口鼻风险。</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三、职业表演服专用参数（全套：服装+帽子+鞋子 / 每款3套）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包含职业品类（常规幼儿园全套职业款）：医生、护士、警察、消防员、空姐、机长、厨师、工程师、环卫工人、军人、交警、理发师、店员、老师等常规职业套装。</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服装做工要求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整件服装双线锁边、全身包边工艺，线头清理干净，无跳线、无脱线、无开缝；版型宽松立体，不紧绷、不束缚幼儿肢体活动。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领口、袖口、下摆弹力适中，久穿不变形；腰部松紧带加宽加厚，不勒肚子、不卷边。</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配套帽子参数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同色系配套专用帽子，面料与衣服同款同质，版型挺括不软塌、不易变形；帽内加柔软吸汗内衬，不磨额头、不扎皮肤，松紧适配幼儿头围，佩戴稳固不易掉落。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配套表演鞋子参数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鞋面：环保柔软PU软皮材质，防水、耐擦、易清洗，无异味；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鞋底：加厚防滑软胶底，柔韧弯折不断底，静音防滑，保护幼儿脚踝；</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鞋内里：亲肤透气布，不闷脚、不磨脚，魔术贴开合，穿脱方便，适配全园幼儿脚码。</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四、动物表演服专用参数（每款2套，连体全套）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常规动物品类：小兔、小熊、老虎、狮子、小羊、小牛、小猪、小狗、小猫、青蛙、小鸟、小鸡等幼儿园常用动物款式。</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主体面料</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全身高密度短毛绒面料，毛面均匀、饱满、顺滑，不掉毛、不脱绒、不起静电，杜绝掉毛吸入幼儿口鼻，安全无害。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版型结构</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连体宽松版型，全身宽松不束缚，方便跑跳、做动作；腋下、裆部宽松加大，活动无压力；后背隐形拉链设计，穿脱方便，拉链包边不磨皮肤。</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头饰/头套要求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配套同系列立体动物头套/头饰，造型饱满可爱，无尖锐硬角，内部柔软透气，不压头、不闷汗，眼部透气开孔合理，不遮挡幼儿视线，安全表演。</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 细节工艺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五官刺绣/精工缝制，无粘贴硬塑料件，避免脱落、误食风险；所有拼接位置锁边加固，久穿不裂线、不变形。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五、安全环保标准（硬性验收条款）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色牢度达标：水洗、摩擦不褪色，不沾染幼儿皮肤。</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职业表演服：每一个职业款式 = 服装+帽子+鞋子 全套3套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面料厚实、无薄透、无起球、无掉毛、无异味；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 帽子、鞋子、服装配套统一，版型标准、配色一致；</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每套独立OPP防尘袋包装，分类装箱，标识清晰；随货附带合格证、质检报告，可提供面料检测、安全环保检测资料。</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CAE5E6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31EB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B91D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4DB8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1500 </w:t>
            </w:r>
          </w:p>
        </w:tc>
      </w:tr>
      <w:tr w14:paraId="4B624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510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F0764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儿童5号篮球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FFEC19">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一、产品基础规格</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规格型号：5 号幼儿专用篮球</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标称外径：220mm（22cm），成品尺寸公差 ±2mm；圆周约 69～71cm，适配 3～7 岁幼儿园幼儿手掌抓握、拍球训练。</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球体重量：320g～360g，重量均衡，幼儿轻松拍击不伤手腕。</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球面筋沟：标准深筋槽设计，筋沟宽度 4±0.5mm，深度 2.5±0.3mm，防滑易抓握。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二、材质要求（环保橡胶核心条款）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球面主体材质：</w:t>
            </w:r>
            <w:r>
              <w:rPr>
                <w:rFonts w:ascii="宋体" w:hAnsi="宋体" w:eastAsia="宋体" w:cs="宋体"/>
                <w:color w:val="auto"/>
                <w:sz w:val="20"/>
                <w:szCs w:val="20"/>
                <w:highlight w:val="none"/>
              </w:rPr>
              <w:t>全新环保橡胶混合料，可采用食品级天然橡胶搭配改性合成橡胶或其他同等环保全新橡胶配方；</w:t>
            </w:r>
            <w:r>
              <w:rPr>
                <w:rFonts w:hint="eastAsia" w:ascii="宋体" w:hAnsi="宋体" w:eastAsia="宋体" w:cs="宋体"/>
                <w:i w:val="0"/>
                <w:iCs w:val="0"/>
                <w:color w:val="auto"/>
                <w:kern w:val="0"/>
                <w:sz w:val="20"/>
                <w:szCs w:val="20"/>
                <w:highlight w:val="none"/>
                <w:u w:val="none"/>
                <w:lang w:val="en-US" w:eastAsia="zh-CN" w:bidi="ar"/>
              </w:rPr>
              <w:t>禁用再生废橡胶、回收劣质废旧胶皮，不含废旧轮胎碎料、工业废胶。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环保指标：无刺鼻异味，甲醛含量≤10mg/kg、重金属（铅、镉、汞、铬）符合 GB 6675 玩具安全国标，不含邻苯二甲酸酯（6P），满足幼儿园室内密闭环境使用。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内胆：丁基橡胶密闭内胆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气密性优异，常温常压充气后静置 72h 气压压降≤10%，不漏气、不易慢撒气；中胎为高弹橡胶中胎，缓冲减震，落地回弹高度：充气标准状态下落高 1.2m 自由落体，回弹 60～70cm。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缠纱：高强度尼龙纤维全缠纱</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整球全缠绕尼龙纱线，不变形、不起鼓，长期拍打球体不鼓包、不椭圆。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三、外观与工艺参数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球面纹路：凹凸颗粒防滑纹</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颗粒圆润无尖锐棱角，颗粒高度 0.8～1.2mm，避免划伤幼儿手掌；球面无毛边、毛刺、尖锐凸起，边角打磨圆润。</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配色：多色可选（红 / 黄 / 蓝 / 橙幼儿园常规配色）</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球面油墨采用环保水性油墨印刷，不掉色、不脱色，幼儿出汗触摸无掉色沾染皮肤，印刷图案附着力达标，反复摩擦不掉漆。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气嘴：内嵌式防吞安全气嘴</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气嘴凹陷内嵌设计，无外突硬质凸起，防止幼儿磕碰、抠咬误食，气嘴密封胶圈为环保硅胶材质。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四、执行国家标准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执行GB 6675.1~4-2014《玩具安全》国家强制性标准、GB/T 19851.11 中小学体育器材安全标准；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供货随附：第三方质检报告（甲醛、邻苯、重金属检测）、产品合格证、出厂检验单。</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五、验收验收标准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尺寸抽检：随机抽取 10% 货品卡尺实测直径，控制在 21.8～22.2cm；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气味验收：开箱无刺鼻化工臭味、塑胶异味；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充气验收：标准充气后静置 3 天不漏气，无变形鼓包；</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耐磨测试：常温地面连续拍打 500 次，球面无开裂、掉皮、大面积掉漆。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六、包装要求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单球 OPP 环保塑料袋独立封装，外箱瓦楞纸箱打包，标注品名、规格、执行标准、生产日期、厂家信息，便于幼儿园入库盘点。</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1BD912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F35F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30CE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DB7A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1500 </w:t>
            </w:r>
          </w:p>
        </w:tc>
      </w:tr>
      <w:tr w14:paraId="162A2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3778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01C8D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幼儿绘本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DAE9D9">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本次采购绘本涵盖十大通用品类，所有参选书籍需适配幼儿园教学场景，贴合幼儿成长特点，具体品类及通用标准如下，供应商可在对应品类内提供合规等效书籍：</w:t>
            </w:r>
          </w:p>
          <w:p w14:paraId="128AC18C">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一、采购绘本品类</w:t>
            </w:r>
          </w:p>
          <w:p w14:paraId="0F06103C">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情绪管理与性格养成绘本：涵盖幼儿情绪疏导、性格塑造、社交能力、自信心培养、挫折教育、嫉妒心理、分离焦虑、犯错包容、团队合作、自我接纳等主题。帮助幼儿学会管控情绪、正确面对输赢、独立解决问题、友善与人相处，适配幼儿园心理健康、社会性教育课程。</w:t>
            </w:r>
          </w:p>
          <w:p w14:paraId="5BDDC959">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幼儿安全与自我保护绘本：包含居家安全、出行交通安全、防陌生人、防霸凌、防欺凌、身体隐私保护、危险规避、应急自救、饮食安全、防溺水、防火防电等全场景安全教育内容。内容通俗易懂、画面温和，适配幼儿安全启蒙教学，无惊悚、恐怖画面。</w:t>
            </w:r>
          </w:p>
          <w:p w14:paraId="4160A1DE">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科普百科与自然科学绘本：涵盖天文太空、地理地貌、四季节气、动植物自然、天气气象、人体奥秘、自然灾害、生态环保、海洋科学、物理启蒙、科学实验、十万个为什么科普等内容。以趣味故事形式科普自然与科学知识，培养幼儿探索能力、科学认知思维。</w:t>
            </w:r>
          </w:p>
          <w:p w14:paraId="5588FC4F">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中华传统文化与民俗绘本：包含二十四节气、传统节日、神话传说、成语寓言、民间故事、国学启蒙、传统手艺、国画美学、汉字文化、民族文化（壮族文化）、传统典故等内容，传承中华优秀传统文化，适配幼儿园传统文化启蒙课程。</w:t>
            </w:r>
          </w:p>
          <w:p w14:paraId="66CBA23E">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5.红色教育与爱国主义绘本：涵盖时代楷模、科学家故事、革命先烈、红色典故、家国情怀、大国成就、榜样人物等主题，培养幼儿爱国情怀、感恩品质、崇尚科学、致敬榜样的正向价值观。</w:t>
            </w:r>
          </w:p>
          <w:p w14:paraId="5DF0CF97">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好习惯养成与健康科普绘本：聚焦幼儿生活自理能力、卫生习惯、饮食健康、牙齿保护、视力保护、作息习惯、运动健康、身体认知、垃圾分类、文明礼仪、规则意识等内容，引导幼儿养成良好生活、卫生、行为习惯。</w:t>
            </w:r>
          </w:p>
          <w:p w14:paraId="29B5DA63">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7.数学思维与启蒙认知绘本：包含数字认知、图形空间、逻辑思维、算术启蒙、时间管理、专注力训练、思维拓展、情景认知等内容，趣味化培养幼儿数学思维、专注力、逻辑能力，适配幼儿数理启蒙教学。</w:t>
            </w:r>
          </w:p>
          <w:p w14:paraId="6EDFF94A">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8.财商与生活认知绘本：涵盖金钱认知、合理消费、储蓄理财、劳动致富、爱心捐赠、物品交换、珍惜劳动成果等主题，启蒙幼儿正确的财富观、劳动观、价值观。</w:t>
            </w:r>
          </w:p>
          <w:p w14:paraId="084872FF">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9.经典童话与成长启蒙绘本：包含中外经典童话、亲子情感、生命教育、感恩教育、勇气成长、想象力启蒙、品格修养等内容，故事正向温暖，助力幼儿情感发育、品格塑造、心灵成长。</w:t>
            </w:r>
          </w:p>
          <w:p w14:paraId="3460CC96">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10.民族与地域特色绘本：涵盖壮族神话、民族风俗、地域文化、城市特色、乡土文化等内容，丰富幼儿地域认知与民族文化认知，培养民族自豪感与文化认同感。</w:t>
            </w:r>
          </w:p>
          <w:p w14:paraId="3C90A052">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二、采购绘本质量标准</w:t>
            </w:r>
          </w:p>
          <w:p w14:paraId="5998538A">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 合规性标准：所有绘本为正规出版、公开发行的合法出版物，具备图书出版资质、ISBN书号，无盗版、无删减、无违规内容，符合国家出版物出版规范。</w:t>
            </w:r>
          </w:p>
          <w:p w14:paraId="42DECEE1">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 适龄安全标准：适配3-6岁幼儿阅读，内容积极健康、三观正向，无暴力、低俗、恐怖、不良导向内容；纸张厚实、边缘圆角打磨、无毛刺、无刺鼻异味，油墨环保无毒，符合幼儿读物安全标准。</w:t>
            </w:r>
          </w:p>
          <w:p w14:paraId="2DE19529">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 装帧品质标准：平装、精装均可，书页平整、印刷清晰、色彩均匀，无模糊、重影、漏印、脱页、破损问题，装订牢固，适合幼儿反复翻阅使用。</w:t>
            </w:r>
          </w:p>
          <w:p w14:paraId="46F357C0">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 内容适配标准：文字简洁易懂、配图精美、故事完整，贴合幼儿园教学大纲及幼儿认知规律，具备对应的教育启蒙价值，可满足幼儿园日常阅读、课堂教学、区域活动使用需求。</w:t>
            </w:r>
          </w:p>
          <w:p w14:paraId="697020C0">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三、其他要求：</w:t>
            </w:r>
            <w:r>
              <w:rPr>
                <w:rFonts w:hint="eastAsia" w:ascii="宋体" w:hAnsi="宋体" w:cs="宋体"/>
                <w:i w:val="0"/>
                <w:iCs w:val="0"/>
                <w:color w:val="auto"/>
                <w:kern w:val="0"/>
                <w:sz w:val="20"/>
                <w:szCs w:val="20"/>
                <w:highlight w:val="none"/>
                <w:u w:val="none"/>
                <w:lang w:val="en-US" w:eastAsia="zh-CN" w:bidi="ar"/>
              </w:rPr>
              <w:t>成交</w:t>
            </w:r>
            <w:r>
              <w:rPr>
                <w:rFonts w:hint="eastAsia" w:ascii="宋体" w:hAnsi="宋体" w:eastAsia="宋体" w:cs="宋体"/>
                <w:i w:val="0"/>
                <w:iCs w:val="0"/>
                <w:color w:val="auto"/>
                <w:kern w:val="0"/>
                <w:sz w:val="20"/>
                <w:szCs w:val="20"/>
                <w:highlight w:val="none"/>
                <w:u w:val="none"/>
                <w:lang w:val="en-US" w:eastAsia="zh-CN" w:bidi="ar"/>
              </w:rPr>
              <w:t>后，供应商须提交拟供货书目清单给幼儿园审核确认，采购人有权对不适合书目进行合理调换，总册数不变。</w:t>
            </w:r>
          </w:p>
          <w:p w14:paraId="2834283A">
            <w:pPr>
              <w:pStyle w:val="2"/>
              <w:rPr>
                <w:rFonts w:hint="eastAsia"/>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A90D09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69FD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AA47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797D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14000 </w:t>
            </w:r>
          </w:p>
        </w:tc>
      </w:tr>
      <w:tr w14:paraId="42616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8D8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2541770E">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5DFAEC3E">
            <w:pPr>
              <w:keepNext w:val="0"/>
              <w:keepLines w:val="0"/>
              <w:widowControl/>
              <w:suppressLineNumbers w:val="0"/>
              <w:jc w:val="center"/>
              <w:textAlignment w:val="center"/>
              <w:rPr>
                <w:rFonts w:hint="eastAsia" w:ascii="宋体" w:hAnsi="宋体" w:eastAsia="宋体" w:cs="宋体"/>
                <w:b/>
                <w:bCs/>
                <w:i w:val="0"/>
                <w:iCs w:val="0"/>
                <w:color w:val="FF0000"/>
                <w:kern w:val="2"/>
                <w:sz w:val="20"/>
                <w:szCs w:val="20"/>
                <w:u w:val="none"/>
                <w:lang w:val="en-US" w:eastAsia="zh-CN" w:bidi="ar-SA"/>
              </w:rPr>
            </w:pPr>
            <w:r>
              <w:rPr>
                <w:rFonts w:hint="eastAsia" w:ascii="宋体" w:hAnsi="宋体" w:eastAsia="宋体" w:cs="宋体"/>
                <w:b/>
                <w:bCs/>
                <w:i w:val="0"/>
                <w:iCs w:val="0"/>
                <w:color w:val="FF0000"/>
                <w:kern w:val="0"/>
                <w:sz w:val="20"/>
                <w:szCs w:val="20"/>
                <w:u w:val="none"/>
                <w:lang w:val="en-US" w:eastAsia="zh-CN" w:bidi="ar"/>
              </w:rPr>
              <w:t>上林县民族幼儿园</w:t>
            </w:r>
          </w:p>
        </w:tc>
        <w:tc>
          <w:tcPr>
            <w:tcW w:w="0" w:type="auto"/>
            <w:tcBorders>
              <w:top w:val="single" w:color="000000" w:sz="4" w:space="0"/>
              <w:left w:val="single" w:color="000000" w:sz="4" w:space="0"/>
              <w:bottom w:val="single" w:color="000000" w:sz="4" w:space="0"/>
              <w:right w:val="nil"/>
            </w:tcBorders>
            <w:shd w:val="clear" w:color="auto" w:fill="92D050"/>
            <w:noWrap/>
            <w:vAlign w:val="center"/>
          </w:tcPr>
          <w:p w14:paraId="204AE532">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23A0382A">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7912D319">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46D4941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80000</w:t>
            </w:r>
          </w:p>
        </w:tc>
      </w:tr>
      <w:tr w14:paraId="74EA7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A11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5F8BD9F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教学一体机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589041">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一、整体设计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1、整机采用一体设计，外部无任何可见内部功能模块连接线。</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2、整机采用全金属外壳设计，边角采用弧形设计，表面无尖锐边缘或凸起；整机屏幕边缘采用金属圆角包边防护，整机背板采用金属材质。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3、整机屏幕采用65英寸液晶显示器。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4、整机采用LED液晶A规屏，显示比例16:9。</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w:t>
            </w:r>
            <w:r>
              <w:rPr>
                <w:color w:val="auto"/>
                <w:sz w:val="20"/>
                <w:szCs w:val="20"/>
                <w:highlight w:val="none"/>
              </w:rPr>
              <w:t>整机硬件性能与接口</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w:t>
            </w:r>
            <w:r>
              <w:rPr>
                <w:rStyle w:val="12"/>
                <w:color w:val="auto"/>
                <w:sz w:val="20"/>
                <w:szCs w:val="20"/>
                <w:highlight w:val="none"/>
              </w:rPr>
              <w:t>双系统配置</w:t>
            </w:r>
            <w:r>
              <w:rPr>
                <w:color w:val="auto"/>
                <w:sz w:val="20"/>
                <w:szCs w:val="20"/>
                <w:highlight w:val="none"/>
              </w:rPr>
              <w:t xml:space="preserve"> </w:t>
            </w:r>
            <w:r>
              <w:rPr>
                <w:rFonts w:hint="eastAsia"/>
                <w:color w:val="auto"/>
                <w:sz w:val="20"/>
                <w:szCs w:val="20"/>
                <w:highlight w:val="none"/>
              </w:rPr>
              <w:t>整机搭载 电脑模块 + 嵌入式系统，系统版本不低于 当前最新版本；系统内存 RAM≥4G，存储 ROM≥32G；安卓端可独立实现白板书写、文档编辑、网页浏览等基础教学功能。（相关性能指标可提供厂商彩页、功能截图、第三方检测报告任意一种佐证，设备到货验收时提供完整 CMA/CNAS 检测报告备查）</w:t>
            </w:r>
            <w:r>
              <w:rPr>
                <w:rFonts w:hint="eastAsia"/>
                <w:color w:val="auto"/>
                <w:sz w:val="20"/>
                <w:szCs w:val="20"/>
                <w:highlight w:val="none"/>
                <w:lang w:eastAsia="zh-CN"/>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color w:val="auto"/>
                <w:sz w:val="20"/>
                <w:szCs w:val="20"/>
                <w:highlight w:val="none"/>
                <w:lang w:val="en-US" w:eastAsia="zh-CN"/>
              </w:rPr>
              <w:t>2、</w:t>
            </w:r>
            <w:r>
              <w:rPr>
                <w:color w:val="auto"/>
                <w:sz w:val="20"/>
                <w:szCs w:val="20"/>
                <w:highlight w:val="none"/>
              </w:rPr>
              <w:t>整机配备前置外接接口，支持双系统共用读取 U 盘等存储设备；整机配备全功能 Type-C、HDMI、USB3.0 输入接口，侧置预留 HDMI、RS232、USB、音频输出、触控 USB 等拓展接口；整机外设拓展能力满足日常教学设备接驳需求，可通过拓展坞实现同等外接能力。前置接口配有防尘防护盖板，保护接口与外接 U 盘。</w:t>
            </w:r>
          </w:p>
          <w:p w14:paraId="7DBC246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jc w:val="both"/>
              <w:rPr>
                <w:color w:val="auto"/>
                <w:sz w:val="20"/>
                <w:szCs w:val="20"/>
                <w:highlight w:val="none"/>
              </w:rPr>
            </w:pPr>
            <w:r>
              <w:rPr>
                <w:rFonts w:hint="eastAsia"/>
                <w:color w:val="auto"/>
                <w:sz w:val="20"/>
                <w:szCs w:val="20"/>
                <w:highlight w:val="none"/>
                <w:lang w:val="en-US" w:eastAsia="zh-CN"/>
              </w:rPr>
              <w:t>3、</w:t>
            </w:r>
            <w:r>
              <w:rPr>
                <w:color w:val="auto"/>
                <w:sz w:val="20"/>
                <w:szCs w:val="20"/>
                <w:highlight w:val="none"/>
              </w:rPr>
              <w:t>整机内置高品质扬声器，整机额定总输出功率≥60W，发声均匀，无杂音、破音，满足教室扩声需求。</w:t>
            </w:r>
          </w:p>
          <w:p w14:paraId="7C6ABCFA">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4、</w:t>
            </w:r>
            <w:r>
              <w:rPr>
                <w:color w:val="auto"/>
                <w:sz w:val="20"/>
                <w:szCs w:val="20"/>
                <w:highlight w:val="none"/>
              </w:rPr>
              <w:t>红外触控技术，最小识别触控物体≤3mm；整机支持双系统多点触控，触控流畅无断触。</w:t>
            </w:r>
          </w:p>
          <w:p w14:paraId="079470D9">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5、</w:t>
            </w:r>
            <w:r>
              <w:rPr>
                <w:color w:val="auto"/>
                <w:sz w:val="20"/>
                <w:szCs w:val="20"/>
                <w:highlight w:val="none"/>
              </w:rPr>
              <w:t>整机内置高清摄像头与阵列麦克风，无需外接线材；摄像头像素≥1600 万，广角设计，可完整覆盖教室区域，满足远程巡课、课堂录播；麦克风有效拾音距离≥10 米，多人发言清晰收录。设备自带摄像头工作指示灯，摄像状态直观提示。</w:t>
            </w:r>
          </w:p>
          <w:p w14:paraId="3AC20AE5">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6、</w:t>
            </w:r>
            <w:r>
              <w:rPr>
                <w:color w:val="auto"/>
                <w:sz w:val="20"/>
                <w:szCs w:val="20"/>
                <w:highlight w:val="none"/>
              </w:rPr>
              <w:t>支持无线投屏功能，可通过 NFC、扫码、无线连接等任意一种方式实现手机、平板投屏，支持多台移动设备同时分屏展示。</w:t>
            </w:r>
          </w:p>
          <w:p w14:paraId="5EF790FA">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 xml:space="preserve"> 7、内置双频 WiFi（2.4G+5GHz）、蓝牙模块，蓝牙标准不低于 Bluetooth 5.2；整机可无线联网、发射无线热点，双系统共用一套无线网络配置，无需重复设置；蓝牙可稳定连接外设，无线传输距离满足教室使用。</w:t>
            </w:r>
          </w:p>
          <w:p w14:paraId="4B5B136A">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 xml:space="preserve"> 8、设备搭载护眼低蓝光背光方案，从硬件层面削减有害蓝光，显示画面无明显泛黄、色偏，符合校园护眼相关规范；屏幕 NTSC 色域覆盖率≥72%，安卓系统支持 4K 高清 UI 显示。</w:t>
            </w:r>
          </w:p>
          <w:p w14:paraId="55DCAE8E">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9、OPS 电脑配置：运行内存≥8G，固态硬盘≥256G。</w:t>
            </w:r>
          </w:p>
          <w:p w14:paraId="55BF561B">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br w:type="textWrapping"/>
            </w:r>
            <w:r>
              <w:rPr>
                <w:rFonts w:hint="eastAsia" w:ascii="宋体" w:hAnsi="宋体" w:eastAsia="宋体" w:cs="宋体"/>
                <w:i w:val="0"/>
                <w:iCs w:val="0"/>
                <w:color w:val="auto"/>
                <w:kern w:val="0"/>
                <w:sz w:val="20"/>
                <w:szCs w:val="20"/>
                <w:highlight w:val="none"/>
                <w:u w:val="none"/>
                <w:lang w:val="en-US" w:eastAsia="zh-CN" w:bidi="ar"/>
              </w:rPr>
              <w:t>三、</w:t>
            </w:r>
            <w:r>
              <w:rPr>
                <w:color w:val="auto"/>
                <w:sz w:val="20"/>
                <w:szCs w:val="20"/>
                <w:highlight w:val="none"/>
              </w:rPr>
              <w:t>整机基础交互功能</w:t>
            </w:r>
          </w:p>
          <w:p w14:paraId="40FAE7B7">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1、</w:t>
            </w:r>
            <w:r>
              <w:rPr>
                <w:color w:val="auto"/>
                <w:sz w:val="20"/>
                <w:szCs w:val="20"/>
                <w:highlight w:val="none"/>
              </w:rPr>
              <w:t>整机内置图像、音效调节模块，提供多种预设图像、音效模式，支持手动调节亮度、对比度、高低音、色温等参数，适配不同教学场景。</w:t>
            </w:r>
          </w:p>
          <w:p w14:paraId="1E9AC25E">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 xml:space="preserve"> 2、支持分屏、半屏显示功能，可一键切换全屏 / 半屏，画面完整无裁剪，触控操作正常；支持画面局部放大、聚光灯（区域高亮、其余区域暗化）教学工具。</w:t>
            </w:r>
          </w:p>
          <w:p w14:paraId="5D60234E">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3、</w:t>
            </w:r>
            <w:r>
              <w:rPr>
                <w:color w:val="auto"/>
                <w:sz w:val="20"/>
                <w:szCs w:val="20"/>
                <w:highlight w:val="none"/>
              </w:rPr>
              <w:t>系统悬浮快捷工具栏，可调取批注、截屏、计时、锁屏、硬件自检、聚光灯、学科工具等教学常用功能，工具栏支持自定义调整。</w:t>
            </w:r>
          </w:p>
          <w:p w14:paraId="5EF71FF0">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4、</w:t>
            </w:r>
            <w:r>
              <w:rPr>
                <w:color w:val="auto"/>
                <w:sz w:val="20"/>
                <w:szCs w:val="20"/>
                <w:highlight w:val="none"/>
              </w:rPr>
              <w:t>支持智能手势快捷操作，可通过手势触发熄屏、批注、分屏等自定义功能，手势识别灵敏稳定。</w:t>
            </w:r>
          </w:p>
          <w:p w14:paraId="10541BE6">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5、</w:t>
            </w:r>
            <w:r>
              <w:rPr>
                <w:color w:val="auto"/>
                <w:sz w:val="20"/>
                <w:szCs w:val="20"/>
                <w:highlight w:val="none"/>
              </w:rPr>
              <w:t>全通道支持自由截屏，可框选任意区域保存截图；授课过程中可一键调取各类教学小工具：答题器、倒计时、节拍器、日历、随机抽选等。</w:t>
            </w:r>
          </w:p>
          <w:p w14:paraId="35869779">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6、</w:t>
            </w:r>
            <w:r>
              <w:rPr>
                <w:color w:val="auto"/>
                <w:sz w:val="20"/>
                <w:szCs w:val="20"/>
                <w:highlight w:val="none"/>
              </w:rPr>
              <w:t>双系统实现功能互通：一键切换系统、共享 USB 外设、共享网络、背光手势快捷控制。</w:t>
            </w:r>
          </w:p>
          <w:p w14:paraId="56076B3A">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7、</w:t>
            </w:r>
            <w:r>
              <w:rPr>
                <w:color w:val="auto"/>
                <w:sz w:val="20"/>
                <w:szCs w:val="20"/>
                <w:highlight w:val="none"/>
              </w:rPr>
              <w:t>内置互动白板，支持多笔同时书写、手掌智能擦除，笔迹自带笔锋；白板文件支持导出 PDF、SVG、IWB 等通用格式；内置充足平面、立体学科绘图工具，满足数理化教学绘图需求。</w:t>
            </w:r>
          </w:p>
          <w:p w14:paraId="2AF91A42">
            <w:pPr>
              <w:keepNext w:val="0"/>
              <w:keepLines w:val="0"/>
              <w:widowControl/>
              <w:numPr>
                <w:ilvl w:val="0"/>
                <w:numId w:val="0"/>
              </w:numPr>
              <w:suppressLineNumbers w:val="0"/>
              <w:jc w:val="both"/>
              <w:textAlignment w:val="center"/>
              <w:rPr>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四、</w:t>
            </w:r>
            <w:r>
              <w:rPr>
                <w:color w:val="auto"/>
                <w:sz w:val="20"/>
                <w:szCs w:val="20"/>
                <w:highlight w:val="none"/>
              </w:rPr>
              <w:t>配套教学软件功能</w:t>
            </w:r>
            <w:r>
              <w:rPr>
                <w:rFonts w:hint="eastAsia" w:ascii="宋体" w:hAnsi="宋体" w:eastAsia="宋体" w:cs="宋体"/>
                <w:i w:val="0"/>
                <w:iCs w:val="0"/>
                <w:strike/>
                <w:dstrike w:val="0"/>
                <w:color w:val="auto"/>
                <w:kern w:val="0"/>
                <w:sz w:val="20"/>
                <w:szCs w:val="20"/>
                <w:highlight w:val="none"/>
                <w:u w:val="none"/>
                <w:lang w:val="en-US" w:eastAsia="zh-CN" w:bidi="ar"/>
              </w:rPr>
              <w:br w:type="textWrapping"/>
            </w:r>
            <w:r>
              <w:rPr>
                <w:rFonts w:hint="eastAsia"/>
                <w:color w:val="auto"/>
                <w:sz w:val="20"/>
                <w:szCs w:val="20"/>
                <w:highlight w:val="none"/>
                <w:lang w:val="en-US" w:eastAsia="zh-CN"/>
              </w:rPr>
              <w:t>1、</w:t>
            </w:r>
            <w:r>
              <w:rPr>
                <w:color w:val="auto"/>
                <w:sz w:val="20"/>
                <w:szCs w:val="20"/>
                <w:highlight w:val="none"/>
              </w:rPr>
              <w:t>教学资源分类管理：可按年级、学科、教材版本收纳课件、习题、阅读资料，支持云端存储、本地资源调取。</w:t>
            </w:r>
          </w:p>
          <w:p w14:paraId="6D4F24F6">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2、</w:t>
            </w:r>
            <w:r>
              <w:rPr>
                <w:color w:val="auto"/>
                <w:sz w:val="20"/>
                <w:szCs w:val="20"/>
                <w:highlight w:val="none"/>
              </w:rPr>
              <w:t>白板教学模板丰富，支持田字格、五线谱、米字格、坐标纸等学科专用背景，支持原笔迹批注、拖拽、擦除。</w:t>
            </w:r>
          </w:p>
          <w:p w14:paraId="6D16B53F">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3、</w:t>
            </w:r>
            <w:r>
              <w:rPr>
                <w:color w:val="auto"/>
                <w:sz w:val="20"/>
                <w:szCs w:val="20"/>
                <w:highlight w:val="none"/>
              </w:rPr>
              <w:t>支持 PPT 原生播放、手势翻页、多级放大，批注笔迹同步保存；支持一键将课件上传至个人云空间，授课时云端直接下载使用。</w:t>
            </w:r>
          </w:p>
          <w:p w14:paraId="6D229911">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4、</w:t>
            </w:r>
            <w:r>
              <w:rPr>
                <w:color w:val="auto"/>
                <w:sz w:val="20"/>
                <w:szCs w:val="20"/>
                <w:highlight w:val="none"/>
              </w:rPr>
              <w:t>支持集体备课、在线听评课功能：可自定义评课评分模板、评分细则，听课记录可保存、导出分享；支持教师扫码听课评价。</w:t>
            </w:r>
          </w:p>
          <w:p w14:paraId="61695168">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5、</w:t>
            </w:r>
            <w:r>
              <w:rPr>
                <w:color w:val="auto"/>
                <w:sz w:val="20"/>
                <w:szCs w:val="20"/>
                <w:highlight w:val="none"/>
              </w:rPr>
              <w:t>课堂录播功能：授课全过程可录制，支持暂停、停止，可自定义录制音视频画质，录制窗口可隐藏不遮挡教学画面。</w:t>
            </w:r>
          </w:p>
          <w:p w14:paraId="39AC422D">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6、</w:t>
            </w:r>
            <w:r>
              <w:rPr>
                <w:color w:val="auto"/>
                <w:sz w:val="20"/>
                <w:szCs w:val="20"/>
                <w:highlight w:val="none"/>
              </w:rPr>
              <w:t>支持手机远程控制大屏课件翻页；支持课堂互动答题，学生扫码答题，教师查看答题正确率、导出课堂学情报告；支持课堂弹幕、班级成员管理。</w:t>
            </w:r>
          </w:p>
          <w:p w14:paraId="345A0A4D">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7、</w:t>
            </w:r>
            <w:r>
              <w:rPr>
                <w:color w:val="auto"/>
                <w:sz w:val="20"/>
                <w:szCs w:val="20"/>
                <w:highlight w:val="none"/>
              </w:rPr>
              <w:t>支持网页资源一键导入课件，可制作课堂互动小游戏并保存至个人云盘，随时调取复用。</w:t>
            </w:r>
          </w:p>
          <w:p w14:paraId="229D1B48">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8、</w:t>
            </w:r>
            <w:r>
              <w:rPr>
                <w:color w:val="auto"/>
                <w:sz w:val="20"/>
                <w:szCs w:val="20"/>
                <w:highlight w:val="none"/>
              </w:rPr>
              <w:t>为每位教师提供免费教学云存储空间，支持本地个人资源同步至云端，授课随时调取。</w:t>
            </w:r>
          </w:p>
          <w:p w14:paraId="1E87C2C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both"/>
              <w:rPr>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五、</w:t>
            </w:r>
            <w:r>
              <w:rPr>
                <w:color w:val="auto"/>
                <w:sz w:val="20"/>
                <w:szCs w:val="20"/>
                <w:highlight w:val="none"/>
              </w:rPr>
              <w:t>集控管理平台功能</w:t>
            </w:r>
          </w:p>
          <w:p w14:paraId="3A833CBC">
            <w:pPr>
              <w:keepNext w:val="0"/>
              <w:keepLines w:val="0"/>
              <w:widowControl/>
              <w:numPr>
                <w:ilvl w:val="0"/>
                <w:numId w:val="0"/>
              </w:numPr>
              <w:suppressLineNumbers w:val="0"/>
              <w:jc w:val="both"/>
              <w:textAlignment w:val="center"/>
              <w:rPr>
                <w:color w:val="auto"/>
                <w:sz w:val="20"/>
                <w:szCs w:val="20"/>
                <w:highlight w:val="none"/>
              </w:rPr>
            </w:pPr>
            <w:r>
              <w:rPr>
                <w:rFonts w:hint="eastAsia"/>
                <w:color w:val="auto"/>
                <w:sz w:val="20"/>
                <w:szCs w:val="20"/>
                <w:highlight w:val="none"/>
                <w:lang w:val="en-US" w:eastAsia="zh-CN"/>
              </w:rPr>
              <w:t xml:space="preserve"> 1、</w:t>
            </w:r>
            <w:r>
              <w:rPr>
                <w:color w:val="auto"/>
                <w:sz w:val="20"/>
                <w:szCs w:val="20"/>
                <w:highlight w:val="none"/>
              </w:rPr>
              <w:t>平台可统一查看所有教学设备硬件信息：屏幕尺寸、系统版本、CPU、内存、硬盘、网络状态等；支持列表、缩略图两种设备查看模式，批量预览设备实时画面。</w:t>
            </w:r>
          </w:p>
          <w:p w14:paraId="29D77A75">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2、</w:t>
            </w:r>
            <w:r>
              <w:rPr>
                <w:color w:val="auto"/>
                <w:sz w:val="20"/>
                <w:szCs w:val="20"/>
                <w:highlight w:val="none"/>
              </w:rPr>
              <w:t>远程巡课督导：可实时查看设备屏幕画面与课堂摄像头画面；支持远程下发设备系统、集控软件升级包，设备空闲时段自动完成更新。</w:t>
            </w:r>
          </w:p>
          <w:p w14:paraId="318EE2B9">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eastAsia"/>
                <w:color w:val="auto"/>
                <w:sz w:val="20"/>
                <w:szCs w:val="20"/>
                <w:highlight w:val="none"/>
                <w:lang w:val="en-US" w:eastAsia="zh-CN"/>
              </w:rPr>
              <w:t xml:space="preserve"> 3、</w:t>
            </w:r>
            <w:r>
              <w:rPr>
                <w:color w:val="auto"/>
                <w:sz w:val="20"/>
                <w:szCs w:val="20"/>
                <w:highlight w:val="none"/>
              </w:rPr>
              <w:t>远程管理功能：支持批量设置定时锁屏 / 解锁，可按工作日、周末自定义循环策略；远程下发考场考试安排，设备按时展示考试信息。</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AE291B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0C6E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8484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FDE9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50000 </w:t>
            </w:r>
          </w:p>
        </w:tc>
      </w:tr>
      <w:tr w14:paraId="7020B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EEB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153A2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计算机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711CA3">
            <w:pPr>
              <w:keepNext w:val="0"/>
              <w:keepLines w:val="0"/>
              <w:widowControl/>
              <w:numPr>
                <w:ilvl w:val="0"/>
                <w:numId w:val="7"/>
              </w:numPr>
              <w:suppressLineNumbers w:val="0"/>
              <w:jc w:val="left"/>
              <w:textAlignment w:val="center"/>
              <w:rPr>
                <w:rFonts w:hint="eastAsia" w:ascii="宋体" w:hAnsi="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硬件技术参数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▲1、基本要求：国产自主品牌商用台式机，</w:t>
            </w:r>
            <w:r>
              <w:rPr>
                <w:rFonts w:hint="eastAsia" w:ascii="宋体" w:hAnsi="宋体" w:cs="宋体"/>
                <w:i w:val="0"/>
                <w:iCs w:val="0"/>
                <w:strike w:val="0"/>
                <w:dstrike w:val="0"/>
                <w:color w:val="auto"/>
                <w:kern w:val="0"/>
                <w:sz w:val="20"/>
                <w:szCs w:val="20"/>
                <w:highlight w:val="none"/>
                <w:u w:val="none"/>
                <w:lang w:val="en-US" w:eastAsia="zh-CN" w:bidi="ar"/>
              </w:rPr>
              <w:t>结构稳固，具备良好的散热性能。</w:t>
            </w:r>
          </w:p>
          <w:p w14:paraId="4A186BC1">
            <w:pPr>
              <w:keepNext w:val="0"/>
              <w:keepLines w:val="0"/>
              <w:widowControl/>
              <w:numPr>
                <w:ilvl w:val="0"/>
                <w:numId w:val="0"/>
              </w:numPr>
              <w:suppressLineNumbers w:val="0"/>
              <w:jc w:val="left"/>
              <w:textAlignment w:val="center"/>
              <w:rPr>
                <w:rFonts w:hint="eastAsia" w:ascii="宋体" w:hAnsi="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2、处理器： 处理器采用国产处理器，八核，主频≥2.7GHz；</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3、内存：配置≥16GB DDR4 UDIMM内存，配置≥2个内存插槽；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4、显卡：≥2G独立显卡。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5、硬盘：≥512GB M.2接口NVME协议SSD；</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▲6、电源：电源功率≤180W，电源适配器电线组件应符合GB/T15934的要求；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7、网络：1个RJ45 10/100/1000自适应以太网口；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▲8、接口：前置USB3.0接口≥4个；后置USB3.0接口≥2个，USB2.0接口≥2个；音频接口：麦克风1个，耳机1个；后端3个Audio音频接口；PCIE插槽数量≥3个；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▲9、数据安全：BIOS级USB屏蔽及智能USB数据保护：USB支持BIOS下接口开关，针对存储设备支持USB接口切换禁止访问模式/只读模式。</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10、显示器：配置≥23.8寸LED显示器，IPS屏，分辨率≥1920*1080，刷新频率≥</w:t>
            </w:r>
            <w:r>
              <w:rPr>
                <w:rFonts w:hint="eastAsia" w:ascii="宋体" w:hAnsi="宋体" w:cs="宋体"/>
                <w:i w:val="0"/>
                <w:iCs w:val="0"/>
                <w:color w:val="auto"/>
                <w:kern w:val="0"/>
                <w:sz w:val="20"/>
                <w:szCs w:val="20"/>
                <w:highlight w:val="none"/>
                <w:u w:val="none"/>
                <w:lang w:val="en-US" w:eastAsia="zh-CN" w:bidi="ar"/>
              </w:rPr>
              <w:t>75</w:t>
            </w:r>
            <w:r>
              <w:rPr>
                <w:rFonts w:hint="eastAsia" w:ascii="宋体" w:hAnsi="宋体" w:eastAsia="宋体" w:cs="宋体"/>
                <w:i w:val="0"/>
                <w:iCs w:val="0"/>
                <w:color w:val="auto"/>
                <w:kern w:val="0"/>
                <w:sz w:val="20"/>
                <w:szCs w:val="20"/>
                <w:highlight w:val="none"/>
                <w:u w:val="none"/>
                <w:lang w:val="en-US" w:eastAsia="zh-CN" w:bidi="ar"/>
              </w:rPr>
              <w:t>Hz，对比度≥1000:1</w:t>
            </w:r>
            <w:r>
              <w:rPr>
                <w:rFonts w:hint="eastAsia" w:ascii="宋体" w:hAnsi="宋体" w:cs="宋体"/>
                <w:i w:val="0"/>
                <w:iCs w:val="0"/>
                <w:color w:val="auto"/>
                <w:kern w:val="0"/>
                <w:sz w:val="20"/>
                <w:szCs w:val="20"/>
                <w:highlight w:val="none"/>
                <w:u w:val="none"/>
                <w:lang w:val="en-US" w:eastAsia="zh-CN" w:bidi="ar"/>
              </w:rPr>
              <w:t>；</w:t>
            </w:r>
          </w:p>
          <w:p w14:paraId="3BC4E841">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操作系统：预装符合桌面操作系统政府采购需求标准的正版操作系统；预装的操作系统符合《操作系统政府采购需求标准》中加*指标要求（财政部工业和信息化部关于印发《操作系统政府采购需求标准（2023年版）》的通知）。</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12、办公软件：预装带正版授权的办公软件</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（含三年服务）；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▲13、关键部件安全要求：CPU和操作系统等关键部件应当符合安全可靠测评要求。（提供通过安全可靠测评的证明书或作出承诺）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二、班级管理平台软件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1、后台采用 B/S 架构设计，能够支持不同角色在 web 上进行操作，支持微信和账号登录、支持学校自定义角色、教师角色切换。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2、支持上传多个备课文档、支持一屏稿件对比，支持查看该次集体备课数据统计及访问记录。集体备课终稿存到我的成果库。并支持查看集体备课数据报告；</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、支持区域、学校管理者发起在线收集资料的任务，老师按照在线任务要求上传资料，支持管理者将收集上来的资料分类归档管理【</w:t>
            </w:r>
            <w:r>
              <w:rPr>
                <w:rFonts w:hint="eastAsia" w:ascii="宋体" w:hAnsi="宋体" w:cs="宋体"/>
                <w:i w:val="0"/>
                <w:iCs w:val="0"/>
                <w:color w:val="auto"/>
                <w:kern w:val="0"/>
                <w:sz w:val="20"/>
                <w:szCs w:val="20"/>
                <w:highlight w:val="none"/>
                <w:u w:val="none"/>
                <w:lang w:val="en-US" w:eastAsia="zh-CN" w:bidi="ar"/>
              </w:rPr>
              <w:t>响应供应商</w:t>
            </w:r>
            <w:r>
              <w:rPr>
                <w:rFonts w:hint="eastAsia" w:ascii="宋体" w:hAnsi="宋体" w:eastAsia="宋体" w:cs="宋体"/>
                <w:i w:val="0"/>
                <w:iCs w:val="0"/>
                <w:color w:val="auto"/>
                <w:kern w:val="0"/>
                <w:sz w:val="20"/>
                <w:szCs w:val="20"/>
                <w:highlight w:val="none"/>
                <w:u w:val="none"/>
                <w:lang w:val="en-US" w:eastAsia="zh-CN" w:bidi="ar"/>
              </w:rPr>
              <w:t>于</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中必须提供所投产品满足本条技术要求的相关有效证明材料复印件，证明材料可以是国家认可的第三方检验（测）机构出具的合格有效的检验（测）报告或官网截图或功能截图或产品彩页】</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三、教学授课软件功能要求：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 xml:space="preserve">.无需导入平台，可直接在PPT中通过备课插件添加课堂互动游戏、思维导图、网站链接、网络画板等。课件编辑完成可一键同步至云端；如教师不想保存在云平台可直接以PPT格式保存在本地，不允许系统自动在云平台中更新教师的资源；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 xml:space="preserve">.试题能够根据课本章节、题型、难易程度进行筛选，并提供知识点试题，可按知识点筛选，支持收藏、查看试题答案、解析、关联知识点，支持对试题进行二次编辑，支持将试题一键加入备课；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.通过对纸质试题拍照，可将图片上传，将纸质文字变为电子版文字，便于老师优质试题的收集使用；（</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4</w:t>
            </w:r>
            <w:r>
              <w:rPr>
                <w:rFonts w:hint="eastAsia" w:ascii="宋体" w:hAnsi="宋体" w:eastAsia="宋体" w:cs="宋体"/>
                <w:i w:val="0"/>
                <w:iCs w:val="0"/>
                <w:color w:val="auto"/>
                <w:kern w:val="0"/>
                <w:sz w:val="20"/>
                <w:szCs w:val="20"/>
                <w:highlight w:val="none"/>
                <w:u w:val="none"/>
                <w:lang w:val="en-US" w:eastAsia="zh-CN" w:bidi="ar"/>
              </w:rPr>
              <w:t>.支持将音视频分成不同小节，支持自定义视频小节名称，播放时可通过点击小节名称快速定位关键教学内容。（</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内置多种随堂练习、趣味答题模板，适配课堂巩固。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6</w:t>
            </w:r>
            <w:r>
              <w:rPr>
                <w:rFonts w:hint="eastAsia" w:ascii="宋体" w:hAnsi="宋体" w:eastAsia="宋体" w:cs="宋体"/>
                <w:i w:val="0"/>
                <w:iCs w:val="0"/>
                <w:color w:val="auto"/>
                <w:kern w:val="0"/>
                <w:sz w:val="20"/>
                <w:szCs w:val="20"/>
                <w:highlight w:val="none"/>
                <w:u w:val="none"/>
                <w:lang w:val="en-US" w:eastAsia="zh-CN" w:bidi="ar"/>
              </w:rPr>
              <w:t>.为方便教师快速查找，所有备课资源均可按照系统自带教材章节进行存储，无需教师自建存储条目；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7</w:t>
            </w:r>
            <w:r>
              <w:rPr>
                <w:rFonts w:hint="eastAsia" w:ascii="宋体" w:hAnsi="宋体" w:eastAsia="宋体" w:cs="宋体"/>
                <w:i w:val="0"/>
                <w:iCs w:val="0"/>
                <w:color w:val="auto"/>
                <w:kern w:val="0"/>
                <w:sz w:val="20"/>
                <w:szCs w:val="20"/>
                <w:highlight w:val="none"/>
                <w:u w:val="none"/>
                <w:lang w:val="en-US" w:eastAsia="zh-CN" w:bidi="ar"/>
              </w:rPr>
              <w:t xml:space="preserve">.备课界面支持将教案、课件、学案、试题、练习、网络画板、虚拟实验、微课等教学资源分享给校内指定教师使用；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8</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白板教学：提供多种书写笔触、可调色彩，支持自定义常用配色。</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9</w:t>
            </w:r>
            <w:r>
              <w:rPr>
                <w:rFonts w:hint="eastAsia" w:ascii="宋体" w:hAnsi="宋体" w:eastAsia="宋体" w:cs="宋体"/>
                <w:i w:val="0"/>
                <w:iCs w:val="0"/>
                <w:color w:val="auto"/>
                <w:kern w:val="0"/>
                <w:sz w:val="20"/>
                <w:szCs w:val="20"/>
                <w:highlight w:val="none"/>
                <w:u w:val="none"/>
                <w:lang w:val="en-US" w:eastAsia="zh-CN" w:bidi="ar"/>
              </w:rPr>
              <w:t>.支持三个及以上学生同时进行书写或手势擦除操作，不同学生各自进行书写或擦除，互不影响；</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10</w:t>
            </w:r>
            <w:r>
              <w:rPr>
                <w:rFonts w:hint="eastAsia" w:ascii="宋体" w:hAnsi="宋体" w:eastAsia="宋体" w:cs="宋体"/>
                <w:i w:val="0"/>
                <w:iCs w:val="0"/>
                <w:color w:val="auto"/>
                <w:kern w:val="0"/>
                <w:sz w:val="20"/>
                <w:szCs w:val="20"/>
                <w:highlight w:val="none"/>
                <w:u w:val="none"/>
                <w:lang w:val="en-US" w:eastAsia="zh-CN" w:bidi="ar"/>
              </w:rPr>
              <w:t>.支持对白板页面中的元素进行隐藏、锁定、缩放、旋转、置顶等操作，被隐藏元素可以一键重新显示在白板上；</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C622ED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90C7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3365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62C8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20000 </w:t>
            </w:r>
          </w:p>
        </w:tc>
      </w:tr>
      <w:tr w14:paraId="367D6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635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D6972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双面打印机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7512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1.黑白彩色同速输出，打印速度≥33 页 / 分钟；标配内存≥1GB；</w:t>
            </w:r>
          </w:p>
          <w:p w14:paraId="4F28FB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2.标配自动双面打印单元，支持无线 WiFi 网络、有线网络、USB 直连打印，支持 U 盘脱机打印；支持设备远程管理后台；</w:t>
            </w:r>
          </w:p>
          <w:p w14:paraId="0788518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3.打印分辨率≥1200×1200dpi，具备多种色彩优化再现模式，打印色彩均匀饱满；</w:t>
            </w:r>
          </w:p>
          <w:p w14:paraId="40FC07F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4.耗材配置要求：支持标准容量、大容量两种四色碳粉盒，标准黑盒标称印量≥2200 页，彩色单盒≥1900 页；高容黑盒≥7600 页，彩色单盒≥5500 页；新机原装耗材黑色≥2300 页，彩色单盒≥1200 页（5% 覆盖率 ISO 标准），耗材兼容通用大容量粉盒，整机单页打印成本低廉；</w:t>
            </w:r>
          </w:p>
          <w:p w14:paraId="405BA0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5.首页出纸时间≤8.3 秒；主纸盒容量≥250 页，多功能手动进纸托盘≥50 页；支持有线网口、USB 数据接口，具备同等拓展能力即可，老式并行接口不作强制要求；</w:t>
            </w:r>
          </w:p>
          <w:p w14:paraId="3CD7E78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6.丰富打印功能：支持缩放打印、多合一拼版、分套分组、海报放大、水印、省墨、画面旋转、组合复合打印等多种办公打印模式；</w:t>
            </w:r>
          </w:p>
          <w:p w14:paraId="7FE9B8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7.月最大打印负荷≥50000 页；整机节能省电，低待机功耗；</w:t>
            </w:r>
          </w:p>
          <w:p w14:paraId="4929DD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8.操作面板：配备中英文液晶显示屏，带数字操作按键，便捷设置打印参数；</w:t>
            </w:r>
          </w:p>
          <w:p w14:paraId="3AF75B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i w:val="0"/>
                <w:iCs w:val="0"/>
                <w:strike/>
                <w:dstrike w:val="0"/>
                <w:color w:val="auto"/>
                <w:kern w:val="0"/>
                <w:sz w:val="20"/>
                <w:szCs w:val="20"/>
                <w:highlight w:val="none"/>
                <w:u w:val="none"/>
                <w:lang w:val="en-US" w:eastAsia="zh-CN" w:bidi="ar"/>
              </w:rPr>
            </w:pPr>
            <w:r>
              <w:rPr>
                <w:rFonts w:hint="eastAsia"/>
                <w:color w:val="auto"/>
                <w:sz w:val="20"/>
                <w:szCs w:val="20"/>
                <w:highlight w:val="none"/>
                <w:lang w:val="en-US" w:eastAsia="zh-CN"/>
              </w:rPr>
              <w:t>9.整机具备低噪节能设计，长期连续打印稳定，卡纸率低。</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81D53B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11E1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9E39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9302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4500 </w:t>
            </w:r>
          </w:p>
        </w:tc>
      </w:tr>
      <w:tr w14:paraId="43BDC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A63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A3FAC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笔记本电脑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C41107">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kern w:val="0"/>
                <w:sz w:val="20"/>
                <w:szCs w:val="20"/>
                <w:highlight w:val="none"/>
                <w:u w:val="none"/>
                <w:lang w:val="en-US" w:eastAsia="zh-CN" w:bidi="ar"/>
              </w:rPr>
              <w:t>一、硬件技术参数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1、处理器：采用国产处理器，核心数≥4核，主频≥3.0GHz。</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2、内存：容量≥16GB，内存插槽≥2个，最高可支持内存≥32G DDR4。</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3、硬盘：配置≥512GB M.2 NVMe SSD硬盘，支持容量扩展。</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4、接口：USB3.0接口≥2个，USB-C接口≥2个，标准RJ45网口≥1个，HDMI接口≥1个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5、屏幕：≤14英寸, 1920*1080，≥180°开合。</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6、电源：电池容量≥60WH，适配器功率≥65W，适配器输出接口形态Type-C。</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7、无线网络：支持WiFi 6 并向下兼容， 支持BT 5.0。</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8、摄像头：720P分辨率，具备物理滑盖，可物理遮挡保护隐私。</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9</w:t>
            </w:r>
            <w:r>
              <w:rPr>
                <w:rFonts w:hint="eastAsia" w:ascii="宋体" w:hAnsi="宋体" w:eastAsia="宋体" w:cs="宋体"/>
                <w:i w:val="0"/>
                <w:iCs w:val="0"/>
                <w:color w:val="auto"/>
                <w:kern w:val="0"/>
                <w:sz w:val="20"/>
                <w:szCs w:val="20"/>
                <w:highlight w:val="none"/>
                <w:u w:val="none"/>
                <w:lang w:val="en-US" w:eastAsia="zh-CN" w:bidi="ar"/>
              </w:rPr>
              <w:t>、数据安全：</w:t>
            </w:r>
            <w:r>
              <w:rPr>
                <w:rFonts w:ascii="宋体" w:hAnsi="宋体" w:eastAsia="宋体" w:cs="宋体"/>
                <w:color w:val="auto"/>
                <w:sz w:val="20"/>
                <w:szCs w:val="20"/>
                <w:highlight w:val="none"/>
              </w:rPr>
              <w:t>具备独立安全分区 / 底层隐藏分区。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10</w:t>
            </w:r>
            <w:r>
              <w:rPr>
                <w:rFonts w:hint="eastAsia" w:ascii="宋体" w:hAnsi="宋体" w:eastAsia="宋体" w:cs="宋体"/>
                <w:i w:val="0"/>
                <w:iCs w:val="0"/>
                <w:color w:val="auto"/>
                <w:kern w:val="0"/>
                <w:sz w:val="20"/>
                <w:szCs w:val="20"/>
                <w:highlight w:val="none"/>
                <w:u w:val="none"/>
                <w:lang w:val="en-US" w:eastAsia="zh-CN" w:bidi="ar"/>
              </w:rPr>
              <w:t>、操作系统：预装符合桌面操作系统政府采购需求标准的正版操作系统；预装的操作系统符合《操作系统政府采购需求标准》中加*指标要求（财政部工业和信息化部关于印发《操作系统政府采购需求标准（2023年版）》的通知）。</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11</w:t>
            </w:r>
            <w:r>
              <w:rPr>
                <w:rFonts w:hint="eastAsia" w:ascii="宋体" w:hAnsi="宋体" w:eastAsia="宋体" w:cs="宋体"/>
                <w:i w:val="0"/>
                <w:iCs w:val="0"/>
                <w:color w:val="auto"/>
                <w:kern w:val="0"/>
                <w:sz w:val="20"/>
                <w:szCs w:val="20"/>
                <w:highlight w:val="none"/>
                <w:u w:val="none"/>
                <w:lang w:val="en-US" w:eastAsia="zh-CN" w:bidi="ar"/>
              </w:rPr>
              <w:t>、办公软件：预装带正版授权的办公软件（含三年服务）；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w:t>
            </w: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服务：针对产品提供原厂1-3年质保，提供专业的7*24h远程服务支持。且在产品生命周期结束后，原厂需提供符合工信部要求的IT资产环保处置服务，包括上门回收、数据销毁、环保拆解，并提供《资产环保处置证明》，服务可通过电话或官方网站查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15、关键部件安全要求：CPU和操作系统等关键部件应当符合安全可靠测评要求。（提供通过安全可靠测评的证明书或作出承诺）。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二、班级管理系统</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1、后台采用 B/S 架构设计，能够支持不同角色在 web 上进行操作，支持微信和账号登录、支持学校自定义角色、教师角色切换。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2、支持上传多个备课文档、支持一屏稿件对比，支持查看该次集体备课数据统计及访问记录。集体备课终稿存到我的成果库。并支持查看集体备课数据报告；</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、支持区域、学校管理者发起在线收集资料的任务，老师按照在线任务要求上传资料，支持管理者将收集上来的资料分类归档管理【</w:t>
            </w:r>
            <w:r>
              <w:rPr>
                <w:rFonts w:hint="eastAsia" w:ascii="宋体" w:hAnsi="宋体" w:cs="宋体"/>
                <w:i w:val="0"/>
                <w:iCs w:val="0"/>
                <w:color w:val="auto"/>
                <w:kern w:val="0"/>
                <w:sz w:val="20"/>
                <w:szCs w:val="20"/>
                <w:highlight w:val="none"/>
                <w:u w:val="none"/>
                <w:lang w:val="en-US" w:eastAsia="zh-CN" w:bidi="ar"/>
              </w:rPr>
              <w:t>响应供应商</w:t>
            </w:r>
            <w:r>
              <w:rPr>
                <w:rFonts w:hint="eastAsia" w:ascii="宋体" w:hAnsi="宋体" w:eastAsia="宋体" w:cs="宋体"/>
                <w:i w:val="0"/>
                <w:iCs w:val="0"/>
                <w:color w:val="auto"/>
                <w:kern w:val="0"/>
                <w:sz w:val="20"/>
                <w:szCs w:val="20"/>
                <w:highlight w:val="none"/>
                <w:u w:val="none"/>
                <w:lang w:val="en-US" w:eastAsia="zh-CN" w:bidi="ar"/>
              </w:rPr>
              <w:t>于</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中必须提供所投产品满足本条技术要求的相关有效证明材料复印件，证明材料可以是国家认可的第三方检验（测）机构出具的合格有效的检验（测）报告或官网截图或功能截图或产品彩页】</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三、备授课教学平台软件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 xml:space="preserve">.无需导入平台，可直接在PPT中通过备课插件添加课堂互动游戏、思维导图、网站链接、网络画板等。课件编辑完成可一键同步至云端；如教师不想保存在云平台可直接以PPT格式保存在本地，不允许系统自动在云平台中更新教师的资源；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 xml:space="preserve">.试题能够根据课本章节、题型、难易程度进行筛选，并提供知识点试题，可按知识点筛选，支持收藏、查看试题答案、解析、关联知识点，支持对试题进行二次编辑，支持将试题一键加入备课；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.通过对纸质试题拍照，可将图片上传，将纸质文字变为电子版文字，便于老师优质试题的收集使用；（</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4</w:t>
            </w:r>
            <w:r>
              <w:rPr>
                <w:rFonts w:hint="eastAsia" w:ascii="宋体" w:hAnsi="宋体" w:eastAsia="宋体" w:cs="宋体"/>
                <w:i w:val="0"/>
                <w:iCs w:val="0"/>
                <w:color w:val="auto"/>
                <w:kern w:val="0"/>
                <w:sz w:val="20"/>
                <w:szCs w:val="20"/>
                <w:highlight w:val="none"/>
                <w:u w:val="none"/>
                <w:lang w:val="en-US" w:eastAsia="zh-CN" w:bidi="ar"/>
              </w:rPr>
              <w:t>.支持音频和视频进行关键点标记，并将音视频分成不同小节，支持自定义视频小节名称，播放时可通过点击小节名称快速定位关键教学内容。（</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课堂互动题型：内置多种课堂互动练习模板，可自主编辑题目插入课件，用于课堂随堂练习。</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6</w:t>
            </w:r>
            <w:r>
              <w:rPr>
                <w:rFonts w:hint="eastAsia" w:ascii="宋体" w:hAnsi="宋体" w:eastAsia="宋体" w:cs="宋体"/>
                <w:i w:val="0"/>
                <w:iCs w:val="0"/>
                <w:color w:val="auto"/>
                <w:kern w:val="0"/>
                <w:sz w:val="20"/>
                <w:szCs w:val="20"/>
                <w:highlight w:val="none"/>
                <w:u w:val="none"/>
                <w:lang w:val="en-US" w:eastAsia="zh-CN" w:bidi="ar"/>
              </w:rPr>
              <w:t>.为方便教师快速查找，所有备课资源均可按照系统自带教材章节进行存储，无需教师自建存储条目；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7</w:t>
            </w:r>
            <w:r>
              <w:rPr>
                <w:rFonts w:hint="eastAsia" w:ascii="宋体" w:hAnsi="宋体" w:eastAsia="宋体" w:cs="宋体"/>
                <w:i w:val="0"/>
                <w:iCs w:val="0"/>
                <w:color w:val="auto"/>
                <w:kern w:val="0"/>
                <w:sz w:val="20"/>
                <w:szCs w:val="20"/>
                <w:highlight w:val="none"/>
                <w:u w:val="none"/>
                <w:lang w:val="en-US" w:eastAsia="zh-CN" w:bidi="ar"/>
              </w:rPr>
              <w:t>.备课界面支持将教案、课件、学案、试题、练习、</w:t>
            </w:r>
            <w:r>
              <w:rPr>
                <w:rFonts w:hint="eastAsia" w:ascii="宋体" w:hAnsi="宋体" w:eastAsia="宋体" w:cs="宋体"/>
                <w:i w:val="0"/>
                <w:iCs w:val="0"/>
                <w:strike w:val="0"/>
                <w:dstrike w:val="0"/>
                <w:color w:val="auto"/>
                <w:kern w:val="0"/>
                <w:sz w:val="20"/>
                <w:szCs w:val="20"/>
                <w:highlight w:val="none"/>
                <w:u w:val="none"/>
                <w:lang w:val="en-US" w:eastAsia="zh-CN" w:bidi="ar"/>
              </w:rPr>
              <w:t>网络画板、</w:t>
            </w:r>
            <w:r>
              <w:rPr>
                <w:rFonts w:hint="eastAsia" w:ascii="宋体" w:hAnsi="宋体" w:eastAsia="宋体" w:cs="宋体"/>
                <w:i w:val="0"/>
                <w:iCs w:val="0"/>
                <w:color w:val="auto"/>
                <w:kern w:val="0"/>
                <w:sz w:val="20"/>
                <w:szCs w:val="20"/>
                <w:highlight w:val="none"/>
                <w:u w:val="none"/>
                <w:lang w:val="en-US" w:eastAsia="zh-CN" w:bidi="ar"/>
              </w:rPr>
              <w:t xml:space="preserve">虚拟实验、微课等教学资源分享给校内指定教师使用；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8</w:t>
            </w:r>
            <w:r>
              <w:rPr>
                <w:rFonts w:hint="eastAsia" w:ascii="宋体" w:hAnsi="宋体" w:eastAsia="宋体" w:cs="宋体"/>
                <w:i w:val="0"/>
                <w:iCs w:val="0"/>
                <w:color w:val="auto"/>
                <w:kern w:val="0"/>
                <w:sz w:val="20"/>
                <w:szCs w:val="20"/>
                <w:highlight w:val="none"/>
                <w:u w:val="none"/>
                <w:lang w:val="en-US" w:eastAsia="zh-CN" w:bidi="ar"/>
              </w:rPr>
              <w:t xml:space="preserve">. </w:t>
            </w:r>
            <w:r>
              <w:rPr>
                <w:rFonts w:ascii="宋体" w:hAnsi="宋体" w:eastAsia="宋体" w:cs="宋体"/>
                <w:color w:val="auto"/>
                <w:kern w:val="0"/>
                <w:sz w:val="20"/>
                <w:szCs w:val="20"/>
                <w:highlight w:val="none"/>
                <w:lang w:val="en-US" w:eastAsia="zh-CN" w:bidi="ar"/>
              </w:rPr>
              <w:t>白板书写功能：提供硬笔、粉笔、荧光笔等多种书写笔触，支持自由调整粗细、颜色；支持自定义保存常用配色，色彩调节包含色调、饱和度、亮度参数设置。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9</w:t>
            </w:r>
            <w:r>
              <w:rPr>
                <w:rFonts w:hint="eastAsia" w:ascii="宋体" w:hAnsi="宋体" w:eastAsia="宋体" w:cs="宋体"/>
                <w:i w:val="0"/>
                <w:iCs w:val="0"/>
                <w:color w:val="auto"/>
                <w:kern w:val="0"/>
                <w:sz w:val="20"/>
                <w:szCs w:val="20"/>
                <w:highlight w:val="none"/>
                <w:u w:val="none"/>
                <w:lang w:val="en-US" w:eastAsia="zh-CN" w:bidi="ar"/>
              </w:rPr>
              <w:t>.支持三个及以上学生同时进行书写或手势擦除操作，不同学生各自进行书写或擦除，互不影响；</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10</w:t>
            </w:r>
            <w:r>
              <w:rPr>
                <w:rFonts w:hint="eastAsia" w:ascii="宋体" w:hAnsi="宋体" w:eastAsia="宋体" w:cs="宋体"/>
                <w:i w:val="0"/>
                <w:iCs w:val="0"/>
                <w:color w:val="auto"/>
                <w:kern w:val="0"/>
                <w:sz w:val="20"/>
                <w:szCs w:val="20"/>
                <w:highlight w:val="none"/>
                <w:u w:val="none"/>
                <w:lang w:val="en-US" w:eastAsia="zh-CN" w:bidi="ar"/>
              </w:rPr>
              <w:t>.支持对白板页面中的元素进行隐藏、锁定、缩放、旋转、置顶等操作，被隐藏元素可以一键重新显示在白板上；（</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11</w:t>
            </w:r>
            <w:r>
              <w:rPr>
                <w:rFonts w:hint="eastAsia" w:ascii="宋体" w:hAnsi="宋体" w:eastAsia="宋体" w:cs="宋体"/>
                <w:i w:val="0"/>
                <w:iCs w:val="0"/>
                <w:color w:val="auto"/>
                <w:kern w:val="0"/>
                <w:sz w:val="20"/>
                <w:szCs w:val="20"/>
                <w:highlight w:val="none"/>
                <w:u w:val="none"/>
                <w:lang w:val="en-US" w:eastAsia="zh-CN" w:bidi="ar"/>
              </w:rPr>
              <w:t>.能够在桌面授课或PPT授课时打开板中板辅助教学，应支持任意调整板中板大小，在板中板中进行板书书写与擦除、板书缩放、插入文件等操作不影响课件主画面（</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12</w:t>
            </w:r>
            <w:r>
              <w:rPr>
                <w:rFonts w:hint="eastAsia" w:ascii="宋体" w:hAnsi="宋体" w:eastAsia="宋体" w:cs="宋体"/>
                <w:i w:val="0"/>
                <w:iCs w:val="0"/>
                <w:color w:val="auto"/>
                <w:kern w:val="0"/>
                <w:sz w:val="20"/>
                <w:szCs w:val="20"/>
                <w:highlight w:val="none"/>
                <w:u w:val="none"/>
                <w:lang w:val="en-US" w:eastAsia="zh-CN" w:bidi="ar"/>
              </w:rPr>
              <w:t xml:space="preserve">.智能转写可支持连续书写多个汉字并将书写的内容自动转换为楷体，转换文字大小自动跟随手写输入字体大小变化，支持查看笔顺、朗读读音；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13</w:t>
            </w:r>
            <w:r>
              <w:rPr>
                <w:rFonts w:hint="eastAsia" w:ascii="宋体" w:hAnsi="宋体" w:eastAsia="宋体" w:cs="宋体"/>
                <w:i w:val="0"/>
                <w:iCs w:val="0"/>
                <w:color w:val="auto"/>
                <w:kern w:val="0"/>
                <w:sz w:val="20"/>
                <w:szCs w:val="20"/>
                <w:highlight w:val="none"/>
                <w:u w:val="none"/>
                <w:lang w:val="en-US" w:eastAsia="zh-CN" w:bidi="ar"/>
              </w:rPr>
              <w:t>.划词搜索：</w:t>
            </w:r>
            <w:r>
              <w:rPr>
                <w:rFonts w:ascii="宋体" w:hAnsi="宋体" w:eastAsia="宋体" w:cs="宋体"/>
                <w:color w:val="auto"/>
                <w:kern w:val="0"/>
                <w:sz w:val="20"/>
                <w:szCs w:val="20"/>
                <w:highlight w:val="none"/>
                <w:lang w:val="en-US" w:eastAsia="zh-CN" w:bidi="ar"/>
              </w:rPr>
              <w:t>白板上手写中英文内容可智能识别，一键调取互联网教育类素材、知识点资料辅助授课；不限定单一检索网站，可对接正规教育资源库。</w:t>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14</w:t>
            </w:r>
            <w:r>
              <w:rPr>
                <w:rFonts w:hint="eastAsia" w:ascii="宋体" w:hAnsi="宋体" w:eastAsia="宋体" w:cs="宋体"/>
                <w:i w:val="0"/>
                <w:iCs w:val="0"/>
                <w:color w:val="auto"/>
                <w:kern w:val="0"/>
                <w:sz w:val="20"/>
                <w:szCs w:val="20"/>
                <w:highlight w:val="none"/>
                <w:u w:val="none"/>
                <w:lang w:val="en-US" w:eastAsia="zh-CN" w:bidi="ar"/>
              </w:rPr>
              <w:t>.图形识别：</w:t>
            </w:r>
            <w:r>
              <w:rPr>
                <w:rFonts w:ascii="宋体" w:hAnsi="宋体" w:eastAsia="宋体" w:cs="宋体"/>
                <w:color w:val="auto"/>
                <w:kern w:val="0"/>
                <w:sz w:val="20"/>
                <w:szCs w:val="20"/>
                <w:highlight w:val="none"/>
                <w:lang w:val="en-US" w:eastAsia="zh-CN" w:bidi="ar"/>
              </w:rPr>
              <w:t>平面几何图形可自动规整为标准矢量图形，支持识别多种常用几何类型。</w:t>
            </w:r>
            <w:r>
              <w:rPr>
                <w:rFonts w:hint="eastAsia" w:ascii="宋体" w:hAnsi="宋体" w:eastAsia="宋体" w:cs="宋体"/>
                <w:i w:val="0"/>
                <w:iCs w:val="0"/>
                <w:strike/>
                <w:dstrike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15</w:t>
            </w:r>
            <w:r>
              <w:rPr>
                <w:rFonts w:hint="eastAsia" w:ascii="宋体" w:hAnsi="宋体" w:eastAsia="宋体" w:cs="宋体"/>
                <w:i w:val="0"/>
                <w:iCs w:val="0"/>
                <w:color w:val="auto"/>
                <w:kern w:val="0"/>
                <w:sz w:val="20"/>
                <w:szCs w:val="20"/>
                <w:highlight w:val="none"/>
                <w:u w:val="none"/>
                <w:lang w:val="en-US" w:eastAsia="zh-CN" w:bidi="ar"/>
              </w:rPr>
              <w:t>.英文转写： 可支持自由、连续书写多个单词并将书写的内容自动识别转换为印刷体，转换单词大小自动跟随手写输入单词大小变化，支持二次修改及前后增删单词、朗读、增加四线三格背景、词卡等功能；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16</w:t>
            </w:r>
            <w:r>
              <w:rPr>
                <w:rFonts w:hint="eastAsia" w:ascii="宋体" w:hAnsi="宋体" w:eastAsia="宋体" w:cs="宋体"/>
                <w:i w:val="0"/>
                <w:iCs w:val="0"/>
                <w:color w:val="auto"/>
                <w:kern w:val="0"/>
                <w:sz w:val="20"/>
                <w:szCs w:val="20"/>
                <w:highlight w:val="none"/>
                <w:u w:val="none"/>
                <w:lang w:val="en-US" w:eastAsia="zh-CN" w:bidi="ar"/>
              </w:rPr>
              <w:t>.白板教学中，支持从电脑中导入图片、视频、PPT、Word、Excel、PDF等资源，导入的PPT、Word、Excel文件可以进行二次编辑，导入的图片可以进行批注，导入的视频播放时可以进行批注讲解、擦除操作；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17</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白板背景素材：配备田字格、五线谱、坐标轴、运动场地等多类学科专用背景，同时支持教师上传自定义背景图片。</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18</w:t>
            </w:r>
            <w:r>
              <w:rPr>
                <w:rFonts w:hint="eastAsia" w:ascii="宋体" w:hAnsi="宋体" w:eastAsia="宋体" w:cs="宋体"/>
                <w:i w:val="0"/>
                <w:iCs w:val="0"/>
                <w:color w:val="auto"/>
                <w:kern w:val="0"/>
                <w:sz w:val="20"/>
                <w:szCs w:val="20"/>
                <w:highlight w:val="none"/>
                <w:u w:val="none"/>
                <w:lang w:val="en-US" w:eastAsia="zh-CN" w:bidi="ar"/>
              </w:rPr>
              <w:t>.美术画板工具提供铅笔 、蜡笔、毛笔 、油画笔等笔触，具备模拟调色盘 ，可选择不同颜色混合调色；支持在美术画板导入jpg、jpeg、bmp 、png格式的实物彩色图片一键转换为素描效果，用于美术教学；</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19</w:t>
            </w:r>
            <w:r>
              <w:rPr>
                <w:rFonts w:hint="eastAsia" w:ascii="宋体" w:hAnsi="宋体" w:eastAsia="宋体" w:cs="宋体"/>
                <w:i w:val="0"/>
                <w:iCs w:val="0"/>
                <w:color w:val="auto"/>
                <w:kern w:val="0"/>
                <w:sz w:val="20"/>
                <w:szCs w:val="20"/>
                <w:highlight w:val="none"/>
                <w:u w:val="none"/>
                <w:lang w:val="en-US" w:eastAsia="zh-CN" w:bidi="ar"/>
              </w:rPr>
              <w:t xml:space="preserve">.截屏支持对屏幕上任意区域进行自由截图或矩形截图，应支持截取过程中，在截取页面上进行书写操作，并将截取的页面保存为图片；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20</w:t>
            </w:r>
            <w:r>
              <w:rPr>
                <w:rFonts w:hint="eastAsia" w:ascii="宋体" w:hAnsi="宋体" w:eastAsia="宋体" w:cs="宋体"/>
                <w:i w:val="0"/>
                <w:iCs w:val="0"/>
                <w:color w:val="auto"/>
                <w:kern w:val="0"/>
                <w:sz w:val="20"/>
                <w:szCs w:val="20"/>
                <w:highlight w:val="none"/>
                <w:u w:val="none"/>
                <w:lang w:val="en-US" w:eastAsia="zh-CN" w:bidi="ar"/>
              </w:rPr>
              <w:t xml:space="preserve">.学生自主学习：支持学生进行闯关模式下难度递进的自主学习。闯关练习应按学段、科目、版本、册别筛选，答题完成可以査看答题是否正确以及答题解析，满足不同学生的个性化练习需求； </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A33716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D3DD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8A12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0585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5500 </w:t>
            </w:r>
          </w:p>
        </w:tc>
      </w:tr>
      <w:tr w14:paraId="03E31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B04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665BFEEA">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4678BC4D">
            <w:pPr>
              <w:keepNext w:val="0"/>
              <w:keepLines w:val="0"/>
              <w:widowControl/>
              <w:suppressLineNumbers w:val="0"/>
              <w:jc w:val="center"/>
              <w:textAlignment w:val="center"/>
              <w:rPr>
                <w:rFonts w:hint="eastAsia" w:ascii="宋体" w:hAnsi="宋体" w:eastAsia="宋体" w:cs="宋体"/>
                <w:b/>
                <w:bCs/>
                <w:i w:val="0"/>
                <w:iCs w:val="0"/>
                <w:color w:val="FF0000"/>
                <w:kern w:val="2"/>
                <w:sz w:val="20"/>
                <w:szCs w:val="20"/>
                <w:u w:val="none"/>
                <w:lang w:val="en-US" w:eastAsia="zh-CN" w:bidi="ar-SA"/>
              </w:rPr>
            </w:pPr>
            <w:r>
              <w:rPr>
                <w:rFonts w:hint="eastAsia" w:ascii="宋体" w:hAnsi="宋体" w:eastAsia="宋体" w:cs="宋体"/>
                <w:b/>
                <w:bCs/>
                <w:i w:val="0"/>
                <w:iCs w:val="0"/>
                <w:color w:val="FF0000"/>
                <w:kern w:val="0"/>
                <w:sz w:val="20"/>
                <w:szCs w:val="20"/>
                <w:u w:val="none"/>
                <w:lang w:val="en-US" w:eastAsia="zh-CN" w:bidi="ar"/>
              </w:rPr>
              <w:t>上林县明山幼儿园</w:t>
            </w:r>
          </w:p>
        </w:tc>
        <w:tc>
          <w:tcPr>
            <w:tcW w:w="0" w:type="auto"/>
            <w:tcBorders>
              <w:top w:val="single" w:color="000000" w:sz="4" w:space="0"/>
              <w:left w:val="single" w:color="000000" w:sz="4" w:space="0"/>
              <w:bottom w:val="single" w:color="000000" w:sz="4" w:space="0"/>
              <w:right w:val="nil"/>
            </w:tcBorders>
            <w:shd w:val="clear" w:color="auto" w:fill="92D050"/>
            <w:noWrap/>
            <w:vAlign w:val="center"/>
          </w:tcPr>
          <w:p w14:paraId="43E08D0D">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1D6936E4">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5D628608">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30A8815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120000 </w:t>
            </w:r>
          </w:p>
        </w:tc>
      </w:tr>
      <w:tr w14:paraId="42B75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92E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034FF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教学一体机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DC6396">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一、整体设计</w:t>
            </w:r>
          </w:p>
          <w:p w14:paraId="4B211A70">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1、整机采用一体设计，外部无任何可见内部功能模块连接线。</w:t>
            </w:r>
          </w:p>
          <w:p w14:paraId="0AE21B70">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2、整机采用全金属外壳设计，边角采用弧形设计，表面无尖锐边缘或凸起；整机屏幕边缘采用金属圆角包边防护，整机背板采用金属材质。</w:t>
            </w:r>
          </w:p>
          <w:p w14:paraId="4CBC31B7">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3、整机屏幕采用65英寸液晶显示器。</w:t>
            </w:r>
          </w:p>
          <w:p w14:paraId="6F29287E">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4、整机采用LED液晶A规屏，显示比例16:9。</w:t>
            </w:r>
          </w:p>
          <w:p w14:paraId="796F7DF1">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二、整机硬件性能与接口</w:t>
            </w:r>
          </w:p>
          <w:p w14:paraId="55B67B53">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1、双系统配置 整机搭载 电脑模块 + 嵌入式系统，系统版本不低于 当前最新版本；系统内存 RAM≥4G，存储 ROM≥32G；安卓端可独立实现白板书写、文档编辑、网页浏览等基础教学功能。（相关性能指标可提供厂商彩页、功能截图、第三方检测报告任意一种佐证，设备到货验收时提供完整 CMA/CNAS 检测报告备查）。</w:t>
            </w:r>
          </w:p>
          <w:p w14:paraId="439FE566">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2、整机配备前置外接接口，支持双系统共用读取 U 盘等存储设备；整机配备全功能 Type-C、HDMI、USB3.0 输入接口，侧置预留 HDMI、RS232、USB、音频输出、触控 USB 等拓展接口；整机外设拓展能力满足日常教学设备接驳需求，可通过拓展坞实现同等外接能力。前置接口配有防尘防护盖板，保护接口与外接 U 盘。</w:t>
            </w:r>
          </w:p>
          <w:p w14:paraId="4981EE93">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3、整机内置高品质扬声器，整机额定总输出功率≥60W，发声均匀，无杂音、破音，满足教室扩声需求。</w:t>
            </w:r>
          </w:p>
          <w:p w14:paraId="4C1DAFEE">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4、红外触控技术，最小识别触控物体≤3mm；整机支持双系统多点触控，触控流畅无断触。</w:t>
            </w:r>
          </w:p>
          <w:p w14:paraId="36332240">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5、整机内置高清摄像头与阵列麦克风，无需外接线材；摄像头像素≥1600 万，广角设计，可完整覆盖教室区域，满足远程巡课、课堂录播；麦克风有效拾音距离≥10 米，多人发言清晰收录。设备自带摄像头工作指示灯，摄像状态直观提示。</w:t>
            </w:r>
          </w:p>
          <w:p w14:paraId="6B00E18D">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6、支持无线投屏功能，可通过 NFC、扫码、无线连接等任意一种方式实现手机、平板投屏，支持多台移动设备同时分屏展示。</w:t>
            </w:r>
          </w:p>
          <w:p w14:paraId="758EF7B3">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7、内置双频 WiFi（2.4G+5GHz）、蓝牙模块，蓝牙标准不低于 Bluetooth 5.2；整机可无线联网、发射无线热点，双系统共用一套无线网络配置，无需重复设置；蓝牙可稳定连接外设，无线传输距离满足教室使用。</w:t>
            </w:r>
          </w:p>
          <w:p w14:paraId="379D3A88">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8、设备搭载护眼低蓝光背光方案，从硬件层面削减有害蓝光，显示画面无明显泛黄、色偏，符合校园护眼相关规范；屏幕 NTSC 色域覆盖率≥72%，安卓系统支持 4K 高清 UI 显示。</w:t>
            </w:r>
          </w:p>
          <w:p w14:paraId="087C846D">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9、OPS 电脑配置：运行内存≥8G，固态硬盘≥256G。</w:t>
            </w:r>
          </w:p>
          <w:p w14:paraId="1534DBBC">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p>
          <w:p w14:paraId="676DE800">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三、整机基础交互功能</w:t>
            </w:r>
          </w:p>
          <w:p w14:paraId="2A3A1F34">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1、整机内置图像、音效调节模块，提供多种预设图像、音效模式，支持手动调节亮度、对比度、高低音、色温等参数，适配不同教学场景。</w:t>
            </w:r>
          </w:p>
          <w:p w14:paraId="36671D98">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2、支持分屏、半屏显示功能，可一键切换全屏 / 半屏，画面完整无裁剪，触控操作正常；支持画面局部放大、聚光灯（区域高亮、其余区域暗化）教学工具。</w:t>
            </w:r>
          </w:p>
          <w:p w14:paraId="66E709EB">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3、系统悬浮快捷工具栏，可调取批注、截屏、计时、锁屏、硬件自检、聚光灯、学科工具等教学常用功能，工具栏支持自定义调整。</w:t>
            </w:r>
          </w:p>
          <w:p w14:paraId="3756E5B4">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4、支持智能手势快捷操作，可通过手势触发熄屏、批注、分屏等自定义功能，手势识别灵敏稳定。</w:t>
            </w:r>
          </w:p>
          <w:p w14:paraId="38639A46">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5、全通道支持自由截屏，可框选任意区域保存截图；授课过程中可一键调取各类教学小工具：答题器、倒计时、节拍器、日历、随机抽选等。</w:t>
            </w:r>
          </w:p>
          <w:p w14:paraId="13F37A6E">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6、双系统实现功能互通：一键切换系统、共享 USB 外设、共享网络、背光手势快捷控制。</w:t>
            </w:r>
          </w:p>
          <w:p w14:paraId="310926D4">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7、内置互动白板，支持多笔同时书写、手掌智能擦除，笔迹自带笔锋；白板文件支持导出 PDF、SVG、IWB 等通用格式；内置充足平面、立体学科绘图工具，满足数理化教学绘图需求。</w:t>
            </w:r>
          </w:p>
          <w:p w14:paraId="5523E2E8">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四、配套教学软件功能</w:t>
            </w:r>
          </w:p>
          <w:p w14:paraId="33850088">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1、教学资源分类管理：可按年级、学科、教材版本收纳课件、习题、阅读资料，支持云端存储、本地资源调取。</w:t>
            </w:r>
          </w:p>
          <w:p w14:paraId="4C0BC0EE">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2、白板教学模板丰富，支持田字格、五线谱、米字格、坐标纸等学科专用背景，支持原笔迹批注、拖拽、擦除。</w:t>
            </w:r>
          </w:p>
          <w:p w14:paraId="7E4604A6">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3、支持 PPT 原生播放、手势翻页、多级放大，批注笔迹同步保存；支持一键将课件上传至个人云空间，授课时云端直接下载使用。</w:t>
            </w:r>
          </w:p>
          <w:p w14:paraId="27A5064D">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4、支持集体备课、在线听评课功能：可自定义评课评分模板、评分细则，听课记录可保存、导出分享；支持教师扫码听课评价。</w:t>
            </w:r>
          </w:p>
          <w:p w14:paraId="1AA6113B">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5、课堂录播功能：授课全过程可录制，支持暂停、停止，可自定义录制音视频画质，录制窗口可隐藏不遮挡教学画面。</w:t>
            </w:r>
          </w:p>
          <w:p w14:paraId="13ACB6A3">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6、支持手机远程控制大屏课件翻页；支持课堂互动答题，学生扫码答题，教师查看答题正确率、导出课堂学情报告；支持课堂弹幕、班级成员管理。</w:t>
            </w:r>
          </w:p>
          <w:p w14:paraId="3D098AF5">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7、支持网页资源一键导入课件，可制作课堂互动小游戏并保存至个人云盘，随时调取复用。</w:t>
            </w:r>
          </w:p>
          <w:p w14:paraId="547800B3">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8、为每位教师提供免费教学云存储空间，支持本地个人资源同步至云端，授课随时调取。</w:t>
            </w:r>
          </w:p>
          <w:p w14:paraId="7A9527B0">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五、集控管理平台功能</w:t>
            </w:r>
          </w:p>
          <w:p w14:paraId="6574AA80">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 xml:space="preserve"> 1、平台可统一查看所有教学设备硬件信息：屏幕尺寸、系统版本、CPU、内存、硬盘、网络状态等；支持列表、缩略图两种设备查看模式，批量预览设备实时画面。</w:t>
            </w:r>
          </w:p>
          <w:p w14:paraId="743D0624">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 xml:space="preserve"> 2、远程巡课督导：可实时查看设备屏幕画面与课堂摄像头画面；支持远程下发设备系统、集控软件升级包，设备空闲时段自动完成更新。</w:t>
            </w:r>
          </w:p>
          <w:p w14:paraId="47C4C871">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 xml:space="preserve"> 3、远程管理功能：支持批量设置定时锁屏 / 解锁，可按工作日、周末自定义循环策略；远程下发考场考试安排，设备按时展示考试信息。</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712C3C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9891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AB56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DF94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20000 </w:t>
            </w:r>
          </w:p>
        </w:tc>
      </w:tr>
      <w:tr w14:paraId="26F10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418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BC0FB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移动一体机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4D75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一、显示参数（整机≥75 寸，Windows+Android 双系统）</w:t>
            </w:r>
          </w:p>
          <w:p w14:paraId="1F8F93A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1.OPS 配置：可配套 OPS 电脑模块，OPS 厚度≥43mm，支持背部插入安装，同等规格通用 OPS 均可适配；</w:t>
            </w:r>
          </w:p>
          <w:p w14:paraId="5C7505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2.图像模式：支持标准、动态、亮丽、用户等多种预设图像模式；侧边栏可调节亮度、对比度、饱和度、色温等参数；音效具备多套预设模式，支持高低音、平衡、环绕声开关调节；</w:t>
            </w:r>
          </w:p>
          <w:p w14:paraId="2A33C4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3.背光类型：DLED 直下式背光；</w:t>
            </w:r>
          </w:p>
          <w:p w14:paraId="0F868E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4.屏幕规格：≥75 英寸，16:9 A 规液晶面板，物理分辨率 3840×2160 4K 超高清；</w:t>
            </w:r>
          </w:p>
          <w:p w14:paraId="4C96F9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5.屏幕基础性能：屏幕亮度≥380cd/㎡，静态对比度≥4000:1，灰阶响应时间≤6.5ms，NTSC 色域覆盖率≥72%；可视区域尺寸为参考值，同等 75 寸 4K 面板均可；</w:t>
            </w:r>
          </w:p>
          <w:p w14:paraId="605F075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6.分屏功能：HDMI、安卓、Windows 全通道支持手势半屏显示，一键切换全屏，具备多类分屏适配模式即可，不强制固定数量。</w:t>
            </w:r>
          </w:p>
          <w:p w14:paraId="2FA98E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二、系统参数</w:t>
            </w:r>
          </w:p>
          <w:p w14:paraId="4AC64D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cyan"/>
                <w:lang w:val="en-US" w:eastAsia="zh-CN" w:bidi="ar"/>
              </w:rPr>
            </w:pPr>
            <w:r>
              <w:rPr>
                <w:rFonts w:hint="eastAsia" w:ascii="宋体" w:hAnsi="宋体" w:eastAsia="宋体" w:cs="宋体"/>
                <w:color w:val="auto"/>
                <w:kern w:val="0"/>
                <w:sz w:val="20"/>
                <w:szCs w:val="20"/>
                <w:highlight w:val="none"/>
                <w:lang w:val="en-US" w:eastAsia="zh-CN" w:bidi="ar"/>
              </w:rPr>
              <w:t xml:space="preserve">1.嵌入式安卓系统版本不低于 Android </w:t>
            </w:r>
            <w:r>
              <w:rPr>
                <w:rFonts w:hint="eastAsia" w:ascii="宋体" w:hAnsi="宋体" w:cs="宋体"/>
                <w:color w:val="auto"/>
                <w:kern w:val="0"/>
                <w:sz w:val="20"/>
                <w:szCs w:val="20"/>
                <w:highlight w:val="none"/>
                <w:lang w:val="en-US" w:eastAsia="zh-CN" w:bidi="ar"/>
              </w:rPr>
              <w:t>11</w:t>
            </w:r>
            <w:r>
              <w:rPr>
                <w:rFonts w:hint="eastAsia" w:ascii="宋体" w:hAnsi="宋体" w:eastAsia="宋体" w:cs="宋体"/>
                <w:color w:val="auto"/>
                <w:kern w:val="0"/>
                <w:sz w:val="20"/>
                <w:szCs w:val="20"/>
                <w:highlight w:val="none"/>
                <w:lang w:val="en-US" w:eastAsia="zh-CN" w:bidi="ar"/>
              </w:rPr>
              <w:t>，运行内存≥4GB，本地存储≥32GB；</w:t>
            </w:r>
          </w:p>
          <w:p w14:paraId="71097A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2.安卓主控：8 核处理器，等效主频≥1.55GHz（Cortex A55 或同性能架构均可）。</w:t>
            </w:r>
          </w:p>
          <w:p w14:paraId="586FE3E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三、智能音视频与互联</w:t>
            </w:r>
          </w:p>
          <w:p w14:paraId="1F964A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1.内置高清广角摄像头，像素≥1600 万，视场角≥130°，覆盖整间会议室巡课拍摄；支持人脸快速解锁识别；</w:t>
            </w:r>
          </w:p>
          <w:p w14:paraId="0DEF1B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2.内置立体环绕音响，整机额定总功率≥60W，发声均匀无杂音；麦克风阵列拾音距离≥10 米，满足全室收音；不限喇叭腔体、出声结构；</w:t>
            </w:r>
          </w:p>
          <w:p w14:paraId="6E2407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3.内置蓝牙 5.2、2.4G/5G 双频 WiFi；双系统共用无线网络，无需重复配置；可发射 AP 热点，支持多终端无线接入，蓝牙稳定传输距离≥15 米；</w:t>
            </w:r>
          </w:p>
          <w:p w14:paraId="5E54AE2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4.支持无线投屏，可通过 NFC、扫码、无线直连任意一种方式实现手机 / 平板投屏，支持多设备同时分屏；</w:t>
            </w:r>
          </w:p>
          <w:p w14:paraId="36423D3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5.可选配环境温湿度监测模块，可对接管理平台查看教室环境数据，无强制硬性要求。</w:t>
            </w:r>
          </w:p>
          <w:p w14:paraId="14FB577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四、红外触控参数</w:t>
            </w:r>
          </w:p>
          <w:p w14:paraId="2C119B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1.红外多点触控，AG 防眩光钢化玻璃，光线透过率≥88%；</w:t>
            </w:r>
          </w:p>
          <w:p w14:paraId="2E173C7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2.支持≥50 点同步书写触控，触控响应速度≤5ms，最小识别触摸物体≤3mm，强光下书写触控无失效；</w:t>
            </w:r>
          </w:p>
          <w:p w14:paraId="1C7E73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3.白板功能：无 PC 安卓端支持多笔同时书写、手掌智能擦除；可导出 PDF、SVG、IWB 等通用文档格式；内置充足数理化平面、立体绘图学科工具；差值分辨率满足 4K 高清书写精度即可，不强制固定数值。</w:t>
            </w:r>
          </w:p>
          <w:p w14:paraId="75EFB89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五、整机接口（满足拓展需求，可配套拓展坞补充接口）</w:t>
            </w:r>
          </w:p>
          <w:p w14:paraId="602E1E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1.输入：前置 HDMI、全功能 Type-C、多组 USB3.0；后置预留 HDMI 输入、3.5mm 音频输入；</w:t>
            </w:r>
          </w:p>
          <w:p w14:paraId="14C6F8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2.输出：3.5mm 音频输出；</w:t>
            </w:r>
          </w:p>
          <w:p w14:paraId="5836F8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3.网络：配备不少于 1 路千兆网口，双网口更佳；</w:t>
            </w:r>
          </w:p>
          <w:p w14:paraId="01BAF9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0"/>
                <w:szCs w:val="20"/>
                <w:highlight w:val="none"/>
                <w:lang w:val="en-US" w:eastAsia="zh-CN" w:bidi="ar"/>
              </w:rPr>
              <w:t>4.板载内置 USB、触控 USB 等拓展接口，整机外设接驳能力满足会议电脑、U 盘、摄像头、麦克风等常规设备使用。</w:t>
            </w:r>
          </w:p>
          <w:p w14:paraId="3FA7AF9D">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7F07F7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DF5D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63BF5C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2190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13000 </w:t>
            </w:r>
          </w:p>
        </w:tc>
      </w:tr>
      <w:tr w14:paraId="1057B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CE2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C84594">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玩沙船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F223A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rFonts w:hint="eastAsia"/>
                <w:b w:val="0"/>
                <w:bCs w:val="0"/>
                <w:color w:val="auto"/>
                <w:sz w:val="20"/>
                <w:szCs w:val="20"/>
                <w:highlight w:val="none"/>
              </w:rPr>
            </w:pPr>
            <w:r>
              <w:rPr>
                <w:rFonts w:hint="eastAsia"/>
                <w:b w:val="0"/>
                <w:bCs w:val="0"/>
                <w:color w:val="auto"/>
                <w:sz w:val="20"/>
                <w:szCs w:val="20"/>
                <w:highlight w:val="none"/>
              </w:rPr>
              <w:t>1.主体框架材质：优质户外防腐实木（松木 / 柳桉 / 橡木 / 梨木等同等硬度防腐硬木均可），木材经过烘干、防腐、防虫、打磨圆角处理，无毛刺、无尖锐棱角，环保水性木器漆，符合 GB 6675 儿童玩具安全标准，户外长期使用不易开裂变形。</w:t>
            </w:r>
          </w:p>
          <w:p w14:paraId="5CBBD48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rFonts w:hint="eastAsia"/>
                <w:b w:val="0"/>
                <w:bCs w:val="0"/>
                <w:color w:val="auto"/>
                <w:sz w:val="20"/>
                <w:szCs w:val="20"/>
                <w:highlight w:val="none"/>
              </w:rPr>
            </w:pPr>
            <w:r>
              <w:rPr>
                <w:rFonts w:hint="eastAsia"/>
                <w:b w:val="0"/>
                <w:bCs w:val="0"/>
                <w:color w:val="auto"/>
                <w:sz w:val="20"/>
                <w:szCs w:val="20"/>
                <w:highlight w:val="none"/>
              </w:rPr>
              <w:t>2.整体参考外形尺寸：长 380cm× 宽 190cm× 高 160cm，长宽高允许 ±15cm 合理公差，适配幼儿园户外集体玩沙活动；配套沙活动区域参考 600×230cm，尺寸允许 ±20cm 浮动。</w:t>
            </w:r>
          </w:p>
          <w:p w14:paraId="0F8467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rFonts w:hint="eastAsia" w:ascii="宋体" w:hAnsi="宋体" w:eastAsia="宋体" w:cs="宋体"/>
                <w:i w:val="0"/>
                <w:iCs w:val="0"/>
                <w:color w:val="auto"/>
                <w:sz w:val="20"/>
                <w:szCs w:val="20"/>
                <w:highlight w:val="none"/>
                <w:u w:val="none"/>
              </w:rPr>
            </w:pPr>
            <w:r>
              <w:rPr>
                <w:rFonts w:hint="eastAsia"/>
                <w:b w:val="0"/>
                <w:bCs w:val="0"/>
                <w:color w:val="auto"/>
                <w:sz w:val="20"/>
                <w:szCs w:val="20"/>
                <w:highlight w:val="none"/>
              </w:rPr>
              <w:t>3.配套玩沙配件：包含沙漏、滚筒、漏斗三件套；配件采用加厚不锈钢、食品级耐磨合金或加厚食品级 PP 等防锈耐磨材质均可，表面光滑无毛刺，边角圆角处理，不伤幼儿手部。</w:t>
            </w:r>
            <w:r>
              <w:rPr>
                <w:rFonts w:hint="eastAsia" w:ascii="宋体" w:hAnsi="宋体" w:eastAsia="宋体" w:cs="宋体"/>
                <w:i w:val="0"/>
                <w:iCs w:val="0"/>
                <w:color w:val="auto"/>
                <w:kern w:val="0"/>
                <w:sz w:val="20"/>
                <w:szCs w:val="20"/>
                <w:highlight w:val="none"/>
                <w:u w:val="non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98BDE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3A43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组</w:t>
            </w:r>
          </w:p>
        </w:tc>
        <w:tc>
          <w:tcPr>
            <w:tcW w:w="0" w:type="auto"/>
            <w:tcBorders>
              <w:top w:val="single" w:color="000000" w:sz="4" w:space="0"/>
              <w:left w:val="single" w:color="000000" w:sz="4" w:space="0"/>
              <w:bottom w:val="single" w:color="000000" w:sz="4" w:space="0"/>
              <w:right w:val="nil"/>
            </w:tcBorders>
            <w:shd w:val="clear" w:color="auto" w:fill="auto"/>
            <w:vAlign w:val="center"/>
          </w:tcPr>
          <w:p w14:paraId="2FF5735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27000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D1C9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27000 </w:t>
            </w:r>
          </w:p>
        </w:tc>
      </w:tr>
      <w:tr w14:paraId="23603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DE1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C939B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户外涂鸦墙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A931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1.整体参考尺寸：长 135cm× 宽 50cm× 高 98cm，长宽高允许 ±8cm 合理公差，适配 3-6 岁幼儿站立涂鸦；</w:t>
            </w:r>
          </w:p>
          <w:p w14:paraId="081F46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2.书写面板：采用透明亚克力、户外耐力板、PC 板等同等耐候透光板材均可，板材具备抗 UV 紫外线、户外防老化、不易发黄开裂性能；</w:t>
            </w:r>
          </w:p>
          <w:p w14:paraId="3E8EA55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3.板材厚度≥5mm，表面光滑无毛刺、边角全 R 圆角处理，无尖锐棱角划伤幼儿；</w:t>
            </w:r>
          </w:p>
          <w:p w14:paraId="208CC8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4.整体支撑框架：户外防腐金属 / 实木框架，全套防锈、防水喷涂，结构稳固不易晃动；</w:t>
            </w:r>
          </w:p>
          <w:p w14:paraId="723337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5.配套收纳槽：台面下方设置画笔、颜料收纳槽，防水易擦拭；</w:t>
            </w:r>
          </w:p>
          <w:p w14:paraId="2C1FC0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6.环保安全：板材、喷涂有害物质符合 GB 6675 儿童玩具安全标准，无刺鼻异味，水性涂鸦笔书写易擦洗，不留顽固污渍；</w:t>
            </w:r>
          </w:p>
          <w:p w14:paraId="58FACEBC">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color w:val="auto"/>
                <w:sz w:val="20"/>
                <w:szCs w:val="20"/>
                <w:highlight w:val="none"/>
                <w:lang w:val="en-US" w:eastAsia="zh-CN"/>
              </w:rPr>
              <w:t>7.户外性能：耐高低温、雨淋日晒不变形、不脆裂，适合园区室外长期摆放。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82C6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A385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AD40A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D766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4027 </w:t>
            </w:r>
          </w:p>
        </w:tc>
      </w:tr>
      <w:tr w14:paraId="2221F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016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C41BC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户外四面画板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A93C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1.整体参考尺寸：长 95.5cm× 宽 95.5cm× 高 125cm，长宽高允许 ±6cm 合理公差；</w:t>
            </w:r>
          </w:p>
          <w:p w14:paraId="2C23D5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2.书写面板：可选用透明亚克力、户外 PC 耐力板等同等抗紫外线透光板材，板材厚度≥5mm，长期户外日晒不易发黄、脆裂；</w:t>
            </w:r>
          </w:p>
          <w:p w14:paraId="198B29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3.板面所有边角做圆弧钝化处理，无毛刺、尖角，避免划伤幼儿；</w:t>
            </w:r>
          </w:p>
          <w:p w14:paraId="743A5FC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4.支撑框架：户外防锈金属或防腐实木结构，防水耐候，整体稳固不摇晃；</w:t>
            </w:r>
          </w:p>
          <w:p w14:paraId="439E50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5.四面独立书写区域，每面预留画笔、颜料收纳位置，表面水性涂鸦易擦拭；</w:t>
            </w:r>
          </w:p>
          <w:p w14:paraId="757E84D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i w:val="0"/>
                <w:iCs w:val="0"/>
                <w:strike/>
                <w:dstrike w:val="0"/>
                <w:color w:val="auto"/>
                <w:kern w:val="0"/>
                <w:sz w:val="20"/>
                <w:szCs w:val="20"/>
                <w:highlight w:val="none"/>
                <w:u w:val="none"/>
                <w:lang w:val="en-US" w:eastAsia="zh-CN" w:bidi="ar"/>
              </w:rPr>
            </w:pPr>
            <w:r>
              <w:rPr>
                <w:rFonts w:hint="eastAsia"/>
                <w:color w:val="auto"/>
                <w:sz w:val="20"/>
                <w:szCs w:val="20"/>
                <w:highlight w:val="none"/>
                <w:lang w:val="en-US" w:eastAsia="zh-CN"/>
              </w:rPr>
              <w:t>6.板材、框架涂层有害物质符合 GB 6675 儿童玩具安全标准，无刺激性异味，适应园区露天雨淋、高低温环境长期使用。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B27F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0E4A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8944D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6273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EB25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6273 </w:t>
            </w:r>
          </w:p>
        </w:tc>
      </w:tr>
      <w:tr w14:paraId="4FD13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9D2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612EC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户外活动涂鸦墙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D251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1.整体参考尺寸：长 89cm× 宽 55.5cm× 高 123cm，长宽高允许 ±6cm 合理公差；</w:t>
            </w:r>
          </w:p>
          <w:p w14:paraId="761719F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2.书写面板：可选用透明亚克力、户外 PC 耐力板等具备抗紫外线性能的同等透光板材，板材厚度≥5mm，长期户外日晒不易发黄、脆裂；</w:t>
            </w:r>
          </w:p>
          <w:p w14:paraId="286C90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3.板面全部边角圆弧钝化处理，无毛刺、尖锐棱角，防止划伤幼儿；</w:t>
            </w:r>
          </w:p>
          <w:p w14:paraId="6BC48A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4.支撑框架：采用户外防锈金属或防腐实木结构，防水耐候，整体结构稳固不易晃动；</w:t>
            </w:r>
          </w:p>
          <w:p w14:paraId="136D71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5.板面支持水性涂鸦笔书写，笔迹易于擦拭清理，可预留简易画笔收纳位置；</w:t>
            </w:r>
          </w:p>
          <w:p w14:paraId="0F6E24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i w:val="0"/>
                <w:iCs w:val="0"/>
                <w:color w:val="auto"/>
                <w:sz w:val="20"/>
                <w:szCs w:val="20"/>
                <w:highlight w:val="none"/>
                <w:u w:val="none"/>
              </w:rPr>
            </w:pPr>
            <w:r>
              <w:rPr>
                <w:rFonts w:hint="eastAsia"/>
                <w:color w:val="auto"/>
                <w:sz w:val="20"/>
                <w:szCs w:val="20"/>
                <w:highlight w:val="none"/>
                <w:lang w:val="en-US" w:eastAsia="zh-CN"/>
              </w:rPr>
              <w:t>6.板材、框架表面涂层有害物质符合 GB 6675《玩具安全》国家标准，无刺激性异味，适配园区露天高低温、淋雨环境长期使用。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CA93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B1BD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630E9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B8BB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2200 </w:t>
            </w:r>
          </w:p>
        </w:tc>
      </w:tr>
      <w:tr w14:paraId="011CC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052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880DE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攀爬梯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6D32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1.配置：单人攀爬梯 10 个、双人攀爬梯 10 个；</w:t>
            </w:r>
          </w:p>
          <w:p w14:paraId="581531E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2.主体材质：优质实木，经过充分烘干、防腐、防虫处理；木材无结疤松动、开裂、腐朽；新西兰松、国产烘干松木、同等性能防腐硬木均可选用；</w:t>
            </w:r>
          </w:p>
          <w:p w14:paraId="678B78C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3.工艺要求：所有板材边缘、杆件全部圆角打磨，无毛刺、尖角；采用环保户外水性木器漆，无刺激性气味；</w:t>
            </w:r>
          </w:p>
          <w:p w14:paraId="142F71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4.结构安全：榫卯 / 牢固五金连接，整体稳固；承重满足多名幼儿同时攀爬，长期户外使用不易松动变形；</w:t>
            </w:r>
          </w:p>
          <w:p w14:paraId="1C7620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i w:val="0"/>
                <w:iCs w:val="0"/>
                <w:strike/>
                <w:dstrike w:val="0"/>
                <w:color w:val="auto"/>
                <w:kern w:val="0"/>
                <w:sz w:val="20"/>
                <w:szCs w:val="20"/>
                <w:highlight w:val="none"/>
                <w:u w:val="none"/>
                <w:lang w:val="en-US" w:eastAsia="zh-CN" w:bidi="ar"/>
              </w:rPr>
            </w:pPr>
            <w:r>
              <w:rPr>
                <w:rFonts w:hint="eastAsia"/>
                <w:color w:val="auto"/>
                <w:sz w:val="20"/>
                <w:szCs w:val="20"/>
                <w:highlight w:val="none"/>
                <w:lang w:val="en-US" w:eastAsia="zh-CN"/>
              </w:rPr>
              <w:t>5.适用场景：幼儿园户外体能活动区，适配幼儿攀爬、平衡训练；产品符合 GB 6675 儿童玩具安全相关要求。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E078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35C4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74F2A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63AA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7000 </w:t>
            </w:r>
          </w:p>
        </w:tc>
      </w:tr>
      <w:tr w14:paraId="7318B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C61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BF993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破壁机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C36A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1.搅拌杯有效容量≥5L；额定输入功率≥2200W；</w:t>
            </w:r>
          </w:p>
          <w:p w14:paraId="61B8A7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2.搅拌杯：食品级高硬度 PC / 加厚玻璃材质，耐冲击、耐高温，便于清洗；</w:t>
            </w:r>
          </w:p>
          <w:p w14:paraId="537F57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3.刀组：加厚不锈钢破壁刀，耐磨、粉碎细腻无残渣；</w:t>
            </w:r>
          </w:p>
          <w:p w14:paraId="6E8C40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4.电机：纯铜电机，支持食堂 / 幼儿园间歇连续工作，具备过热过载保护；</w:t>
            </w:r>
          </w:p>
          <w:p w14:paraId="3951E3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5.功能：支持搅拌、破壁、打豆浆、打果蔬、碎冰等多功能，多档位调速；</w:t>
            </w:r>
          </w:p>
          <w:p w14:paraId="63919EA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6.整机符合食品接触相关安全标准，运行稳定、噪音合理；</w:t>
            </w:r>
          </w:p>
          <w:p w14:paraId="1BA587F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i w:val="0"/>
                <w:iCs w:val="0"/>
                <w:color w:val="auto"/>
                <w:sz w:val="20"/>
                <w:szCs w:val="20"/>
                <w:highlight w:val="none"/>
                <w:u w:val="none"/>
              </w:rPr>
            </w:pPr>
            <w:r>
              <w:rPr>
                <w:rFonts w:hint="eastAsia"/>
                <w:color w:val="auto"/>
                <w:sz w:val="20"/>
                <w:szCs w:val="20"/>
                <w:highlight w:val="none"/>
                <w:lang w:val="en-US" w:eastAsia="zh-CN"/>
              </w:rPr>
              <w:t>7.配备防滑底座、安全联锁保护，开盖自动停机。</w:t>
            </w:r>
            <w:r>
              <w:rPr>
                <w:rFonts w:hint="eastAsia" w:ascii="宋体" w:hAnsi="宋体" w:eastAsia="宋体" w:cs="宋体"/>
                <w:i w:val="0"/>
                <w:iCs w:val="0"/>
                <w:color w:val="auto"/>
                <w:kern w:val="0"/>
                <w:sz w:val="20"/>
                <w:szCs w:val="20"/>
                <w:highlight w:val="none"/>
                <w:u w:val="non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E2D1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9812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770F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EFB2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500 </w:t>
            </w:r>
          </w:p>
        </w:tc>
      </w:tr>
      <w:tr w14:paraId="66631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3042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A78DF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幼儿绘本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4E3F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本次采购绘本涵盖十大通用品类，所有参选书籍需适配幼儿园教学场景，贴合幼儿成长特点，具体品类及通用标准如下，供应商可在对应品类内提供合规等效书籍：</w:t>
            </w:r>
          </w:p>
          <w:p w14:paraId="308E24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一、采购绘本品类</w:t>
            </w:r>
          </w:p>
          <w:p w14:paraId="1D39BF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1. 经典童话绘本类。涵盖中外经典童话故事，包含白雪公主、丑小鸭、灰姑娘、青蛙王子、小红帽、卖火柴的小女孩等经典IP绘本，画面生动、文字简洁，适配幼儿审美与理解能力，帮助幼儿认知经典童话、培养共情能力，不限定具体装帧、出版社及版本。</w:t>
            </w:r>
          </w:p>
          <w:p w14:paraId="563339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2. 传统文化与国学启蒙绘本类。包含中国传统节日、神话传说、成语故事、历史典故、国学启蒙、传统民俗、非遗文化等系列绘本，覆盖春节、端午、中秋、重阳等传统节日，囊括神农尝百草、精卫填海、孔融让梨、曹冲称象等经典国学故事，助力幼儿传承中华优秀传统文化，所有同类优质国学、传统文化绘本均可等效替代。</w:t>
            </w:r>
          </w:p>
          <w:p w14:paraId="137EA0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3. 幼儿科普认知绘本类。涵盖地理天气、自然昆虫、太空航天、数字生活、动植物科普、二十四节气、科学常识、军事科普等品类，内容贴合幼儿科学启蒙需求，知识点通俗易懂、画面直观形象，无深奥晦涩内容，适配幼儿园科学教学活动，各类合规幼儿科普绘本均可参与。</w:t>
            </w:r>
          </w:p>
          <w:p w14:paraId="03B2875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4. 情绪管理与品格养成绘本类。聚焦幼儿情绪认知、性格培养、逆商养成、社交能力、感恩教育、习惯养成，包含害羞、生气、伤心、嫉妒等情绪疏导，以及勇敢、分享、合作、知错就改、直面挫折等品格培养内容，适配幼儿心理健康教育，所有同类型优质幼儿情商、品格培养绘本均符合采购要求。</w:t>
            </w:r>
          </w:p>
          <w:p w14:paraId="074EC0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5. 安全教育与自我保护绘本类。覆盖幼儿防拐骗、防霸凌、用电安全、消防安全、交通安全、防溺水、饮食安全、身体隐私保护、户外安全等全场景安全教育内容，语言通俗、案例贴近幼儿生活，助力幼儿建立安全防护意识，不限定具体系列及出版社。</w:t>
            </w:r>
          </w:p>
          <w:p w14:paraId="35CE64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6. 习惯养成与生活能力绘本类。包含幼儿吃饭、穿衣、刷牙、洗漱、睡觉、礼貌待人、规则意识、卫生习惯等生活能力培养内容，贴合幼儿园日常行为规范教学，帮助幼儿养成良好生活、行为习惯，同类幼儿好习惯养成绘本均可等效适配。</w:t>
            </w:r>
          </w:p>
          <w:p w14:paraId="16876B9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7. 数学思维与逻辑启蒙绘本类。以趣味故事、情景游戏形式开展幼儿数学、逻辑、空间、图形、时间认知启蒙，包含数字认知、大小对比、规律排序、形状识别、时间管理、专注力训练等内容，趣味性强、互动性高，适配幼儿思维启蒙教学。</w:t>
            </w:r>
          </w:p>
          <w:p w14:paraId="41D72D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8. 红色教育与爱国主义绘本类。包含红色故事、时代楷模、科学家事迹、爱国歌曲绘本、民族精神教育等内容，潜移默化培养幼儿爱国情怀、感恩之心与奋斗精神，所有合规幼儿爱国主义、红色启蒙绘本均可参与供货。</w:t>
            </w:r>
          </w:p>
          <w:p w14:paraId="6E430DA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9. 艺术启蒙绘本类。涵盖古典音乐启蒙、美术美育、童谣、诗词绘本、艺术创意等品类，丰富幼儿艺术认知，提升审美能力与艺术素养，适配幼儿园艺术教学活动。</w:t>
            </w:r>
          </w:p>
          <w:p w14:paraId="72342C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10. 生命教育与亲情成长绘本类。包含性别认知、生命起源、亲情陪伴、手足相处、自我接纳、离别教育、自然生命认知等内容，助力幼儿身心健康全面成长，贴合幼儿成长教育需求。</w:t>
            </w:r>
          </w:p>
          <w:p w14:paraId="04035AD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二、采购绘本质量标准</w:t>
            </w:r>
          </w:p>
          <w:p w14:paraId="64121C5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1. 合规性标准：所有绘本为正规出版、公开发行的合法出版物，具备图书出版资质、ISBN书号，无盗版、无删减、无违规内容，符合国家出版物出版规范。</w:t>
            </w:r>
          </w:p>
          <w:p w14:paraId="5A36DA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2. 适龄安全标准：适配3-6岁幼儿阅读，内容积极健康、三观正向，无暴力、低俗、恐怖、不良导向内容；纸张厚实、边缘圆角打磨、无毛刺、无刺鼻异味，油墨环保无毒，符合幼儿读物安全标准。</w:t>
            </w:r>
          </w:p>
          <w:p w14:paraId="02B704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3. 装帧品质标准：平装、精装均可，书页平整、印刷清晰、色彩均匀，无模糊、重影、漏印、脱页、破损问题，装订牢固，适合幼儿反复翻阅使用。</w:t>
            </w:r>
          </w:p>
          <w:p w14:paraId="30F09B2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4. 内容适配标准：文字简洁易懂、配图精美、故事完整，贴合幼儿园教学大纲及幼儿认知规律，具备对应的教育启蒙价值，可满足幼儿园日常阅读、课堂教学、区域活动使用需求。</w:t>
            </w:r>
          </w:p>
          <w:p w14:paraId="38B236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三、其他要求：成交后，供应商须提交拟供货书目清单给幼儿园审核确认，采购人有权对不适合书目进行合理调换，总册数不变。</w:t>
            </w:r>
          </w:p>
          <w:p w14:paraId="0858C2C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554C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5972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97C87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4DED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40000 </w:t>
            </w:r>
          </w:p>
        </w:tc>
      </w:tr>
      <w:tr w14:paraId="08323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8BF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56C5F3DE">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43BAAD1B">
            <w:pPr>
              <w:keepNext w:val="0"/>
              <w:keepLines w:val="0"/>
              <w:widowControl/>
              <w:suppressLineNumbers w:val="0"/>
              <w:jc w:val="center"/>
              <w:textAlignment w:val="center"/>
              <w:rPr>
                <w:rFonts w:hint="eastAsia" w:ascii="宋体" w:hAnsi="宋体" w:eastAsia="宋体" w:cs="宋体"/>
                <w:b/>
                <w:bCs/>
                <w:i w:val="0"/>
                <w:iCs w:val="0"/>
                <w:color w:val="FF0000"/>
                <w:kern w:val="2"/>
                <w:sz w:val="20"/>
                <w:szCs w:val="20"/>
                <w:u w:val="none"/>
                <w:lang w:val="en-US" w:eastAsia="zh-CN" w:bidi="ar-SA"/>
              </w:rPr>
            </w:pPr>
            <w:r>
              <w:rPr>
                <w:rFonts w:hint="eastAsia" w:ascii="宋体" w:hAnsi="宋体" w:eastAsia="宋体" w:cs="宋体"/>
                <w:b/>
                <w:bCs/>
                <w:i w:val="0"/>
                <w:iCs w:val="0"/>
                <w:color w:val="FF0000"/>
                <w:kern w:val="0"/>
                <w:sz w:val="20"/>
                <w:szCs w:val="20"/>
                <w:u w:val="none"/>
                <w:lang w:val="en-US" w:eastAsia="zh-CN" w:bidi="ar"/>
              </w:rPr>
              <w:t>上林县卫城幼儿园</w:t>
            </w:r>
          </w:p>
        </w:tc>
        <w:tc>
          <w:tcPr>
            <w:tcW w:w="0" w:type="auto"/>
            <w:tcBorders>
              <w:top w:val="single" w:color="000000" w:sz="4" w:space="0"/>
              <w:left w:val="single" w:color="000000" w:sz="4" w:space="0"/>
              <w:bottom w:val="single" w:color="000000" w:sz="4" w:space="0"/>
              <w:right w:val="nil"/>
            </w:tcBorders>
            <w:shd w:val="clear" w:color="auto" w:fill="92D050"/>
            <w:noWrap/>
            <w:vAlign w:val="center"/>
          </w:tcPr>
          <w:p w14:paraId="4F9F4467">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5C5E46E8">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7230D4FE">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28474AC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200000 </w:t>
            </w:r>
          </w:p>
        </w:tc>
      </w:tr>
      <w:tr w14:paraId="313FB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E97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CFC93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教学一体机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44F846">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一、整体设计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1、整机采用一体设计，外部无任何可见内部功能模块连接线。</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2、整机采用全金属外壳设计，边角采用弧形设计，表面无尖锐边缘或凸起；整机屏幕边缘采用金属圆角包边防护，整机背板采用金属材质。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3、整机屏幕采用65英寸液晶显示器。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4、整机采用LED液晶A规屏，显示比例16:9。</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w:t>
            </w:r>
            <w:r>
              <w:rPr>
                <w:color w:val="auto"/>
                <w:sz w:val="20"/>
                <w:szCs w:val="20"/>
                <w:highlight w:val="none"/>
              </w:rPr>
              <w:t>整机硬件性能与接口</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w:t>
            </w:r>
            <w:r>
              <w:rPr>
                <w:rStyle w:val="12"/>
                <w:color w:val="auto"/>
                <w:sz w:val="20"/>
                <w:szCs w:val="20"/>
                <w:highlight w:val="none"/>
              </w:rPr>
              <w:t>双系统配置</w:t>
            </w:r>
            <w:r>
              <w:rPr>
                <w:color w:val="auto"/>
                <w:sz w:val="20"/>
                <w:szCs w:val="20"/>
                <w:highlight w:val="none"/>
              </w:rPr>
              <w:t xml:space="preserve"> </w:t>
            </w:r>
            <w:r>
              <w:rPr>
                <w:rFonts w:hint="eastAsia"/>
                <w:color w:val="auto"/>
                <w:sz w:val="20"/>
                <w:szCs w:val="20"/>
                <w:highlight w:val="none"/>
              </w:rPr>
              <w:t>整机搭载 电脑模块 + 嵌入式系统，系统版本不低于 当前最新版本；系统内存 RAM≥4G，存储 ROM≥32G；安卓端可独立实现白板书写、文档编辑、网页浏览等基础教学功能。（相关性能指标可提供厂商彩页、功能截图、第三方检测报告任意一种佐证，设备到货验收时提供完整 CMA/CNAS 检测报告备查）</w:t>
            </w:r>
            <w:r>
              <w:rPr>
                <w:rFonts w:hint="eastAsia"/>
                <w:color w:val="auto"/>
                <w:sz w:val="20"/>
                <w:szCs w:val="20"/>
                <w:highlight w:val="none"/>
                <w:lang w:eastAsia="zh-CN"/>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color w:val="auto"/>
                <w:sz w:val="20"/>
                <w:szCs w:val="20"/>
                <w:highlight w:val="none"/>
                <w:lang w:val="en-US" w:eastAsia="zh-CN"/>
              </w:rPr>
              <w:t>2、</w:t>
            </w:r>
            <w:r>
              <w:rPr>
                <w:color w:val="auto"/>
                <w:sz w:val="20"/>
                <w:szCs w:val="20"/>
                <w:highlight w:val="none"/>
              </w:rPr>
              <w:t>整机配备前置外接接口，支持双系统共用读取 U 盘等存储设备；整机配备全功能 Type-C、HDMI、USB3.0 输入接口，侧置预留 HDMI、RS232、USB、音频输出、触控 USB 等拓展接口；整机外设拓展能力满足日常教学设备接驳需求，可通过拓展坞实现同等外接能力。前置接口配有防尘防护盖板，保护接口与外接 U 盘。</w:t>
            </w:r>
          </w:p>
          <w:p w14:paraId="1C8F43E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jc w:val="both"/>
              <w:rPr>
                <w:color w:val="auto"/>
                <w:sz w:val="20"/>
                <w:szCs w:val="20"/>
                <w:highlight w:val="none"/>
              </w:rPr>
            </w:pPr>
            <w:r>
              <w:rPr>
                <w:rFonts w:hint="eastAsia"/>
                <w:color w:val="auto"/>
                <w:sz w:val="20"/>
                <w:szCs w:val="20"/>
                <w:highlight w:val="none"/>
                <w:lang w:val="en-US" w:eastAsia="zh-CN"/>
              </w:rPr>
              <w:t>3、</w:t>
            </w:r>
            <w:r>
              <w:rPr>
                <w:color w:val="auto"/>
                <w:sz w:val="20"/>
                <w:szCs w:val="20"/>
                <w:highlight w:val="none"/>
              </w:rPr>
              <w:t>整机内置高品质扬声器，整机额定总输出功率≥60W，发声均匀，无杂音、破音，满足教室扩声需求。</w:t>
            </w:r>
          </w:p>
          <w:p w14:paraId="7BB3CC99">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4、</w:t>
            </w:r>
            <w:r>
              <w:rPr>
                <w:color w:val="auto"/>
                <w:sz w:val="20"/>
                <w:szCs w:val="20"/>
                <w:highlight w:val="none"/>
              </w:rPr>
              <w:t>红外触控技术，最小识别触控物体≤3mm；整机支持双系统多点触控，触控流畅无断触。</w:t>
            </w:r>
          </w:p>
          <w:p w14:paraId="64FD9F3C">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5、</w:t>
            </w:r>
            <w:r>
              <w:rPr>
                <w:color w:val="auto"/>
                <w:sz w:val="20"/>
                <w:szCs w:val="20"/>
                <w:highlight w:val="none"/>
              </w:rPr>
              <w:t>整机内置高清摄像头与阵列麦克风，无需外接线材；摄像头像素≥1600 万，广角设计，可完整覆盖教室区域，满足远程巡课、课堂录播；麦克风有效拾音距离≥10 米，多人发言清晰收录。设备自带摄像头工作指示灯，摄像状态直观提示。</w:t>
            </w:r>
          </w:p>
          <w:p w14:paraId="5CB7A8B1">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6、</w:t>
            </w:r>
            <w:r>
              <w:rPr>
                <w:color w:val="auto"/>
                <w:sz w:val="20"/>
                <w:szCs w:val="20"/>
                <w:highlight w:val="none"/>
              </w:rPr>
              <w:t>支持无线投屏功能，可通过 NFC、扫码、无线连接等任意一种方式实现手机、平板投屏，支持多台移动设备同时分屏展示。</w:t>
            </w:r>
          </w:p>
          <w:p w14:paraId="3840E738">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 xml:space="preserve"> 7、内置双频 WiFi（2.4G+5GHz）、蓝牙模块，蓝牙标准不低于 Bluetooth 5.2；整机可无线联网、发射无线热点，双系统共用一套无线网络配置，无需重复设置；蓝牙可稳定连接外设，无线传输距离满足教室使用。</w:t>
            </w:r>
          </w:p>
          <w:p w14:paraId="4A6488E5">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 xml:space="preserve"> 8、设备搭载护眼低蓝光背光方案，从硬件层面削减有害蓝光，显示画面无明显泛黄、色偏，符合校园护眼相关规范；屏幕 NTSC 色域覆盖率≥72%，安卓系统支持 4K 高清 UI 显示。</w:t>
            </w:r>
          </w:p>
          <w:p w14:paraId="37450643">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9、OPS 电脑配置：运行内存≥8G，固态硬盘≥256G。</w:t>
            </w:r>
          </w:p>
          <w:p w14:paraId="3A2D56B2">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br w:type="textWrapping"/>
            </w:r>
            <w:r>
              <w:rPr>
                <w:rFonts w:hint="eastAsia" w:ascii="宋体" w:hAnsi="宋体" w:eastAsia="宋体" w:cs="宋体"/>
                <w:i w:val="0"/>
                <w:iCs w:val="0"/>
                <w:color w:val="auto"/>
                <w:kern w:val="0"/>
                <w:sz w:val="20"/>
                <w:szCs w:val="20"/>
                <w:highlight w:val="none"/>
                <w:u w:val="none"/>
                <w:lang w:val="en-US" w:eastAsia="zh-CN" w:bidi="ar"/>
              </w:rPr>
              <w:t>三、</w:t>
            </w:r>
            <w:r>
              <w:rPr>
                <w:color w:val="auto"/>
                <w:sz w:val="20"/>
                <w:szCs w:val="20"/>
                <w:highlight w:val="none"/>
              </w:rPr>
              <w:t>整机基础交互功能</w:t>
            </w:r>
          </w:p>
          <w:p w14:paraId="5FD1E687">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1、</w:t>
            </w:r>
            <w:r>
              <w:rPr>
                <w:color w:val="auto"/>
                <w:sz w:val="20"/>
                <w:szCs w:val="20"/>
                <w:highlight w:val="none"/>
              </w:rPr>
              <w:t>整机内置图像、音效调节模块，提供多种预设图像、音效模式，支持手动调节亮度、对比度、高低音、色温等参数，适配不同教学场景。</w:t>
            </w:r>
          </w:p>
          <w:p w14:paraId="5BEAD70E">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 xml:space="preserve"> 2、支持分屏、半屏显示功能，可一键切换全屏 / 半屏，画面完整无裁剪，触控操作正常；支持画面局部放大、聚光灯（区域高亮、其余区域暗化）教学工具。</w:t>
            </w:r>
          </w:p>
          <w:p w14:paraId="198C6475">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3、</w:t>
            </w:r>
            <w:r>
              <w:rPr>
                <w:color w:val="auto"/>
                <w:sz w:val="20"/>
                <w:szCs w:val="20"/>
                <w:highlight w:val="none"/>
              </w:rPr>
              <w:t>系统悬浮快捷工具栏，可调取批注、截屏、计时、锁屏、硬件自检、聚光灯、学科工具等教学常用功能，工具栏支持自定义调整。</w:t>
            </w:r>
          </w:p>
          <w:p w14:paraId="16F1D51F">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4、</w:t>
            </w:r>
            <w:r>
              <w:rPr>
                <w:color w:val="auto"/>
                <w:sz w:val="20"/>
                <w:szCs w:val="20"/>
                <w:highlight w:val="none"/>
              </w:rPr>
              <w:t>支持智能手势快捷操作，可通过手势触发熄屏、批注、分屏等自定义功能，手势识别灵敏稳定。</w:t>
            </w:r>
          </w:p>
          <w:p w14:paraId="03506A63">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5、</w:t>
            </w:r>
            <w:r>
              <w:rPr>
                <w:color w:val="auto"/>
                <w:sz w:val="20"/>
                <w:szCs w:val="20"/>
                <w:highlight w:val="none"/>
              </w:rPr>
              <w:t>全通道支持自由截屏，可框选任意区域保存截图；授课过程中可一键调取各类教学小工具：答题器、倒计时、节拍器、日历、随机抽选等。</w:t>
            </w:r>
          </w:p>
          <w:p w14:paraId="26BBCF28">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6、</w:t>
            </w:r>
            <w:r>
              <w:rPr>
                <w:color w:val="auto"/>
                <w:sz w:val="20"/>
                <w:szCs w:val="20"/>
                <w:highlight w:val="none"/>
              </w:rPr>
              <w:t>双系统实现功能互通：一键切换系统、共享 USB 外设、共享网络、背光手势快捷控制。</w:t>
            </w:r>
          </w:p>
          <w:p w14:paraId="4603A6CC">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7、</w:t>
            </w:r>
            <w:r>
              <w:rPr>
                <w:color w:val="auto"/>
                <w:sz w:val="20"/>
                <w:szCs w:val="20"/>
                <w:highlight w:val="none"/>
              </w:rPr>
              <w:t>内置互动白板，支持多笔同时书写、手掌智能擦除，笔迹自带笔锋；白板文件支持导出 PDF、SVG、IWB 等通用格式；内置充足平面、立体学科绘图工具，满足数理化教学绘图需求。</w:t>
            </w:r>
          </w:p>
          <w:p w14:paraId="11FE265C">
            <w:pPr>
              <w:keepNext w:val="0"/>
              <w:keepLines w:val="0"/>
              <w:widowControl/>
              <w:numPr>
                <w:ilvl w:val="0"/>
                <w:numId w:val="0"/>
              </w:numPr>
              <w:suppressLineNumbers w:val="0"/>
              <w:jc w:val="both"/>
              <w:textAlignment w:val="center"/>
              <w:rPr>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四、</w:t>
            </w:r>
            <w:r>
              <w:rPr>
                <w:color w:val="auto"/>
                <w:sz w:val="20"/>
                <w:szCs w:val="20"/>
                <w:highlight w:val="none"/>
              </w:rPr>
              <w:t>配套教学软件功能</w:t>
            </w:r>
            <w:r>
              <w:rPr>
                <w:rFonts w:hint="eastAsia" w:ascii="宋体" w:hAnsi="宋体" w:eastAsia="宋体" w:cs="宋体"/>
                <w:i w:val="0"/>
                <w:iCs w:val="0"/>
                <w:strike/>
                <w:dstrike w:val="0"/>
                <w:color w:val="auto"/>
                <w:kern w:val="0"/>
                <w:sz w:val="20"/>
                <w:szCs w:val="20"/>
                <w:highlight w:val="none"/>
                <w:u w:val="none"/>
                <w:lang w:val="en-US" w:eastAsia="zh-CN" w:bidi="ar"/>
              </w:rPr>
              <w:br w:type="textWrapping"/>
            </w:r>
            <w:r>
              <w:rPr>
                <w:rFonts w:hint="eastAsia"/>
                <w:color w:val="auto"/>
                <w:sz w:val="20"/>
                <w:szCs w:val="20"/>
                <w:highlight w:val="none"/>
                <w:lang w:val="en-US" w:eastAsia="zh-CN"/>
              </w:rPr>
              <w:t>1、</w:t>
            </w:r>
            <w:r>
              <w:rPr>
                <w:color w:val="auto"/>
                <w:sz w:val="20"/>
                <w:szCs w:val="20"/>
                <w:highlight w:val="none"/>
              </w:rPr>
              <w:t>教学资源分类管理：可按年级、学科、教材版本收纳课件、习题、阅读资料，支持云端存储、本地资源调取。</w:t>
            </w:r>
          </w:p>
          <w:p w14:paraId="7B21C928">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2、</w:t>
            </w:r>
            <w:r>
              <w:rPr>
                <w:color w:val="auto"/>
                <w:sz w:val="20"/>
                <w:szCs w:val="20"/>
                <w:highlight w:val="none"/>
              </w:rPr>
              <w:t>白板教学模板丰富，支持田字格、五线谱、米字格、坐标纸等学科专用背景，支持原笔迹批注、拖拽、擦除。</w:t>
            </w:r>
          </w:p>
          <w:p w14:paraId="2EDD61EA">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3、</w:t>
            </w:r>
            <w:r>
              <w:rPr>
                <w:color w:val="auto"/>
                <w:sz w:val="20"/>
                <w:szCs w:val="20"/>
                <w:highlight w:val="none"/>
              </w:rPr>
              <w:t>支持 PPT 原生播放、手势翻页、多级放大，批注笔迹同步保存；支持一键将课件上传至个人云空间，授课时云端直接下载使用。</w:t>
            </w:r>
          </w:p>
          <w:p w14:paraId="17C18913">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4、</w:t>
            </w:r>
            <w:r>
              <w:rPr>
                <w:color w:val="auto"/>
                <w:sz w:val="20"/>
                <w:szCs w:val="20"/>
                <w:highlight w:val="none"/>
              </w:rPr>
              <w:t>支持集体备课、在线听评课功能：可自定义评课评分模板、评分细则，听课记录可保存、导出分享；支持教师扫码听课评价。</w:t>
            </w:r>
          </w:p>
          <w:p w14:paraId="4A834AB1">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5、</w:t>
            </w:r>
            <w:r>
              <w:rPr>
                <w:color w:val="auto"/>
                <w:sz w:val="20"/>
                <w:szCs w:val="20"/>
                <w:highlight w:val="none"/>
              </w:rPr>
              <w:t>课堂录播功能：授课全过程可录制，支持暂停、停止，可自定义录制音视频画质，录制窗口可隐藏不遮挡教学画面。</w:t>
            </w:r>
          </w:p>
          <w:p w14:paraId="321874EF">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6、</w:t>
            </w:r>
            <w:r>
              <w:rPr>
                <w:color w:val="auto"/>
                <w:sz w:val="20"/>
                <w:szCs w:val="20"/>
                <w:highlight w:val="none"/>
              </w:rPr>
              <w:t>支持手机远程控制大屏课件翻页；支持课堂互动答题，学生扫码答题，教师查看答题正确率、导出课堂学情报告；支持课堂弹幕、班级成员管理。</w:t>
            </w:r>
          </w:p>
          <w:p w14:paraId="01BF4B03">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7、</w:t>
            </w:r>
            <w:r>
              <w:rPr>
                <w:color w:val="auto"/>
                <w:sz w:val="20"/>
                <w:szCs w:val="20"/>
                <w:highlight w:val="none"/>
              </w:rPr>
              <w:t>支持网页资源一键导入课件，可制作课堂互动小游戏并保存至个人云盘，随时调取复用。</w:t>
            </w:r>
          </w:p>
          <w:p w14:paraId="6658EACC">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8、</w:t>
            </w:r>
            <w:r>
              <w:rPr>
                <w:color w:val="auto"/>
                <w:sz w:val="20"/>
                <w:szCs w:val="20"/>
                <w:highlight w:val="none"/>
              </w:rPr>
              <w:t>为每位教师提供免费教学云存储空间，支持本地个人资源同步至云端，授课随时调取。</w:t>
            </w:r>
          </w:p>
          <w:p w14:paraId="38F088B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both"/>
              <w:rPr>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五、</w:t>
            </w:r>
            <w:r>
              <w:rPr>
                <w:color w:val="auto"/>
                <w:sz w:val="20"/>
                <w:szCs w:val="20"/>
                <w:highlight w:val="none"/>
              </w:rPr>
              <w:t>集控管理平台功能</w:t>
            </w:r>
          </w:p>
          <w:p w14:paraId="79593F44">
            <w:pPr>
              <w:keepNext w:val="0"/>
              <w:keepLines w:val="0"/>
              <w:widowControl/>
              <w:numPr>
                <w:ilvl w:val="0"/>
                <w:numId w:val="0"/>
              </w:numPr>
              <w:suppressLineNumbers w:val="0"/>
              <w:jc w:val="both"/>
              <w:textAlignment w:val="center"/>
              <w:rPr>
                <w:color w:val="auto"/>
                <w:sz w:val="20"/>
                <w:szCs w:val="20"/>
                <w:highlight w:val="none"/>
              </w:rPr>
            </w:pPr>
            <w:r>
              <w:rPr>
                <w:rFonts w:hint="eastAsia"/>
                <w:color w:val="auto"/>
                <w:sz w:val="20"/>
                <w:szCs w:val="20"/>
                <w:highlight w:val="none"/>
                <w:lang w:val="en-US" w:eastAsia="zh-CN"/>
              </w:rPr>
              <w:t xml:space="preserve"> 1、</w:t>
            </w:r>
            <w:r>
              <w:rPr>
                <w:color w:val="auto"/>
                <w:sz w:val="20"/>
                <w:szCs w:val="20"/>
                <w:highlight w:val="none"/>
              </w:rPr>
              <w:t>平台可统一查看所有教学设备硬件信息：屏幕尺寸、系统版本、CPU、内存、硬盘、网络状态等；支持列表、缩略图两种设备查看模式，批量预览设备实时画面。</w:t>
            </w:r>
          </w:p>
          <w:p w14:paraId="72E4E946">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2、</w:t>
            </w:r>
            <w:r>
              <w:rPr>
                <w:color w:val="auto"/>
                <w:sz w:val="20"/>
                <w:szCs w:val="20"/>
                <w:highlight w:val="none"/>
              </w:rPr>
              <w:t>远程巡课督导：可实时查看设备屏幕画面与课堂摄像头画面；支持远程下发设备系统、集控软件升级包，设备空闲时段自动完成更新。</w:t>
            </w:r>
          </w:p>
          <w:p w14:paraId="213A5F60">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eastAsia"/>
                <w:color w:val="auto"/>
                <w:sz w:val="20"/>
                <w:szCs w:val="20"/>
                <w:highlight w:val="none"/>
                <w:lang w:val="en-US" w:eastAsia="zh-CN"/>
              </w:rPr>
              <w:t xml:space="preserve"> 3、</w:t>
            </w:r>
            <w:r>
              <w:rPr>
                <w:color w:val="auto"/>
                <w:sz w:val="20"/>
                <w:szCs w:val="20"/>
                <w:highlight w:val="none"/>
              </w:rPr>
              <w:t>远程管理功能：支持批量设置定时锁屏 / 解锁，可按工作日、周末自定义循环策略；远程下发考场考试安排，设备按时展示考试信息。</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6E8857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BA91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9A22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3A27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20000 </w:t>
            </w:r>
          </w:p>
        </w:tc>
      </w:tr>
      <w:tr w14:paraId="7FC5C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7F7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EC1EB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移动一体机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0F27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一、显示参数（整机≥75 寸，Windows+Android 双系统）</w:t>
            </w:r>
          </w:p>
          <w:p w14:paraId="36C474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1.OPS 配置：可配套 OPS 电脑模块，OPS 厚度≥43mm，支持背部插入安装，同等规格通用 OPS 均可适配；</w:t>
            </w:r>
          </w:p>
          <w:p w14:paraId="6B8CFF7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2.图像模式：支持标准、动态、亮丽、用户等多种预设图像模式；侧边栏可调节亮度、对比度、饱和度、色温等参数；音效具备多套预设模式，支持高低音、平衡、环绕声开关调节；</w:t>
            </w:r>
          </w:p>
          <w:p w14:paraId="232713A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3.背光类型：DLED 直下式背光；</w:t>
            </w:r>
          </w:p>
          <w:p w14:paraId="200CEB5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4.屏幕规格：≥75 英寸，16:9 A 规液晶面板，物理分辨率 3840×2160 4K 超高清；</w:t>
            </w:r>
          </w:p>
          <w:p w14:paraId="2414AE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5.屏幕基础性能：屏幕亮度≥380cd/㎡，静态对比度≥4000:1，灰阶响应时间≤6.5ms，NTSC 色域覆盖率≥72%；可视区域尺寸为参考值，同等 75 寸 4K 面板均可；</w:t>
            </w:r>
          </w:p>
          <w:p w14:paraId="53DD4BC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6.分屏功能：HDMI、安卓、Windows 全通道支持手势半屏显示，一键切换全屏，具备多类分屏适配模式即可，不强制固定数量。</w:t>
            </w:r>
          </w:p>
          <w:p w14:paraId="5361BC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二、系统参数</w:t>
            </w:r>
          </w:p>
          <w:p w14:paraId="042B0F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 xml:space="preserve">1.嵌入式安卓系统版本不低于 Android </w:t>
            </w:r>
            <w:r>
              <w:rPr>
                <w:rFonts w:hint="eastAsia" w:ascii="宋体" w:hAnsi="宋体" w:cs="宋体"/>
                <w:color w:val="auto"/>
                <w:kern w:val="0"/>
                <w:sz w:val="20"/>
                <w:szCs w:val="20"/>
                <w:highlight w:val="none"/>
                <w:lang w:val="en-US" w:eastAsia="zh-CN" w:bidi="ar"/>
              </w:rPr>
              <w:t>11</w:t>
            </w:r>
            <w:r>
              <w:rPr>
                <w:rFonts w:hint="eastAsia" w:ascii="宋体" w:hAnsi="宋体" w:eastAsia="宋体" w:cs="宋体"/>
                <w:color w:val="auto"/>
                <w:kern w:val="0"/>
                <w:sz w:val="20"/>
                <w:szCs w:val="20"/>
                <w:highlight w:val="none"/>
                <w:lang w:val="en-US" w:eastAsia="zh-CN" w:bidi="ar"/>
              </w:rPr>
              <w:t>，运行内存≥4GB，本地存储≥32GB；</w:t>
            </w:r>
          </w:p>
          <w:p w14:paraId="406605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2.安卓主控：8 核处理器，等效主频≥1.55GHz（Cortex A55 或同性能架构均可）。</w:t>
            </w:r>
          </w:p>
          <w:p w14:paraId="21D4C6A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三、智能音视频与互联</w:t>
            </w:r>
          </w:p>
          <w:p w14:paraId="437332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1.内置高清广角摄像头，像素≥1600 万，视场角≥130°，覆盖整间会议室巡课拍摄；支持人脸快速解锁识别；</w:t>
            </w:r>
          </w:p>
          <w:p w14:paraId="65C4C6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2.内置立体环绕音响，整机额定总功率≥60W，发声均匀无杂音；麦克风阵列拾音距离≥10 米，满足全室收音；不限喇叭腔体、出声结构；</w:t>
            </w:r>
          </w:p>
          <w:p w14:paraId="2711FE5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3.内置蓝牙 5.2、2.4G/5G 双频 WiFi；双系统共用无线网络，无需重复配置；可发射 AP 热点，支持多终端无线接入，蓝牙稳定传输距离≥15 米；</w:t>
            </w:r>
          </w:p>
          <w:p w14:paraId="59F6ED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4.支持无线投屏，可通过 NFC、扫码、无线直连任意一种方式实现手机 / 平板投屏，支持多设备同时分屏；</w:t>
            </w:r>
          </w:p>
          <w:p w14:paraId="0D2894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5.可选配环境温湿度监测模块，可对接管理平台查看教室环境数据，无强制硬性要求。</w:t>
            </w:r>
          </w:p>
          <w:p w14:paraId="4554C6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四、红外触控参数</w:t>
            </w:r>
          </w:p>
          <w:p w14:paraId="2A4BE5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1.红外多点触控，AG 防眩光钢化玻璃，光线透过率≥88%；</w:t>
            </w:r>
          </w:p>
          <w:p w14:paraId="5855A4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2.支持≥50 点同步书写触控，触控响应速度≤5ms，最小识别触摸物体≤3mm，强光下书写触控无失效；</w:t>
            </w:r>
          </w:p>
          <w:p w14:paraId="1932D4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3.白板功能：无 PC 安卓端支持多笔同时书写、手掌智能擦除；可导出 PDF、SVG、IWB 等通用文档格式；内置充足数理化平面、立体绘图学科工具；差值分辨率满足 4K 高清书写精度即可，不强制固定数值。</w:t>
            </w:r>
          </w:p>
          <w:p w14:paraId="7FE89F9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五、整机接口（满足拓展需求，可配套拓展坞补充接口）</w:t>
            </w:r>
          </w:p>
          <w:p w14:paraId="21EFFD3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1.输入：前置 HDMI、全功能 Type-C、多组 USB3.0；后置预留 HDMI 输入、3.5mm 音频输入；</w:t>
            </w:r>
          </w:p>
          <w:p w14:paraId="594816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2.输出：3.5mm 音频输出；</w:t>
            </w:r>
          </w:p>
          <w:p w14:paraId="3C83F2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3.网络：配备不少于 1 路千兆网口，双网口更佳；</w:t>
            </w:r>
          </w:p>
          <w:p w14:paraId="273C3A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0"/>
                <w:szCs w:val="20"/>
                <w:highlight w:val="none"/>
                <w:lang w:val="en-US" w:eastAsia="zh-CN" w:bidi="ar"/>
              </w:rPr>
              <w:t>4.板载内置 USB、触控 USB 等拓展接口，整机外设接驳能力满足会议电脑、U 盘、摄像头、麦克风等常规设备使用。</w:t>
            </w:r>
          </w:p>
          <w:p w14:paraId="251CCD41">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07F408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D37C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B333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F008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13000 </w:t>
            </w:r>
          </w:p>
        </w:tc>
      </w:tr>
      <w:tr w14:paraId="65AC6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30E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A9AAF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音响1套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7E9CB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专业会议室音响音箱功放设备无线话筒麦克风音箱组合全套套装室内壁挂无源音柱白色</w:t>
            </w:r>
          </w:p>
          <w:p w14:paraId="5D25D71F">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strike w:val="0"/>
                <w:dstrike w:val="0"/>
                <w:color w:val="auto"/>
                <w:sz w:val="20"/>
                <w:szCs w:val="20"/>
                <w:highlight w:val="none"/>
                <w:lang w:val="en-US" w:eastAsia="zh-CN"/>
              </w:rPr>
              <w:t>1、无</w:t>
            </w:r>
            <w:r>
              <w:rPr>
                <w:rFonts w:hint="eastAsia" w:ascii="宋体" w:hAnsi="宋体" w:eastAsia="宋体" w:cs="宋体"/>
                <w:i w:val="0"/>
                <w:iCs w:val="0"/>
                <w:strike w:val="0"/>
                <w:dstrike w:val="0"/>
                <w:color w:val="auto"/>
                <w:kern w:val="0"/>
                <w:sz w:val="20"/>
                <w:szCs w:val="20"/>
                <w:highlight w:val="none"/>
                <w:u w:val="none"/>
                <w:lang w:val="en-US" w:eastAsia="zh-CN" w:bidi="ar"/>
              </w:rPr>
              <w:t>源壁挂音柱（白色） 4 只</w:t>
            </w:r>
          </w:p>
          <w:p w14:paraId="0D114E58">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参考外形尺寸：135mm×153mm×453mm，外形尺寸允许 ±20mm 公差；</w:t>
            </w:r>
          </w:p>
          <w:p w14:paraId="70907A4A">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单元配置参考：不少于 2 只 4 英寸中低音单元 + 1 只 3.5 英寸高音单元；箱体白色，支持壁挂安装；人声还原清晰，适合会议室语言扩声。</w:t>
            </w:r>
          </w:p>
          <w:p w14:paraId="6DF9E0D0">
            <w:pPr>
              <w:keepNext w:val="0"/>
              <w:keepLines w:val="0"/>
              <w:widowControl/>
              <w:suppressLineNumbers w:val="0"/>
              <w:jc w:val="left"/>
              <w:textAlignment w:val="center"/>
              <w:rPr>
                <w:rFonts w:hint="eastAsia"/>
                <w:strike w:val="0"/>
                <w:dstrike w:val="0"/>
                <w:color w:val="auto"/>
                <w:sz w:val="20"/>
                <w:szCs w:val="20"/>
                <w:highlight w:val="none"/>
                <w:lang w:val="en-US" w:eastAsia="zh-CN"/>
              </w:rPr>
            </w:pPr>
            <w:r>
              <w:rPr>
                <w:rFonts w:hint="eastAsia"/>
                <w:color w:val="auto"/>
                <w:sz w:val="20"/>
                <w:szCs w:val="20"/>
                <w:highlight w:val="none"/>
                <w:lang w:val="en-US" w:eastAsia="zh-CN"/>
              </w:rPr>
              <w:t>2、一</w:t>
            </w:r>
            <w:r>
              <w:rPr>
                <w:rFonts w:hint="eastAsia"/>
                <w:strike w:val="0"/>
                <w:dstrike w:val="0"/>
                <w:color w:val="auto"/>
                <w:sz w:val="20"/>
                <w:szCs w:val="20"/>
                <w:highlight w:val="none"/>
                <w:lang w:val="en-US" w:eastAsia="zh-CN"/>
              </w:rPr>
              <w:t xml:space="preserve">拖八 UHF 无线麦克风接收主机 1 台 </w:t>
            </w:r>
          </w:p>
          <w:p w14:paraId="0E0F2C92">
            <w:pPr>
              <w:keepNext w:val="0"/>
              <w:keepLines w:val="0"/>
              <w:widowControl/>
              <w:suppressLineNumbers w:val="0"/>
              <w:jc w:val="left"/>
              <w:textAlignment w:val="center"/>
              <w:rPr>
                <w:rFonts w:hint="eastAsia"/>
                <w:strike w:val="0"/>
                <w:dstrike w:val="0"/>
                <w:color w:val="auto"/>
                <w:sz w:val="20"/>
                <w:szCs w:val="20"/>
                <w:highlight w:val="none"/>
                <w:lang w:val="en-US" w:eastAsia="zh-CN"/>
              </w:rPr>
            </w:pPr>
            <w:r>
              <w:rPr>
                <w:rFonts w:hint="eastAsia"/>
                <w:strike w:val="0"/>
                <w:dstrike w:val="0"/>
                <w:color w:val="auto"/>
                <w:sz w:val="20"/>
                <w:szCs w:val="20"/>
                <w:highlight w:val="none"/>
                <w:lang w:val="en-US" w:eastAsia="zh-CN"/>
              </w:rPr>
              <w:t>频率响应范围：30Hz～20kHz（允许合理偏差）；配置≥4 支手持无线话筒、≥4 支鹅颈会议话筒；支持多组频点可调，防干扰、防啸叫；接收机带显示屏，可实时查看信号、电量。参考机箱尺寸 480×225×90mm，允许 ±15mm 公差。</w:t>
            </w:r>
          </w:p>
          <w:p w14:paraId="4DF5F0B7">
            <w:pPr>
              <w:keepNext w:val="0"/>
              <w:keepLines w:val="0"/>
              <w:widowControl/>
              <w:suppressLineNumbers w:val="0"/>
              <w:jc w:val="left"/>
              <w:textAlignment w:val="center"/>
              <w:rPr>
                <w:rFonts w:hint="eastAsia"/>
                <w:strike w:val="0"/>
                <w:dstrike w:val="0"/>
                <w:color w:val="auto"/>
                <w:sz w:val="20"/>
                <w:szCs w:val="20"/>
                <w:highlight w:val="none"/>
                <w:lang w:val="en-US" w:eastAsia="zh-CN"/>
              </w:rPr>
            </w:pPr>
            <w:r>
              <w:rPr>
                <w:rFonts w:hint="eastAsia"/>
                <w:strike w:val="0"/>
                <w:dstrike w:val="0"/>
                <w:color w:val="auto"/>
                <w:sz w:val="20"/>
                <w:szCs w:val="20"/>
                <w:highlight w:val="none"/>
                <w:lang w:val="en-US" w:eastAsia="zh-CN"/>
              </w:rPr>
              <w:t xml:space="preserve">3、数字音频反馈抑制器 1 台 </w:t>
            </w:r>
          </w:p>
          <w:p w14:paraId="612C9E12">
            <w:pPr>
              <w:keepNext w:val="0"/>
              <w:keepLines w:val="0"/>
              <w:widowControl/>
              <w:suppressLineNumbers w:val="0"/>
              <w:jc w:val="left"/>
              <w:textAlignment w:val="center"/>
              <w:rPr>
                <w:rFonts w:hint="eastAsia"/>
                <w:strike w:val="0"/>
                <w:dstrike w:val="0"/>
                <w:color w:val="auto"/>
                <w:sz w:val="20"/>
                <w:szCs w:val="20"/>
                <w:highlight w:val="none"/>
                <w:lang w:val="en-US" w:eastAsia="zh-CN"/>
              </w:rPr>
            </w:pPr>
            <w:r>
              <w:rPr>
                <w:rFonts w:hint="eastAsia"/>
                <w:strike w:val="0"/>
                <w:dstrike w:val="0"/>
                <w:color w:val="auto"/>
                <w:sz w:val="20"/>
                <w:szCs w:val="20"/>
                <w:highlight w:val="none"/>
                <w:lang w:val="en-US" w:eastAsia="zh-CN"/>
              </w:rPr>
              <w:t>具备自动防啸叫、噪声抑制、均衡调节功能；适配会议扩声系统，有效抑制话筒自激啸叫。参考机箱尺寸 480×165×48mm，允许 ±10mm 公差。</w:t>
            </w:r>
          </w:p>
          <w:p w14:paraId="6058B930">
            <w:pPr>
              <w:keepNext w:val="0"/>
              <w:keepLines w:val="0"/>
              <w:widowControl/>
              <w:suppressLineNumbers w:val="0"/>
              <w:jc w:val="left"/>
              <w:textAlignment w:val="center"/>
              <w:rPr>
                <w:rFonts w:hint="eastAsia"/>
                <w:strike w:val="0"/>
                <w:dstrike w:val="0"/>
                <w:color w:val="auto"/>
                <w:sz w:val="20"/>
                <w:szCs w:val="20"/>
                <w:highlight w:val="none"/>
                <w:lang w:val="en-US" w:eastAsia="zh-CN"/>
              </w:rPr>
            </w:pPr>
            <w:r>
              <w:rPr>
                <w:rFonts w:hint="eastAsia"/>
                <w:strike w:val="0"/>
                <w:dstrike w:val="0"/>
                <w:color w:val="auto"/>
                <w:sz w:val="20"/>
                <w:szCs w:val="20"/>
                <w:highlight w:val="none"/>
                <w:lang w:val="en-US" w:eastAsia="zh-CN"/>
              </w:rPr>
              <w:t xml:space="preserve">4、四通道专业功放 1 台 </w:t>
            </w:r>
          </w:p>
          <w:p w14:paraId="0EA17AA7">
            <w:pPr>
              <w:keepNext w:val="0"/>
              <w:keepLines w:val="0"/>
              <w:widowControl/>
              <w:suppressLineNumbers w:val="0"/>
              <w:jc w:val="left"/>
              <w:textAlignment w:val="center"/>
              <w:rPr>
                <w:rFonts w:hint="eastAsia"/>
                <w:strike w:val="0"/>
                <w:dstrike w:val="0"/>
                <w:color w:val="auto"/>
                <w:sz w:val="20"/>
                <w:szCs w:val="20"/>
                <w:highlight w:val="none"/>
                <w:lang w:val="en-US" w:eastAsia="zh-CN"/>
              </w:rPr>
            </w:pPr>
            <w:r>
              <w:rPr>
                <w:rFonts w:hint="eastAsia"/>
                <w:strike w:val="0"/>
                <w:dstrike w:val="0"/>
                <w:color w:val="auto"/>
                <w:sz w:val="20"/>
                <w:szCs w:val="20"/>
                <w:highlight w:val="none"/>
                <w:lang w:val="en-US" w:eastAsia="zh-CN"/>
              </w:rPr>
              <w:t>每通道额定输出功率≥120W；支持 U 盘本地播放，兼容 MP3、WAV、FLAC 等主流音频格式；具备音量调节、信号保护、过热保护功能。参考机箱尺寸 430×90×355mm，允许 ±15mm 公差。</w:t>
            </w:r>
          </w:p>
          <w:p w14:paraId="4F4A7ADA">
            <w:pPr>
              <w:keepNext w:val="0"/>
              <w:keepLines w:val="0"/>
              <w:widowControl/>
              <w:suppressLineNumbers w:val="0"/>
              <w:jc w:val="left"/>
              <w:textAlignment w:val="center"/>
              <w:rPr>
                <w:rFonts w:hint="eastAsia" w:ascii="宋体" w:hAnsi="宋体" w:eastAsia="宋体" w:cs="宋体"/>
                <w:i w:val="0"/>
                <w:iCs w:val="0"/>
                <w:strike/>
                <w:dstrike w:val="0"/>
                <w:color w:val="auto"/>
                <w:kern w:val="0"/>
                <w:sz w:val="20"/>
                <w:szCs w:val="20"/>
                <w:highlight w:val="none"/>
                <w:u w:val="none"/>
                <w:lang w:val="en-US" w:eastAsia="zh-CN" w:bidi="ar"/>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0F71FC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5E7A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F5B3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71C5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10000 </w:t>
            </w:r>
          </w:p>
        </w:tc>
      </w:tr>
      <w:tr w14:paraId="23F54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9DF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4ACDA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校园安防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8A1A7B">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1.网络硬盘录像机 2 台 ≥64 路视频接入，≥16 块硬盘盘位，支持 4K 高清视频解码输出；支持智能编码、移动侦测录像、手机远程预览回放、硬盘异常预警、循环录像；支持主流国标协议网络摄像机接入。</w:t>
            </w:r>
          </w:p>
          <w:p w14:paraId="2AC5557B">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2.网络 POE 摄像机 50 台 ≥400 万像素，支持 POE 网线供电；红外夜视，室外机型具备 IP66 及以上防水防尘；支持 H.265+/H.265 智能编码；画面降噪、宽动态，适配校园室外 / 走廊监控。</w:t>
            </w:r>
          </w:p>
          <w:p w14:paraId="4DC04D5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3.配套网络设备 （1）POE 交换机 6 台：≥8 电口 + 2 上联千兆端口 POE 交换机，支持 IEEE802.3af/at 标准 POE 供电，满足摄像头供电传输； （2）千兆核心交换机 1 台：≥8 个千兆电口 +≥2 个千兆 SFP 光口二层安防专用千兆交换机，全线速转发，适应监控大流量并发； （3）5G 千兆无线网桥 1 对：全千兆端口，5G 频段远距离无线传输，抗干扰，满足园区跨点位无线链路传输。</w:t>
            </w:r>
          </w:p>
          <w:p w14:paraId="2099439B">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4.存储硬盘 8 块 ≥10TB 监控级硬盘，支持 7×24 小时不间断录像，适配 NVR 循环存储。</w:t>
            </w:r>
          </w:p>
          <w:p w14:paraId="5A4C86AE">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5.布线及安装辅材 超五类非屏蔽网线≥6 箱；摄像机金属安装支架≥36 个；摄像机防水接线盒≥20 个；金属线管≥260 条；弱电配电箱≥6 个；国标电源线≥450 米；配套水晶头、绝缘胶布、波纹管、管夹、管接头、电源插座等全套辅材一批。</w:t>
            </w:r>
          </w:p>
          <w:p w14:paraId="2C164C54">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6.落地网络机柜 1 台 标准 22U 落地机柜，19 英寸标准机架，加厚柜体，带门锁、散热风扇、承重层板，用于集中安放录像机、交换机等设备。</w:t>
            </w:r>
          </w:p>
          <w:p w14:paraId="6ED8D6A4">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7.施工服务内容 包含全部设备运输、布线、固定安装、接线调试、整套监控系统联调；拆除原有电信监控线路及旧设备共计 36 个点位，现场清理规整；系统交付后实现摄像头正常预览、录像存储、远程访问。</w:t>
            </w:r>
          </w:p>
          <w:p w14:paraId="4AAC5D2B">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1512C2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098C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8EAF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57130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42BD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57130 </w:t>
            </w:r>
          </w:p>
        </w:tc>
      </w:tr>
      <w:tr w14:paraId="7937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F74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6795F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笔记本电脑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C35258">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kern w:val="0"/>
                <w:sz w:val="20"/>
                <w:szCs w:val="20"/>
                <w:highlight w:val="none"/>
                <w:u w:val="none"/>
                <w:lang w:val="en-US" w:eastAsia="zh-CN" w:bidi="ar"/>
              </w:rPr>
              <w:t>一、硬件技术参数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1、处理器：采用国产处理器，核心数≥4核，主频≥3.0GHz。</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2、内存：容量≥16GB，内存插槽≥2个，最高可支持内存≥32G DDR4。</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3、硬盘：配置≥512GB M.2 NVMe SSD硬盘，支持容量扩展。</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4、接口：USB3.0接口≥2个，USB-C接口≥2个，标准RJ45网口≥1个，HDMI接口≥1个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5、屏幕：≤14英寸, 1920*1080，≥180°开合。</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6、电源：电池容量≥60WH，适配器功率≥65W，适配器输出接口形态Type-C。</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7、无线网络：支持WiFi 6 并向下兼容， 支持BT 5.0。</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8、摄像头：720P分辨率，具备物理滑盖，可物理遮挡保护隐私。</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9</w:t>
            </w:r>
            <w:r>
              <w:rPr>
                <w:rFonts w:hint="eastAsia" w:ascii="宋体" w:hAnsi="宋体" w:eastAsia="宋体" w:cs="宋体"/>
                <w:i w:val="0"/>
                <w:iCs w:val="0"/>
                <w:color w:val="auto"/>
                <w:kern w:val="0"/>
                <w:sz w:val="20"/>
                <w:szCs w:val="20"/>
                <w:highlight w:val="none"/>
                <w:u w:val="none"/>
                <w:lang w:val="en-US" w:eastAsia="zh-CN" w:bidi="ar"/>
              </w:rPr>
              <w:t>、数据安全：</w:t>
            </w:r>
            <w:r>
              <w:rPr>
                <w:rFonts w:ascii="宋体" w:hAnsi="宋体" w:eastAsia="宋体" w:cs="宋体"/>
                <w:color w:val="auto"/>
                <w:sz w:val="20"/>
                <w:szCs w:val="20"/>
                <w:highlight w:val="none"/>
              </w:rPr>
              <w:t>具备独立安全分区 / 底层隐藏分区。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10</w:t>
            </w:r>
            <w:r>
              <w:rPr>
                <w:rFonts w:hint="eastAsia" w:ascii="宋体" w:hAnsi="宋体" w:eastAsia="宋体" w:cs="宋体"/>
                <w:i w:val="0"/>
                <w:iCs w:val="0"/>
                <w:color w:val="auto"/>
                <w:kern w:val="0"/>
                <w:sz w:val="20"/>
                <w:szCs w:val="20"/>
                <w:highlight w:val="none"/>
                <w:u w:val="none"/>
                <w:lang w:val="en-US" w:eastAsia="zh-CN" w:bidi="ar"/>
              </w:rPr>
              <w:t>、操作系统：预装符合桌面操作系统政府采购需求标准的正版操作系统；预装的操作系统符合《操作系统政府采购需求标准》中加*指标要求（财政部工业和信息化部关于印发《操作系统政府采购需求标准（2023年版）》的通知）。</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11</w:t>
            </w:r>
            <w:r>
              <w:rPr>
                <w:rFonts w:hint="eastAsia" w:ascii="宋体" w:hAnsi="宋体" w:eastAsia="宋体" w:cs="宋体"/>
                <w:i w:val="0"/>
                <w:iCs w:val="0"/>
                <w:color w:val="auto"/>
                <w:kern w:val="0"/>
                <w:sz w:val="20"/>
                <w:szCs w:val="20"/>
                <w:highlight w:val="none"/>
                <w:u w:val="none"/>
                <w:lang w:val="en-US" w:eastAsia="zh-CN" w:bidi="ar"/>
              </w:rPr>
              <w:t>、办公软件：预装带正版授权的办公软件（含三年服务）；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w:t>
            </w: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服务：针对产品提供原厂1-3年质保，提供专业的7*24h远程服务支持。且在产品生命周期结束后，原厂需提供符合工信部要求的IT资产环保处置服务，包括上门回收、数据销毁、环保拆解，并提供《资产环保处置证明》，服务可通过电话或官方网站查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15、关键部件安全要求：CPU和操作系统等关键部件应当符合安全可靠测评要求。（提供通过安全可靠测评的证明书或作出承诺）。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二、班级管理系统</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1、后台采用 B/S 架构设计，能够支持不同角色在 web 上进行操作，支持微信和账号登录、支持学校自定义角色、教师角色切换。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2、支持上传多个备课文档、支持一屏稿件对比，支持查看该次集体备课数据统计及访问记录。集体备课终稿存到我的成果库。并支持查看集体备课数据报告；</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、支持区域、学校管理者发起在线收集资料的任务，老师按照在线任务要求上传资料，支持管理者将收集上来的资料分类归档管理【</w:t>
            </w:r>
            <w:r>
              <w:rPr>
                <w:rFonts w:hint="eastAsia" w:ascii="宋体" w:hAnsi="宋体" w:cs="宋体"/>
                <w:i w:val="0"/>
                <w:iCs w:val="0"/>
                <w:color w:val="auto"/>
                <w:kern w:val="0"/>
                <w:sz w:val="20"/>
                <w:szCs w:val="20"/>
                <w:highlight w:val="none"/>
                <w:u w:val="none"/>
                <w:lang w:val="en-US" w:eastAsia="zh-CN" w:bidi="ar"/>
              </w:rPr>
              <w:t>响应供应商</w:t>
            </w:r>
            <w:r>
              <w:rPr>
                <w:rFonts w:hint="eastAsia" w:ascii="宋体" w:hAnsi="宋体" w:eastAsia="宋体" w:cs="宋体"/>
                <w:i w:val="0"/>
                <w:iCs w:val="0"/>
                <w:color w:val="auto"/>
                <w:kern w:val="0"/>
                <w:sz w:val="20"/>
                <w:szCs w:val="20"/>
                <w:highlight w:val="none"/>
                <w:u w:val="none"/>
                <w:lang w:val="en-US" w:eastAsia="zh-CN" w:bidi="ar"/>
              </w:rPr>
              <w:t>于</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中必须提供所投产品满足本条技术要求的相关有效证明材料复印件，证明材料可以是国家认可的第三方检验（测）机构出具的合格有效的检验（测）报告或官网截图或功能截图或产品彩页】</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三、备授课教学平台软件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 xml:space="preserve">.无需导入平台，可直接在PPT中通过备课插件添加课堂互动游戏、思维导图、网站链接、网络画板等。课件编辑完成可一键同步至云端；如教师不想保存在云平台可直接以PPT格式保存在本地，不允许系统自动在云平台中更新教师的资源；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 xml:space="preserve">.试题能够根据课本章节、题型、难易程度进行筛选，并提供知识点试题，可按知识点筛选，支持收藏、查看试题答案、解析、关联知识点，支持对试题进行二次编辑，支持将试题一键加入备课；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.通过对纸质试题拍照，可将图片上传，将纸质文字变为电子版文字，便于老师优质试题的收集使用；（</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4</w:t>
            </w:r>
            <w:r>
              <w:rPr>
                <w:rFonts w:hint="eastAsia" w:ascii="宋体" w:hAnsi="宋体" w:eastAsia="宋体" w:cs="宋体"/>
                <w:i w:val="0"/>
                <w:iCs w:val="0"/>
                <w:color w:val="auto"/>
                <w:kern w:val="0"/>
                <w:sz w:val="20"/>
                <w:szCs w:val="20"/>
                <w:highlight w:val="none"/>
                <w:u w:val="none"/>
                <w:lang w:val="en-US" w:eastAsia="zh-CN" w:bidi="ar"/>
              </w:rPr>
              <w:t>.支持音频和视频进行关键点标记，并将音视频分成不同小节，支持自定义视频小节名称，播放时可通过点击小节名称快速定位关键教学内容。（</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课堂互动题型：内置多种课堂互动练习模板，可自主编辑题目插入课件，用于课堂随堂练习。</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6</w:t>
            </w:r>
            <w:r>
              <w:rPr>
                <w:rFonts w:hint="eastAsia" w:ascii="宋体" w:hAnsi="宋体" w:eastAsia="宋体" w:cs="宋体"/>
                <w:i w:val="0"/>
                <w:iCs w:val="0"/>
                <w:color w:val="auto"/>
                <w:kern w:val="0"/>
                <w:sz w:val="20"/>
                <w:szCs w:val="20"/>
                <w:highlight w:val="none"/>
                <w:u w:val="none"/>
                <w:lang w:val="en-US" w:eastAsia="zh-CN" w:bidi="ar"/>
              </w:rPr>
              <w:t>.为方便教师快速查找，所有备课资源均可按照系统自带教材章节进行存储，无需教师自建存储条目；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7</w:t>
            </w:r>
            <w:r>
              <w:rPr>
                <w:rFonts w:hint="eastAsia" w:ascii="宋体" w:hAnsi="宋体" w:eastAsia="宋体" w:cs="宋体"/>
                <w:i w:val="0"/>
                <w:iCs w:val="0"/>
                <w:color w:val="auto"/>
                <w:kern w:val="0"/>
                <w:sz w:val="20"/>
                <w:szCs w:val="20"/>
                <w:highlight w:val="none"/>
                <w:u w:val="none"/>
                <w:lang w:val="en-US" w:eastAsia="zh-CN" w:bidi="ar"/>
              </w:rPr>
              <w:t>.备课界面支持将教案、课件、学案、试题、练习、</w:t>
            </w:r>
            <w:r>
              <w:rPr>
                <w:rFonts w:hint="eastAsia" w:ascii="宋体" w:hAnsi="宋体" w:eastAsia="宋体" w:cs="宋体"/>
                <w:i w:val="0"/>
                <w:iCs w:val="0"/>
                <w:strike w:val="0"/>
                <w:dstrike w:val="0"/>
                <w:color w:val="auto"/>
                <w:kern w:val="0"/>
                <w:sz w:val="20"/>
                <w:szCs w:val="20"/>
                <w:highlight w:val="none"/>
                <w:u w:val="none"/>
                <w:lang w:val="en-US" w:eastAsia="zh-CN" w:bidi="ar"/>
              </w:rPr>
              <w:t>网络画板、</w:t>
            </w:r>
            <w:r>
              <w:rPr>
                <w:rFonts w:hint="eastAsia" w:ascii="宋体" w:hAnsi="宋体" w:eastAsia="宋体" w:cs="宋体"/>
                <w:i w:val="0"/>
                <w:iCs w:val="0"/>
                <w:color w:val="auto"/>
                <w:kern w:val="0"/>
                <w:sz w:val="20"/>
                <w:szCs w:val="20"/>
                <w:highlight w:val="none"/>
                <w:u w:val="none"/>
                <w:lang w:val="en-US" w:eastAsia="zh-CN" w:bidi="ar"/>
              </w:rPr>
              <w:t xml:space="preserve">虚拟实验、微课等教学资源分享给校内指定教师使用；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8</w:t>
            </w:r>
            <w:r>
              <w:rPr>
                <w:rFonts w:hint="eastAsia" w:ascii="宋体" w:hAnsi="宋体" w:eastAsia="宋体" w:cs="宋体"/>
                <w:i w:val="0"/>
                <w:iCs w:val="0"/>
                <w:color w:val="auto"/>
                <w:kern w:val="0"/>
                <w:sz w:val="20"/>
                <w:szCs w:val="20"/>
                <w:highlight w:val="none"/>
                <w:u w:val="none"/>
                <w:lang w:val="en-US" w:eastAsia="zh-CN" w:bidi="ar"/>
              </w:rPr>
              <w:t xml:space="preserve">. </w:t>
            </w:r>
            <w:r>
              <w:rPr>
                <w:rFonts w:ascii="宋体" w:hAnsi="宋体" w:eastAsia="宋体" w:cs="宋体"/>
                <w:color w:val="auto"/>
                <w:kern w:val="0"/>
                <w:sz w:val="20"/>
                <w:szCs w:val="20"/>
                <w:highlight w:val="none"/>
                <w:lang w:val="en-US" w:eastAsia="zh-CN" w:bidi="ar"/>
              </w:rPr>
              <w:t>白板书写功能：提供硬笔、粉笔、荧光笔等多种书写笔触，支持自由调整粗细、颜色；支持自定义保存常用配色，色彩调节包含色调、饱和度、亮度参数设置。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9</w:t>
            </w:r>
            <w:r>
              <w:rPr>
                <w:rFonts w:hint="eastAsia" w:ascii="宋体" w:hAnsi="宋体" w:eastAsia="宋体" w:cs="宋体"/>
                <w:i w:val="0"/>
                <w:iCs w:val="0"/>
                <w:color w:val="auto"/>
                <w:kern w:val="0"/>
                <w:sz w:val="20"/>
                <w:szCs w:val="20"/>
                <w:highlight w:val="none"/>
                <w:u w:val="none"/>
                <w:lang w:val="en-US" w:eastAsia="zh-CN" w:bidi="ar"/>
              </w:rPr>
              <w:t>.支持三个及以上学生同时进行书写或手势擦除操作，不同学生各自进行书写或擦除，互不影响；</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10</w:t>
            </w:r>
            <w:r>
              <w:rPr>
                <w:rFonts w:hint="eastAsia" w:ascii="宋体" w:hAnsi="宋体" w:eastAsia="宋体" w:cs="宋体"/>
                <w:i w:val="0"/>
                <w:iCs w:val="0"/>
                <w:color w:val="auto"/>
                <w:kern w:val="0"/>
                <w:sz w:val="20"/>
                <w:szCs w:val="20"/>
                <w:highlight w:val="none"/>
                <w:u w:val="none"/>
                <w:lang w:val="en-US" w:eastAsia="zh-CN" w:bidi="ar"/>
              </w:rPr>
              <w:t>.支持对白板页面中的元素进行隐藏、锁定、缩放、旋转、置顶等操作，被隐藏元素可以一键重新显示在白板上；（</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11</w:t>
            </w:r>
            <w:r>
              <w:rPr>
                <w:rFonts w:hint="eastAsia" w:ascii="宋体" w:hAnsi="宋体" w:eastAsia="宋体" w:cs="宋体"/>
                <w:i w:val="0"/>
                <w:iCs w:val="0"/>
                <w:color w:val="auto"/>
                <w:kern w:val="0"/>
                <w:sz w:val="20"/>
                <w:szCs w:val="20"/>
                <w:highlight w:val="none"/>
                <w:u w:val="none"/>
                <w:lang w:val="en-US" w:eastAsia="zh-CN" w:bidi="ar"/>
              </w:rPr>
              <w:t>.能够在桌面授课或PPT授课时打开板中板辅助教学，应支持任意调整板中板大小，在板中板中进行板书书写与擦除、板书缩放、插入文件等操作不影响课件主画面（</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12</w:t>
            </w:r>
            <w:r>
              <w:rPr>
                <w:rFonts w:hint="eastAsia" w:ascii="宋体" w:hAnsi="宋体" w:eastAsia="宋体" w:cs="宋体"/>
                <w:i w:val="0"/>
                <w:iCs w:val="0"/>
                <w:color w:val="auto"/>
                <w:kern w:val="0"/>
                <w:sz w:val="20"/>
                <w:szCs w:val="20"/>
                <w:highlight w:val="none"/>
                <w:u w:val="none"/>
                <w:lang w:val="en-US" w:eastAsia="zh-CN" w:bidi="ar"/>
              </w:rPr>
              <w:t xml:space="preserve">.智能转写可支持连续书写多个汉字并将书写的内容自动转换为楷体，转换文字大小自动跟随手写输入字体大小变化，支持查看笔顺、朗读读音；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13</w:t>
            </w:r>
            <w:r>
              <w:rPr>
                <w:rFonts w:hint="eastAsia" w:ascii="宋体" w:hAnsi="宋体" w:eastAsia="宋体" w:cs="宋体"/>
                <w:i w:val="0"/>
                <w:iCs w:val="0"/>
                <w:color w:val="auto"/>
                <w:kern w:val="0"/>
                <w:sz w:val="20"/>
                <w:szCs w:val="20"/>
                <w:highlight w:val="none"/>
                <w:u w:val="none"/>
                <w:lang w:val="en-US" w:eastAsia="zh-CN" w:bidi="ar"/>
              </w:rPr>
              <w:t>.划词搜索：</w:t>
            </w:r>
            <w:r>
              <w:rPr>
                <w:rFonts w:ascii="宋体" w:hAnsi="宋体" w:eastAsia="宋体" w:cs="宋体"/>
                <w:color w:val="auto"/>
                <w:kern w:val="0"/>
                <w:sz w:val="20"/>
                <w:szCs w:val="20"/>
                <w:highlight w:val="none"/>
                <w:lang w:val="en-US" w:eastAsia="zh-CN" w:bidi="ar"/>
              </w:rPr>
              <w:t>白板上手写中英文内容可智能识别，一键调取互联网教育类素材、知识点资料辅助授课；不限定单一检索网站，可对接正规教育资源库。</w:t>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14</w:t>
            </w:r>
            <w:r>
              <w:rPr>
                <w:rFonts w:hint="eastAsia" w:ascii="宋体" w:hAnsi="宋体" w:eastAsia="宋体" w:cs="宋体"/>
                <w:i w:val="0"/>
                <w:iCs w:val="0"/>
                <w:color w:val="auto"/>
                <w:kern w:val="0"/>
                <w:sz w:val="20"/>
                <w:szCs w:val="20"/>
                <w:highlight w:val="none"/>
                <w:u w:val="none"/>
                <w:lang w:val="en-US" w:eastAsia="zh-CN" w:bidi="ar"/>
              </w:rPr>
              <w:t>.图形识别：</w:t>
            </w:r>
            <w:r>
              <w:rPr>
                <w:rFonts w:ascii="宋体" w:hAnsi="宋体" w:eastAsia="宋体" w:cs="宋体"/>
                <w:color w:val="auto"/>
                <w:kern w:val="0"/>
                <w:sz w:val="20"/>
                <w:szCs w:val="20"/>
                <w:highlight w:val="none"/>
                <w:lang w:val="en-US" w:eastAsia="zh-CN" w:bidi="ar"/>
              </w:rPr>
              <w:t>平面几何图形可自动规整为标准矢量图形，支持识别多种常用几何类型。</w:t>
            </w:r>
            <w:r>
              <w:rPr>
                <w:rFonts w:hint="eastAsia" w:ascii="宋体" w:hAnsi="宋体" w:eastAsia="宋体" w:cs="宋体"/>
                <w:i w:val="0"/>
                <w:iCs w:val="0"/>
                <w:strike/>
                <w:dstrike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15</w:t>
            </w:r>
            <w:r>
              <w:rPr>
                <w:rFonts w:hint="eastAsia" w:ascii="宋体" w:hAnsi="宋体" w:eastAsia="宋体" w:cs="宋体"/>
                <w:i w:val="0"/>
                <w:iCs w:val="0"/>
                <w:color w:val="auto"/>
                <w:kern w:val="0"/>
                <w:sz w:val="20"/>
                <w:szCs w:val="20"/>
                <w:highlight w:val="none"/>
                <w:u w:val="none"/>
                <w:lang w:val="en-US" w:eastAsia="zh-CN" w:bidi="ar"/>
              </w:rPr>
              <w:t>.英文转写： 可支持自由、连续书写多个单词并将书写的内容自动识别转换为印刷体，转换单词大小自动跟随手写输入单词大小变化，支持二次修改及前后增删单词、朗读、增加四线三格背景、词卡等功能；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16</w:t>
            </w:r>
            <w:r>
              <w:rPr>
                <w:rFonts w:hint="eastAsia" w:ascii="宋体" w:hAnsi="宋体" w:eastAsia="宋体" w:cs="宋体"/>
                <w:i w:val="0"/>
                <w:iCs w:val="0"/>
                <w:color w:val="auto"/>
                <w:kern w:val="0"/>
                <w:sz w:val="20"/>
                <w:szCs w:val="20"/>
                <w:highlight w:val="none"/>
                <w:u w:val="none"/>
                <w:lang w:val="en-US" w:eastAsia="zh-CN" w:bidi="ar"/>
              </w:rPr>
              <w:t>.白板教学中，支持从电脑中导入图片、视频、PPT、Word、Excel、PDF等资源，导入的PPT、Word、Excel文件可以进行二次编辑，导入的图片可以进行批注，导入的视频播放时可以进行批注讲解、擦除操作；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17</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白板背景素材：配备田字格、五线谱、坐标轴、运动场地等多类学科专用背景，同时支持教师上传自定义背景图片。</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18</w:t>
            </w:r>
            <w:r>
              <w:rPr>
                <w:rFonts w:hint="eastAsia" w:ascii="宋体" w:hAnsi="宋体" w:eastAsia="宋体" w:cs="宋体"/>
                <w:i w:val="0"/>
                <w:iCs w:val="0"/>
                <w:color w:val="auto"/>
                <w:kern w:val="0"/>
                <w:sz w:val="20"/>
                <w:szCs w:val="20"/>
                <w:highlight w:val="none"/>
                <w:u w:val="none"/>
                <w:lang w:val="en-US" w:eastAsia="zh-CN" w:bidi="ar"/>
              </w:rPr>
              <w:t>.美术画板工具提供铅笔 、蜡笔、毛笔 、油画笔等笔触，具备模拟调色盘 ，可选择不同颜色混合调色；支持在美术画板导入jpg、jpeg、bmp 、png格式的实物彩色图片一键转换为素描效果，用于美术教学；</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19</w:t>
            </w:r>
            <w:r>
              <w:rPr>
                <w:rFonts w:hint="eastAsia" w:ascii="宋体" w:hAnsi="宋体" w:eastAsia="宋体" w:cs="宋体"/>
                <w:i w:val="0"/>
                <w:iCs w:val="0"/>
                <w:color w:val="auto"/>
                <w:kern w:val="0"/>
                <w:sz w:val="20"/>
                <w:szCs w:val="20"/>
                <w:highlight w:val="none"/>
                <w:u w:val="none"/>
                <w:lang w:val="en-US" w:eastAsia="zh-CN" w:bidi="ar"/>
              </w:rPr>
              <w:t xml:space="preserve">.截屏支持对屏幕上任意区域进行自由截图或矩形截图，应支持截取过程中，在截取页面上进行书写操作，并将截取的页面保存为图片；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20</w:t>
            </w:r>
            <w:r>
              <w:rPr>
                <w:rFonts w:hint="eastAsia" w:ascii="宋体" w:hAnsi="宋体" w:eastAsia="宋体" w:cs="宋体"/>
                <w:i w:val="0"/>
                <w:iCs w:val="0"/>
                <w:color w:val="auto"/>
                <w:kern w:val="0"/>
                <w:sz w:val="20"/>
                <w:szCs w:val="20"/>
                <w:highlight w:val="none"/>
                <w:u w:val="none"/>
                <w:lang w:val="en-US" w:eastAsia="zh-CN" w:bidi="ar"/>
              </w:rPr>
              <w:t xml:space="preserve">.学生自主学习：支持学生进行闯关模式下难度递进的自主学习。闯关练习应按学段、科目、版本、册别筛选，答题完成可以査看答题是否正确以及答题解析，满足不同学生的个性化练习需求； </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89C611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C39D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340F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DAA0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11000 </w:t>
            </w:r>
          </w:p>
        </w:tc>
      </w:tr>
      <w:tr w14:paraId="43C01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013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13AAF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幼儿园大门门禁卡服务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600424">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四通道（2进2出），刷卡进出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color w:val="auto"/>
                <w:kern w:val="0"/>
                <w:sz w:val="20"/>
                <w:szCs w:val="20"/>
                <w:highlight w:val="none"/>
                <w:lang w:val="en-US" w:eastAsia="zh-CN" w:bidi="ar"/>
              </w:rPr>
              <w:t>1.双机芯烤漆翼闸 4 台： 箱体采用 304 不锈钢，表面烤漆工艺；内置双独立驱动机芯；具备红外防夹、防尾随、非法闯入报警；支持刷卡开闸；支持消防联动，断电自动开闸；闸机运行低噪音，适配幼儿园人员通行。</w:t>
            </w:r>
          </w:p>
          <w:p w14:paraId="66D6E6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72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2.单机芯烤漆翼闸 4 台： 箱体 304 不锈钢材质，烤漆外观；单机芯驱动；具备防夹、自检、通行指示灯；支持门禁信号接入，适配园区大门通道布局。</w:t>
            </w:r>
          </w:p>
          <w:p w14:paraId="09C83C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72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3.射频信号中继放大器 ≧4 台 ：</w:t>
            </w:r>
            <w:r>
              <w:rPr>
                <w:rFonts w:hint="eastAsia" w:ascii="宋体" w:hAnsi="宋体" w:cs="宋体"/>
                <w:color w:val="auto"/>
                <w:kern w:val="0"/>
                <w:sz w:val="20"/>
                <w:szCs w:val="20"/>
                <w:highlight w:val="none"/>
                <w:lang w:val="en-US" w:eastAsia="zh-CN" w:bidi="ar"/>
              </w:rPr>
              <w:t>确保信号覆盖满足现场需求，</w:t>
            </w:r>
            <w:r>
              <w:rPr>
                <w:rFonts w:hint="eastAsia" w:ascii="宋体" w:hAnsi="宋体" w:eastAsia="宋体" w:cs="宋体"/>
                <w:color w:val="auto"/>
                <w:kern w:val="0"/>
                <w:sz w:val="20"/>
                <w:szCs w:val="20"/>
                <w:highlight w:val="none"/>
                <w:lang w:val="en-US" w:eastAsia="zh-CN" w:bidi="ar"/>
              </w:rPr>
              <w:t>支持射频卡信号中继放大，远距离稳定传输刷卡信号，保障闸机读卡器刷卡识别稳定不丢卡。</w:t>
            </w:r>
          </w:p>
          <w:p w14:paraId="3935D2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72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4.射频刷卡识别终端 8 台： 支持 IC/ID 射频卡片识别；刷卡响应迅速；具备韦根或网络信号输出，可联动闸机开闸；支持外接指示灯、语音提示。</w:t>
            </w:r>
          </w:p>
          <w:p w14:paraId="244A5E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72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5.通行抓拍网络摄像机 4 台： 用于人员进出抓拍留存记录；支持高清图像抓拍；支持接入门禁系统联动抓拍；具备红外夜视，室外机型支持防水。</w:t>
            </w:r>
          </w:p>
          <w:p w14:paraId="268C331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72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6.无线播放音响 1 台 ：支持无线信号接收，可实现刷卡通行语音播报、安全提示音。</w:t>
            </w:r>
          </w:p>
          <w:p w14:paraId="180460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72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7.配套安装辅材 ：定制移动安装钢板、全套控制线缆、信号线材、电源、防水配件等辅材一批；金属结构件采用 304 不锈钢材质。</w:t>
            </w:r>
          </w:p>
          <w:p w14:paraId="7938C1C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720"/>
              <w:jc w:val="left"/>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color w:val="auto"/>
                <w:kern w:val="0"/>
                <w:sz w:val="20"/>
                <w:szCs w:val="20"/>
                <w:highlight w:val="none"/>
                <w:lang w:val="en-US" w:eastAsia="zh-CN" w:bidi="ar"/>
              </w:rPr>
              <w:t>8.服务要求： 包含运输、现场安装、布线、固定、整机接线调试；完成闸机、读卡器、抓拍相机、音响整套系统联动；</w:t>
            </w:r>
            <w:r>
              <w:rPr>
                <w:rFonts w:hint="eastAsia" w:ascii="宋体" w:hAnsi="宋体" w:cs="宋体"/>
                <w:color w:val="auto"/>
                <w:kern w:val="0"/>
                <w:sz w:val="20"/>
                <w:szCs w:val="20"/>
                <w:highlight w:val="none"/>
                <w:lang w:val="en-US" w:eastAsia="zh-CN" w:bidi="ar"/>
              </w:rPr>
              <w:t>采用幼教门禁通用标准化数据接口，并能兼容市面所有主流校园管理平台。</w:t>
            </w:r>
            <w:r>
              <w:rPr>
                <w:rFonts w:hint="eastAsia" w:ascii="宋体" w:hAnsi="宋体" w:eastAsia="宋体" w:cs="宋体"/>
                <w:color w:val="auto"/>
                <w:kern w:val="0"/>
                <w:sz w:val="20"/>
                <w:szCs w:val="20"/>
                <w:highlight w:val="none"/>
                <w:lang w:val="en-US" w:eastAsia="zh-CN" w:bidi="ar"/>
              </w:rPr>
              <w:t>所有对接所需硬件、开发调试费用统一包含在总报价内，采购人不再额外付费。</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A0FB0A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59AF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B44E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18C9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30000 </w:t>
            </w:r>
          </w:p>
        </w:tc>
      </w:tr>
      <w:tr w14:paraId="7444E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18A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904EF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简约拱门圆弧实木整墙绘本书柜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953C7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一、采购产品名称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简约拱门圆弧实木整墙绘本书柜（幼儿园阅读室专用）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二、整体外形规格参数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标准尺寸：长4980mm×深250mm×高1500mm，允许</w:t>
            </w:r>
            <w:r>
              <w:rPr>
                <w:color w:val="auto"/>
                <w:sz w:val="20"/>
                <w:szCs w:val="20"/>
                <w:highlight w:val="none"/>
              </w:rPr>
              <w:t>±</w:t>
            </w:r>
            <w:r>
              <w:rPr>
                <w:rFonts w:hint="eastAsia" w:ascii="宋体" w:hAnsi="宋体" w:eastAsia="宋体" w:cs="宋体"/>
                <w:i w:val="0"/>
                <w:iCs w:val="0"/>
                <w:color w:val="auto"/>
                <w:kern w:val="0"/>
                <w:sz w:val="20"/>
                <w:szCs w:val="20"/>
                <w:highlight w:val="none"/>
                <w:u w:val="none"/>
                <w:lang w:val="en-US" w:eastAsia="zh-CN" w:bidi="ar"/>
              </w:rPr>
              <w:t>1</w:t>
            </w:r>
            <w:r>
              <w:rPr>
                <w:rFonts w:hint="eastAsia" w:ascii="宋体" w:hAnsi="宋体" w:cs="宋体"/>
                <w:i w:val="0"/>
                <w:iCs w:val="0"/>
                <w:color w:val="auto"/>
                <w:kern w:val="0"/>
                <w:sz w:val="20"/>
                <w:szCs w:val="20"/>
                <w:highlight w:val="none"/>
                <w:u w:val="none"/>
                <w:lang w:val="en-US" w:eastAsia="zh-CN" w:bidi="ar"/>
              </w:rPr>
              <w:t>0</w:t>
            </w:r>
            <w:r>
              <w:rPr>
                <w:rFonts w:hint="eastAsia" w:ascii="宋体" w:hAnsi="宋体" w:eastAsia="宋体" w:cs="宋体"/>
                <w:i w:val="0"/>
                <w:iCs w:val="0"/>
                <w:color w:val="auto"/>
                <w:kern w:val="0"/>
                <w:sz w:val="20"/>
                <w:szCs w:val="20"/>
                <w:highlight w:val="none"/>
                <w:u w:val="none"/>
                <w:lang w:val="en-US" w:eastAsia="zh-CN" w:bidi="ar"/>
              </w:rPr>
              <w:t>%现场微调，适配园区实际墙面尺寸，整墙一体式定制，无分段拼接缝隙，安装后与墙面贴合无突兀断层。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柜体深度250mm，专为幼儿绘本、图画书、手工画册收纳设计，分层层高适配3-6岁儿童读物尺寸，方便幼儿自主取放图书。</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总高度1500mm，贴合幼儿身高人体工学设计，无需借助外物即可自主取放、归置书籍。</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三、核心实木材质技术要求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（一）主体实木基材</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柜体全部采用优质实木整料/实木指接板制作，禁止密度板、颗粒板、多层板等人造板材替代；板材厚度≥18mm，承重层板厚度≥20mm。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木材无腐朽、虫蛀、死节、开裂、变形缺陷，出厂前经烘干脱脂、防虫防腐处理，木材含水率严格控制在8%-12%，温湿度变化环境下不易收缩开裂。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木材质地坚实，竖向、横向承重性能达标，落地抗撞击、不易晃动倾倒，满足幼儿园高频使用承重需求。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（二）饰面与油漆工艺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表面采用环保水性木器漆喷涂工艺，执行≥5底3面标准，哑光柔光漆面，无强光反光，保护幼儿视力。</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漆膜附着力强，耐刮擦、耐磕碰、防水防潮，日常可用消毒湿布直接擦拭，不脱漆、不起皮、不渗色；漆膜无气泡、颗粒、流挂、色差。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油漆有害物质符合GB 18581-2020《室内装饰装修材料 溶剂型木器涂料中有害物质限量》，VOC、苯系物、可溶性八大重金属含量全部达标，无刺鼻异味。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（三）五金连接件配件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全部配套静音隐藏式五金，采用加厚防锈冷轧钢材质，防腐防潮，开合无金属异响；所有金属部件无尖锐毛刺、锐角。</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柜体连接螺丝、三合一连接件全部内置隐藏，无外露金属凸起，杜绝幼儿夹手、磕碰划伤风险；层板托承重稳定，单块层板静载≥1000N无变形。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四、外观结构与安全工艺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整体造型：整墙一体化结构，正面搭配简约拱门圆弧造型；柜体顶板、侧板、层板、底部、所有外露边角**全方位大圆弧倒角处理**，无任何直角、尖角、锐利棱边，完全符合GB 28007-2011儿童家具防撞安全要求。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柜体框架加固榫卯+五金复合结构，受力均匀，落地配备防滑减震脚垫，抗外力撞击，防倾倒，满足幼儿园儿童家具稳定性测试标准。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板材切割面全部精细打磨抛光，板面、板缝无毛刺、裂纹、凹凸瑕疵；柜体拼接缝隙均匀细密，缝隙尺寸符合国标安全间隙要求，无夹手风险。</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 整体无任何外露螺丝、金属突出件，柜体孔洞、缝隙尺寸满足儿童家具间隙安全规范，防止幼儿手指卡夹。</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五、环保与国家强制执行标准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产品整体完全符合GB 28007-2011《儿童家具通用技术条件》国家强制标准，适配3-6岁幼儿使用场景，结构安全、边缘尖端、稳定性、孔洞间隙全部达标。</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实木基材、水性漆、粘合胶水全部为环保材料，成品甲醛释放量满足GB 18584限量要求，可迁移铅、镉、铬、汞、砷、钡、锑、硒八大重金属检测合格。</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成品具备阻燃、耐磨、防潮、防霉特性，可长期耐受幼儿园日常清洁、消毒擦拭，耐磕碰、耐老化，长期使用不变形、不霉变。</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4. </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须提供CMA资质第三方检测机构出具的成品全套检测报告（实木板材、水性漆、成品儿童家具安全三项报告，加盖</w:t>
            </w:r>
            <w:r>
              <w:rPr>
                <w:rFonts w:hint="eastAsia" w:ascii="宋体" w:hAnsi="宋体" w:cs="宋体"/>
                <w:i w:val="0"/>
                <w:iCs w:val="0"/>
                <w:color w:val="auto"/>
                <w:kern w:val="0"/>
                <w:sz w:val="20"/>
                <w:szCs w:val="20"/>
                <w:highlight w:val="none"/>
                <w:u w:val="none"/>
                <w:lang w:val="en-US" w:eastAsia="zh-CN" w:bidi="ar"/>
              </w:rPr>
              <w:t>响应供应商</w:t>
            </w:r>
            <w:r>
              <w:rPr>
                <w:rFonts w:hint="eastAsia" w:ascii="宋体" w:hAnsi="宋体" w:eastAsia="宋体" w:cs="宋体"/>
                <w:i w:val="0"/>
                <w:iCs w:val="0"/>
                <w:color w:val="auto"/>
                <w:kern w:val="0"/>
                <w:sz w:val="20"/>
                <w:szCs w:val="20"/>
                <w:highlight w:val="none"/>
                <w:u w:val="none"/>
                <w:lang w:val="en-US" w:eastAsia="zh-CN" w:bidi="ar"/>
              </w:rPr>
              <w:t>公章）。</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六、产品功能特性</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整墙一体式大容量收纳，可集中收纳绘本、幼儿读物、手工材料、主题展示画册，规整美观，提升阅读区整体景观效果，兼具收纳与空间装饰功能。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低矮柜体高度适配幼儿，培养幼儿自主阅读、自主整理收纳的自理能力。</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圆弧拱门简约童趣造型，原木哑光色系百搭幼儿园教室、阅读室各类装修风格，可作为园区阅读区景观展示柜体。</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七、验收标准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尺寸、造型、实木材质、漆面工艺完全响应本采购参数要求，整体外观无破损、磕碰、划痕、明显色差、掉漆、变形。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全部门、板、边角圆弧倒角到位，无尖角毛刺；柜体落地稳固无晃动，五金配件推拉、承重顺畅无卡顿、异响。</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现场无刺激性异味，实木含水率、甲醛、重金属、安全结构各项指标符合国家儿童家具标准，可提供现场简易环保抽检配合。</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 安装贴合墙面，拼接缝隙均匀，无外露螺丝、尖锐部件，整体美观整洁，满足幼儿园日常教学使用要求。</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198F37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1F75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3E08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BC7E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8000 </w:t>
            </w:r>
          </w:p>
        </w:tc>
      </w:tr>
      <w:tr w14:paraId="5F60B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FD5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7B522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儿童5号篮球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D1462C">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kern w:val="0"/>
                <w:sz w:val="20"/>
                <w:szCs w:val="20"/>
                <w:highlight w:val="none"/>
                <w:u w:val="none"/>
                <w:lang w:val="en-US" w:eastAsia="zh-CN" w:bidi="ar"/>
              </w:rPr>
              <w:t>一、产品基础规格</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规格型号：5 号幼儿专用篮球</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标称外径：220mm（22cm），成品尺寸公差 ±2mm；圆周约 69～71cm，适配 3～7 岁幼儿园幼儿手掌抓握、拍球训练。</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球体重量：320g～360g，重量均衡，幼儿轻松拍击不伤手腕。</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球面筋沟：标准深筋槽设计，筋沟宽度 4±0.5mm，深度 2.5±0.3mm，防滑易抓握。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二、材质要求（环保橡胶核心条款）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球面主体材质：</w:t>
            </w:r>
            <w:r>
              <w:rPr>
                <w:rFonts w:ascii="宋体" w:hAnsi="宋体" w:eastAsia="宋体" w:cs="宋体"/>
                <w:color w:val="auto"/>
                <w:sz w:val="20"/>
                <w:szCs w:val="20"/>
                <w:highlight w:val="none"/>
              </w:rPr>
              <w:t>全新环保橡胶混合料，可采用食品级天然橡胶搭配改性合成橡胶或其他同等环保全新橡胶配方；</w:t>
            </w:r>
            <w:r>
              <w:rPr>
                <w:rFonts w:hint="eastAsia" w:ascii="宋体" w:hAnsi="宋体" w:eastAsia="宋体" w:cs="宋体"/>
                <w:i w:val="0"/>
                <w:iCs w:val="0"/>
                <w:color w:val="auto"/>
                <w:kern w:val="0"/>
                <w:sz w:val="20"/>
                <w:szCs w:val="20"/>
                <w:highlight w:val="none"/>
                <w:u w:val="none"/>
                <w:lang w:val="en-US" w:eastAsia="zh-CN" w:bidi="ar"/>
              </w:rPr>
              <w:t>禁用再生废橡胶、回收劣质废旧胶皮，不含废旧轮胎碎料、工业废胶。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环保指标：无刺鼻异味，甲醛含量≤10mg/kg、重金属（铅、镉、汞、铬）符合 GB 6675 玩具安全国标，不含邻苯二甲酸酯（6P），满足幼儿园室内密闭环境使用。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内胆：丁基橡胶密闭内胆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气密性优异，常温常压充气后静置 72h 气压压降≤10%，不漏气、不易慢撒气；中胎为高弹橡胶中胎，缓冲减震，落地回弹高度：充气标准状态下落高 1.2m 自由落体，回弹 60～70cm。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缠纱：高强度尼龙纤维全缠纱</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整球全缠绕尼龙纱线，不变形、不起鼓，长期拍打球体不鼓包、不椭圆。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三、外观与工艺参数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球面纹路：凹凸颗粒防滑纹</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颗粒圆润无尖锐棱角，颗粒高度 0.8～1.2mm，避免划伤幼儿手掌；球面无毛边、毛刺、尖锐凸起，边角打磨圆润。</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配色：多色可选（红 / 黄 / 蓝 / 橙幼儿园常规配色）</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球面油墨采用环保水性油墨印刷，不掉色、不脱色，幼儿出汗触摸无掉色沾染皮肤，印刷图案附着力达标，反复摩擦不掉漆。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气嘴：内嵌式防吞安全气嘴</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气嘴凹陷内嵌设计，无外突硬质凸起，防止幼儿磕碰、抠咬误食，气嘴密封胶圈为环保硅胶材质。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四、执行国家标准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执行GB 6675.1~4-2014《玩具安全》国家强制性标准、GB/T 19851.11 中小学体育器材安全标准；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供货随附：第三方质检报告（甲醛、邻苯、重金属检测）、产品合格证、出厂检验单。</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五、验收验收标准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尺寸抽检：随机抽取 10% 货品卡尺实测直径，控制在 21.8～22.2cm；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气味验收：开箱无刺鼻化工臭味、塑胶异味；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充气验收：标准充气后静置 3 天不漏气，无变形鼓包；</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耐磨测试：常温地面连续拍打 500 次，球面无开裂、掉皮、大面积掉漆。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六、包装要求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单球 OPP 环保塑料袋独立封装，外箱瓦楞纸箱打包，标注品名、规格、执行标准、生产日期、厂家信息，便于幼儿园入库盘点。</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D8B94C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039D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251F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6558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2500 </w:t>
            </w:r>
          </w:p>
        </w:tc>
      </w:tr>
      <w:tr w14:paraId="6CBA0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99B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8F990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平衡脚踏车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CFF20B">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一、产品名称</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儿童平衡脚踏车（幼儿园专用感统训练器材）</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二、产品核心规格参数</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1、整体外形尺寸：长41cm×宽37cm×高57cm（公差范围±2cm，符合幼儿活动空间适配标准）</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2、适用人群：3-6岁学龄前儿童，适配幼儿园小班、中班、大班幼儿体能训练使用</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3、承载重量：≥80KG，满足幼儿日常玩耍、多人交替使用需求，承重稳固不变形</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三、材质与工艺要求</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1、车身主体：采用全新高密度环保PP工程塑料材质，无回收料、无杂质，韧性强、抗撞击、耐磨损、不易断裂，具备良好的抗老化、防褪色性能，可长期适应幼儿园室内外教学环境使用。</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2、车架结构：一体式成型工艺，无拼接缝隙、无尖锐凸起，整体结构稳固，杜绝松动、开裂等安全隐患，承重均匀，受力稳定。</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3、脚踏部位：防滑纹理一体式脚踏设计，表面防滑纹路细腻均匀，增大幼儿脚底摩擦力，防止运动过程中打滑、踩空，贴合幼儿脚部受力习惯。</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4、车轮配置：采用静音耐磨万向轮，轮子材质为高弹PVC防滑轮，转动顺滑无卡顿、无刺耳噪音，不伤幼儿园木地板、塑胶地面、地垫等场地，行走平稳，防震减震效果佳。</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5、连接件：采用高强度防锈五金配件，螺丝内嵌式设计，无外露尖锐边角，紧固性强，长期使用不易松动、生锈，保障设备整体稳定性。</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四、安全性能标准（幼儿园专用核心要求）</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1、安全圆角工艺：全车所有边角、边缘均采用精细圆弧打磨处理，无毛刺、无尖角、无缺口，彻底避免幼儿磕碰、划伤风险，符合幼儿游乐器材安全设计规范。</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2、环保安全：产品整体无异味、无甲醛、无有害重金属物质，材质安全无毒，通过儿童玩具安全标准检测，适配幼儿园密闭教学环境使用，保障幼儿身体健康。</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3、防侧翻设计：车身底盘加宽加重，重心偏低，平衡稳定性强，幼儿骑行、滑行过程中不易侧翻，容错率高，适配低龄幼儿操作。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4、防滑防脱设计：车轮防滑耐磨，抓地力强，快速滑行、转向、刹车时不易打滑失控；各部件衔接紧密，无零件脱落风险。</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五、产品质量与售后要求</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1、质量标准：产品符合国家《GB 6675-2014 玩具安全》标准、幼儿园教学游乐器材通用安全规范，产品做工精细，无瑕疵、无变形、无破损。</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2、耐用性：具备防晒、防水、耐磨、抗摔、抗老化特性，适配幼儿园高频次日常使用，长期使用不易褪色、变形、损坏。</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3、售后服务：提供质保服务，质保期内非人为损坏免费维修、更换配件；供货时配套提供产品合格证、质量检测报告、使用说明等相关资料。</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六、外观要求</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色彩鲜艳柔和、配色均匀，无杂色、无掉漆，符合幼儿审美，色彩环保不刺眼，可适配幼儿园各类教学场景布置。</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BC8646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D1D0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220B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CC0C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1050 </w:t>
            </w:r>
          </w:p>
        </w:tc>
      </w:tr>
      <w:tr w14:paraId="4DF56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594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BBB0C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幼儿角色表演区服装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76BBEA">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kern w:val="0"/>
                <w:sz w:val="20"/>
                <w:szCs w:val="20"/>
                <w:highlight w:val="none"/>
                <w:u w:val="none"/>
                <w:lang w:val="en-US" w:eastAsia="zh-CN" w:bidi="ar"/>
              </w:rPr>
              <w:t>一、整体采购配置要求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职业类表演服：含 上衣+裤子/裙子+配套帽子+配套鞋子，每款各3套，尺码适配幼儿园小、中、大班幼儿。</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动物类表演服：连体全套服装（含头饰/头套），每款各2套，宽松版型适配全园幼儿。</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整体要求：面料柔软、透气、不褪色、不起球、无异味，符合幼儿皮肤接触安全标准，耐洗耐穿、不易变形。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二、通用面料材质标准（所有服装统一要求）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主体面料</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采用优质加厚亲肤聚酯纤维+棉混纺面料，高密度织布，克重≥180g/㎡；面料细腻平滑、透气不透光、亲肤不扎皮肤，适合幼儿长时间穿着表演。</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禁止使用薄透、粗糙、起球、廉价纱布料、回收二次面料。</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印花、贴花、装饰材质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采用环保水性胶印/烫画工艺，无刺鼻气味，不掉色、不开裂、不脱落；装饰边角全部包边锁边，无硬胶凸起，不磨皮肤。</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毛绒面料（动物服专用）</w:t>
            </w:r>
            <w:r>
              <w:rPr>
                <w:rFonts w:hint="eastAsia" w:ascii="宋体" w:hAnsi="宋体" w:eastAsia="宋体" w:cs="宋体"/>
                <w:i w:val="0"/>
                <w:iCs w:val="0"/>
                <w:color w:val="auto"/>
                <w:kern w:val="0"/>
                <w:sz w:val="20"/>
                <w:szCs w:val="20"/>
                <w:highlight w:val="none"/>
                <w:u w:val="none"/>
                <w:lang w:val="en-US" w:eastAsia="zh-CN" w:bidi="ar"/>
              </w:rPr>
              <w:br w:type="textWrapping"/>
            </w:r>
            <w:r>
              <w:rPr>
                <w:rFonts w:ascii="宋体" w:hAnsi="宋体" w:eastAsia="宋体" w:cs="宋体"/>
                <w:color w:val="auto"/>
                <w:sz w:val="20"/>
                <w:szCs w:val="20"/>
                <w:highlight w:val="none"/>
              </w:rPr>
              <w:t>采用高密短毛绒、南韩绒或同等不掉毛环保毛绒材质，毛面平整饱满，使用过程不飞絮、不粘身、无枯乱结块毛绒，杜绝毛绒吸入口鼻风险。</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三、职业表演服专用参数（全套：服装+帽子+鞋子 / 每款3套）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包含职业品类（常规幼儿园全套职业款）：医生、护士、警察、消防员、空姐、机长、厨师、工程师、环卫工人、军人、交警、理发师、店员、老师等常规职业套装。</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服装做工要求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整件服装双线锁边、全身包边工艺，线头清理干净，无跳线、无脱线、无开缝；版型宽松立体，不紧绷、不束缚幼儿肢体活动。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领口、袖口、下摆弹力适中，久穿不变形；腰部松紧带加宽加厚，不勒肚子、不卷边。</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配套帽子参数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同色系配套专用帽子，面料与衣服同款同质，版型挺括不软塌、不易变形；帽内加柔软吸汗内衬，不磨额头、不扎皮肤，松紧适配幼儿头围，佩戴稳固不易掉落。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配套表演鞋子参数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鞋面：环保柔软PU软皮材质，防水、耐擦、易清洗，无异味；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鞋底：加厚防滑软胶底，柔韧弯折不断底，静音防滑，保护幼儿脚踝；</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鞋内里：亲肤透气布，不闷脚、不磨脚，魔术贴开合，穿脱方便，适配全园幼儿脚码。</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四、动物表演服专用参数（每款2套，连体全套）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常规动物品类：小兔、小熊、老虎、狮子、小羊、小牛、小猪、小狗、小猫、青蛙、小鸟、小鸡等幼儿园常用动物款式。</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主体面料</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全身高密度短毛绒面料，毛面均匀、饱满、顺滑，不掉毛、不脱绒、不起静电，杜绝掉毛吸入幼儿口鼻，安全无害。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版型结构</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连体宽松版型，全身宽松不束缚，方便跑跳、做动作；腋下、裆部宽松加大，活动无压力；后背隐形拉链设计，穿脱方便，拉链包边不磨皮肤。</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头饰/头套要求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配套同系列立体动物头套/头饰，造型饱满可爱，无尖锐硬角，内部柔软透气，不压头、不闷汗，眼部透气开孔合理，不遮挡幼儿视线，安全表演。</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 细节工艺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五官刺绣/精工缝制，无粘贴硬塑料件，避免脱落、误食风险；所有拼接位置锁边加固，久穿不裂线、不变形。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五、安全环保标准（硬性验收条款）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色牢度达标：水洗、摩擦不褪色，不沾染幼儿皮肤。</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职业表演服：每一个职业款式 = 服装+帽子+鞋子 全套3套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面料厚实、无薄透、无起球、无掉毛、无异味；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 帽子、鞋子、服装配套统一，版型标准、配色一致；</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每套独立OPP防尘袋包装，分类装箱，标识清晰；随货附带合格证、质检报告，可提供面料检测、安全环保检测资料。</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CB8F84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5EEA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D785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D47B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1500 </w:t>
            </w:r>
          </w:p>
        </w:tc>
      </w:tr>
      <w:tr w14:paraId="322A9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4A5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4A7A8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感统滑板车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713A9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一、产品名称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儿童感统训练滑板车（可牵引静音万向轮款）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二、适用场景</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幼儿园早教中心、幼儿感统体能训练、室内外益智康复训练、幼儿平衡协调能力专项训练</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三、核心技术参数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1、整体尺寸规格</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产品标准外形尺寸：40cm×42cm（长×宽），尺寸公差</w:t>
            </w:r>
            <w:r>
              <w:rPr>
                <w:rFonts w:ascii="宋体" w:hAnsi="宋体" w:eastAsia="宋体" w:cs="宋体"/>
                <w:color w:val="auto"/>
                <w:sz w:val="20"/>
                <w:szCs w:val="20"/>
                <w:highlight w:val="none"/>
              </w:rPr>
              <w:t>±3cm</w:t>
            </w:r>
            <w:r>
              <w:rPr>
                <w:rFonts w:hint="eastAsia" w:ascii="宋体" w:hAnsi="宋体" w:eastAsia="宋体" w:cs="宋体"/>
                <w:i w:val="0"/>
                <w:iCs w:val="0"/>
                <w:color w:val="auto"/>
                <w:kern w:val="0"/>
                <w:sz w:val="20"/>
                <w:szCs w:val="20"/>
                <w:highlight w:val="none"/>
                <w:u w:val="none"/>
                <w:lang w:val="en-US" w:eastAsia="zh-CN" w:bidi="ar"/>
              </w:rPr>
              <w:t>，适配3-6岁幼儿身高体重比例，板面大小贴合幼儿俯卧、跪趴、坐姿训练需求，无过大过小适配偏差。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2、板面材质与工艺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板面采用全新高密度环保PP材质，一体注塑成型，无拼接、无裂缝、无毛刺。板面厚度均匀，承重性能优异，静态承重≥100KG，满足多名幼儿交替使用及日常训练抗压需求。板面表面做防滑磨砂纹理处理，防滑耐磨，有效防止幼儿训练时打滑、磕碰，边角全部采用圆弧圆角钝化工艺，无尖锐棱角，杜绝安全划伤风险。产品无异味、无毒无害，符合幼儿用品安全标准，耐摔、耐撞、易清洁，可长期反复消毒使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3、滚轮配置（静音万向轮）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配备高弹静音万向轮，单台滑板车配置4轮，轮体采用优质PU静音耐磨材质，轮芯坚固抗压。滚轮转动顺滑无卡顿、无异响，室内瓷砖、木地板、地胶等地面推行零噪音，不产生刺耳摩擦声，适配幼儿园室内教学环境。万向轮360°灵活旋转，可实现前后左右多方向自由滑动，满足幼儿多维度感统平衡训练需求，同时滚轮防滑耐磨，使用寿命长，不易脱落、变形、破损。</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4、可牵引功能设计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滑板车预留专用牵引接口，标配可拆卸环保牵引绳，牵引绳连接牢固，承重拉力强，拉扯不易断裂、脱落。支持成人牵引幼儿滑行、幼儿自主拖拽移动双模式，可用于集体感统训练、肢体力量训练、亲子互动训练，功能实用性强，适配幼儿园多样化教学课程。</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四、安全性能标准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整体产品符合国家幼儿玩具安全标准，无重金属、无有害挥发物质，环保无毒，通过幼儿用品安全检测。</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全车无尖锐凸起、无外露螺丝、无松动配件，所有衔接部位密封严实，避免夹手、磕碰等安全隐患。</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静音轮防滑避震设计，滑行平稳不颠簸，有效降低幼儿摔倒、磕碰概率，适配低龄幼儿使用。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 板面抗老化、抗脆裂，长期暴晒、室内存放不变形、不开裂，适配幼儿园常态化高频次使用场景。</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四、供货及质保要求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供货产品为全新未使用正品，无瑕疵、无划痕、无变形，配件齐全完整。</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提供不少于1年免费质保服务，质保期内出现非人为损坏的开裂、轮体脱落、功能故障等问题，免费更换、维修。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支持批量供货，供货周期短，可配合采购方验收、安装、调试及售后对接工作。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五、验收标准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产品尺寸、材质、功能完全符合本招标参数要求，外观完好、无破损、无异味。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万向轮转动灵活、静音无噪音，牵引功能牢固可靠，承重达标。</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所有产品符合幼儿校园安全使用规范，提供相关产品合格证书、质检报告等配套资料。</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5A9AAD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EC93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07C9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7B09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500 </w:t>
            </w:r>
          </w:p>
        </w:tc>
      </w:tr>
      <w:tr w14:paraId="31CEC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E63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91421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平衡无脚踏车自行车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9E95E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一、基础规格参数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轮径：标准 14 寸（轮胎外径约 355mm），无脚踏、无链条滑行结构，适用 3～7 岁幼儿园幼儿；</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整车尺寸：总长 86±3cm，座高可调 33～43cm，车把高度可调 37～46cm；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整车净重：3.3～3.9kg，重量适中，方便幼儿自主抓握推行，不易侧翻。</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二、车架（高碳钢）技术标准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主材：加厚高碳钢管一体车架，管材壁厚≥1.0mm，禁用薄铁皮、回收劣质管材，管壁无凹陷、砂眼、开裂；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焊接：全车满焊工艺，焊口精细打磨，整车所有外露边角全圆弧钝化处理，无毛刺、尖角、凸起焊点，防止划伤幼儿；</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表面喷涂：车架整体磷化除锈 + 环氧防锈底漆 + 环保静电粉末面漆，全覆盖喷涂，管口、切口内壁一并喷漆；儿童环保烤漆，无刺鼻异味，铅、镉重金属达标，日晒不掉皮、不起锈。</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三、车把与握把配件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车把高碳钢折弯成型，握把整段全包环保原生橡胶护套，橡胶厚度≥4.5mm；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橡胶防滑无异味、邻苯含量符合国标，用力拉扯不脱落、不开裂，无金属裸边外露。</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四、车轮轮胎配置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14 寸橡胶充气越野轮胎，全新原生橡胶，禁止废旧再生橡胶，胎纹加深防滑耐磨，户外草地、塑胶跑道通用；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钢制辐条轮毂 + 实心碳钢轮轴，轴尾加装防脱卡扣，车轮转动顺滑静音、无卡顿，承重≥55kg 不变形、不脱圈。</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五、座椅配件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高弹加厚环保 PU 软座，弧形人体工学设计，边角全圆角；</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座椅高度螺丝无级可调，固定卡扣牢固，骑行不晃动、不下滑。</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六、环保与执行国标</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整车符合 GB 6675-2014 玩具安全国家标准，漆面、橡胶件可溶性重金属、甲醛、邻苯二甲酸酯检测合格，满足幼儿园室内外使用。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七、到货验收标准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轮胎实测外径符合 14 寸规格，尺寸误差≤10mm；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整车重量在 3.3～3.9kg 区间；</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漆面指甲轻刮无成片脱落，开箱无刺激性气味；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整车推行顺畅，车轮无偏摆脱落、握把胶套无松动。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八、供货资料</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单台独立纸箱 + 边角珍珠棉防护，随货附带产品合格证、出厂质检单，可提供第三方环保检测报告。</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7AE642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8941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0C10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5A59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1320 </w:t>
            </w:r>
          </w:p>
        </w:tc>
      </w:tr>
      <w:tr w14:paraId="7802B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A8D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3CADD7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户外碳化攀爬架组合28件套</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2CDCBF4">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户外碳化实木攀爬架组合（总计 28 件套）</w:t>
            </w:r>
          </w:p>
          <w:p w14:paraId="314C2C53">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1.材质要求 主体实木构件：优质实木，经过充分烘干、碳化防腐处理；新西兰松、国产烘干松木及同等性能硬木均可选用；木材无腐朽、虫蛀、大面积活结，含水率适配户外环境。 表面碳化处理 + 环保透明清漆；塑料配件采用全新环保 PP 材质，韧性强、耐候抗老化。</w:t>
            </w:r>
          </w:p>
          <w:p w14:paraId="52F8E71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2.加工工艺 所有木料表面精细打磨，光滑无毛刺；全部外露边角做圆弧钝化处理，防止幼儿磕碰划伤；拼接结构稳固，满足儿童攀爬承重需求。</w:t>
            </w:r>
          </w:p>
          <w:p w14:paraId="62CB8053">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3.组件配置（参考尺寸，长宽厚允许 ±8cm 公差）</w:t>
            </w:r>
          </w:p>
          <w:p w14:paraId="532FC7CA">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长梯：参考 150cm×35cm×7cm，共 6 件</w:t>
            </w:r>
          </w:p>
          <w:p w14:paraId="07B6C342">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短梯：参考 100cm×35cm×7cm，共 2 件</w:t>
            </w:r>
          </w:p>
          <w:p w14:paraId="7DCBBACF">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人字支架：参考 120cm×60cm×14cm，共 4 件</w:t>
            </w:r>
          </w:p>
          <w:p w14:paraId="7FFD6C69">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高支架：参考 60cm×60cm×60cm，共 2 件</w:t>
            </w:r>
          </w:p>
          <w:p w14:paraId="2C8A9A31">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低支架：参考 60cm×60cm×30cm，共 2 件</w:t>
            </w:r>
          </w:p>
          <w:p w14:paraId="7CBBED14">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长平衡板：参考 150cm×20cm×2.5cm，共 4 件</w:t>
            </w:r>
          </w:p>
          <w:p w14:paraId="4F3704EF">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短平衡板：参考 120cm×20cm×2.5cm，共 8 件</w:t>
            </w:r>
          </w:p>
          <w:p w14:paraId="55A716B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4.通用安全与户外性能 整套组合可自由拼接搭建多种攀爬、平衡游戏路径；结构组装简易、连接牢固，具备良好稳定性，不易倾倒； 清漆采用环保水性漆，无刺鼻异味，耐雨淋日晒，户外长期使用不易起皮开裂； 产品整体符合 GB 6675 儿童玩具安全相关要求，适用于幼儿园户外体能建构区域。</w:t>
            </w:r>
          </w:p>
          <w:p w14:paraId="164DD04A">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5.供货验收 全套构件数量齐全，无开裂、变形、尖锐棱角；配套连接固定配件；成品打磨到位，无毛刺。</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1E1DD8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8858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A76CBB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B5D4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5000 </w:t>
            </w:r>
          </w:p>
        </w:tc>
      </w:tr>
      <w:tr w14:paraId="08B25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511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9C056">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消毒柜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E3FD25">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商用高温热风循环消毒柜（食堂工程款，支持推车存放）</w:t>
            </w:r>
          </w:p>
          <w:p w14:paraId="4C7EEBC2">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1.容积规格：参考容积 900L，对开门结构，内部配置≥4 层存放层架，适配餐盘推车放置使用；</w:t>
            </w:r>
          </w:p>
          <w:p w14:paraId="424A4EC2">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2.参考外形尺寸：1300mm×610mm×1950mm，长宽高允许 ±30mm 合理公差；</w:t>
            </w:r>
          </w:p>
          <w:p w14:paraId="335E788A">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3.箱体材质：柜体采用不锈钢板材，板材耐腐蚀、易清洁，与餐具接触部位材质满足 GB 4806.9 食品接触金属制品安全标准；表面平整、焊接打磨光滑。</w:t>
            </w:r>
          </w:p>
          <w:p w14:paraId="66CF0761">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4.控制系统：智能微电脑控制，可设置消毒时长、恒温运行，具备工作状态显示、故障自检提示功能；</w:t>
            </w:r>
          </w:p>
          <w:p w14:paraId="4E21B60A">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5.消毒方式：高温热风循环消毒，达到国标二星级消毒标准；柜内温度均匀，高温杀灭微生物，具备烘干功能，减少餐具残留水渍；</w:t>
            </w:r>
          </w:p>
          <w:p w14:paraId="68B5D823">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6.安全配置：具备超温保护、门控安全开关，开门自动停止加热；保温层采用高密度隔热材料，外壁温度低，防止烫伤；</w:t>
            </w:r>
          </w:p>
          <w:p w14:paraId="02C9523F">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7.结构工艺：箱体整体密封发泡，保温效果优良；柜门密封胶条耐高温、不易老化；柜门开合顺畅，锁闭严密。</w:t>
            </w:r>
          </w:p>
          <w:p w14:paraId="7E919FF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8.使用场景：幼儿园食堂商用，支持批量餐具集中高温消毒，连续工作稳定。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AEA4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B535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76D1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B408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6000 </w:t>
            </w:r>
          </w:p>
        </w:tc>
      </w:tr>
      <w:tr w14:paraId="01AC7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FA7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6E601">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空调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50363F">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1、</w:t>
            </w:r>
            <w:r>
              <w:rPr>
                <w:rFonts w:ascii="宋体" w:hAnsi="宋体" w:eastAsia="宋体" w:cs="宋体"/>
                <w:color w:val="auto"/>
                <w:kern w:val="0"/>
                <w:sz w:val="20"/>
                <w:szCs w:val="20"/>
                <w:highlight w:val="none"/>
                <w:lang w:val="en-US" w:eastAsia="zh-CN" w:bidi="ar"/>
              </w:rPr>
              <w:t>机型：3 匹立式变频冷暖柜机</w:t>
            </w:r>
            <w:r>
              <w:rPr>
                <w:rFonts w:hint="eastAsia" w:ascii="宋体" w:hAnsi="宋体" w:eastAsia="宋体" w:cs="宋体"/>
                <w:color w:val="auto"/>
                <w:kern w:val="0"/>
                <w:sz w:val="20"/>
                <w:szCs w:val="20"/>
                <w:highlight w:val="none"/>
                <w:lang w:val="en-US" w:eastAsia="zh-CN" w:bidi="ar"/>
              </w:rPr>
              <w:t>；</w:t>
            </w:r>
            <w:r>
              <w:rPr>
                <w:rFonts w:ascii="宋体" w:hAnsi="宋体" w:eastAsia="宋体" w:cs="宋体"/>
                <w:color w:val="auto"/>
                <w:kern w:val="0"/>
                <w:sz w:val="24"/>
                <w:szCs w:val="24"/>
                <w:highlight w:val="none"/>
                <w:lang w:val="en-US" w:eastAsia="zh-CN" w:bidi="ar"/>
              </w:rPr>
              <w:t xml:space="preserve">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2、能效等级：</w:t>
            </w:r>
            <w:r>
              <w:rPr>
                <w:rFonts w:ascii="宋体" w:hAnsi="宋体" w:eastAsia="宋体" w:cs="宋体"/>
                <w:color w:val="auto"/>
                <w:kern w:val="0"/>
                <w:sz w:val="20"/>
                <w:szCs w:val="20"/>
                <w:highlight w:val="none"/>
                <w:lang w:val="en-US" w:eastAsia="zh-CN" w:bidi="ar"/>
              </w:rPr>
              <w:t>新国标</w:t>
            </w:r>
            <w:r>
              <w:rPr>
                <w:rFonts w:hint="eastAsia" w:ascii="宋体" w:hAnsi="宋体" w:eastAsia="宋体" w:cs="宋体"/>
                <w:i w:val="0"/>
                <w:iCs w:val="0"/>
                <w:color w:val="auto"/>
                <w:kern w:val="0"/>
                <w:sz w:val="20"/>
                <w:szCs w:val="20"/>
                <w:highlight w:val="none"/>
                <w:u w:val="none"/>
                <w:lang w:val="en-US" w:eastAsia="zh-CN" w:bidi="ar"/>
              </w:rPr>
              <w:t>二级能效；</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3、能效比APF：≥4.18</w:t>
            </w:r>
            <w:r>
              <w:rPr>
                <w:rFonts w:ascii="宋体" w:hAnsi="宋体" w:eastAsia="宋体" w:cs="宋体"/>
                <w:color w:val="auto"/>
                <w:kern w:val="0"/>
                <w:sz w:val="20"/>
                <w:szCs w:val="20"/>
                <w:highlight w:val="none"/>
                <w:lang w:val="en-US" w:eastAsia="zh-CN" w:bidi="ar"/>
              </w:rPr>
              <w:t>（以国家能效标识备案数据为准）</w:t>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4、额定制冷量：≥7280W；</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5、额定制热量：≥9780W；</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6、额定制冷功率：≤2050W；</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7、额定制热功率：≤2860W；</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8、室内机噪音：≤42.5dB（A）（高风档）；</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9、室外机噪音：≤56.5dB（A）（高风档）；</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10、循环风量(m3/h):≥1300；</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11、电辅热功率：≥2490W；</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12、电源参考规格：220V-50Hz；</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13、冷媒：</w:t>
            </w:r>
            <w:r>
              <w:rPr>
                <w:rFonts w:ascii="宋体" w:hAnsi="宋体" w:eastAsia="宋体" w:cs="宋体"/>
                <w:color w:val="auto"/>
                <w:kern w:val="0"/>
                <w:sz w:val="20"/>
                <w:szCs w:val="20"/>
                <w:highlight w:val="none"/>
                <w:lang w:val="en-US" w:eastAsia="zh-CN" w:bidi="ar"/>
              </w:rPr>
              <w:t>采用</w:t>
            </w:r>
            <w:r>
              <w:rPr>
                <w:rFonts w:hint="eastAsia" w:ascii="宋体" w:hAnsi="宋体" w:eastAsia="宋体" w:cs="宋体"/>
                <w:i w:val="0"/>
                <w:iCs w:val="0"/>
                <w:color w:val="auto"/>
                <w:kern w:val="0"/>
                <w:sz w:val="20"/>
                <w:szCs w:val="20"/>
                <w:highlight w:val="none"/>
                <w:u w:val="none"/>
                <w:lang w:val="en-US" w:eastAsia="zh-CN" w:bidi="ar"/>
              </w:rPr>
              <w:t>R32</w:t>
            </w:r>
            <w:r>
              <w:rPr>
                <w:rFonts w:ascii="宋体" w:hAnsi="宋体" w:eastAsia="宋体" w:cs="宋体"/>
                <w:color w:val="auto"/>
                <w:kern w:val="0"/>
                <w:sz w:val="20"/>
                <w:szCs w:val="20"/>
                <w:highlight w:val="none"/>
                <w:lang w:val="en-US" w:eastAsia="zh-CN" w:bidi="ar"/>
              </w:rPr>
              <w:t xml:space="preserve">冷媒或同等换热效率、符合国家环保标准的合规冷媒 </w:t>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14、其他功能：智能除菌，智能化霜，自动清洁，独立除湿，多种睡眠模式。</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15、标准配置：室内机1台、室外机1台、电池1对、胶泥1块、墙孔套1个、保修卡1份、说明书1份、合格证1份。报价包含空调整体安装调试辅材、空调专用加长铜管、室外机专用三角架，信号线及电源线、排水管等以上设备安装所需辅材及运输、打孔、安装等，</w:t>
            </w:r>
            <w:r>
              <w:rPr>
                <w:rFonts w:ascii="宋体" w:hAnsi="宋体" w:eastAsia="宋体" w:cs="宋体"/>
                <w:color w:val="auto"/>
                <w:kern w:val="0"/>
                <w:sz w:val="20"/>
                <w:szCs w:val="20"/>
                <w:highlight w:val="none"/>
                <w:lang w:val="en-US" w:eastAsia="zh-CN" w:bidi="ar"/>
              </w:rPr>
              <w:t>所有辅材均符合国家相关标准，同等国标规格辅材均可使用。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797E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EE06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45B5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0E88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13000 </w:t>
            </w:r>
          </w:p>
        </w:tc>
      </w:tr>
      <w:tr w14:paraId="35A0E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F125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A7D42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幼儿绘本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F9C74E">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本次采购绘本涵盖六大通用品类，所有参选书籍需适配幼儿园教学场景，贴合幼儿成长特点，具体品类及通用标准如下，供应商可在对应品类内提供合规等效书籍：</w:t>
            </w:r>
          </w:p>
          <w:p w14:paraId="1D5419AB">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一、采购绘本品类</w:t>
            </w:r>
          </w:p>
          <w:p w14:paraId="65F485E5">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1.经典童话绘本类：包含世界经典童话故事、中国经典神话传说、民间故事等，如《白雪公主》《丑小鸭》《嫦娥奔月》《愚公移山》等，注重故事的完整性和画面的精美度。</w:t>
            </w:r>
          </w:p>
          <w:p w14:paraId="4599CB66">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2.传统文化绘本类：涵盖中国传统节日、非遗文化、成语故事、传统美德等内容，如春节、端午节、中秋节等节日绘本，剪纸、打铁花等非遗绘本，以及《孔融让梨》《守株待兔》等成语故事绘本。</w:t>
            </w:r>
          </w:p>
          <w:p w14:paraId="0A680000">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3.科普认知绘本类：包含自然科学、动物植物、人体奥秘、数学启蒙、安全常识等内容，如昆虫科普、四季变化、身体结构、交通安全、防拐骗等主题绘本，兼顾科学性和易懂性。</w:t>
            </w:r>
          </w:p>
          <w:p w14:paraId="5A14A95B">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4.情绪管理与性格培养绘本类：聚焦幼儿情绪疏导、社交能力、逆商培养、好习惯养成等，如克服恐惧、学会分享、面对挫折、养成良好生活习惯等相关绘本。</w:t>
            </w:r>
          </w:p>
          <w:p w14:paraId="29B04102">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5.红色教育绘本类：包含爱国主义教育、革命先烈故事等内容，如《闪闪的红星》《抗日英雄王二小》等，培养幼儿的爱国情怀。</w:t>
            </w:r>
          </w:p>
          <w:p w14:paraId="3BD98584">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6.其他优质品绘本类：包含亲子互动、艺术启蒙、财商启蒙等符合幼儿成长需求的优质绘本，丰富绘本资源的多样性。</w:t>
            </w:r>
          </w:p>
          <w:p w14:paraId="471459E8">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二、采购绘本质量标准</w:t>
            </w:r>
          </w:p>
          <w:p w14:paraId="60785393">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 合规性标准：所有绘本为正规出版、公开发行的合法出版物，具备图书出版资质、ISBN书号，无盗版、无删减、无违规内容，符合国家出版物出版规范。</w:t>
            </w:r>
          </w:p>
          <w:p w14:paraId="40655D7A">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 适龄安全标准：适配3-6岁幼儿阅读，内容积极健康、三观正向，无暴力、低俗、恐怖、不良导向内容；纸张厚实、边缘圆角打磨、无毛刺、无刺鼻异味，油墨环保无毒，符合幼儿读物安全标准。</w:t>
            </w:r>
          </w:p>
          <w:p w14:paraId="7DF63AE4">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 装帧品质标准：平装、精装均可，书页平整、印刷清晰、色彩均匀，无模糊、重影、漏印、脱页、破损问题，装订牢固，适合幼儿反复翻阅使用。</w:t>
            </w:r>
          </w:p>
          <w:p w14:paraId="6BA147A4">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 内容适配标准：文字简洁易懂、配图精美、故事完整，贴合幼儿园教学大纲及幼儿认知规律，具备对应的教育启蒙价值，可满足幼儿园日常阅读、课堂教学、区域活动使用需求。</w:t>
            </w:r>
          </w:p>
          <w:p w14:paraId="04D28301">
            <w:pPr>
              <w:keepNext w:val="0"/>
              <w:keepLines w:val="0"/>
              <w:widowControl/>
              <w:suppressLineNumbers w:val="0"/>
              <w:jc w:val="left"/>
              <w:textAlignment w:val="center"/>
              <w:rPr>
                <w:rFonts w:hint="eastAsia" w:asciiTheme="minorEastAsia" w:hAnsiTheme="minorEastAsia" w:eastAsiaTheme="minorEastAsia" w:cstheme="minorEastAsia"/>
                <w:color w:val="auto"/>
                <w:sz w:val="32"/>
                <w:szCs w:val="32"/>
                <w:lang w:eastAsia="zh-CN"/>
              </w:rPr>
            </w:pPr>
            <w:r>
              <w:rPr>
                <w:rFonts w:hint="eastAsia" w:ascii="宋体" w:hAnsi="宋体" w:eastAsia="宋体" w:cs="宋体"/>
                <w:color w:val="auto"/>
                <w:kern w:val="0"/>
                <w:sz w:val="20"/>
                <w:szCs w:val="20"/>
                <w:highlight w:val="none"/>
                <w:lang w:val="en-US" w:eastAsia="zh-CN" w:bidi="ar"/>
              </w:rPr>
              <w:t>三、其他要求：</w:t>
            </w:r>
            <w:r>
              <w:rPr>
                <w:rFonts w:hint="eastAsia" w:ascii="宋体" w:hAnsi="宋体" w:cs="宋体"/>
                <w:color w:val="auto"/>
                <w:kern w:val="0"/>
                <w:sz w:val="20"/>
                <w:szCs w:val="20"/>
                <w:highlight w:val="none"/>
                <w:lang w:val="en-US" w:eastAsia="zh-CN" w:bidi="ar"/>
              </w:rPr>
              <w:t>成交</w:t>
            </w:r>
            <w:r>
              <w:rPr>
                <w:rFonts w:hint="eastAsia" w:ascii="宋体" w:hAnsi="宋体" w:eastAsia="宋体" w:cs="宋体"/>
                <w:color w:val="auto"/>
                <w:kern w:val="0"/>
                <w:sz w:val="20"/>
                <w:szCs w:val="20"/>
                <w:highlight w:val="none"/>
                <w:lang w:val="en-US" w:eastAsia="zh-CN" w:bidi="ar"/>
              </w:rPr>
              <w:t>后，供应商须提交拟供货书目清单给幼儿园审核确认，采购人有权对不适合书目进行合理调换，总册数不变。</w:t>
            </w:r>
          </w:p>
          <w:p w14:paraId="7FB1FD0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1473DF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EF4A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16FB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569D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20000 </w:t>
            </w:r>
          </w:p>
        </w:tc>
      </w:tr>
      <w:tr w14:paraId="619DC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CA3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2B41467E">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05381DEC">
            <w:pPr>
              <w:keepNext w:val="0"/>
              <w:keepLines w:val="0"/>
              <w:widowControl/>
              <w:suppressLineNumbers w:val="0"/>
              <w:jc w:val="center"/>
              <w:textAlignment w:val="center"/>
              <w:rPr>
                <w:rFonts w:hint="eastAsia" w:ascii="宋体" w:hAnsi="宋体" w:eastAsia="宋体" w:cs="宋体"/>
                <w:b/>
                <w:bCs/>
                <w:i w:val="0"/>
                <w:iCs w:val="0"/>
                <w:color w:val="FF0000"/>
                <w:kern w:val="2"/>
                <w:sz w:val="20"/>
                <w:szCs w:val="20"/>
                <w:u w:val="none"/>
                <w:lang w:val="en-US" w:eastAsia="zh-CN" w:bidi="ar-SA"/>
              </w:rPr>
            </w:pPr>
            <w:r>
              <w:rPr>
                <w:rFonts w:hint="eastAsia" w:ascii="宋体" w:hAnsi="宋体" w:eastAsia="宋体" w:cs="宋体"/>
                <w:b/>
                <w:bCs/>
                <w:i w:val="0"/>
                <w:iCs w:val="0"/>
                <w:color w:val="FF0000"/>
                <w:kern w:val="0"/>
                <w:sz w:val="20"/>
                <w:szCs w:val="20"/>
                <w:u w:val="none"/>
                <w:lang w:val="en-US" w:eastAsia="zh-CN" w:bidi="ar"/>
              </w:rPr>
              <w:t>上林县城北幼儿园</w:t>
            </w:r>
          </w:p>
        </w:tc>
        <w:tc>
          <w:tcPr>
            <w:tcW w:w="0" w:type="auto"/>
            <w:tcBorders>
              <w:top w:val="single" w:color="000000" w:sz="4" w:space="0"/>
              <w:left w:val="single" w:color="000000" w:sz="4" w:space="0"/>
              <w:bottom w:val="single" w:color="000000" w:sz="4" w:space="0"/>
              <w:right w:val="nil"/>
            </w:tcBorders>
            <w:shd w:val="clear" w:color="auto" w:fill="92D050"/>
            <w:noWrap/>
            <w:vAlign w:val="center"/>
          </w:tcPr>
          <w:p w14:paraId="479D07FC">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0A5B37A8">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2DEDC1AF">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662E501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150000 </w:t>
            </w:r>
          </w:p>
        </w:tc>
      </w:tr>
      <w:tr w14:paraId="28F8A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EFE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FC79A1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教学一体机</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76E5706">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一、整体设计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1、整机采用一体设计，外部无任何可见内部功能模块连接线。</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2、整机采用全金属外壳设计，边角采用弧形设计，表面无尖锐边缘或凸起；整机屏幕边缘采用金属圆角包边防护，整机背板采用金属材质。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3、整机屏幕采用65英寸液晶显示器。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4、整机采用LED液晶A规屏，显示比例16:9。</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w:t>
            </w:r>
            <w:r>
              <w:rPr>
                <w:color w:val="auto"/>
                <w:sz w:val="20"/>
                <w:szCs w:val="20"/>
                <w:highlight w:val="none"/>
              </w:rPr>
              <w:t>整机硬件性能与接口</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w:t>
            </w:r>
            <w:r>
              <w:rPr>
                <w:rStyle w:val="12"/>
                <w:color w:val="auto"/>
                <w:sz w:val="20"/>
                <w:szCs w:val="20"/>
                <w:highlight w:val="none"/>
              </w:rPr>
              <w:t>双系统配置</w:t>
            </w:r>
            <w:r>
              <w:rPr>
                <w:color w:val="auto"/>
                <w:sz w:val="20"/>
                <w:szCs w:val="20"/>
                <w:highlight w:val="none"/>
              </w:rPr>
              <w:t xml:space="preserve"> </w:t>
            </w:r>
            <w:r>
              <w:rPr>
                <w:rFonts w:hint="eastAsia"/>
                <w:color w:val="auto"/>
                <w:sz w:val="20"/>
                <w:szCs w:val="20"/>
                <w:highlight w:val="none"/>
              </w:rPr>
              <w:t>整机搭载 电脑模块 + 嵌入式系统，系统版本不低于 当前最新版本；系统内存 RAM≥4G，存储 ROM≥32G；安卓端可独立实现白板书写、文档编辑、网页浏览等基础教学功能。（相关性能指标可提供厂商彩页、功能截图、第三方检测报告任意一种佐证，设备到货验收时提供完整 CMA/CNAS 检测报告备查）</w:t>
            </w:r>
            <w:r>
              <w:rPr>
                <w:rFonts w:hint="eastAsia"/>
                <w:color w:val="auto"/>
                <w:sz w:val="20"/>
                <w:szCs w:val="20"/>
                <w:highlight w:val="none"/>
                <w:lang w:eastAsia="zh-CN"/>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color w:val="auto"/>
                <w:sz w:val="20"/>
                <w:szCs w:val="20"/>
                <w:highlight w:val="none"/>
                <w:lang w:val="en-US" w:eastAsia="zh-CN"/>
              </w:rPr>
              <w:t>2、</w:t>
            </w:r>
            <w:r>
              <w:rPr>
                <w:color w:val="auto"/>
                <w:sz w:val="20"/>
                <w:szCs w:val="20"/>
                <w:highlight w:val="none"/>
              </w:rPr>
              <w:t>整机配备前置外接接口，支持双系统共用读取 U 盘等存储设备；整机配备全功能 Type-C、HDMI、USB3.0 输入接口，侧置预留 HDMI、RS232、USB、音频输出、触控 USB 等拓展接口；整机外设拓展能力满足日常教学设备接驳需求，可通过拓展坞实现同等外接能力。前置接口配有防尘防护盖板，保护接口与外接 U 盘。</w:t>
            </w:r>
          </w:p>
          <w:p w14:paraId="5C579285">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jc w:val="both"/>
              <w:rPr>
                <w:color w:val="auto"/>
                <w:sz w:val="20"/>
                <w:szCs w:val="20"/>
                <w:highlight w:val="none"/>
              </w:rPr>
            </w:pPr>
            <w:r>
              <w:rPr>
                <w:rFonts w:hint="eastAsia"/>
                <w:color w:val="auto"/>
                <w:sz w:val="20"/>
                <w:szCs w:val="20"/>
                <w:highlight w:val="none"/>
                <w:lang w:val="en-US" w:eastAsia="zh-CN"/>
              </w:rPr>
              <w:t>3、</w:t>
            </w:r>
            <w:r>
              <w:rPr>
                <w:color w:val="auto"/>
                <w:sz w:val="20"/>
                <w:szCs w:val="20"/>
                <w:highlight w:val="none"/>
              </w:rPr>
              <w:t>整机内置高品质扬声器，整机额定总输出功率≥60W，发声均匀，无杂音、破音，满足教室扩声需求。</w:t>
            </w:r>
          </w:p>
          <w:p w14:paraId="45B29C00">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4、</w:t>
            </w:r>
            <w:r>
              <w:rPr>
                <w:color w:val="auto"/>
                <w:sz w:val="20"/>
                <w:szCs w:val="20"/>
                <w:highlight w:val="none"/>
              </w:rPr>
              <w:t>红外触控技术，最小识别触控物体≤3mm；整机支持双系统多点触控，触控流畅无断触。</w:t>
            </w:r>
          </w:p>
          <w:p w14:paraId="3C456574">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5、</w:t>
            </w:r>
            <w:r>
              <w:rPr>
                <w:color w:val="auto"/>
                <w:sz w:val="20"/>
                <w:szCs w:val="20"/>
                <w:highlight w:val="none"/>
              </w:rPr>
              <w:t>整机内置高清摄像头与阵列麦克风，无需外接线材；摄像头像素≥1600 万，广角设计，可完整覆盖教室区域，满足远程巡课、课堂录播；麦克风有效拾音距离≥10 米，多人发言清晰收录。设备自带摄像头工作指示灯，摄像状态直观提示。</w:t>
            </w:r>
          </w:p>
          <w:p w14:paraId="4AD26B80">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6、</w:t>
            </w:r>
            <w:r>
              <w:rPr>
                <w:color w:val="auto"/>
                <w:sz w:val="20"/>
                <w:szCs w:val="20"/>
                <w:highlight w:val="none"/>
              </w:rPr>
              <w:t>支持无线投屏功能，可通过 NFC、扫码、无线连接等任意一种方式实现手机、平板投屏，支持多台移动设备同时分屏展示。</w:t>
            </w:r>
          </w:p>
          <w:p w14:paraId="1741B684">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 xml:space="preserve"> 7、内置双频 WiFi（2.4G+5GHz）、蓝牙模块，蓝牙标准不低于 Bluetooth 5.2；整机可无线联网、发射无线热点，双系统共用一套无线网络配置，无需重复设置；蓝牙可稳定连接外设，无线传输距离满足教室使用。</w:t>
            </w:r>
          </w:p>
          <w:p w14:paraId="7B9AD3CF">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 xml:space="preserve"> 8、设备搭载护眼低蓝光背光方案，从硬件层面削减有害蓝光，显示画面无明显泛黄、色偏，符合校园护眼相关规范；屏幕 NTSC 色域覆盖率≥72%，安卓系统支持 4K 高清 UI 显示。</w:t>
            </w:r>
          </w:p>
          <w:p w14:paraId="7E98EA80">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9、OPS 电脑配置：运行内存≥8G，固态硬盘≥256G。</w:t>
            </w:r>
          </w:p>
          <w:p w14:paraId="16523237">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br w:type="textWrapping"/>
            </w:r>
            <w:r>
              <w:rPr>
                <w:rFonts w:hint="eastAsia" w:ascii="宋体" w:hAnsi="宋体" w:eastAsia="宋体" w:cs="宋体"/>
                <w:i w:val="0"/>
                <w:iCs w:val="0"/>
                <w:color w:val="auto"/>
                <w:kern w:val="0"/>
                <w:sz w:val="20"/>
                <w:szCs w:val="20"/>
                <w:highlight w:val="none"/>
                <w:u w:val="none"/>
                <w:lang w:val="en-US" w:eastAsia="zh-CN" w:bidi="ar"/>
              </w:rPr>
              <w:t>三、</w:t>
            </w:r>
            <w:r>
              <w:rPr>
                <w:color w:val="auto"/>
                <w:sz w:val="20"/>
                <w:szCs w:val="20"/>
                <w:highlight w:val="none"/>
              </w:rPr>
              <w:t>整机基础交互功能</w:t>
            </w:r>
          </w:p>
          <w:p w14:paraId="314285A8">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1、</w:t>
            </w:r>
            <w:r>
              <w:rPr>
                <w:color w:val="auto"/>
                <w:sz w:val="20"/>
                <w:szCs w:val="20"/>
                <w:highlight w:val="none"/>
              </w:rPr>
              <w:t>整机内置图像、音效调节模块，提供多种预设图像、音效模式，支持手动调节亮度、对比度、高低音、色温等参数，适配不同教学场景。</w:t>
            </w:r>
          </w:p>
          <w:p w14:paraId="34310F5C">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 xml:space="preserve"> 2、支持分屏、半屏显示功能，可一键切换全屏 / 半屏，画面完整无裁剪，触控操作正常；支持画面局部放大、聚光灯（区域高亮、其余区域暗化）教学工具。</w:t>
            </w:r>
          </w:p>
          <w:p w14:paraId="4BB3EA6D">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3、</w:t>
            </w:r>
            <w:r>
              <w:rPr>
                <w:color w:val="auto"/>
                <w:sz w:val="20"/>
                <w:szCs w:val="20"/>
                <w:highlight w:val="none"/>
              </w:rPr>
              <w:t>系统悬浮快捷工具栏，可调取批注、截屏、计时、锁屏、硬件自检、聚光灯、学科工具等教学常用功能，工具栏支持自定义调整。</w:t>
            </w:r>
          </w:p>
          <w:p w14:paraId="53F4D3F2">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4、</w:t>
            </w:r>
            <w:r>
              <w:rPr>
                <w:color w:val="auto"/>
                <w:sz w:val="20"/>
                <w:szCs w:val="20"/>
                <w:highlight w:val="none"/>
              </w:rPr>
              <w:t>支持智能手势快捷操作，可通过手势触发熄屏、批注、分屏等自定义功能，手势识别灵敏稳定。</w:t>
            </w:r>
          </w:p>
          <w:p w14:paraId="3CB3D336">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5、</w:t>
            </w:r>
            <w:r>
              <w:rPr>
                <w:color w:val="auto"/>
                <w:sz w:val="20"/>
                <w:szCs w:val="20"/>
                <w:highlight w:val="none"/>
              </w:rPr>
              <w:t>全通道支持自由截屏，可框选任意区域保存截图；授课过程中可一键调取各类教学小工具：答题器、倒计时、节拍器、日历、随机抽选等。</w:t>
            </w:r>
          </w:p>
          <w:p w14:paraId="09FA5FC2">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6、</w:t>
            </w:r>
            <w:r>
              <w:rPr>
                <w:color w:val="auto"/>
                <w:sz w:val="20"/>
                <w:szCs w:val="20"/>
                <w:highlight w:val="none"/>
              </w:rPr>
              <w:t>双系统实现功能互通：一键切换系统、共享 USB 外设、共享网络、背光手势快捷控制。</w:t>
            </w:r>
          </w:p>
          <w:p w14:paraId="4C79E3A5">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7、</w:t>
            </w:r>
            <w:r>
              <w:rPr>
                <w:color w:val="auto"/>
                <w:sz w:val="20"/>
                <w:szCs w:val="20"/>
                <w:highlight w:val="none"/>
              </w:rPr>
              <w:t>内置互动白板，支持多笔同时书写、手掌智能擦除，笔迹自带笔锋；白板文件支持导出 PDF、SVG、IWB 等通用格式；内置充足平面、立体学科绘图工具，满足数理化教学绘图需求。</w:t>
            </w:r>
          </w:p>
          <w:p w14:paraId="0235AFCC">
            <w:pPr>
              <w:keepNext w:val="0"/>
              <w:keepLines w:val="0"/>
              <w:widowControl/>
              <w:numPr>
                <w:ilvl w:val="0"/>
                <w:numId w:val="0"/>
              </w:numPr>
              <w:suppressLineNumbers w:val="0"/>
              <w:jc w:val="both"/>
              <w:textAlignment w:val="center"/>
              <w:rPr>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四、</w:t>
            </w:r>
            <w:r>
              <w:rPr>
                <w:color w:val="auto"/>
                <w:sz w:val="20"/>
                <w:szCs w:val="20"/>
                <w:highlight w:val="none"/>
              </w:rPr>
              <w:t>配套教学软件功能</w:t>
            </w:r>
            <w:r>
              <w:rPr>
                <w:rFonts w:hint="eastAsia" w:ascii="宋体" w:hAnsi="宋体" w:eastAsia="宋体" w:cs="宋体"/>
                <w:i w:val="0"/>
                <w:iCs w:val="0"/>
                <w:strike/>
                <w:dstrike w:val="0"/>
                <w:color w:val="auto"/>
                <w:kern w:val="0"/>
                <w:sz w:val="20"/>
                <w:szCs w:val="20"/>
                <w:highlight w:val="none"/>
                <w:u w:val="none"/>
                <w:lang w:val="en-US" w:eastAsia="zh-CN" w:bidi="ar"/>
              </w:rPr>
              <w:br w:type="textWrapping"/>
            </w:r>
            <w:r>
              <w:rPr>
                <w:rFonts w:hint="eastAsia"/>
                <w:color w:val="auto"/>
                <w:sz w:val="20"/>
                <w:szCs w:val="20"/>
                <w:highlight w:val="none"/>
                <w:lang w:val="en-US" w:eastAsia="zh-CN"/>
              </w:rPr>
              <w:t>1、</w:t>
            </w:r>
            <w:r>
              <w:rPr>
                <w:color w:val="auto"/>
                <w:sz w:val="20"/>
                <w:szCs w:val="20"/>
                <w:highlight w:val="none"/>
              </w:rPr>
              <w:t>教学资源分类管理：可按年级、学科、教材版本收纳课件、习题、阅读资料，支持云端存储、本地资源调取。</w:t>
            </w:r>
          </w:p>
          <w:p w14:paraId="3252282F">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2、</w:t>
            </w:r>
            <w:r>
              <w:rPr>
                <w:color w:val="auto"/>
                <w:sz w:val="20"/>
                <w:szCs w:val="20"/>
                <w:highlight w:val="none"/>
              </w:rPr>
              <w:t>白板教学模板丰富，支持田字格、五线谱、米字格、坐标纸等学科专用背景，支持原笔迹批注、拖拽、擦除。</w:t>
            </w:r>
          </w:p>
          <w:p w14:paraId="721FBEC4">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3、</w:t>
            </w:r>
            <w:r>
              <w:rPr>
                <w:color w:val="auto"/>
                <w:sz w:val="20"/>
                <w:szCs w:val="20"/>
                <w:highlight w:val="none"/>
              </w:rPr>
              <w:t>支持 PPT 原生播放、手势翻页、多级放大，批注笔迹同步保存；支持一键将课件上传至个人云空间，授课时云端直接下载使用。</w:t>
            </w:r>
          </w:p>
          <w:p w14:paraId="6258368C">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4、</w:t>
            </w:r>
            <w:r>
              <w:rPr>
                <w:color w:val="auto"/>
                <w:sz w:val="20"/>
                <w:szCs w:val="20"/>
                <w:highlight w:val="none"/>
              </w:rPr>
              <w:t>支持集体备课、在线听评课功能：可自定义评课评分模板、评分细则，听课记录可保存、导出分享；支持教师扫码听课评价。</w:t>
            </w:r>
          </w:p>
          <w:p w14:paraId="769FC1C0">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5、</w:t>
            </w:r>
            <w:r>
              <w:rPr>
                <w:color w:val="auto"/>
                <w:sz w:val="20"/>
                <w:szCs w:val="20"/>
                <w:highlight w:val="none"/>
              </w:rPr>
              <w:t>课堂录播功能：授课全过程可录制，支持暂停、停止，可自定义录制音视频画质，录制窗口可隐藏不遮挡教学画面。</w:t>
            </w:r>
          </w:p>
          <w:p w14:paraId="573E0F7B">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6、</w:t>
            </w:r>
            <w:r>
              <w:rPr>
                <w:color w:val="auto"/>
                <w:sz w:val="20"/>
                <w:szCs w:val="20"/>
                <w:highlight w:val="none"/>
              </w:rPr>
              <w:t>支持手机远程控制大屏课件翻页；支持课堂互动答题，学生扫码答题，教师查看答题正确率、导出课堂学情报告；支持课堂弹幕、班级成员管理。</w:t>
            </w:r>
          </w:p>
          <w:p w14:paraId="4D0C26F6">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7、</w:t>
            </w:r>
            <w:r>
              <w:rPr>
                <w:color w:val="auto"/>
                <w:sz w:val="20"/>
                <w:szCs w:val="20"/>
                <w:highlight w:val="none"/>
              </w:rPr>
              <w:t>支持网页资源一键导入课件，可制作课堂互动小游戏并保存至个人云盘，随时调取复用。</w:t>
            </w:r>
          </w:p>
          <w:p w14:paraId="3B84A8AC">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8、</w:t>
            </w:r>
            <w:r>
              <w:rPr>
                <w:color w:val="auto"/>
                <w:sz w:val="20"/>
                <w:szCs w:val="20"/>
                <w:highlight w:val="none"/>
              </w:rPr>
              <w:t>为每位教师提供免费教学云存储空间，支持本地个人资源同步至云端，授课随时调取。</w:t>
            </w:r>
          </w:p>
          <w:p w14:paraId="086F420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both"/>
              <w:rPr>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五、</w:t>
            </w:r>
            <w:r>
              <w:rPr>
                <w:color w:val="auto"/>
                <w:sz w:val="20"/>
                <w:szCs w:val="20"/>
                <w:highlight w:val="none"/>
              </w:rPr>
              <w:t>集控管理平台功能</w:t>
            </w:r>
          </w:p>
          <w:p w14:paraId="5F400824">
            <w:pPr>
              <w:keepNext w:val="0"/>
              <w:keepLines w:val="0"/>
              <w:widowControl/>
              <w:numPr>
                <w:ilvl w:val="0"/>
                <w:numId w:val="0"/>
              </w:numPr>
              <w:suppressLineNumbers w:val="0"/>
              <w:jc w:val="both"/>
              <w:textAlignment w:val="center"/>
              <w:rPr>
                <w:color w:val="auto"/>
                <w:sz w:val="20"/>
                <w:szCs w:val="20"/>
                <w:highlight w:val="none"/>
              </w:rPr>
            </w:pPr>
            <w:r>
              <w:rPr>
                <w:rFonts w:hint="eastAsia"/>
                <w:color w:val="auto"/>
                <w:sz w:val="20"/>
                <w:szCs w:val="20"/>
                <w:highlight w:val="none"/>
                <w:lang w:val="en-US" w:eastAsia="zh-CN"/>
              </w:rPr>
              <w:t xml:space="preserve"> 1、</w:t>
            </w:r>
            <w:r>
              <w:rPr>
                <w:color w:val="auto"/>
                <w:sz w:val="20"/>
                <w:szCs w:val="20"/>
                <w:highlight w:val="none"/>
              </w:rPr>
              <w:t>平台可统一查看所有教学设备硬件信息：屏幕尺寸、系统版本、CPU、内存、硬盘、网络状态等；支持列表、缩略图两种设备查看模式，批量预览设备实时画面。</w:t>
            </w:r>
          </w:p>
          <w:p w14:paraId="4E2C8E12">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2、</w:t>
            </w:r>
            <w:r>
              <w:rPr>
                <w:color w:val="auto"/>
                <w:sz w:val="20"/>
                <w:szCs w:val="20"/>
                <w:highlight w:val="none"/>
              </w:rPr>
              <w:t>远程巡课督导：可实时查看设备屏幕画面与课堂摄像头画面；支持远程下发设备系统、集控软件升级包，设备空闲时段自动完成更新。</w:t>
            </w:r>
          </w:p>
          <w:p w14:paraId="259E370D">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eastAsia"/>
                <w:color w:val="auto"/>
                <w:sz w:val="20"/>
                <w:szCs w:val="20"/>
                <w:highlight w:val="none"/>
                <w:lang w:val="en-US" w:eastAsia="zh-CN"/>
              </w:rPr>
              <w:t xml:space="preserve"> 3、</w:t>
            </w:r>
            <w:r>
              <w:rPr>
                <w:color w:val="auto"/>
                <w:sz w:val="20"/>
                <w:szCs w:val="20"/>
                <w:highlight w:val="none"/>
              </w:rPr>
              <w:t>远程管理功能：支持批量设置定时锁屏 / 解锁，可按工作日、周末自定义循环策略；远程下发考场考试安排，设备按时展示考试信息。</w:t>
            </w:r>
          </w:p>
        </w:tc>
        <w:tc>
          <w:tcPr>
            <w:tcW w:w="0" w:type="auto"/>
            <w:tcBorders>
              <w:top w:val="single" w:color="000000" w:sz="4" w:space="0"/>
              <w:left w:val="single" w:color="000000" w:sz="4" w:space="0"/>
              <w:bottom w:val="single" w:color="000000" w:sz="4" w:space="0"/>
              <w:right w:val="nil"/>
            </w:tcBorders>
            <w:shd w:val="clear" w:color="auto" w:fill="FFFFFF"/>
            <w:noWrap/>
            <w:vAlign w:val="center"/>
          </w:tcPr>
          <w:p w14:paraId="7A0D4AC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5B912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E9F08F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9C3AF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20000 </w:t>
            </w:r>
          </w:p>
        </w:tc>
      </w:tr>
      <w:tr w14:paraId="2F1B5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AC7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00C6DC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移动一体机</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CC96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一、显示参数（整机≥75 寸，Windows+Android 双系统）</w:t>
            </w:r>
          </w:p>
          <w:p w14:paraId="228E63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1.OPS 配置：可配套 OPS 电脑模块，OPS 厚度≥43mm，支持背部插入安装，同等规格通用 OPS 均可适配；</w:t>
            </w:r>
          </w:p>
          <w:p w14:paraId="56AF32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2.图像模式：支持标准、动态、亮丽、用户等多种预设图像模式；侧边栏可调节亮度、对比度、饱和度、色温等参数；音效具备多套预设模式，支持高低音、平衡、环绕声开关调节；</w:t>
            </w:r>
          </w:p>
          <w:p w14:paraId="6367338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3.背光类型：DLED 直下式背光；</w:t>
            </w:r>
          </w:p>
          <w:p w14:paraId="6D0268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4.屏幕规格：≥75 英寸，16:9 A 规液晶面板，物理分辨率 3840×2160 4K 超高清；</w:t>
            </w:r>
          </w:p>
          <w:p w14:paraId="771498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5.屏幕基础性能：屏幕亮度≥380cd/㎡，静态对比度≥4000:1，灰阶响应时间≤6.5ms，NTSC 色域覆盖率≥72%；可视区域尺寸为参考值，同等 75 寸 4K 面板均可；</w:t>
            </w:r>
          </w:p>
          <w:p w14:paraId="1FEE88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6.分屏功能：HDMI、安卓、Windows 全通道支持手势半屏显示，一键切换全屏，具备多类分屏适配模式即可，不强制固定数量。</w:t>
            </w:r>
          </w:p>
          <w:p w14:paraId="1510E2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二、系统参数</w:t>
            </w:r>
          </w:p>
          <w:p w14:paraId="5F7F47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 xml:space="preserve">1.嵌入式安卓系统版本不低于 Android </w:t>
            </w:r>
            <w:r>
              <w:rPr>
                <w:rFonts w:hint="eastAsia" w:ascii="宋体" w:hAnsi="宋体" w:cs="宋体"/>
                <w:color w:val="auto"/>
                <w:kern w:val="0"/>
                <w:sz w:val="20"/>
                <w:szCs w:val="20"/>
                <w:highlight w:val="none"/>
                <w:lang w:val="en-US" w:eastAsia="zh-CN" w:bidi="ar"/>
              </w:rPr>
              <w:t>11</w:t>
            </w:r>
            <w:r>
              <w:rPr>
                <w:rFonts w:hint="eastAsia" w:ascii="宋体" w:hAnsi="宋体" w:eastAsia="宋体" w:cs="宋体"/>
                <w:color w:val="auto"/>
                <w:kern w:val="0"/>
                <w:sz w:val="20"/>
                <w:szCs w:val="20"/>
                <w:highlight w:val="none"/>
                <w:lang w:val="en-US" w:eastAsia="zh-CN" w:bidi="ar"/>
              </w:rPr>
              <w:t>，运行内存≥4GB，本地存储≥32GB；</w:t>
            </w:r>
          </w:p>
          <w:p w14:paraId="62021C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2.安卓主控：8 核处理器，等效主频≥1.55GHz（Cortex A55 或同性能架构均可）。</w:t>
            </w:r>
          </w:p>
          <w:p w14:paraId="6EF43A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三、智能音视频与互联</w:t>
            </w:r>
          </w:p>
          <w:p w14:paraId="3236DC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1.内置高清广角摄像头，像素≥1600 万，视场角≥130°，覆盖整间会议室巡课拍摄；支持人脸快速解锁识别；</w:t>
            </w:r>
          </w:p>
          <w:p w14:paraId="5E5309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2.内置立体环绕音响，整机额定总功率≥60W，发声均匀无杂音；麦克风阵列拾音距离≥10 米，满足全室收音；不限喇叭腔体、出声结构；</w:t>
            </w:r>
          </w:p>
          <w:p w14:paraId="24DBF8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3.内置蓝牙 5.2、2.4G/5G 双频 WiFi；双系统共用无线网络，无需重复配置；可发射 AP 热点，支持多终端无线接入，蓝牙稳定传输距离≥15 米；</w:t>
            </w:r>
          </w:p>
          <w:p w14:paraId="2F3F0C8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4.支持无线投屏，可通过 NFC、扫码、无线直连任意一种方式实现手机 / 平板投屏，支持多设备同时分屏；</w:t>
            </w:r>
          </w:p>
          <w:p w14:paraId="0B1433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5.可选配环境温湿度监测模块，可对接管理平台查看教室环境数据，无强制硬性要求。</w:t>
            </w:r>
          </w:p>
          <w:p w14:paraId="6E2C02D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四、红外触控参数</w:t>
            </w:r>
          </w:p>
          <w:p w14:paraId="6AB539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1.红外多点触控，AG 防眩光钢化玻璃，光线透过率≥88%；</w:t>
            </w:r>
          </w:p>
          <w:p w14:paraId="1D274C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2.支持≥50 点同步书写触控，触控响应速度≤5ms，最小识别触摸物体≤3mm，强光下书写触控无失效；</w:t>
            </w:r>
          </w:p>
          <w:p w14:paraId="3DA3C1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3.白板功能：无 PC 安卓端支持多笔同时书写、手掌智能擦除；可导出 PDF、SVG、IWB 等通用文档格式；内置充足数理化平面、立体绘图学科工具；差值分辨率满足 4K 高清书写精度即可，不强制固定数值。</w:t>
            </w:r>
          </w:p>
          <w:p w14:paraId="60FF39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五、整机接口（满足拓展需求，可配套拓展坞补充接口）</w:t>
            </w:r>
          </w:p>
          <w:p w14:paraId="2BA5E6F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1.输入：前置 HDMI、全功能 Type-C、多组 USB3.0；后置预留 HDMI 输入、3.5mm 音频输入；</w:t>
            </w:r>
          </w:p>
          <w:p w14:paraId="70B871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2.输出：3.5mm 音频输出；</w:t>
            </w:r>
          </w:p>
          <w:p w14:paraId="2A1A90C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3.网络：配备不少于 1 路千兆网口，双网口更佳；</w:t>
            </w:r>
          </w:p>
          <w:p w14:paraId="12AB4E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0"/>
                <w:szCs w:val="20"/>
                <w:highlight w:val="none"/>
                <w:lang w:val="en-US" w:eastAsia="zh-CN" w:bidi="ar"/>
              </w:rPr>
              <w:t>4.板载内置 USB、触控 USB 等拓展接口，整机外设接驳能力满足会议电脑、U 盘、摄像头、麦克风等常规设备使用。</w:t>
            </w:r>
          </w:p>
          <w:p w14:paraId="28FE14F7">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p>
        </w:tc>
        <w:tc>
          <w:tcPr>
            <w:tcW w:w="0" w:type="auto"/>
            <w:tcBorders>
              <w:top w:val="single" w:color="000000" w:sz="4" w:space="0"/>
              <w:left w:val="single" w:color="000000" w:sz="4" w:space="0"/>
              <w:bottom w:val="single" w:color="000000" w:sz="4" w:space="0"/>
              <w:right w:val="nil"/>
            </w:tcBorders>
            <w:shd w:val="clear" w:color="auto" w:fill="FFFFFF"/>
            <w:noWrap/>
            <w:vAlign w:val="center"/>
          </w:tcPr>
          <w:p w14:paraId="6DCE4FC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DDA25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D0C228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9F1AD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13000 </w:t>
            </w:r>
          </w:p>
        </w:tc>
      </w:tr>
      <w:tr w14:paraId="027A4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C8F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FCE12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笔记本电脑</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4EC950">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kern w:val="0"/>
                <w:sz w:val="20"/>
                <w:szCs w:val="20"/>
                <w:highlight w:val="none"/>
                <w:u w:val="none"/>
                <w:lang w:val="en-US" w:eastAsia="zh-CN" w:bidi="ar"/>
              </w:rPr>
              <w:t>一、硬件技术参数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1、处理器：采用国产处理器，核心数≥4核，主频≥3.0GHz。</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2、内存：容量≥16GB，内存插槽≥2个，最高可支持内存≥32G DDR4。</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3、硬盘：配置≥512GB M.2 NVMe SSD硬盘，支持容量扩展。</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4、接口：USB3.0接口≥2个，USB-C接口≥2个，标准RJ45网口≥1个，HDMI接口≥1个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5、屏幕：≤14英寸, 1920*1080，≥180°开合。</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6、电源：电池容量≥60WH，适配器功率≥65W，适配器输出接口形态Type-C。</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7、无线网络：支持WiFi 6 并向下兼容， 支持BT 5.0。</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8、摄像头：720P分辨率，具备物理滑盖，可物理遮挡保护隐私。</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9</w:t>
            </w:r>
            <w:r>
              <w:rPr>
                <w:rFonts w:hint="eastAsia" w:ascii="宋体" w:hAnsi="宋体" w:eastAsia="宋体" w:cs="宋体"/>
                <w:i w:val="0"/>
                <w:iCs w:val="0"/>
                <w:color w:val="auto"/>
                <w:kern w:val="0"/>
                <w:sz w:val="20"/>
                <w:szCs w:val="20"/>
                <w:highlight w:val="none"/>
                <w:u w:val="none"/>
                <w:lang w:val="en-US" w:eastAsia="zh-CN" w:bidi="ar"/>
              </w:rPr>
              <w:t>、数据安全：</w:t>
            </w:r>
            <w:r>
              <w:rPr>
                <w:rFonts w:ascii="宋体" w:hAnsi="宋体" w:eastAsia="宋体" w:cs="宋体"/>
                <w:color w:val="auto"/>
                <w:sz w:val="20"/>
                <w:szCs w:val="20"/>
                <w:highlight w:val="none"/>
              </w:rPr>
              <w:t>具备独立安全分区 / 底层隐藏分区。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10</w:t>
            </w:r>
            <w:r>
              <w:rPr>
                <w:rFonts w:hint="eastAsia" w:ascii="宋体" w:hAnsi="宋体" w:eastAsia="宋体" w:cs="宋体"/>
                <w:i w:val="0"/>
                <w:iCs w:val="0"/>
                <w:color w:val="auto"/>
                <w:kern w:val="0"/>
                <w:sz w:val="20"/>
                <w:szCs w:val="20"/>
                <w:highlight w:val="none"/>
                <w:u w:val="none"/>
                <w:lang w:val="en-US" w:eastAsia="zh-CN" w:bidi="ar"/>
              </w:rPr>
              <w:t>、操作系统：预装符合桌面操作系统政府采购需求标准的正版操作系统；预装的操作系统符合《操作系统政府采购需求标准》中加*指标要求（财政部工业和信息化部关于印发《操作系统政府采购需求标准（2023年版）》的通知）。</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11</w:t>
            </w:r>
            <w:r>
              <w:rPr>
                <w:rFonts w:hint="eastAsia" w:ascii="宋体" w:hAnsi="宋体" w:eastAsia="宋体" w:cs="宋体"/>
                <w:i w:val="0"/>
                <w:iCs w:val="0"/>
                <w:color w:val="auto"/>
                <w:kern w:val="0"/>
                <w:sz w:val="20"/>
                <w:szCs w:val="20"/>
                <w:highlight w:val="none"/>
                <w:u w:val="none"/>
                <w:lang w:val="en-US" w:eastAsia="zh-CN" w:bidi="ar"/>
              </w:rPr>
              <w:t>、办公软件：预装带正版授权的办公软件（含三年服务）；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w:t>
            </w: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服务：针对产品提供原厂1-3年质保，提供专业的7*24h远程服务支持。且在产品生命周期结束后，原厂需提供符合工信部要求的IT资产环保处置服务，包括上门回收、数据销毁、环保拆解，并提供《资产环保处置证明》，服务可通过电话或官方网站查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15、关键部件安全要求：CPU和操作系统等关键部件应当符合安全可靠测评要求。（提供通过安全可靠测评的证明书或作出承诺）。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二、班级管理系统</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1、后台采用 B/S 架构设计，能够支持不同角色在 web 上进行操作，支持微信和账号登录、支持学校自定义角色、教师角色切换。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2、支持上传多个备课文档、支持一屏稿件对比，支持查看该次集体备课数据统计及访问记录。集体备课终稿存到我的成果库。并支持查看集体备课数据报告；</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、支持区域、学校管理者发起在线收集资料的任务，老师按照在线任务要求上传资料，支持管理者将收集上来的资料分类归档管理【</w:t>
            </w:r>
            <w:r>
              <w:rPr>
                <w:rFonts w:hint="eastAsia" w:ascii="宋体" w:hAnsi="宋体" w:cs="宋体"/>
                <w:i w:val="0"/>
                <w:iCs w:val="0"/>
                <w:color w:val="auto"/>
                <w:kern w:val="0"/>
                <w:sz w:val="20"/>
                <w:szCs w:val="20"/>
                <w:highlight w:val="none"/>
                <w:u w:val="none"/>
                <w:lang w:val="en-US" w:eastAsia="zh-CN" w:bidi="ar"/>
              </w:rPr>
              <w:t>响应供应商</w:t>
            </w:r>
            <w:r>
              <w:rPr>
                <w:rFonts w:hint="eastAsia" w:ascii="宋体" w:hAnsi="宋体" w:eastAsia="宋体" w:cs="宋体"/>
                <w:i w:val="0"/>
                <w:iCs w:val="0"/>
                <w:color w:val="auto"/>
                <w:kern w:val="0"/>
                <w:sz w:val="20"/>
                <w:szCs w:val="20"/>
                <w:highlight w:val="none"/>
                <w:u w:val="none"/>
                <w:lang w:val="en-US" w:eastAsia="zh-CN" w:bidi="ar"/>
              </w:rPr>
              <w:t>于</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中必须提供所投产品满足本条技术要求的相关有效证明材料复印件，证明材料可以是国家认可的第三方检验（测）机构出具的合格有效的检验（测）报告或官网截图或功能截图或产品彩页】</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三、备授课教学平台软件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 xml:space="preserve">.无需导入平台，可直接在PPT中通过备课插件添加课堂互动游戏、思维导图、网站链接、网络画板等。课件编辑完成可一键同步至云端；如教师不想保存在云平台可直接以PPT格式保存在本地，不允许系统自动在云平台中更新教师的资源；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 xml:space="preserve">.试题能够根据课本章节、题型、难易程度进行筛选，并提供知识点试题，可按知识点筛选，支持收藏、查看试题答案、解析、关联知识点，支持对试题进行二次编辑，支持将试题一键加入备课；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.通过对纸质试题拍照，可将图片上传，将纸质文字变为电子版文字，便于老师优质试题的收集使用；（</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4</w:t>
            </w:r>
            <w:r>
              <w:rPr>
                <w:rFonts w:hint="eastAsia" w:ascii="宋体" w:hAnsi="宋体" w:eastAsia="宋体" w:cs="宋体"/>
                <w:i w:val="0"/>
                <w:iCs w:val="0"/>
                <w:color w:val="auto"/>
                <w:kern w:val="0"/>
                <w:sz w:val="20"/>
                <w:szCs w:val="20"/>
                <w:highlight w:val="none"/>
                <w:u w:val="none"/>
                <w:lang w:val="en-US" w:eastAsia="zh-CN" w:bidi="ar"/>
              </w:rPr>
              <w:t>.支持音频和视频进行关键点标记，并将音视频分成不同小节，支持自定义视频小节名称，播放时可通过点击小节名称快速定位关键教学内容。（</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课堂互动题型：内置多种课堂互动练习模板，可自主编辑题目插入课件，用于课堂随堂练习。</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6</w:t>
            </w:r>
            <w:r>
              <w:rPr>
                <w:rFonts w:hint="eastAsia" w:ascii="宋体" w:hAnsi="宋体" w:eastAsia="宋体" w:cs="宋体"/>
                <w:i w:val="0"/>
                <w:iCs w:val="0"/>
                <w:color w:val="auto"/>
                <w:kern w:val="0"/>
                <w:sz w:val="20"/>
                <w:szCs w:val="20"/>
                <w:highlight w:val="none"/>
                <w:u w:val="none"/>
                <w:lang w:val="en-US" w:eastAsia="zh-CN" w:bidi="ar"/>
              </w:rPr>
              <w:t>.为方便教师快速查找，所有备课资源均可按照系统自带教材章节进行存储，无需教师自建存储条目；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7</w:t>
            </w:r>
            <w:r>
              <w:rPr>
                <w:rFonts w:hint="eastAsia" w:ascii="宋体" w:hAnsi="宋体" w:eastAsia="宋体" w:cs="宋体"/>
                <w:i w:val="0"/>
                <w:iCs w:val="0"/>
                <w:color w:val="auto"/>
                <w:kern w:val="0"/>
                <w:sz w:val="20"/>
                <w:szCs w:val="20"/>
                <w:highlight w:val="none"/>
                <w:u w:val="none"/>
                <w:lang w:val="en-US" w:eastAsia="zh-CN" w:bidi="ar"/>
              </w:rPr>
              <w:t>.备课界面支持将教案、课件、学案、试题、练习、</w:t>
            </w:r>
            <w:r>
              <w:rPr>
                <w:rFonts w:hint="eastAsia" w:ascii="宋体" w:hAnsi="宋体" w:eastAsia="宋体" w:cs="宋体"/>
                <w:i w:val="0"/>
                <w:iCs w:val="0"/>
                <w:strike w:val="0"/>
                <w:dstrike w:val="0"/>
                <w:color w:val="auto"/>
                <w:kern w:val="0"/>
                <w:sz w:val="20"/>
                <w:szCs w:val="20"/>
                <w:highlight w:val="none"/>
                <w:u w:val="none"/>
                <w:lang w:val="en-US" w:eastAsia="zh-CN" w:bidi="ar"/>
              </w:rPr>
              <w:t>网络画板、</w:t>
            </w:r>
            <w:r>
              <w:rPr>
                <w:rFonts w:hint="eastAsia" w:ascii="宋体" w:hAnsi="宋体" w:eastAsia="宋体" w:cs="宋体"/>
                <w:i w:val="0"/>
                <w:iCs w:val="0"/>
                <w:color w:val="auto"/>
                <w:kern w:val="0"/>
                <w:sz w:val="20"/>
                <w:szCs w:val="20"/>
                <w:highlight w:val="none"/>
                <w:u w:val="none"/>
                <w:lang w:val="en-US" w:eastAsia="zh-CN" w:bidi="ar"/>
              </w:rPr>
              <w:t xml:space="preserve">虚拟实验、微课等教学资源分享给校内指定教师使用；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8</w:t>
            </w:r>
            <w:r>
              <w:rPr>
                <w:rFonts w:hint="eastAsia" w:ascii="宋体" w:hAnsi="宋体" w:eastAsia="宋体" w:cs="宋体"/>
                <w:i w:val="0"/>
                <w:iCs w:val="0"/>
                <w:color w:val="auto"/>
                <w:kern w:val="0"/>
                <w:sz w:val="20"/>
                <w:szCs w:val="20"/>
                <w:highlight w:val="none"/>
                <w:u w:val="none"/>
                <w:lang w:val="en-US" w:eastAsia="zh-CN" w:bidi="ar"/>
              </w:rPr>
              <w:t xml:space="preserve">. </w:t>
            </w:r>
            <w:r>
              <w:rPr>
                <w:rFonts w:ascii="宋体" w:hAnsi="宋体" w:eastAsia="宋体" w:cs="宋体"/>
                <w:color w:val="auto"/>
                <w:kern w:val="0"/>
                <w:sz w:val="20"/>
                <w:szCs w:val="20"/>
                <w:highlight w:val="none"/>
                <w:lang w:val="en-US" w:eastAsia="zh-CN" w:bidi="ar"/>
              </w:rPr>
              <w:t>白板书写功能：提供硬笔、粉笔、荧光笔等多种书写笔触，支持自由调整粗细、颜色；支持自定义保存常用配色，色彩调节包含色调、饱和度、亮度参数设置。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9</w:t>
            </w:r>
            <w:r>
              <w:rPr>
                <w:rFonts w:hint="eastAsia" w:ascii="宋体" w:hAnsi="宋体" w:eastAsia="宋体" w:cs="宋体"/>
                <w:i w:val="0"/>
                <w:iCs w:val="0"/>
                <w:color w:val="auto"/>
                <w:kern w:val="0"/>
                <w:sz w:val="20"/>
                <w:szCs w:val="20"/>
                <w:highlight w:val="none"/>
                <w:u w:val="none"/>
                <w:lang w:val="en-US" w:eastAsia="zh-CN" w:bidi="ar"/>
              </w:rPr>
              <w:t>.支持三个及以上学生同时进行书写或手势擦除操作，不同学生各自进行书写或擦除，互不影响；</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10</w:t>
            </w:r>
            <w:r>
              <w:rPr>
                <w:rFonts w:hint="eastAsia" w:ascii="宋体" w:hAnsi="宋体" w:eastAsia="宋体" w:cs="宋体"/>
                <w:i w:val="0"/>
                <w:iCs w:val="0"/>
                <w:color w:val="auto"/>
                <w:kern w:val="0"/>
                <w:sz w:val="20"/>
                <w:szCs w:val="20"/>
                <w:highlight w:val="none"/>
                <w:u w:val="none"/>
                <w:lang w:val="en-US" w:eastAsia="zh-CN" w:bidi="ar"/>
              </w:rPr>
              <w:t>.支持对白板页面中的元素进行隐藏、锁定、缩放、旋转、置顶等操作，被隐藏元素可以一键重新显示在白板上；（</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11</w:t>
            </w:r>
            <w:r>
              <w:rPr>
                <w:rFonts w:hint="eastAsia" w:ascii="宋体" w:hAnsi="宋体" w:eastAsia="宋体" w:cs="宋体"/>
                <w:i w:val="0"/>
                <w:iCs w:val="0"/>
                <w:color w:val="auto"/>
                <w:kern w:val="0"/>
                <w:sz w:val="20"/>
                <w:szCs w:val="20"/>
                <w:highlight w:val="none"/>
                <w:u w:val="none"/>
                <w:lang w:val="en-US" w:eastAsia="zh-CN" w:bidi="ar"/>
              </w:rPr>
              <w:t>.能够在桌面授课或PPT授课时打开板中板辅助教学，应支持任意调整板中板大小，在板中板中进行板书书写与擦除、板书缩放、插入文件等操作不影响课件主画面（</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12</w:t>
            </w:r>
            <w:r>
              <w:rPr>
                <w:rFonts w:hint="eastAsia" w:ascii="宋体" w:hAnsi="宋体" w:eastAsia="宋体" w:cs="宋体"/>
                <w:i w:val="0"/>
                <w:iCs w:val="0"/>
                <w:color w:val="auto"/>
                <w:kern w:val="0"/>
                <w:sz w:val="20"/>
                <w:szCs w:val="20"/>
                <w:highlight w:val="none"/>
                <w:u w:val="none"/>
                <w:lang w:val="en-US" w:eastAsia="zh-CN" w:bidi="ar"/>
              </w:rPr>
              <w:t xml:space="preserve">.智能转写可支持连续书写多个汉字并将书写的内容自动转换为楷体，转换文字大小自动跟随手写输入字体大小变化，支持查看笔顺、朗读读音；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13</w:t>
            </w:r>
            <w:r>
              <w:rPr>
                <w:rFonts w:hint="eastAsia" w:ascii="宋体" w:hAnsi="宋体" w:eastAsia="宋体" w:cs="宋体"/>
                <w:i w:val="0"/>
                <w:iCs w:val="0"/>
                <w:color w:val="auto"/>
                <w:kern w:val="0"/>
                <w:sz w:val="20"/>
                <w:szCs w:val="20"/>
                <w:highlight w:val="none"/>
                <w:u w:val="none"/>
                <w:lang w:val="en-US" w:eastAsia="zh-CN" w:bidi="ar"/>
              </w:rPr>
              <w:t>.划词搜索：</w:t>
            </w:r>
            <w:r>
              <w:rPr>
                <w:rFonts w:ascii="宋体" w:hAnsi="宋体" w:eastAsia="宋体" w:cs="宋体"/>
                <w:color w:val="auto"/>
                <w:kern w:val="0"/>
                <w:sz w:val="20"/>
                <w:szCs w:val="20"/>
                <w:highlight w:val="none"/>
                <w:lang w:val="en-US" w:eastAsia="zh-CN" w:bidi="ar"/>
              </w:rPr>
              <w:t>白板上手写中英文内容可智能识别，一键调取互联网教育类素材、知识点资料辅助授课；不限定单一检索网站，可对接正规教育资源库。</w:t>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14</w:t>
            </w:r>
            <w:r>
              <w:rPr>
                <w:rFonts w:hint="eastAsia" w:ascii="宋体" w:hAnsi="宋体" w:eastAsia="宋体" w:cs="宋体"/>
                <w:i w:val="0"/>
                <w:iCs w:val="0"/>
                <w:color w:val="auto"/>
                <w:kern w:val="0"/>
                <w:sz w:val="20"/>
                <w:szCs w:val="20"/>
                <w:highlight w:val="none"/>
                <w:u w:val="none"/>
                <w:lang w:val="en-US" w:eastAsia="zh-CN" w:bidi="ar"/>
              </w:rPr>
              <w:t>.图形识别：</w:t>
            </w:r>
            <w:r>
              <w:rPr>
                <w:rFonts w:ascii="宋体" w:hAnsi="宋体" w:eastAsia="宋体" w:cs="宋体"/>
                <w:color w:val="auto"/>
                <w:kern w:val="0"/>
                <w:sz w:val="20"/>
                <w:szCs w:val="20"/>
                <w:highlight w:val="none"/>
                <w:lang w:val="en-US" w:eastAsia="zh-CN" w:bidi="ar"/>
              </w:rPr>
              <w:t>平面几何图形可自动规整为标准矢量图形，支持识别多种常用几何类型。</w:t>
            </w:r>
            <w:r>
              <w:rPr>
                <w:rFonts w:hint="eastAsia" w:ascii="宋体" w:hAnsi="宋体" w:eastAsia="宋体" w:cs="宋体"/>
                <w:i w:val="0"/>
                <w:iCs w:val="0"/>
                <w:strike/>
                <w:dstrike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15</w:t>
            </w:r>
            <w:r>
              <w:rPr>
                <w:rFonts w:hint="eastAsia" w:ascii="宋体" w:hAnsi="宋体" w:eastAsia="宋体" w:cs="宋体"/>
                <w:i w:val="0"/>
                <w:iCs w:val="0"/>
                <w:color w:val="auto"/>
                <w:kern w:val="0"/>
                <w:sz w:val="20"/>
                <w:szCs w:val="20"/>
                <w:highlight w:val="none"/>
                <w:u w:val="none"/>
                <w:lang w:val="en-US" w:eastAsia="zh-CN" w:bidi="ar"/>
              </w:rPr>
              <w:t>.英文转写： 可支持自由、连续书写多个单词并将书写的内容自动识别转换为印刷体，转换单词大小自动跟随手写输入单词大小变化，支持二次修改及前后增删单词、朗读、增加四线三格背景、词卡等功能；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16</w:t>
            </w:r>
            <w:r>
              <w:rPr>
                <w:rFonts w:hint="eastAsia" w:ascii="宋体" w:hAnsi="宋体" w:eastAsia="宋体" w:cs="宋体"/>
                <w:i w:val="0"/>
                <w:iCs w:val="0"/>
                <w:color w:val="auto"/>
                <w:kern w:val="0"/>
                <w:sz w:val="20"/>
                <w:szCs w:val="20"/>
                <w:highlight w:val="none"/>
                <w:u w:val="none"/>
                <w:lang w:val="en-US" w:eastAsia="zh-CN" w:bidi="ar"/>
              </w:rPr>
              <w:t>.白板教学中，支持从电脑中导入图片、视频、PPT、Word、Excel、PDF等资源，导入的PPT、Word、Excel文件可以进行二次编辑，导入的图片可以进行批注，导入的视频播放时可以进行批注讲解、擦除操作；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17</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白板背景素材：配备田字格、五线谱、坐标轴、运动场地等多类学科专用背景，同时支持教师上传自定义背景图片。</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18</w:t>
            </w:r>
            <w:r>
              <w:rPr>
                <w:rFonts w:hint="eastAsia" w:ascii="宋体" w:hAnsi="宋体" w:eastAsia="宋体" w:cs="宋体"/>
                <w:i w:val="0"/>
                <w:iCs w:val="0"/>
                <w:color w:val="auto"/>
                <w:kern w:val="0"/>
                <w:sz w:val="20"/>
                <w:szCs w:val="20"/>
                <w:highlight w:val="none"/>
                <w:u w:val="none"/>
                <w:lang w:val="en-US" w:eastAsia="zh-CN" w:bidi="ar"/>
              </w:rPr>
              <w:t>.美术画板工具提供铅笔 、蜡笔、毛笔 、油画笔等笔触，具备模拟调色盘 ，可选择不同颜色混合调色；支持在美术画板导入jpg、jpeg、bmp 、png格式的实物彩色图片一键转换为素描效果，用于美术教学；</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19</w:t>
            </w:r>
            <w:r>
              <w:rPr>
                <w:rFonts w:hint="eastAsia" w:ascii="宋体" w:hAnsi="宋体" w:eastAsia="宋体" w:cs="宋体"/>
                <w:i w:val="0"/>
                <w:iCs w:val="0"/>
                <w:color w:val="auto"/>
                <w:kern w:val="0"/>
                <w:sz w:val="20"/>
                <w:szCs w:val="20"/>
                <w:highlight w:val="none"/>
                <w:u w:val="none"/>
                <w:lang w:val="en-US" w:eastAsia="zh-CN" w:bidi="ar"/>
              </w:rPr>
              <w:t xml:space="preserve">.截屏支持对屏幕上任意区域进行自由截图或矩形截图，应支持截取过程中，在截取页面上进行书写操作，并将截取的页面保存为图片；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20</w:t>
            </w:r>
            <w:r>
              <w:rPr>
                <w:rFonts w:hint="eastAsia" w:ascii="宋体" w:hAnsi="宋体" w:eastAsia="宋体" w:cs="宋体"/>
                <w:i w:val="0"/>
                <w:iCs w:val="0"/>
                <w:color w:val="auto"/>
                <w:kern w:val="0"/>
                <w:sz w:val="20"/>
                <w:szCs w:val="20"/>
                <w:highlight w:val="none"/>
                <w:u w:val="none"/>
                <w:lang w:val="en-US" w:eastAsia="zh-CN" w:bidi="ar"/>
              </w:rPr>
              <w:t xml:space="preserve">.学生自主学习：支持学生进行闯关模式下难度递进的自主学习。闯关练习应按学段、科目、版本、册别筛选，答题完成可以査看答题是否正确以及答题解析，满足不同学生的个性化练习需求； </w:t>
            </w:r>
          </w:p>
        </w:tc>
        <w:tc>
          <w:tcPr>
            <w:tcW w:w="0" w:type="auto"/>
            <w:tcBorders>
              <w:top w:val="single" w:color="000000" w:sz="4" w:space="0"/>
              <w:left w:val="single" w:color="000000" w:sz="4" w:space="0"/>
              <w:bottom w:val="single" w:color="000000" w:sz="4" w:space="0"/>
              <w:right w:val="nil"/>
            </w:tcBorders>
            <w:shd w:val="clear" w:color="auto" w:fill="FFFFFF"/>
            <w:noWrap/>
            <w:vAlign w:val="center"/>
          </w:tcPr>
          <w:p w14:paraId="6B49D0E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8195D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4D51F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76D02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5500 </w:t>
            </w:r>
          </w:p>
        </w:tc>
      </w:tr>
      <w:tr w14:paraId="0F04F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67B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AD531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电热水器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4FB4B">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1.额定容量：≥80L；能效等级：一级能效；额定加热功率≥3300W，支持速热模式，升温速度快，满足幼儿园集中用水需求。</w:t>
            </w:r>
          </w:p>
          <w:p w14:paraId="5319B3E6">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2.内胆：承压搪瓷内胆，具备抗腐蚀、抗水垢特性，支持长期承压使用。</w:t>
            </w:r>
          </w:p>
          <w:p w14:paraId="0BB74F7F">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3.安全配置：内置防电墙、防干烧保护、超温保护、泄压安全阀，具备漏电保护功能，适合公共场所使用。</w:t>
            </w:r>
          </w:p>
          <w:p w14:paraId="6B28CC7E">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4.操控：支持温度设定、启停控制，具备温度显示屏；</w:t>
            </w:r>
          </w:p>
          <w:p w14:paraId="3DBECB31">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5.管路接口标准，配套安装辅材（安全阀、进出水管等基础配件）；</w:t>
            </w:r>
          </w:p>
          <w:p w14:paraId="1FECA395">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6.整机符合国家家用电器相关安全标准，全新正品，提供原厂质保。</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582459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A5D3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D9F52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E227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2000 </w:t>
            </w:r>
          </w:p>
        </w:tc>
      </w:tr>
      <w:tr w14:paraId="64F4A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C2C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3D0DC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摇摇马</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83720">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1.参考外形尺寸：700mm×350mm×520mm，尺寸允许 ±3cm 合理公差；</w:t>
            </w:r>
          </w:p>
          <w:p w14:paraId="433DBE30">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2.材质要求：全新环保食品级 PP 材质，无回收废料，无刺激性异味，有害物质符合 GB 6675《玩具安全》标准；</w:t>
            </w:r>
          </w:p>
          <w:p w14:paraId="6578D43A">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3.结构工艺：一体成型，车身缝隙极小，杜绝夹手风险；板材加厚设计，整体韧性强、耐冲击、不易断裂；</w:t>
            </w:r>
          </w:p>
          <w:p w14:paraId="729970A5">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4.安全设计：全部外露边角圆弧钝化处理，无毛刺、尖角；底座加宽，重心偏低，具备防侧翻结构；</w:t>
            </w:r>
          </w:p>
          <w:p w14:paraId="7FFB2D00">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5.性能要求：静态承重≥60kg，适合 3–6 岁幼儿玩耍；表面光滑便于日常清洁消毒；</w:t>
            </w:r>
          </w:p>
          <w:p w14:paraId="0DFBAE0D">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6.供货要求：全新成品，配件齐全，随货提供产品合格证。</w:t>
            </w:r>
          </w:p>
          <w:p w14:paraId="5BED76B1">
            <w:pPr>
              <w:keepNext w:val="0"/>
              <w:keepLines w:val="0"/>
              <w:widowControl/>
              <w:suppressLineNumbers w:val="0"/>
              <w:jc w:val="left"/>
              <w:textAlignment w:val="center"/>
              <w:rPr>
                <w:rFonts w:hint="eastAsia" w:ascii="宋体" w:hAnsi="宋体" w:eastAsia="宋体" w:cs="宋体"/>
                <w:i w:val="0"/>
                <w:iCs w:val="0"/>
                <w:strike/>
                <w:dstrike w:val="0"/>
                <w:color w:val="auto"/>
                <w:kern w:val="0"/>
                <w:sz w:val="20"/>
                <w:szCs w:val="20"/>
                <w:highlight w:val="none"/>
                <w:u w:val="none"/>
                <w:lang w:val="en-US" w:eastAsia="zh-CN" w:bidi="ar"/>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E92BF7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93BE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7BA6E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9456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1500 </w:t>
            </w:r>
          </w:p>
        </w:tc>
      </w:tr>
      <w:tr w14:paraId="0FAB6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690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700C0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充气跳跳马</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33405">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1.参考外形尺寸：590mm×300mm×460mm，尺寸允许 ±4cm 合理浮动公差；</w:t>
            </w:r>
          </w:p>
          <w:p w14:paraId="7CF4361C">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2.材质：全新环保 PVC 材料，无刺鼻异味，韧性优良，加厚壁厚设计，抗撕裂、耐拉扯，不易漏气；有害物质指标符合 GB 6675《玩具安全》国家标准；</w:t>
            </w:r>
          </w:p>
          <w:p w14:paraId="107846DF">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3.安全结构：整体造型边角圆润，无尖锐凸起；底部防滑设计，幼儿骑行不易打滑；</w:t>
            </w:r>
          </w:p>
          <w:p w14:paraId="55CCE03F">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4.使用性能：静态承重≥60kg，适配 3–6 岁幼儿活动；气密性良好，正常使用不易慢撒气；配套充气气嘴，密封牢固；</w:t>
            </w:r>
          </w:p>
          <w:p w14:paraId="4DADCA33">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5.外观与工艺：表面平整，无毛刺、尖锐模边，色彩均匀，不易掉色；便于擦拭清洁消毒。</w:t>
            </w:r>
          </w:p>
          <w:p w14:paraId="23A4A41E">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6.供货要求：全新成品，配备充气配件，随货提供产品合格证。</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82C1FA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536A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E4FE9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34C2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1200 </w:t>
            </w:r>
          </w:p>
        </w:tc>
      </w:tr>
      <w:tr w14:paraId="6048F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5A3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37A8C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毛巾消毒柜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29C59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1.参考容积：≥25L，单门结构；</w:t>
            </w:r>
          </w:p>
          <w:p w14:paraId="382F6AD4">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2.参考外形尺寸：420mm×340mm×330mm，长宽高允许 ±15mm 合理公差；</w:t>
            </w:r>
          </w:p>
          <w:p w14:paraId="50C4CF7D">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3.电气参数：额定功率≤200W，额定电压 AC220V；配备≥8W 紫外线消毒灯管；</w:t>
            </w:r>
          </w:p>
          <w:p w14:paraId="5C4AE58D">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4.内胆与外壳：外壳、内胆采用防锈金属材质，表面易清洁；柜门密封良好；</w:t>
            </w:r>
          </w:p>
          <w:p w14:paraId="3CC5968E">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5.安全配置：具备门控开关，开门自动切断紫外线，防止紫外线外泄伤害人体；运行稳定，具备过热保护；</w:t>
            </w:r>
          </w:p>
          <w:p w14:paraId="3AC293F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6.适用：幼儿园毛巾、小件布艺物品消杀；整机符合家用电器安全相关标准；</w:t>
            </w:r>
          </w:p>
          <w:p w14:paraId="1672272A">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7.供货：全新设备，配套电源线，随货提供产品合格证、使用说明书。</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94B3DB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5548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FA3C3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B047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700 </w:t>
            </w:r>
          </w:p>
        </w:tc>
      </w:tr>
      <w:tr w14:paraId="69247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797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3C6D9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塑料乌龟车升级款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21D1ED">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1.参考外形尺寸：500mm×370mm，长宽允许 ±2cm 合理公差；</w:t>
            </w:r>
          </w:p>
          <w:p w14:paraId="416708C2">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2.结构设计：车体四周具备拼接结构，多台车辆可相互拼接组合使用；</w:t>
            </w:r>
          </w:p>
          <w:p w14:paraId="3838D17F">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3.车轮配置：配备 2 寸静音万向轮，转动顺滑、噪音低，不伤塑胶、木地板，正常使用不易脱落；</w:t>
            </w:r>
          </w:p>
          <w:p w14:paraId="6A4FC8F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4.材质要求：全新高密度环保 PP 塑料，韧性强、耐撞击、不易开裂，无刺激性异味；有害物质符合 GB 6675《玩具安全》标准；</w:t>
            </w:r>
          </w:p>
          <w:p w14:paraId="5B9EB15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5.安全工艺：车体所有边角圆弧钝化处理，无毛刺、尖角；静态承重满足幼儿滑行训练使用；</w:t>
            </w:r>
          </w:p>
          <w:p w14:paraId="38EBC3C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6.外观颜色：深色系（如黑色），采购人可在到货阶段确认配色；</w:t>
            </w:r>
          </w:p>
          <w:p w14:paraId="5E19A9B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7.供货要求：全新成品，配件齐全，随货附带产品合格证。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BDA7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0547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36103C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44C0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2500 </w:t>
            </w:r>
          </w:p>
        </w:tc>
      </w:tr>
      <w:tr w14:paraId="3B7F3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1DD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370D5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大型户外碳烧积木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6AE0A2">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大型户外碳化实木建构积木（总计 1633 件，25 种造型）</w:t>
            </w:r>
          </w:p>
          <w:p w14:paraId="374207E4">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一、材质要求</w:t>
            </w:r>
          </w:p>
          <w:p w14:paraId="2C7D044C">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主体采用优质实木，经过充分烘干、碳化防腐处理；新西兰松、国产烘干松木及同等性能实木均可选用；木材无腐朽、虫蛀、大面积死节、贯通裂纹，含水率适配户外环境，长期露天使用不易开裂变形。</w:t>
            </w:r>
          </w:p>
          <w:p w14:paraId="6E727B45">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二、加工工艺</w:t>
            </w:r>
          </w:p>
          <w:p w14:paraId="0A3B126C">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1.积木表面碳化工艺处理；喷涂户外水性环保清漆；</w:t>
            </w:r>
          </w:p>
          <w:p w14:paraId="2C2B0AEF">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2.所有板材边缘统一打磨圆角，光滑无毛刺，杜绝尖锐棱角，防止幼儿磕碰划伤；</w:t>
            </w:r>
          </w:p>
          <w:p w14:paraId="12C29178">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3.板材切割规整，拼接搭建稳固，适配幼儿园户外安吉游戏建构活动。</w:t>
            </w:r>
          </w:p>
          <w:p w14:paraId="648298C1">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三、环保与质量标准</w:t>
            </w:r>
          </w:p>
          <w:p w14:paraId="61A88A27">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 xml:space="preserve">成品整体符合 GB 6675《玩具安全》系列国家标准及 GB 18581-2020 木器涂料有害物质限值要求。 </w:t>
            </w:r>
            <w:r>
              <w:rPr>
                <w:rFonts w:hint="eastAsia" w:ascii="宋体" w:hAnsi="宋体" w:cs="宋体"/>
                <w:i w:val="0"/>
                <w:iCs w:val="0"/>
                <w:strike w:val="0"/>
                <w:dstrike w:val="0"/>
                <w:color w:val="auto"/>
                <w:kern w:val="0"/>
                <w:sz w:val="20"/>
                <w:szCs w:val="20"/>
                <w:highlight w:val="none"/>
                <w:u w:val="none"/>
                <w:lang w:val="en-US" w:eastAsia="zh-CN" w:bidi="ar"/>
              </w:rPr>
              <w:t>成交</w:t>
            </w:r>
            <w:r>
              <w:rPr>
                <w:rFonts w:hint="eastAsia" w:ascii="宋体" w:hAnsi="宋体" w:eastAsia="宋体" w:cs="宋体"/>
                <w:i w:val="0"/>
                <w:iCs w:val="0"/>
                <w:strike w:val="0"/>
                <w:dstrike w:val="0"/>
                <w:color w:val="auto"/>
                <w:kern w:val="0"/>
                <w:sz w:val="20"/>
                <w:szCs w:val="20"/>
                <w:highlight w:val="none"/>
                <w:u w:val="none"/>
                <w:lang w:val="en-US" w:eastAsia="zh-CN" w:bidi="ar"/>
              </w:rPr>
              <w:t>供货后，采购人可要求供应商提供具备 CMA 资质第三方检测机构出具的检测资料备查，检测覆盖：</w:t>
            </w:r>
          </w:p>
          <w:p w14:paraId="6965C282">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1.GB 6675.1-2014 玩具安全 第 1 部分：基本规范</w:t>
            </w:r>
          </w:p>
          <w:p w14:paraId="2DF7306C">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2.GB 6675.2-2014 玩具安全 第 2 部分：机械与物理性能</w:t>
            </w:r>
          </w:p>
          <w:p w14:paraId="61D15AE4">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3.GB 6675.3-2014 玩具安全 第 3 部分：易燃性能</w:t>
            </w:r>
          </w:p>
          <w:p w14:paraId="10CB875E">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4.GB 6675.1-2014 邻苯二甲酸酯增塑剂</w:t>
            </w:r>
          </w:p>
          <w:p w14:paraId="4C9DBC00">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5.GB 6675.1-2014、GB 6675.4-2014 特定元素的迁移</w:t>
            </w:r>
          </w:p>
          <w:p w14:paraId="474A6D1F">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6.GB 18581-2020 木器涂料甲醛限值</w:t>
            </w:r>
          </w:p>
          <w:p w14:paraId="621DE614">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四、构件清单（参考尺寸，长宽厚允许 ±1.5cm 合理公差）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1.长条板(有槽)：120*10*2.5cm  8个，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2.正方形Ⅰ： 10*10*5cm 300个，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3.正方形Ⅱ： 10*10*2.5cm 650个，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4.长方形Ⅰ：20*10*5cm 60个，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5.长方形Ⅱ：20*10*2.5cm 342个，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6.长方形Ⅲ：40*10*2.5cm 30个，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7.长方形Ⅳ：60*10*2.5cm 8个，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8.长方形（开槽）Ⅴ：60*10*2.5cm 8个，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9.长方形Ⅵ：80*10*2.5cm 6个，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10.等腰三角形：39*20*2.5cm 8个，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11.直角三角形：40*20*2.5cm 8个，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12.圆柱积木Ⅰ：Φ10*20cm 2个，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13.圆柱积木Ⅱ：Φ10*40cm 2个，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14.圆柱积木Ⅲ：Φ5*10cm 90个，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15.圆柱积木Ⅳ：Φ5*20cm 70个，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16.圆柱积木Ⅴ：Φ5*40cm 15个，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17.半圆环积木：30*15*2.5cm 6个，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18.半圆积木：15*7.5*2.5cm 6个，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19.弧形积木：40*14*2.5cm 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20.扇形积木：半径为20cm 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21.Y型：40*30*2.5cm 1个，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22.三叉路：40*30*2.5cm 1个，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23.锥形10*10*15cm 1个，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24.推车59*48*56cm  2辆，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25.单梯150*50*5cm 1个，</w:t>
            </w:r>
          </w:p>
          <w:p w14:paraId="149092A2">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五、验收要求</w:t>
            </w:r>
          </w:p>
          <w:p w14:paraId="0312E11D">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全套积木数量齐全，造型规格匹配清单；碳化均匀、漆面完整，无明显开裂、尖锐边角；成品无刺激性异味，适配园区户外长期使用。</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A00A13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83AB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DACD1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0C66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18000 </w:t>
            </w:r>
          </w:p>
        </w:tc>
      </w:tr>
      <w:tr w14:paraId="6747E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4A4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7FA31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万能组合工匠大型户外拼插积木玩具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E3EB75">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整体用途：幼儿园户外建构游戏、幼儿空间思维、搭建游戏使用</w:t>
            </w:r>
          </w:p>
          <w:p w14:paraId="7A475ACE">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1.通用材质工艺要求： 所有塑料构件采用全新环保 PP 原料，不添加回收废料；韧性强、抗冲击、耐紫外线老化，适合户外长期摆放；无刺激性异味。 全部边角圆弧钝化，无毛刺、尖锐棱角；材质有害物质符合 GB 6675《玩具安全》国家标准；拼插接口咬合紧密，搭建稳固不易散架。</w:t>
            </w:r>
          </w:p>
          <w:p w14:paraId="60D8633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2.构件清单（以下均为参考尺寸，允许 ±10mm 合理公差） </w:t>
            </w:r>
          </w:p>
          <w:p w14:paraId="6879AB7D">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（1）空心基础长方体积木：300mm×150mm×150mm，黄色，40 个 </w:t>
            </w:r>
          </w:p>
          <w:p w14:paraId="4DDAD687">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（2）双倍宽长方体积木：300mm×300mm×150mm，黄色，20 个 </w:t>
            </w:r>
          </w:p>
          <w:p w14:paraId="4E421E49">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（3）双倍长宽长方体积木：600mm×300mm×150mm，黄色，12 个</w:t>
            </w:r>
          </w:p>
          <w:p w14:paraId="4A139DC9">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（4）基础三角柱积木：直角边 300mm×150mm，黄色，8 个 </w:t>
            </w:r>
          </w:p>
          <w:p w14:paraId="38C3674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（5）双倍边长三角柱积木：直角边 300mm×300mm，黄色，8 个 </w:t>
            </w:r>
          </w:p>
          <w:p w14:paraId="25B10733">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（6）小型积木砖：200mm×100mm×50mm；黄色 160 个、蓝色 160 个，合计 320 个 </w:t>
            </w:r>
          </w:p>
          <w:p w14:paraId="14D60B02">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（7）单卡口拼插积木：300mm×100mm×50mm，蓝色，96 个 </w:t>
            </w:r>
          </w:p>
          <w:p w14:paraId="09217D0E">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（8）双卡口拼插积木：600mm×100mm×50mm，蓝色，96 个 </w:t>
            </w:r>
          </w:p>
          <w:p w14:paraId="6E22E714">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（9）双卡双层拼插积木：600mm×300mm×50mm，蓝色，16 个 </w:t>
            </w:r>
          </w:p>
          <w:p w14:paraId="1403FC37">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（10）三角拼插积木：底边 266mm× 腰 505mm× 高 50mm，蓝色，12 个 </w:t>
            </w:r>
          </w:p>
          <w:p w14:paraId="0388167C">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（11）万能魔方（方形积木）：135mm×135mm×135mm，双色组合，90 个 </w:t>
            </w:r>
          </w:p>
          <w:p w14:paraId="7387E6C1">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（12）万能三角积木：直角边 135mm×135mm，双色组合，20 个 </w:t>
            </w:r>
          </w:p>
          <w:p w14:paraId="061B67D9">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（13）万能圆盘：直径 210mm，高度 80mm，蓝色，20 个 </w:t>
            </w:r>
          </w:p>
          <w:p w14:paraId="1EB3E912">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（14）万能双接头：160mm×80mm×40mm，黄色，40 个 </w:t>
            </w:r>
          </w:p>
          <w:p w14:paraId="1E454657">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（15）连接短管：直径 38mm，长度 75mm，蓝、红色，合计 110 个 </w:t>
            </w:r>
          </w:p>
          <w:p w14:paraId="6570B70B">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（16）连接中管：直径 38mm，长度 340mm，蓝、红色，合计 20 个 </w:t>
            </w:r>
          </w:p>
          <w:p w14:paraId="2E64B753">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（17）连接长管 Ⅰ：直径 38mm，长度 480mm，蓝、红色，合计 20 个 </w:t>
            </w:r>
          </w:p>
          <w:p w14:paraId="38528FE9">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（18）连接长管 Ⅱ：直径 38mm，长度 610mm，蓝、红色，合计 20 个 </w:t>
            </w:r>
          </w:p>
          <w:p w14:paraId="008C9851">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（19）配套橡皮锤：2 把</w:t>
            </w:r>
          </w:p>
          <w:p w14:paraId="41F579F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3D87F4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1471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4439E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3783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28000 </w:t>
            </w:r>
          </w:p>
        </w:tc>
      </w:tr>
      <w:tr w14:paraId="4F383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877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45984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花箱</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16B99C">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不锈钢花箱 4 个</w:t>
            </w:r>
          </w:p>
          <w:p w14:paraId="615A992B">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1.参考外形尺寸：1200mm×400mm×400mm，长宽高允许 ±15mm 合理加工公差；</w:t>
            </w:r>
          </w:p>
          <w:p w14:paraId="1C84263E">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2.材质工艺：采用不锈钢板材折弯焊接成型；板材具备良好防锈能力，适合户外环境；焊缝打磨平整，无毛刺、尖角；箱体结构牢固，承重不变形；</w:t>
            </w:r>
          </w:p>
          <w:p w14:paraId="06E48F65">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3.外观要求：表面灰色处理（喷塑 / 磨砂工艺），涂层附着力强，户外耐日晒雨淋，不易起皮生锈；</w:t>
            </w:r>
          </w:p>
          <w:p w14:paraId="7B19DA3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4.安全工艺：所有外露边角圆弧打磨处理，避免磕碰划伤；箱体可预留排水孔，防止积水烂根；</w:t>
            </w:r>
          </w:p>
          <w:p w14:paraId="673FA991">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5.供货验收：全新成品，无变形、破损、明显色差；配套可按需安装，满足园区绿化摆放使用。</w:t>
            </w:r>
          </w:p>
          <w:p w14:paraId="35DB48BA">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4B8D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B668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E62B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72ED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3000 </w:t>
            </w:r>
          </w:p>
        </w:tc>
      </w:tr>
      <w:tr w14:paraId="1378E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B33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51BAD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花箱</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8336D1">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不锈钢花箱 4 个</w:t>
            </w:r>
          </w:p>
          <w:p w14:paraId="5B8A10E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1.参考外形尺寸：800mm×400mm×800mm，长宽高允许 ±15mm 合理加工公差；</w:t>
            </w:r>
          </w:p>
          <w:p w14:paraId="2934B2D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2.材质工艺：采用不锈钢板材折弯焊接成型；板材具备良好防锈能力，适合户外环境；焊缝打磨平整，无毛刺、尖角；箱体结构牢固，承重不变形；</w:t>
            </w:r>
          </w:p>
          <w:p w14:paraId="2508DA9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3.外观要求：表面灰色处理（喷塑 / 磨砂工艺），涂层附着力强，户外耐日晒雨淋，不易起皮生锈；</w:t>
            </w:r>
          </w:p>
          <w:p w14:paraId="1461BF34">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4.安全工艺：所有外露边角圆弧打磨处理，避免磕碰划伤；箱体可预留排水孔，防止积水烂根；</w:t>
            </w:r>
          </w:p>
          <w:p w14:paraId="4E8CD881">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5.供货验收：全新成品，无变形、破损、明显色差；配套可按需安装，满足园区绿化摆放使用。</w:t>
            </w:r>
          </w:p>
          <w:p w14:paraId="6050327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4FFF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B07F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597ACA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0C63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2400 </w:t>
            </w:r>
          </w:p>
        </w:tc>
      </w:tr>
      <w:tr w14:paraId="2EE31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174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9C09B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小车划船组合户外运动12件套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191E4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一、小车划船组合户外运动器材（整套 12 件套，以下所有长度尺寸为参考规格，允许 ±20mm 合理加工公差）</w:t>
            </w:r>
          </w:p>
          <w:p w14:paraId="125EA4A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1.PU 滑行小车（大轮）：轮子参考直径 570mm，整车参考总长 800mm，配备 PU 静音大轮，共 2 套； 车轮材质厚实耐磨，转动顺滑，车体边角圆弧处理，适合幼儿滑行训练。</w:t>
            </w:r>
          </w:p>
          <w:p w14:paraId="374415FB">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2.碳化实木长梯：参考长度 2500mm，1 根；</w:t>
            </w:r>
          </w:p>
          <w:p w14:paraId="5B211CB1">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3.碳化实木长板：参考长度 2500mm，1 块；</w:t>
            </w:r>
          </w:p>
          <w:p w14:paraId="2161D01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4.碳化实木支撑杆：参考长度 1200mm，8 根；</w:t>
            </w:r>
          </w:p>
          <w:p w14:paraId="48C233A5">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二、实木构件通用材质与工艺</w:t>
            </w:r>
          </w:p>
          <w:p w14:paraId="7B622CE3">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1.木材：优质实木，经过充分烘干、碳化防腐处理；新西兰松、国产烘干松木及同等性能实木均可选用；无腐朽、虫蛀、大面积死节、贯通裂纹。</w:t>
            </w:r>
          </w:p>
          <w:p w14:paraId="006AA40E">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2.加工工艺：所有木料边缘全方位圆角打磨，光滑无毛刺；表面碳化处理，可喷涂环保户外清漆；拼接组装牢固，满足幼儿攀爬、平衡、划船联动游戏承重要求。</w:t>
            </w:r>
          </w:p>
          <w:p w14:paraId="6BF17551">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3.安全标准：符合 GB 6675 玩具安全相关要求，适配幼儿园户外体能活动区域长期使用。</w:t>
            </w:r>
          </w:p>
          <w:p w14:paraId="7542035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三、验收要求</w:t>
            </w:r>
          </w:p>
          <w:p w14:paraId="00EDA1E2">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全套构件数量齐全；实木构件无严重变形、开裂；边角打磨到位，无尖锐棱角；PU 轮无破损、漏气、开裂；整套可自由组合搭建划船联动游戏结构。</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8DAAFF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FD2C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A7C99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FD77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2500 </w:t>
            </w:r>
          </w:p>
        </w:tc>
      </w:tr>
      <w:tr w14:paraId="4A8C0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107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8684B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万能组合工匠大型户外拼插积木玩具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A987F6">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一、产品整体规格</w:t>
            </w:r>
          </w:p>
          <w:p w14:paraId="37391105">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整体组装参考外形尺寸：2400mm×1150mm×1080mm，整体尺寸允许±20mm合理组装公差；整套配置合计174件，包含圆盆、连接管件两大组件，可自由拼接组合，适配幼儿园户外大型建构游戏、体能创意搭建活动。</w:t>
            </w:r>
          </w:p>
          <w:p w14:paraId="1D83899E">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二、配件明细规格（参考尺寸）</w:t>
            </w:r>
          </w:p>
          <w:p w14:paraId="1BDF62C3">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1、圆形拼插盆：共60只，标准配套组合圆盆，适配整套管件拼接组装，拼接卡扣咬合紧密，拆装便捷、搭建稳固；</w:t>
            </w:r>
          </w:p>
          <w:p w14:paraId="77EB174E">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2、连接管件：共114件，参考管径48mm，为整套积木核心连接配件，管材壁厚均匀、韧性强，适配多维度组合搭建。</w:t>
            </w:r>
          </w:p>
          <w:p w14:paraId="7BC8E3FE">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三、通用材质与工艺要求</w:t>
            </w:r>
          </w:p>
          <w:p w14:paraId="3D0F9A80">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1、材质：全部采用全新环保原生PP塑料材质，无回收废料、无杂质，无刺鼻异味，材质韧性高、抗撞击、防开裂、耐磨损，具备优良的抗紫外线、抗老化、防水防潮性能，可长期适配幼儿园户外暴晒、淋雨等复杂环境使用。</w:t>
            </w:r>
          </w:p>
          <w:p w14:paraId="48F725A3">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2、工艺：产品一体注塑成型，表面光滑平整，无毛刺、无裂纹、无变形；所有外露边角全部采用圆弧钝化打磨处理，无尖锐棱角、无锋利缺口，彻底规避幼儿磕碰、划伤风险。</w:t>
            </w:r>
          </w:p>
          <w:p w14:paraId="19396289">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3、拼接结构：拼插接口精准适配，插拔顺畅不卡顿，拼接后结构稳固，不易松动、散架，满足幼儿搭建、推拉、触碰等常态化游戏使用需求。</w:t>
            </w:r>
          </w:p>
          <w:p w14:paraId="6056C987">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四、安全与环保标准</w:t>
            </w:r>
          </w:p>
          <w:p w14:paraId="7E10A6C9">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整套产品完全符合GB 6675-2014《玩具安全》国家标准，有害物质、可迁移重金属、邻苯二甲酸酯等指标全部达标，安全无毒，适配3-6岁学龄前幼儿使用。</w:t>
            </w:r>
          </w:p>
          <w:p w14:paraId="143A450D">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9563FD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A782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FB508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E4CA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5880 </w:t>
            </w:r>
          </w:p>
        </w:tc>
      </w:tr>
      <w:tr w14:paraId="03642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A99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9DEAD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万能组合工匠大型户外拼插积木玩具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E55217">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一、产品整体规格</w:t>
            </w:r>
          </w:p>
          <w:p w14:paraId="445A4C9C">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整体组装参考外形尺寸：3100mm×32000mm×1460mm，整体尺寸允许±20mm合理组装公差；整套配置合计160件，包含圆盆、连接管件两大组件，可自由拼接组合，适配幼儿园户外大型建构游戏、体能创意搭建活动。</w:t>
            </w:r>
          </w:p>
          <w:p w14:paraId="21116BAD">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二、配件明细规格（参考尺寸）</w:t>
            </w:r>
          </w:p>
          <w:p w14:paraId="21B96943">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1、圆形拼插盆：共50只，标准配套组合圆盆，适配整套管件拼接组装，拼接卡扣咬合紧密，拆装便捷、搭建稳固；</w:t>
            </w:r>
          </w:p>
          <w:p w14:paraId="64EFACF4">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2、连接管件：共110件，参考管径48mm，为整套积木核心连接配件，管材壁厚均匀、韧性强，适配多维度组合搭建。</w:t>
            </w:r>
          </w:p>
          <w:p w14:paraId="11DF5103">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三、通用材质与工艺要求</w:t>
            </w:r>
          </w:p>
          <w:p w14:paraId="7D98CBF3">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1、材质：全部采用全新环保原生PP塑料材质，无回收废料、无杂质，无刺鼻异味，材质韧性高、抗撞击、防开裂、耐磨损，具备优良的抗紫外线、抗老化、防水防潮性能，可长期适配幼儿园户外暴晒、淋雨等复杂环境使用。</w:t>
            </w:r>
          </w:p>
          <w:p w14:paraId="50B1AD00">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2、工艺：产品一体注塑成型，表面光滑平整，无毛刺、无裂纹、无变形；所有外露边角全部采用圆弧钝化打磨处理，无尖锐棱角、无锋利缺口，彻底规避幼儿磕碰、划伤风险。</w:t>
            </w:r>
          </w:p>
          <w:p w14:paraId="4A8293F7">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3、拼接结构：拼插接口精准适配，插拔顺畅不卡顿，拼接后结构稳固，不易松动、散架，满足幼儿搭建、推拉、触碰等常态化游戏使用需求。</w:t>
            </w:r>
          </w:p>
          <w:p w14:paraId="637BEBBF">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四、安全与环保标准</w:t>
            </w:r>
          </w:p>
          <w:p w14:paraId="17605A99">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整套产品完全符合GB 6675-2014《玩具安全》国家标准，有害物质、可迁移重金属、邻苯二甲酸酯等指标全部达标，安全无毒，适配3-6岁学龄前幼儿使用。</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7D0E23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B074A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A7E697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6D34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5630 </w:t>
            </w:r>
          </w:p>
        </w:tc>
      </w:tr>
      <w:tr w14:paraId="153A5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133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0095E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万能组合工匠大型户外拼插积木玩具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34FE23">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一、产品整体规格</w:t>
            </w:r>
          </w:p>
          <w:p w14:paraId="690BD9D0">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整体组装参考外形尺寸：3100mm×3200mm×1460mm，整体尺寸允许±20mm合理组装公差；整套配置合计160件，包含圆盆、连接管件两大组件，可自由拼接组合，适配幼儿园户外大型建构游戏、体能创意搭建活动。</w:t>
            </w:r>
          </w:p>
          <w:p w14:paraId="564454D5">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二、配件明细规格（参考尺寸）</w:t>
            </w:r>
          </w:p>
          <w:p w14:paraId="46AF4BD1">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1、组合圆球：共12个，适配整套管件、圆盆拼接组装，拼接卡位精准、咬合紧密，拆装便捷、搭建稳固，适配多造型组合搭建；</w:t>
            </w:r>
          </w:p>
          <w:p w14:paraId="366E8567">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2、圆形拼插盆：共16只，标准配套组合圆盆，适配整套管件、圆球拼接组装，结构适配性强，搭建造型稳定；</w:t>
            </w:r>
          </w:p>
          <w:p w14:paraId="4DD65187">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3、连接管件：共49件，参考管径48mm，为整套积木核心连接配件，管材壁厚均匀、韧性强，适配多维度组合搭建，可搭配圆球、圆盆完成大型创意造型拼接。</w:t>
            </w:r>
          </w:p>
          <w:p w14:paraId="29A75CBD">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三、通用材质与工艺要求</w:t>
            </w:r>
          </w:p>
          <w:p w14:paraId="1E8B097C">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1、材质：全部采用全新环保原生PP塑料材质，无回收废料、无杂质，无刺鼻异味，材质韧性高、抗撞击、防开裂、耐磨损，具备优良的抗紫外线、抗老化、防水防潮性能，可长期适配幼儿园户外暴晒、淋雨等复杂环境使用。</w:t>
            </w:r>
          </w:p>
          <w:p w14:paraId="74C0C559">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2、工艺：产品一体注塑成型，表面光滑平整，无毛刺、无裂纹、无变形；所有外露边角全部采用圆弧钝化打磨处理，无尖锐棱角、无锋利缺口，彻底规避幼儿磕碰、划伤风险。</w:t>
            </w:r>
          </w:p>
          <w:p w14:paraId="407612A1">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3、拼接结构：拼插接口精准适配，插拔顺畅不卡顿，拼接后结构稳固，不易松动、散架，满足幼儿搭建、推拉、触碰等常态化游戏使用需求。</w:t>
            </w:r>
          </w:p>
          <w:p w14:paraId="22B9B062">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四、安全与环保标准</w:t>
            </w:r>
          </w:p>
          <w:p w14:paraId="145DFC97">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整套产品完全符合GB 6675-2014《玩具安全》国家标准，有害物质、可迁移重金属、邻苯二甲酸酯等指标全部达标，安全无毒，适配3-6岁学龄前幼儿使用。</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B8D146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378DB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CBA4F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3790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93AC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3790 </w:t>
            </w:r>
          </w:p>
        </w:tc>
      </w:tr>
      <w:tr w14:paraId="0DCE0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F4F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E73F5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户外遮阳帐篷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92DBA1">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1.参考外形尺寸：3000mm×6000mm，长宽允许 ±30mm 合理公差；</w:t>
            </w:r>
          </w:p>
          <w:p w14:paraId="75B4B205">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2.骨架要求：加厚钢制骨架，推荐 45mm 六边形管材，管材壁厚充足，结构稳固、抗风性能良好，表面防锈喷涂处理；</w:t>
            </w:r>
          </w:p>
          <w:p w14:paraId="38CBAC57">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3.篷布：双层结构面料，具备优良防晒、防雨、抗紫外线性能，面料耐磨抗撕裂，长期户外使用不易老化渗水；</w:t>
            </w:r>
          </w:p>
          <w:p w14:paraId="0912884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4.开启方式：半自动伸缩结构，配备便捷控制按键，折叠收纳方便；组装简便，可快速搭建与收拢；</w:t>
            </w:r>
          </w:p>
          <w:p w14:paraId="5C17D10E">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5.外观颜色：优选卡其色，供货前双方确认最终配色；</w:t>
            </w:r>
          </w:p>
          <w:p w14:paraId="7E68CAC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6.通用要求：四角支撑结构，配件齐全；接缝处防水处理；金属构件防锈防腐；适配园区户外活动遮阳使用。</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0B5A99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9AA9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把</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D08DB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31CE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3200 </w:t>
            </w:r>
          </w:p>
        </w:tc>
      </w:tr>
      <w:tr w14:paraId="4A723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2C6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71F05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小号跳马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5F794A">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1.参考外形尺寸：390mm×190mm×180mm，尺寸允许 ±15mm 合理公差；</w:t>
            </w:r>
          </w:p>
          <w:p w14:paraId="08A149E1">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2.高度调节区间：最低高度 650mm，最高高度 800mm，档位调节牢固可靠；</w:t>
            </w:r>
          </w:p>
          <w:p w14:paraId="1FA50851">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3.支架材质：加厚钢管支架，推荐主管管径 50mm；管材管壁厚实，整体承重稳定，钢管表面静电喷涂防锈处理；调节卡扣紧固不打滑；</w:t>
            </w:r>
          </w:p>
          <w:p w14:paraId="6698519E">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4.跳马表层：优质耐磨皮革包裹，内部高密度高回弹海绵填充，软硬适中；皮革缝合紧密，耐拉扯、不易开裂，便于消毒擦拭；</w:t>
            </w:r>
          </w:p>
          <w:p w14:paraId="6133A14F">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5.安全工艺：金属支架无尖锐毛刺，底部配备防滑脚垫，训练使用不易滑动；所有外露硬质边角做钝化防护；</w:t>
            </w:r>
          </w:p>
          <w:p w14:paraId="56D88AA1">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6.使用标准：适用于幼儿园体操、感统体能训练；成品无异味，满足幼儿体育器材安全使用要求。</w:t>
            </w:r>
          </w:p>
        </w:tc>
        <w:tc>
          <w:tcPr>
            <w:tcW w:w="0" w:type="auto"/>
            <w:tcBorders>
              <w:top w:val="single" w:color="000000" w:sz="4" w:space="0"/>
              <w:left w:val="single" w:color="000000" w:sz="4" w:space="0"/>
              <w:bottom w:val="single" w:color="000000" w:sz="4" w:space="0"/>
              <w:right w:val="nil"/>
            </w:tcBorders>
            <w:shd w:val="clear" w:color="auto" w:fill="FFFFFF"/>
            <w:noWrap/>
            <w:vAlign w:val="center"/>
          </w:tcPr>
          <w:p w14:paraId="78AF7C0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79E5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A76C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B1D6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450 </w:t>
            </w:r>
          </w:p>
        </w:tc>
      </w:tr>
      <w:tr w14:paraId="6FF53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1B9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B8E19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中号跳马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5A9A3D">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1.参考外形尺寸：490mm×220mm×220mm，尺寸允许 ±15mm 合理公差；</w:t>
            </w:r>
          </w:p>
          <w:p w14:paraId="3085BDBD">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2.高度调节区间：最低高度800mm，最高高度1000mm，档位调节牢固可靠；</w:t>
            </w:r>
          </w:p>
          <w:p w14:paraId="0AEB4047">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3.支架材质：加厚钢管支架，推荐主管管径 50mm；管材管壁厚实，整体承重稳定，钢管表面静电喷涂防锈处理；调节卡扣紧固不打滑；</w:t>
            </w:r>
          </w:p>
          <w:p w14:paraId="3D3B713A">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4.跳马表层：优质耐磨皮革包裹，内部高密度高回弹海绵填充，软硬适中；皮革缝合紧密，耐拉扯、不易开裂，便于消毒擦拭；</w:t>
            </w:r>
          </w:p>
          <w:p w14:paraId="47C9B24A">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5.安全工艺：金属支架无尖锐毛刺，底部配备防滑脚垫，训练使用不易滑动；所有外露硬质边角做钝化防护；</w:t>
            </w:r>
          </w:p>
          <w:p w14:paraId="58022A13">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6.使用标准：适用于幼儿园体操、感统体能训练；成品无异味，满足幼儿体育器材安全使用要求。</w:t>
            </w:r>
          </w:p>
        </w:tc>
        <w:tc>
          <w:tcPr>
            <w:tcW w:w="0" w:type="auto"/>
            <w:tcBorders>
              <w:top w:val="single" w:color="000000" w:sz="4" w:space="0"/>
              <w:left w:val="single" w:color="000000" w:sz="4" w:space="0"/>
              <w:bottom w:val="single" w:color="000000" w:sz="4" w:space="0"/>
              <w:right w:val="nil"/>
            </w:tcBorders>
            <w:shd w:val="clear" w:color="auto" w:fill="FFFFFF"/>
            <w:noWrap/>
            <w:vAlign w:val="center"/>
          </w:tcPr>
          <w:p w14:paraId="7E1183F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E343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57E5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8081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450 </w:t>
            </w:r>
          </w:p>
        </w:tc>
      </w:tr>
      <w:tr w14:paraId="510D2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14A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3B8BE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二簧跳板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8B9543">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1.参考外形尺寸：500mm×800mm×200mm，尺寸允许 ±20mm 合理公差；</w:t>
            </w:r>
          </w:p>
          <w:p w14:paraId="326B8822">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2.弹性结构：配备双弹簧结构，弹簧采用优质钢材，经过防锈处理，弹力均衡、回弹稳定，不易疲劳变形；</w:t>
            </w:r>
          </w:p>
          <w:p w14:paraId="77158223">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3.额定承重≥55kg；</w:t>
            </w:r>
          </w:p>
          <w:p w14:paraId="10ED5619">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4.板面要求：板面平整，表层防滑耐磨处理；板材结构稳固，抗压不易断裂；</w:t>
            </w:r>
          </w:p>
          <w:p w14:paraId="268E229E">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5.安全工艺：所有边角钝化打磨，无尖锐棱角；底部设置防滑结构，起跳过程跳板不易移位；连接件紧固可靠，正常使用无松动异响；</w:t>
            </w:r>
          </w:p>
          <w:p w14:paraId="69F48E77">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6.适用场景：幼儿园体操、感统跳跃体能训练使用。</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685CFC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EC31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2A96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0786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300 </w:t>
            </w:r>
          </w:p>
        </w:tc>
      </w:tr>
      <w:tr w14:paraId="31E57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F07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54742C">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跑酷组合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12FB97">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一、整套器材明细（参考尺寸+数量）</w:t>
            </w:r>
          </w:p>
          <w:p w14:paraId="70E7DA2F">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w:t>
            </w:r>
          </w:p>
          <w:p w14:paraId="631CE065">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1、单面弧形跑酷箱体：参考尺寸175cm×75cm×175cm，共2个；弧形过渡流畅，适配幼儿翻越、跳跃训练，箱体稳固、抗压不变形。</w:t>
            </w:r>
          </w:p>
          <w:p w14:paraId="1B8568B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2、猫挂三角架：参考尺寸120cm×80cm×90cm，共2个；三角稳定结构，支撑牢固，适配幼儿悬挂、攀爬、平衡训练。</w:t>
            </w:r>
          </w:p>
          <w:p w14:paraId="73BA09BD">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3、渐进式跳箱：参考尺寸76cm×65cm×130cm，共1个；分层渐进结构，适配幼儿阶梯式跳跃体能训练。</w:t>
            </w:r>
          </w:p>
          <w:p w14:paraId="66CEFEC7">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4、跑酷跳箱一：参考尺寸90cm×45cm×48cm，共1个；箱体方正稳固，海绵填充饱满，跳跃缓冲性佳。</w:t>
            </w:r>
          </w:p>
          <w:p w14:paraId="5CA6AC37">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5、跑酷跳箱二：参考尺寸90cm×70cm×75cm，共1个；加厚箱体设计，承重抗压，适配幼儿跳跃、跨越训练。</w:t>
            </w:r>
          </w:p>
          <w:p w14:paraId="59E3A142">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6、跑酷跳箱三：参考尺寸90cm×68cm×60cm，共1个；尺寸适配低龄幼儿训练，缓冲安全、稳定性强。</w:t>
            </w:r>
          </w:p>
          <w:p w14:paraId="54E8FF9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7、跑酷跳箱四：参考尺寸90cm×70cm×95cm，共1个；高箱体设计，满足进阶跑酷跳跃训练需求。</w:t>
            </w:r>
          </w:p>
          <w:p w14:paraId="674C84A4">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8、升降三角架：参考尺寸100cm×100cm×170cm，共2个；可适配不同高度训练需求，三角稳固结构，抗撞击、不易倾倒。</w:t>
            </w:r>
          </w:p>
          <w:p w14:paraId="33BE68DF">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9、三角蹬：参考尺寸78cm×50cm×45cm，共8个；小巧轻便、堆叠组合灵活，适配合梯、跨越、踩踏平衡训练。</w:t>
            </w:r>
          </w:p>
          <w:p w14:paraId="690A185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10、双折训练体操垫：参考尺寸120cm×60cm×5cm，共5个；双折设计，收纳便捷；高密度海绵缓冲，表层防滑耐磨皮革，防护性佳，适配跑酷训练防护铺垫。</w:t>
            </w:r>
          </w:p>
          <w:p w14:paraId="24A1A12C">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二、材质与安全工艺要求</w:t>
            </w:r>
          </w:p>
          <w:p w14:paraId="483682C3">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1、主体箱体、支架结构稳固，板材厚实抗压，整体不易变形、开裂，适配幼儿园高频体能跑酷训练使用。</w:t>
            </w:r>
          </w:p>
          <w:p w14:paraId="17A115E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2、所有器材外露边角、棱边全部采用全方位大圆弧倒角钝化处理，无尖角、毛刺、锐利切口，杜绝磕碰划伤风险，符合GB 6675儿童玩具安全标准。</w:t>
            </w:r>
          </w:p>
          <w:p w14:paraId="1CCA311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3、软体部件采用高密度回弹海绵，外层包裹耐磨防水环保皮革，缝合工整紧密，不易开线、脱层、塌陷，表面光滑易清洁、可日常消毒擦拭。</w:t>
            </w:r>
          </w:p>
          <w:p w14:paraId="3AAE163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4、硬质支架采用加厚管材，焊接牢固、打磨平整，表面防锈防腐喷涂处理，结构承重稳定，训练过程无晃动、无松动异响。</w:t>
            </w:r>
          </w:p>
          <w:p w14:paraId="3936CAEE">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D8D136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49DD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25CC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E1E5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12000 </w:t>
            </w:r>
          </w:p>
        </w:tc>
      </w:tr>
      <w:tr w14:paraId="0BA99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974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786DD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户外四层收纳架带三角顶篷布置物柜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EE0993">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一、整体规格参数</w:t>
            </w:r>
          </w:p>
          <w:p w14:paraId="35E40B8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设备为四层收纳架+三角顶篷一体式户外置物柜，参考外形尺寸：2050mm×800mm×1200mm，尺寸允许±20mm合理加工及组装公差；底部配置移动万向轮，支持整体灵活推移、定点摆放，适配园区户外器材收纳、归类存放使用。</w:t>
            </w:r>
          </w:p>
          <w:p w14:paraId="07C697F7">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二、层板结构要求</w:t>
            </w:r>
          </w:p>
          <w:p w14:paraId="57B2962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设备共四层储物空间，下方三层配置不锈钢实心底板层板，层板平整厚实、承重性强、不易变形；表面光滑防锈、防水防潮，便于日常清洁擦拭，适配户外多场景存放器材、玩具、杂物；层板焊接/组装牢固，受力均匀，长期重载不塌陷、不松动。</w:t>
            </w:r>
          </w:p>
          <w:p w14:paraId="43801F5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三、顶篷与围挡结构</w:t>
            </w:r>
          </w:p>
          <w:p w14:paraId="47382FAC">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顶部配备三角防雨防晒顶篷，搭配加厚耐磨防水篷布，具备良好的户外遮阳、挡雨、防尘防护效果，可有效保护柜内收纳物品；围挡采用魔术贴开合结构，无拉链设计，开合便捷、不易损坏、故障率低，贴合幼儿园高频次开合使用需求，密封遮挡效果良好。</w:t>
            </w:r>
          </w:p>
          <w:p w14:paraId="5C6F188A">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四、移动与安全工艺</w:t>
            </w:r>
          </w:p>
          <w:p w14:paraId="4CBDFE9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1、底部配备静音万向移动轮，推行顺滑无卡顿，可自由移位，适配园区场地灵活摆放；轮子结构牢固，正常使用不易脱落、卡顿、破损。</w:t>
            </w:r>
          </w:p>
          <w:p w14:paraId="62D7A84F">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2、整体框架结构稳固，管材厚实、承重稳定，所有外露边角钝化打磨，无毛刺、尖角，杜绝磕碰安全隐患。</w:t>
            </w:r>
          </w:p>
          <w:p w14:paraId="460EBC55">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3、篷布材质环保无异味，耐磨抗老化、抗撕裂，可长期适应户外日晒、淋雨环境使用，不易褪色、破损、渗水。</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C713C1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7E5C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5FD5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CC6F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10000 </w:t>
            </w:r>
          </w:p>
        </w:tc>
      </w:tr>
      <w:tr w14:paraId="72460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50B8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A0396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幼儿绘本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0F32E4">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本次采购绘本涵盖六大通用品类，所有参选书籍需适配幼儿园教学场景，贴合幼儿成长特点，具体品类及通用标准如下，供应商可在对应品类内提供合规等效书籍：</w:t>
            </w:r>
          </w:p>
          <w:p w14:paraId="5B453734">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一、采购绘本品类</w:t>
            </w:r>
          </w:p>
          <w:p w14:paraId="456542DE">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1.经典童话类绘本：包含国内外经典童话故事，如白雪公主、丑小鸭、灰姑娘、小红帽等相关主题绘本，内容积极健康，无暴力、低俗、不良导向，适配幼儿认知水平，文字简洁易懂，画面生动形象。</w:t>
            </w:r>
          </w:p>
          <w:p w14:paraId="434E4D9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传统文化类绘本：涵盖中华优秀传统文化、传统节日、民间故事、成语典故等主题，如春节、端午、中秋等节日绘本，孔融让梨、愚公移山、曹冲称象等经典故事绘本，融入壮族等少数民族文化元素，传承中华优秀传统文化。</w:t>
            </w:r>
          </w:p>
          <w:p w14:paraId="4CDDB39D">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科普认知类绘本：包含自然科学、地理常识、昆虫科普、军事科普、数学启蒙、科学启蒙等内容，如天气认知、昆虫习性、太空探索、数学逻辑、物理常识等主题，以趣味化、具象化的方式传递科普知识，激发幼儿探索欲。</w:t>
            </w:r>
          </w:p>
          <w:p w14:paraId="17628D53">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习惯养成与品格培养类绘本：涵盖生活习惯、安全防护、情绪管理、社交能力、逆商培养、财商启蒙等主题，如交通安全、防拐骗、防霸凌、情绪疏导、学会分享、勇于面对困难、认识金钱等内容，助力幼儿养成良好习惯、塑造健全品格。</w:t>
            </w:r>
          </w:p>
          <w:p w14:paraId="730A15AE">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5.情感与亲情类绘本：包含亲情、友情、爱情等情感主题，如亲子陪伴、朋友相处、感恩他人等内容，传递温暖、包容、友爱的情感，培养幼儿的共情能力和情感表达能力。</w:t>
            </w:r>
          </w:p>
          <w:p w14:paraId="59367F31">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6.民族与地域文化类绘本：重点包含广西少数民族（壮族等）文化主题绘本，如民族服饰、民族节日、民间传说等，展现地域文化特色，增强幼儿的文化认同感和自豪感。</w:t>
            </w:r>
          </w:p>
          <w:p w14:paraId="41682952">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二、采购绘本质量标准</w:t>
            </w:r>
          </w:p>
          <w:p w14:paraId="0EB4966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 合规性标准：所有绘本为正规出版、公开发行的合法出版物，具备图书出版资质、ISBN书号，无盗版、无删减、无违规内容，符合国家出版物出版规范。</w:t>
            </w:r>
          </w:p>
          <w:p w14:paraId="212EF47D">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 适龄安全标准：适配3-6岁幼儿阅读，内容积极健康、三观正向，无暴力、低俗、恐怖、不良导向内容；纸张厚实、边缘圆角打磨、无毛刺、无刺鼻异味，油墨环保无毒，符合幼儿读物安全标准。</w:t>
            </w:r>
          </w:p>
          <w:p w14:paraId="1506BC5B">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 装帧品质标准：平装、精装均可，书页平整、印刷清晰、色彩均匀，无模糊、重影、漏印、脱页、破损问题，装订牢固，适合幼儿反复翻阅使用。</w:t>
            </w:r>
          </w:p>
          <w:p w14:paraId="17E1C0C5">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 内容适配标准：文字简洁易懂、配图精美、故事完整，贴合幼儿园教学大纲及幼儿认知规律，具备对应的教育启蒙价值，可满足幼儿园日常阅读、课堂教学、区域活动使用需求。</w:t>
            </w:r>
          </w:p>
          <w:p w14:paraId="0D043B0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三、其他要求：</w:t>
            </w:r>
            <w:r>
              <w:rPr>
                <w:rFonts w:hint="eastAsia" w:ascii="宋体" w:hAnsi="宋体" w:cs="宋体"/>
                <w:i w:val="0"/>
                <w:iCs w:val="0"/>
                <w:color w:val="auto"/>
                <w:kern w:val="0"/>
                <w:sz w:val="20"/>
                <w:szCs w:val="20"/>
                <w:highlight w:val="none"/>
                <w:u w:val="none"/>
                <w:lang w:val="en-US" w:eastAsia="zh-CN" w:bidi="ar"/>
              </w:rPr>
              <w:t>成交</w:t>
            </w:r>
            <w:r>
              <w:rPr>
                <w:rFonts w:hint="eastAsia" w:ascii="宋体" w:hAnsi="宋体" w:eastAsia="宋体" w:cs="宋体"/>
                <w:i w:val="0"/>
                <w:iCs w:val="0"/>
                <w:color w:val="auto"/>
                <w:kern w:val="0"/>
                <w:sz w:val="20"/>
                <w:szCs w:val="20"/>
                <w:highlight w:val="none"/>
                <w:u w:val="none"/>
                <w:lang w:val="en-US" w:eastAsia="zh-CN" w:bidi="ar"/>
              </w:rPr>
              <w:t>后，供应商须提交拟供货书目清单给幼儿园审核确认，采购人有权对不适合书目进行合理调换，总册数不变。</w:t>
            </w:r>
          </w:p>
          <w:p w14:paraId="667C242C">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FEF014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F30F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3F925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C8EE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8000 </w:t>
            </w:r>
          </w:p>
        </w:tc>
      </w:tr>
      <w:tr w14:paraId="537B0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915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111AD740">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0E03457C">
            <w:pPr>
              <w:keepNext w:val="0"/>
              <w:keepLines w:val="0"/>
              <w:widowControl/>
              <w:suppressLineNumbers w:val="0"/>
              <w:jc w:val="center"/>
              <w:textAlignment w:val="center"/>
              <w:rPr>
                <w:rFonts w:hint="eastAsia" w:ascii="宋体" w:hAnsi="宋体" w:eastAsia="宋体" w:cs="宋体"/>
                <w:b/>
                <w:bCs/>
                <w:i w:val="0"/>
                <w:iCs w:val="0"/>
                <w:color w:val="FF0000"/>
                <w:kern w:val="2"/>
                <w:sz w:val="20"/>
                <w:szCs w:val="20"/>
                <w:u w:val="none"/>
                <w:lang w:val="en-US" w:eastAsia="zh-CN" w:bidi="ar-SA"/>
              </w:rPr>
            </w:pPr>
            <w:r>
              <w:rPr>
                <w:rFonts w:hint="eastAsia" w:ascii="宋体" w:hAnsi="宋体" w:eastAsia="宋体" w:cs="宋体"/>
                <w:b/>
                <w:bCs/>
                <w:i w:val="0"/>
                <w:iCs w:val="0"/>
                <w:color w:val="FF0000"/>
                <w:kern w:val="0"/>
                <w:sz w:val="20"/>
                <w:szCs w:val="20"/>
                <w:u w:val="none"/>
                <w:lang w:val="en-US" w:eastAsia="zh-CN" w:bidi="ar"/>
              </w:rPr>
              <w:t>上林县文明路幼儿园</w:t>
            </w:r>
          </w:p>
        </w:tc>
        <w:tc>
          <w:tcPr>
            <w:tcW w:w="0" w:type="auto"/>
            <w:tcBorders>
              <w:top w:val="single" w:color="000000" w:sz="4" w:space="0"/>
              <w:left w:val="single" w:color="000000" w:sz="4" w:space="0"/>
              <w:bottom w:val="single" w:color="000000" w:sz="4" w:space="0"/>
              <w:right w:val="nil"/>
            </w:tcBorders>
            <w:shd w:val="clear" w:color="auto" w:fill="92D050"/>
            <w:noWrap/>
            <w:vAlign w:val="center"/>
          </w:tcPr>
          <w:p w14:paraId="25E0DB9D">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7DFE0783">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5FE5DC23">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432C933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100000 </w:t>
            </w:r>
          </w:p>
        </w:tc>
      </w:tr>
      <w:tr w14:paraId="27B3C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4E7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69B37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教学一体机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7DCF22">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一、整体设计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1、整机采用一体设计，外部无任何可见内部功能模块连接线。</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2、整机采用全金属外壳设计，边角采用弧形设计，表面无尖锐边缘或凸起；整机屏幕边缘采用金属圆角包边防护，整机背板采用金属材质。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3、整机屏幕采用65英寸液晶显示器。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4、整机采用LED液晶A规屏，显示比例16:9。</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w:t>
            </w:r>
            <w:r>
              <w:rPr>
                <w:color w:val="auto"/>
                <w:sz w:val="20"/>
                <w:szCs w:val="20"/>
                <w:highlight w:val="none"/>
              </w:rPr>
              <w:t>整机硬件性能与接口</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w:t>
            </w:r>
            <w:r>
              <w:rPr>
                <w:rStyle w:val="12"/>
                <w:color w:val="auto"/>
                <w:sz w:val="20"/>
                <w:szCs w:val="20"/>
                <w:highlight w:val="none"/>
              </w:rPr>
              <w:t>双系统配置</w:t>
            </w:r>
            <w:r>
              <w:rPr>
                <w:color w:val="auto"/>
                <w:sz w:val="20"/>
                <w:szCs w:val="20"/>
                <w:highlight w:val="none"/>
              </w:rPr>
              <w:t xml:space="preserve"> </w:t>
            </w:r>
            <w:r>
              <w:rPr>
                <w:rFonts w:hint="eastAsia"/>
                <w:color w:val="auto"/>
                <w:sz w:val="20"/>
                <w:szCs w:val="20"/>
                <w:highlight w:val="none"/>
              </w:rPr>
              <w:t>整机搭载 电脑模块 + 嵌入式系统，系统版本不低于 当前最新版本；系统内存 RAM≥4G，存储 ROM≥32G；安卓端可独立实现白板书写、文档编辑、网页浏览等基础教学功能。（相关性能指标可提供厂商彩页、功能截图、第三方检测报告任意一种佐证，设备到货验收时提供完整 CMA/CNAS 检测报告备查）</w:t>
            </w:r>
            <w:r>
              <w:rPr>
                <w:rFonts w:hint="eastAsia"/>
                <w:color w:val="auto"/>
                <w:sz w:val="20"/>
                <w:szCs w:val="20"/>
                <w:highlight w:val="none"/>
                <w:lang w:eastAsia="zh-CN"/>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color w:val="auto"/>
                <w:sz w:val="20"/>
                <w:szCs w:val="20"/>
                <w:highlight w:val="none"/>
                <w:lang w:val="en-US" w:eastAsia="zh-CN"/>
              </w:rPr>
              <w:t>2、</w:t>
            </w:r>
            <w:r>
              <w:rPr>
                <w:color w:val="auto"/>
                <w:sz w:val="20"/>
                <w:szCs w:val="20"/>
                <w:highlight w:val="none"/>
              </w:rPr>
              <w:t>整机配备前置外接接口，支持双系统共用读取 U 盘等存储设备；整机配备全功能 Type-C、HDMI、USB3.0 输入接口，侧置预留 HDMI、RS232、USB、音频输出、触控 USB 等拓展接口；整机外设拓展能力满足日常教学设备接驳需求，可通过拓展坞实现同等外接能力。前置接口配有防尘防护盖板，保护接口与外接 U 盘。</w:t>
            </w:r>
          </w:p>
          <w:p w14:paraId="7FEAC92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jc w:val="both"/>
              <w:rPr>
                <w:color w:val="auto"/>
                <w:sz w:val="20"/>
                <w:szCs w:val="20"/>
                <w:highlight w:val="none"/>
              </w:rPr>
            </w:pPr>
            <w:r>
              <w:rPr>
                <w:rFonts w:hint="eastAsia"/>
                <w:color w:val="auto"/>
                <w:sz w:val="20"/>
                <w:szCs w:val="20"/>
                <w:highlight w:val="none"/>
                <w:lang w:val="en-US" w:eastAsia="zh-CN"/>
              </w:rPr>
              <w:t>3、</w:t>
            </w:r>
            <w:r>
              <w:rPr>
                <w:color w:val="auto"/>
                <w:sz w:val="20"/>
                <w:szCs w:val="20"/>
                <w:highlight w:val="none"/>
              </w:rPr>
              <w:t>整机内置高品质扬声器，整机额定总输出功率≥60W，发声均匀，无杂音、破音，满足教室扩声需求。</w:t>
            </w:r>
          </w:p>
          <w:p w14:paraId="7CB0C1B9">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4、</w:t>
            </w:r>
            <w:r>
              <w:rPr>
                <w:color w:val="auto"/>
                <w:sz w:val="20"/>
                <w:szCs w:val="20"/>
                <w:highlight w:val="none"/>
              </w:rPr>
              <w:t>红外触控技术，最小识别触控物体≤3mm；整机支持双系统多点触控，触控流畅无断触。</w:t>
            </w:r>
          </w:p>
          <w:p w14:paraId="7A246976">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5、</w:t>
            </w:r>
            <w:r>
              <w:rPr>
                <w:color w:val="auto"/>
                <w:sz w:val="20"/>
                <w:szCs w:val="20"/>
                <w:highlight w:val="none"/>
              </w:rPr>
              <w:t>整机内置高清摄像头与阵列麦克风，无需外接线材；摄像头像素≥1600 万，广角设计，可完整覆盖教室区域，满足远程巡课、课堂录播；麦克风有效拾音距离≥10 米，多人发言清晰收录。设备自带摄像头工作指示灯，摄像状态直观提示。</w:t>
            </w:r>
          </w:p>
          <w:p w14:paraId="1A4BC6CE">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6、</w:t>
            </w:r>
            <w:r>
              <w:rPr>
                <w:color w:val="auto"/>
                <w:sz w:val="20"/>
                <w:szCs w:val="20"/>
                <w:highlight w:val="none"/>
              </w:rPr>
              <w:t>支持无线投屏功能，可通过 NFC、扫码、无线连接等任意一种方式实现手机、平板投屏，支持多台移动设备同时分屏展示。</w:t>
            </w:r>
          </w:p>
          <w:p w14:paraId="5914AE04">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 xml:space="preserve"> 7、内置双频 WiFi（2.4G+5GHz）、蓝牙模块，蓝牙标准不低于 Bluetooth 5.2；整机可无线联网、发射无线热点，双系统共用一套无线网络配置，无需重复设置；蓝牙可稳定连接外设，无线传输距离满足教室使用。</w:t>
            </w:r>
          </w:p>
          <w:p w14:paraId="4C21CB0C">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 xml:space="preserve"> 8、设备搭载护眼低蓝光背光方案，从硬件层面削减有害蓝光，显示画面无明显泛黄、色偏，符合校园护眼相关规范；屏幕 NTSC 色域覆盖率≥72%，安卓系统支持 4K 高清 UI 显示。</w:t>
            </w:r>
          </w:p>
          <w:p w14:paraId="0F6F5F59">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9、OPS 电脑配置：运行内存≥8G，固态硬盘≥256G。</w:t>
            </w:r>
          </w:p>
          <w:p w14:paraId="7F175384">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br w:type="textWrapping"/>
            </w:r>
            <w:r>
              <w:rPr>
                <w:rFonts w:hint="eastAsia" w:ascii="宋体" w:hAnsi="宋体" w:eastAsia="宋体" w:cs="宋体"/>
                <w:i w:val="0"/>
                <w:iCs w:val="0"/>
                <w:color w:val="auto"/>
                <w:kern w:val="0"/>
                <w:sz w:val="20"/>
                <w:szCs w:val="20"/>
                <w:highlight w:val="none"/>
                <w:u w:val="none"/>
                <w:lang w:val="en-US" w:eastAsia="zh-CN" w:bidi="ar"/>
              </w:rPr>
              <w:t>三、</w:t>
            </w:r>
            <w:r>
              <w:rPr>
                <w:color w:val="auto"/>
                <w:sz w:val="20"/>
                <w:szCs w:val="20"/>
                <w:highlight w:val="none"/>
              </w:rPr>
              <w:t>整机基础交互功能</w:t>
            </w:r>
          </w:p>
          <w:p w14:paraId="5AD6358D">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1、</w:t>
            </w:r>
            <w:r>
              <w:rPr>
                <w:color w:val="auto"/>
                <w:sz w:val="20"/>
                <w:szCs w:val="20"/>
                <w:highlight w:val="none"/>
              </w:rPr>
              <w:t>整机内置图像、音效调节模块，提供多种预设图像、音效模式，支持手动调节亮度、对比度、高低音、色温等参数，适配不同教学场景。</w:t>
            </w:r>
          </w:p>
          <w:p w14:paraId="5B19FBEC">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 xml:space="preserve"> 2、支持分屏、半屏显示功能，可一键切换全屏 / 半屏，画面完整无裁剪，触控操作正常；支持画面局部放大、聚光灯（区域高亮、其余区域暗化）教学工具。</w:t>
            </w:r>
          </w:p>
          <w:p w14:paraId="47DA7273">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3、</w:t>
            </w:r>
            <w:r>
              <w:rPr>
                <w:color w:val="auto"/>
                <w:sz w:val="20"/>
                <w:szCs w:val="20"/>
                <w:highlight w:val="none"/>
              </w:rPr>
              <w:t>系统悬浮快捷工具栏，可调取批注、截屏、计时、锁屏、硬件自检、聚光灯、学科工具等教学常用功能，工具栏支持自定义调整。</w:t>
            </w:r>
          </w:p>
          <w:p w14:paraId="476F194A">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4、</w:t>
            </w:r>
            <w:r>
              <w:rPr>
                <w:color w:val="auto"/>
                <w:sz w:val="20"/>
                <w:szCs w:val="20"/>
                <w:highlight w:val="none"/>
              </w:rPr>
              <w:t>支持智能手势快捷操作，可通过手势触发熄屏、批注、分屏等自定义功能，手势识别灵敏稳定。</w:t>
            </w:r>
          </w:p>
          <w:p w14:paraId="68D4C0BA">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5、</w:t>
            </w:r>
            <w:r>
              <w:rPr>
                <w:color w:val="auto"/>
                <w:sz w:val="20"/>
                <w:szCs w:val="20"/>
                <w:highlight w:val="none"/>
              </w:rPr>
              <w:t>全通道支持自由截屏，可框选任意区域保存截图；授课过程中可一键调取各类教学小工具：答题器、倒计时、节拍器、日历、随机抽选等。</w:t>
            </w:r>
          </w:p>
          <w:p w14:paraId="61697145">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6、</w:t>
            </w:r>
            <w:r>
              <w:rPr>
                <w:color w:val="auto"/>
                <w:sz w:val="20"/>
                <w:szCs w:val="20"/>
                <w:highlight w:val="none"/>
              </w:rPr>
              <w:t>双系统实现功能互通：一键切换系统、共享 USB 外设、共享网络、背光手势快捷控制。</w:t>
            </w:r>
          </w:p>
          <w:p w14:paraId="2DBD7C35">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7、</w:t>
            </w:r>
            <w:r>
              <w:rPr>
                <w:color w:val="auto"/>
                <w:sz w:val="20"/>
                <w:szCs w:val="20"/>
                <w:highlight w:val="none"/>
              </w:rPr>
              <w:t>内置互动白板，支持多笔同时书写、手掌智能擦除，笔迹自带笔锋；白板文件支持导出 PDF、SVG、IWB 等通用格式；内置充足平面、立体学科绘图工具，满足数理化教学绘图需求。</w:t>
            </w:r>
          </w:p>
          <w:p w14:paraId="3F542E08">
            <w:pPr>
              <w:keepNext w:val="0"/>
              <w:keepLines w:val="0"/>
              <w:widowControl/>
              <w:numPr>
                <w:ilvl w:val="0"/>
                <w:numId w:val="0"/>
              </w:numPr>
              <w:suppressLineNumbers w:val="0"/>
              <w:jc w:val="both"/>
              <w:textAlignment w:val="center"/>
              <w:rPr>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四、</w:t>
            </w:r>
            <w:r>
              <w:rPr>
                <w:color w:val="auto"/>
                <w:sz w:val="20"/>
                <w:szCs w:val="20"/>
                <w:highlight w:val="none"/>
              </w:rPr>
              <w:t>配套教学软件功能</w:t>
            </w:r>
            <w:r>
              <w:rPr>
                <w:rFonts w:hint="eastAsia" w:ascii="宋体" w:hAnsi="宋体" w:eastAsia="宋体" w:cs="宋体"/>
                <w:i w:val="0"/>
                <w:iCs w:val="0"/>
                <w:strike/>
                <w:dstrike w:val="0"/>
                <w:color w:val="auto"/>
                <w:kern w:val="0"/>
                <w:sz w:val="20"/>
                <w:szCs w:val="20"/>
                <w:highlight w:val="none"/>
                <w:u w:val="none"/>
                <w:lang w:val="en-US" w:eastAsia="zh-CN" w:bidi="ar"/>
              </w:rPr>
              <w:br w:type="textWrapping"/>
            </w:r>
            <w:r>
              <w:rPr>
                <w:rFonts w:hint="eastAsia"/>
                <w:color w:val="auto"/>
                <w:sz w:val="20"/>
                <w:szCs w:val="20"/>
                <w:highlight w:val="none"/>
                <w:lang w:val="en-US" w:eastAsia="zh-CN"/>
              </w:rPr>
              <w:t>1、</w:t>
            </w:r>
            <w:r>
              <w:rPr>
                <w:color w:val="auto"/>
                <w:sz w:val="20"/>
                <w:szCs w:val="20"/>
                <w:highlight w:val="none"/>
              </w:rPr>
              <w:t>教学资源分类管理：可按年级、学科、教材版本收纳课件、习题、阅读资料，支持云端存储、本地资源调取。</w:t>
            </w:r>
          </w:p>
          <w:p w14:paraId="5729DAD6">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2、</w:t>
            </w:r>
            <w:r>
              <w:rPr>
                <w:color w:val="auto"/>
                <w:sz w:val="20"/>
                <w:szCs w:val="20"/>
                <w:highlight w:val="none"/>
              </w:rPr>
              <w:t>白板教学模板丰富，支持田字格、五线谱、米字格、坐标纸等学科专用背景，支持原笔迹批注、拖拽、擦除。</w:t>
            </w:r>
          </w:p>
          <w:p w14:paraId="66C77512">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3、</w:t>
            </w:r>
            <w:r>
              <w:rPr>
                <w:color w:val="auto"/>
                <w:sz w:val="20"/>
                <w:szCs w:val="20"/>
                <w:highlight w:val="none"/>
              </w:rPr>
              <w:t>支持 PPT 原生播放、手势翻页、多级放大，批注笔迹同步保存；支持一键将课件上传至个人云空间，授课时云端直接下载使用。</w:t>
            </w:r>
          </w:p>
          <w:p w14:paraId="7FD1FCB4">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4、</w:t>
            </w:r>
            <w:r>
              <w:rPr>
                <w:color w:val="auto"/>
                <w:sz w:val="20"/>
                <w:szCs w:val="20"/>
                <w:highlight w:val="none"/>
              </w:rPr>
              <w:t>支持集体备课、在线听评课功能：可自定义评课评分模板、评分细则，听课记录可保存、导出分享；支持教师扫码听课评价。</w:t>
            </w:r>
          </w:p>
          <w:p w14:paraId="33C4427F">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5、</w:t>
            </w:r>
            <w:r>
              <w:rPr>
                <w:color w:val="auto"/>
                <w:sz w:val="20"/>
                <w:szCs w:val="20"/>
                <w:highlight w:val="none"/>
              </w:rPr>
              <w:t>课堂录播功能：授课全过程可录制，支持暂停、停止，可自定义录制音视频画质，录制窗口可隐藏不遮挡教学画面。</w:t>
            </w:r>
          </w:p>
          <w:p w14:paraId="52FE4250">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6、</w:t>
            </w:r>
            <w:r>
              <w:rPr>
                <w:color w:val="auto"/>
                <w:sz w:val="20"/>
                <w:szCs w:val="20"/>
                <w:highlight w:val="none"/>
              </w:rPr>
              <w:t>支持手机远程控制大屏课件翻页；支持课堂互动答题，学生扫码答题，教师查看答题正确率、导出课堂学情报告；支持课堂弹幕、班级成员管理。</w:t>
            </w:r>
          </w:p>
          <w:p w14:paraId="75890D74">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7、</w:t>
            </w:r>
            <w:r>
              <w:rPr>
                <w:color w:val="auto"/>
                <w:sz w:val="20"/>
                <w:szCs w:val="20"/>
                <w:highlight w:val="none"/>
              </w:rPr>
              <w:t>支持网页资源一键导入课件，可制作课堂互动小游戏并保存至个人云盘，随时调取复用。</w:t>
            </w:r>
          </w:p>
          <w:p w14:paraId="1548887B">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8、</w:t>
            </w:r>
            <w:r>
              <w:rPr>
                <w:color w:val="auto"/>
                <w:sz w:val="20"/>
                <w:szCs w:val="20"/>
                <w:highlight w:val="none"/>
              </w:rPr>
              <w:t>为每位教师提供免费教学云存储空间，支持本地个人资源同步至云端，授课随时调取。</w:t>
            </w:r>
          </w:p>
          <w:p w14:paraId="153A9B2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both"/>
              <w:rPr>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五、</w:t>
            </w:r>
            <w:r>
              <w:rPr>
                <w:color w:val="auto"/>
                <w:sz w:val="20"/>
                <w:szCs w:val="20"/>
                <w:highlight w:val="none"/>
              </w:rPr>
              <w:t>集控管理平台功能</w:t>
            </w:r>
          </w:p>
          <w:p w14:paraId="7BF075B8">
            <w:pPr>
              <w:keepNext w:val="0"/>
              <w:keepLines w:val="0"/>
              <w:widowControl/>
              <w:numPr>
                <w:ilvl w:val="0"/>
                <w:numId w:val="0"/>
              </w:numPr>
              <w:suppressLineNumbers w:val="0"/>
              <w:jc w:val="both"/>
              <w:textAlignment w:val="center"/>
              <w:rPr>
                <w:color w:val="auto"/>
                <w:sz w:val="20"/>
                <w:szCs w:val="20"/>
                <w:highlight w:val="none"/>
              </w:rPr>
            </w:pPr>
            <w:r>
              <w:rPr>
                <w:rFonts w:hint="eastAsia"/>
                <w:color w:val="auto"/>
                <w:sz w:val="20"/>
                <w:szCs w:val="20"/>
                <w:highlight w:val="none"/>
                <w:lang w:val="en-US" w:eastAsia="zh-CN"/>
              </w:rPr>
              <w:t xml:space="preserve"> 1、</w:t>
            </w:r>
            <w:r>
              <w:rPr>
                <w:color w:val="auto"/>
                <w:sz w:val="20"/>
                <w:szCs w:val="20"/>
                <w:highlight w:val="none"/>
              </w:rPr>
              <w:t>平台可统一查看所有教学设备硬件信息：屏幕尺寸、系统版本、CPU、内存、硬盘、网络状态等；支持列表、缩略图两种设备查看模式，批量预览设备实时画面。</w:t>
            </w:r>
          </w:p>
          <w:p w14:paraId="5F08A63E">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2、</w:t>
            </w:r>
            <w:r>
              <w:rPr>
                <w:color w:val="auto"/>
                <w:sz w:val="20"/>
                <w:szCs w:val="20"/>
                <w:highlight w:val="none"/>
              </w:rPr>
              <w:t>远程巡课督导：可实时查看设备屏幕画面与课堂摄像头画面；支持远程下发设备系统、集控软件升级包，设备空闲时段自动完成更新。</w:t>
            </w:r>
          </w:p>
          <w:p w14:paraId="7619FDF7">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eastAsia"/>
                <w:color w:val="auto"/>
                <w:sz w:val="20"/>
                <w:szCs w:val="20"/>
                <w:highlight w:val="none"/>
                <w:lang w:val="en-US" w:eastAsia="zh-CN"/>
              </w:rPr>
              <w:t xml:space="preserve"> 3、</w:t>
            </w:r>
            <w:r>
              <w:rPr>
                <w:color w:val="auto"/>
                <w:sz w:val="20"/>
                <w:szCs w:val="20"/>
                <w:highlight w:val="none"/>
              </w:rPr>
              <w:t>远程管理功能：支持批量设置定时锁屏 / 解锁，可按工作日、周末自定义循环策略；远程下发考场考试安排，设备按时展示考试信息。</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19092A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48EC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C314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47D8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10000 </w:t>
            </w:r>
          </w:p>
        </w:tc>
      </w:tr>
      <w:tr w14:paraId="53247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5CA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8523C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计算机</w:t>
            </w:r>
          </w:p>
        </w:tc>
        <w:tc>
          <w:tcPr>
            <w:tcW w:w="6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08A0C">
            <w:pPr>
              <w:keepNext w:val="0"/>
              <w:keepLines w:val="0"/>
              <w:widowControl/>
              <w:numPr>
                <w:ilvl w:val="0"/>
                <w:numId w:val="7"/>
              </w:numPr>
              <w:suppressLineNumbers w:val="0"/>
              <w:jc w:val="left"/>
              <w:textAlignment w:val="center"/>
              <w:rPr>
                <w:rFonts w:hint="eastAsia" w:ascii="宋体" w:hAnsi="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硬件技术参数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▲1、基本要求：国产自主品牌商用台式机，</w:t>
            </w:r>
            <w:r>
              <w:rPr>
                <w:rFonts w:hint="eastAsia" w:ascii="宋体" w:hAnsi="宋体" w:cs="宋体"/>
                <w:i w:val="0"/>
                <w:iCs w:val="0"/>
                <w:strike w:val="0"/>
                <w:dstrike w:val="0"/>
                <w:color w:val="auto"/>
                <w:kern w:val="0"/>
                <w:sz w:val="20"/>
                <w:szCs w:val="20"/>
                <w:highlight w:val="none"/>
                <w:u w:val="none"/>
                <w:lang w:val="en-US" w:eastAsia="zh-CN" w:bidi="ar"/>
              </w:rPr>
              <w:t>结构稳固，具备良好的散热性能。</w:t>
            </w:r>
          </w:p>
          <w:p w14:paraId="39764CDA">
            <w:pPr>
              <w:keepNext w:val="0"/>
              <w:keepLines w:val="0"/>
              <w:widowControl/>
              <w:numPr>
                <w:ilvl w:val="0"/>
                <w:numId w:val="0"/>
              </w:numPr>
              <w:suppressLineNumbers w:val="0"/>
              <w:jc w:val="left"/>
              <w:textAlignment w:val="center"/>
              <w:rPr>
                <w:rFonts w:hint="eastAsia" w:ascii="宋体" w:hAnsi="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2、处理器： 处理器采用国产处理器，八核，主频≥2.7GHz；</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3、内存：配置≥16GB DDR4 UDIMM内存，配置≥2个内存插槽；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4、显卡：≥2G独立显卡。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5、硬盘：≥512GB M.2接口NVME协议SSD；</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▲6、电源：电源功率≤180W，电源适配器电线组件应符合GB/T15934的要求；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7、网络：1个RJ45 10/100/1000自适应以太网口；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▲8、接口：前置USB3.0接口≥4个；后置USB3.0接口≥2个，USB2.0接口≥2个；音频接口：麦克风1个，耳机1个；后端3个Audio音频接口；PCIE插槽数量≥3个；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▲9、数据安全：BIOS级USB屏蔽及智能USB数据保护：USB支持BIOS下接口开关，针对存储设备支持USB接口切换禁止访问模式/只读模式。</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10、显示器：配置≥23.8寸LED显示器，IPS屏，分辨率≥1920*1080，刷新频率≥</w:t>
            </w:r>
            <w:r>
              <w:rPr>
                <w:rFonts w:hint="eastAsia" w:ascii="宋体" w:hAnsi="宋体" w:cs="宋体"/>
                <w:i w:val="0"/>
                <w:iCs w:val="0"/>
                <w:color w:val="auto"/>
                <w:kern w:val="0"/>
                <w:sz w:val="20"/>
                <w:szCs w:val="20"/>
                <w:highlight w:val="none"/>
                <w:u w:val="none"/>
                <w:lang w:val="en-US" w:eastAsia="zh-CN" w:bidi="ar"/>
              </w:rPr>
              <w:t>75</w:t>
            </w:r>
            <w:r>
              <w:rPr>
                <w:rFonts w:hint="eastAsia" w:ascii="宋体" w:hAnsi="宋体" w:eastAsia="宋体" w:cs="宋体"/>
                <w:i w:val="0"/>
                <w:iCs w:val="0"/>
                <w:color w:val="auto"/>
                <w:kern w:val="0"/>
                <w:sz w:val="20"/>
                <w:szCs w:val="20"/>
                <w:highlight w:val="none"/>
                <w:u w:val="none"/>
                <w:lang w:val="en-US" w:eastAsia="zh-CN" w:bidi="ar"/>
              </w:rPr>
              <w:t>Hz，对比度≥1000:1</w:t>
            </w:r>
            <w:r>
              <w:rPr>
                <w:rFonts w:hint="eastAsia" w:ascii="宋体" w:hAnsi="宋体" w:cs="宋体"/>
                <w:i w:val="0"/>
                <w:iCs w:val="0"/>
                <w:color w:val="auto"/>
                <w:kern w:val="0"/>
                <w:sz w:val="20"/>
                <w:szCs w:val="20"/>
                <w:highlight w:val="none"/>
                <w:u w:val="none"/>
                <w:lang w:val="en-US" w:eastAsia="zh-CN" w:bidi="ar"/>
              </w:rPr>
              <w:t>；</w:t>
            </w:r>
          </w:p>
          <w:p w14:paraId="3726FC73">
            <w:pPr>
              <w:keepNext w:val="0"/>
              <w:keepLines w:val="0"/>
              <w:widowControl/>
              <w:numPr>
                <w:ilvl w:val="0"/>
                <w:numId w:val="0"/>
              </w:numPr>
              <w:suppressLineNumbers w:val="0"/>
              <w:ind w:left="0" w:leftChars="0" w:firstLine="0" w:firstLineChars="0"/>
              <w:jc w:val="left"/>
              <w:textAlignment w:val="center"/>
              <w:rPr>
                <w:rFonts w:hint="default"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kern w:val="0"/>
                <w:sz w:val="20"/>
                <w:szCs w:val="20"/>
                <w:highlight w:val="none"/>
                <w:u w:val="none"/>
                <w:lang w:val="en-US" w:eastAsia="zh-CN" w:bidi="ar"/>
              </w:rPr>
              <w:t>11、操作系统：预装符合桌面操作系统政府采购需求标准的正版操作系统；预装的操作系统符合《操作系统政府采购需求标准》中加*指标要求（财政部工业和信息化部关于印发《操作系统政府采购需求标准（2023年版）》的通知）。</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12、办公软件：预装带正版授权的办公软件</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（含三年服务）；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▲13、关键部件安全要求：CPU和操作系统等关键部件应当符合安全可靠测评要求。（提供通过安全可靠测评的证明书或作出承诺）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二、班级管理平台软件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1、后台采用 B/S 架构设计，能够支持不同角色在 web 上进行操作，支持微信和账号登录、支持学校自定义角色、教师角色切换。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2、支持上传多个备课文档、支持一屏稿件对比，支持查看该次集体备课数据统计及访问记录。集体备课终稿存到我的成果库。并支持查看集体备课数据报告；</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、支持区域、学校管理者发起在线收集资料的任务，老师按照在线任务要求上传资料，支持管理者将收集上来的资料分类归档管理【</w:t>
            </w:r>
            <w:r>
              <w:rPr>
                <w:rFonts w:hint="eastAsia" w:ascii="宋体" w:hAnsi="宋体" w:cs="宋体"/>
                <w:i w:val="0"/>
                <w:iCs w:val="0"/>
                <w:color w:val="auto"/>
                <w:kern w:val="0"/>
                <w:sz w:val="20"/>
                <w:szCs w:val="20"/>
                <w:highlight w:val="none"/>
                <w:u w:val="none"/>
                <w:lang w:val="en-US" w:eastAsia="zh-CN" w:bidi="ar"/>
              </w:rPr>
              <w:t>响应供应商</w:t>
            </w:r>
            <w:r>
              <w:rPr>
                <w:rFonts w:hint="eastAsia" w:ascii="宋体" w:hAnsi="宋体" w:eastAsia="宋体" w:cs="宋体"/>
                <w:i w:val="0"/>
                <w:iCs w:val="0"/>
                <w:color w:val="auto"/>
                <w:kern w:val="0"/>
                <w:sz w:val="20"/>
                <w:szCs w:val="20"/>
                <w:highlight w:val="none"/>
                <w:u w:val="none"/>
                <w:lang w:val="en-US" w:eastAsia="zh-CN" w:bidi="ar"/>
              </w:rPr>
              <w:t>于</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中必须提供所投产品满足本条技术要求的相关有效证明材料复印件，证明材料可以是国家认可的第三方检验（测）机构出具的合格有效的检验（测）报告或官网截图或功能截图或产品彩页】</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三、教学授课软件功能要求：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 xml:space="preserve">.无需导入平台，可直接在PPT中通过备课插件添加课堂互动游戏、思维导图、网站链接、网络画板等。课件编辑完成可一键同步至云端；如教师不想保存在云平台可直接以PPT格式保存在本地，不允许系统自动在云平台中更新教师的资源；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 xml:space="preserve">.试题能够根据课本章节、题型、难易程度进行筛选，并提供知识点试题，可按知识点筛选，支持收藏、查看试题答案、解析、关联知识点，支持对试题进行二次编辑，支持将试题一键加入备课；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.通过对纸质试题拍照，可将图片上传，将纸质文字变为电子版文字，便于老师优质试题的收集使用；（</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4</w:t>
            </w:r>
            <w:r>
              <w:rPr>
                <w:rFonts w:hint="eastAsia" w:ascii="宋体" w:hAnsi="宋体" w:eastAsia="宋体" w:cs="宋体"/>
                <w:i w:val="0"/>
                <w:iCs w:val="0"/>
                <w:color w:val="auto"/>
                <w:kern w:val="0"/>
                <w:sz w:val="20"/>
                <w:szCs w:val="20"/>
                <w:highlight w:val="none"/>
                <w:u w:val="none"/>
                <w:lang w:val="en-US" w:eastAsia="zh-CN" w:bidi="ar"/>
              </w:rPr>
              <w:t>.支持将音视频分成不同小节，支持自定义视频小节名称，播放时可通过点击小节名称快速定位关键教学内容。（</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内置多种随堂练习、趣味答题模板，适配课堂巩固。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6</w:t>
            </w:r>
            <w:r>
              <w:rPr>
                <w:rFonts w:hint="eastAsia" w:ascii="宋体" w:hAnsi="宋体" w:eastAsia="宋体" w:cs="宋体"/>
                <w:i w:val="0"/>
                <w:iCs w:val="0"/>
                <w:color w:val="auto"/>
                <w:kern w:val="0"/>
                <w:sz w:val="20"/>
                <w:szCs w:val="20"/>
                <w:highlight w:val="none"/>
                <w:u w:val="none"/>
                <w:lang w:val="en-US" w:eastAsia="zh-CN" w:bidi="ar"/>
              </w:rPr>
              <w:t>.为方便教师快速查找，所有备课资源均可按照系统自带教材章节进行存储，无需教师自建存储条目；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7</w:t>
            </w:r>
            <w:r>
              <w:rPr>
                <w:rFonts w:hint="eastAsia" w:ascii="宋体" w:hAnsi="宋体" w:eastAsia="宋体" w:cs="宋体"/>
                <w:i w:val="0"/>
                <w:iCs w:val="0"/>
                <w:color w:val="auto"/>
                <w:kern w:val="0"/>
                <w:sz w:val="20"/>
                <w:szCs w:val="20"/>
                <w:highlight w:val="none"/>
                <w:u w:val="none"/>
                <w:lang w:val="en-US" w:eastAsia="zh-CN" w:bidi="ar"/>
              </w:rPr>
              <w:t xml:space="preserve">.备课界面支持将教案、课件、学案、试题、练习、网络画板、虚拟实验、微课等教学资源分享给校内指定教师使用；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8</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白板教学：提供多种书写笔触、可调色彩，支持自定义常用配色。</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9</w:t>
            </w:r>
            <w:r>
              <w:rPr>
                <w:rFonts w:hint="eastAsia" w:ascii="宋体" w:hAnsi="宋体" w:eastAsia="宋体" w:cs="宋体"/>
                <w:i w:val="0"/>
                <w:iCs w:val="0"/>
                <w:color w:val="auto"/>
                <w:kern w:val="0"/>
                <w:sz w:val="20"/>
                <w:szCs w:val="20"/>
                <w:highlight w:val="none"/>
                <w:u w:val="none"/>
                <w:lang w:val="en-US" w:eastAsia="zh-CN" w:bidi="ar"/>
              </w:rPr>
              <w:t>.支持三个及以上学生同时进行书写或手势擦除操作，不同学生各自进行书写或擦除，互不影响；</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10</w:t>
            </w:r>
            <w:r>
              <w:rPr>
                <w:rFonts w:hint="eastAsia" w:ascii="宋体" w:hAnsi="宋体" w:eastAsia="宋体" w:cs="宋体"/>
                <w:i w:val="0"/>
                <w:iCs w:val="0"/>
                <w:color w:val="auto"/>
                <w:kern w:val="0"/>
                <w:sz w:val="20"/>
                <w:szCs w:val="20"/>
                <w:highlight w:val="none"/>
                <w:u w:val="none"/>
                <w:lang w:val="en-US" w:eastAsia="zh-CN" w:bidi="ar"/>
              </w:rPr>
              <w:t>.支持对白板页面中的元素进行隐藏、锁定、缩放、旋转、置顶等操作，被隐藏元素可以一键重新显示在白板上；</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849F8B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C767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4D21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10A8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5000 </w:t>
            </w:r>
          </w:p>
        </w:tc>
      </w:tr>
      <w:tr w14:paraId="2E5FE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223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7861E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笔记本电脑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841492">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kern w:val="0"/>
                <w:sz w:val="20"/>
                <w:szCs w:val="20"/>
                <w:highlight w:val="none"/>
                <w:u w:val="none"/>
                <w:lang w:val="en-US" w:eastAsia="zh-CN" w:bidi="ar"/>
              </w:rPr>
              <w:t>一、硬件技术参数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1、处理器：采用国产处理器，核心数≥4核，主频≥3.0GHz。</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2、内存：容量≥16GB，内存插槽≥2个，最高可支持内存≥32G DDR4。</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3、硬盘：配置≥512GB M.2 NVMe SSD硬盘，支持容量扩展。</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4、接口：USB3.0接口≥2个，USB-C接口≥2个，标准RJ45网口≥1个，HDMI接口≥1个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5、屏幕：≤14英寸, 1920*1080，≥180°开合。</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6、电源：电池容量≥60WH，适配器功率≥65W，适配器输出接口形态Type-C。</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7、无线网络：支持WiFi 6 并向下兼容， 支持BT 5.0。</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8、摄像头：720P分辨率，具备物理滑盖，可物理遮挡保护隐私。</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9</w:t>
            </w:r>
            <w:r>
              <w:rPr>
                <w:rFonts w:hint="eastAsia" w:ascii="宋体" w:hAnsi="宋体" w:eastAsia="宋体" w:cs="宋体"/>
                <w:i w:val="0"/>
                <w:iCs w:val="0"/>
                <w:color w:val="auto"/>
                <w:kern w:val="0"/>
                <w:sz w:val="20"/>
                <w:szCs w:val="20"/>
                <w:highlight w:val="none"/>
                <w:u w:val="none"/>
                <w:lang w:val="en-US" w:eastAsia="zh-CN" w:bidi="ar"/>
              </w:rPr>
              <w:t>、数据安全：</w:t>
            </w:r>
            <w:r>
              <w:rPr>
                <w:rFonts w:ascii="宋体" w:hAnsi="宋体" w:eastAsia="宋体" w:cs="宋体"/>
                <w:color w:val="auto"/>
                <w:sz w:val="20"/>
                <w:szCs w:val="20"/>
                <w:highlight w:val="none"/>
              </w:rPr>
              <w:t>具备独立安全分区 / 底层隐藏分区。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10</w:t>
            </w:r>
            <w:r>
              <w:rPr>
                <w:rFonts w:hint="eastAsia" w:ascii="宋体" w:hAnsi="宋体" w:eastAsia="宋体" w:cs="宋体"/>
                <w:i w:val="0"/>
                <w:iCs w:val="0"/>
                <w:color w:val="auto"/>
                <w:kern w:val="0"/>
                <w:sz w:val="20"/>
                <w:szCs w:val="20"/>
                <w:highlight w:val="none"/>
                <w:u w:val="none"/>
                <w:lang w:val="en-US" w:eastAsia="zh-CN" w:bidi="ar"/>
              </w:rPr>
              <w:t>、操作系统：预装符合桌面操作系统政府采购需求标准的正版操作系统；预装的操作系统符合《操作系统政府采购需求标准》中加*指标要求（财政部工业和信息化部关于印发《操作系统政府采购需求标准（2023年版）》的通知）。</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11</w:t>
            </w:r>
            <w:r>
              <w:rPr>
                <w:rFonts w:hint="eastAsia" w:ascii="宋体" w:hAnsi="宋体" w:eastAsia="宋体" w:cs="宋体"/>
                <w:i w:val="0"/>
                <w:iCs w:val="0"/>
                <w:color w:val="auto"/>
                <w:kern w:val="0"/>
                <w:sz w:val="20"/>
                <w:szCs w:val="20"/>
                <w:highlight w:val="none"/>
                <w:u w:val="none"/>
                <w:lang w:val="en-US" w:eastAsia="zh-CN" w:bidi="ar"/>
              </w:rPr>
              <w:t>、办公软件：预装带正版授权的办公软件（含三年服务）；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w:t>
            </w: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服务：针对产品提供原厂1-3年质保，提供专业的7*24h远程服务支持。且在产品生命周期结束后，原厂需提供符合工信部要求的IT资产环保处置服务，包括上门回收、数据销毁、环保拆解，并提供《资产环保处置证明》，服务可通过电话或官方网站查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15、关键部件安全要求：CPU和操作系统等关键部件应当符合安全可靠测评要求。（提供通过安全可靠测评的证明书或作出承诺）。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二、班级管理系统</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1、后台采用 B/S 架构设计，能够支持不同角色在 web 上进行操作，支持微信和账号登录、支持学校自定义角色、教师角色切换。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2、支持上传多个备课文档、支持一屏稿件对比，支持查看该次集体备课数据统计及访问记录。集体备课终稿存到我的成果库。并支持查看集体备课数据报告；</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、支持区域、学校管理者发起在线收集资料的任务，老师按照在线任务要求上传资料，支持管理者将收集上来的资料分类归档管理【</w:t>
            </w:r>
            <w:r>
              <w:rPr>
                <w:rFonts w:hint="eastAsia" w:ascii="宋体" w:hAnsi="宋体" w:cs="宋体"/>
                <w:i w:val="0"/>
                <w:iCs w:val="0"/>
                <w:color w:val="auto"/>
                <w:kern w:val="0"/>
                <w:sz w:val="20"/>
                <w:szCs w:val="20"/>
                <w:highlight w:val="none"/>
                <w:u w:val="none"/>
                <w:lang w:val="en-US" w:eastAsia="zh-CN" w:bidi="ar"/>
              </w:rPr>
              <w:t>响应供应商</w:t>
            </w:r>
            <w:r>
              <w:rPr>
                <w:rFonts w:hint="eastAsia" w:ascii="宋体" w:hAnsi="宋体" w:eastAsia="宋体" w:cs="宋体"/>
                <w:i w:val="0"/>
                <w:iCs w:val="0"/>
                <w:color w:val="auto"/>
                <w:kern w:val="0"/>
                <w:sz w:val="20"/>
                <w:szCs w:val="20"/>
                <w:highlight w:val="none"/>
                <w:u w:val="none"/>
                <w:lang w:val="en-US" w:eastAsia="zh-CN" w:bidi="ar"/>
              </w:rPr>
              <w:t>于</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中必须提供所投产品满足本条技术要求的相关有效证明材料复印件，证明材料可以是国家认可的第三方检验（测）机构出具的合格有效的检验（测）报告或官网截图或功能截图或产品彩页】</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三、备授课教学平台软件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 xml:space="preserve">.无需导入平台，可直接在PPT中通过备课插件添加课堂互动游戏、思维导图、网站链接、网络画板等。课件编辑完成可一键同步至云端；如教师不想保存在云平台可直接以PPT格式保存在本地，不允许系统自动在云平台中更新教师的资源；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 xml:space="preserve">.试题能够根据课本章节、题型、难易程度进行筛选，并提供知识点试题，可按知识点筛选，支持收藏、查看试题答案、解析、关联知识点，支持对试题进行二次编辑，支持将试题一键加入备课；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.通过对纸质试题拍照，可将图片上传，将纸质文字变为电子版文字，便于老师优质试题的收集使用；（</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4</w:t>
            </w:r>
            <w:r>
              <w:rPr>
                <w:rFonts w:hint="eastAsia" w:ascii="宋体" w:hAnsi="宋体" w:eastAsia="宋体" w:cs="宋体"/>
                <w:i w:val="0"/>
                <w:iCs w:val="0"/>
                <w:color w:val="auto"/>
                <w:kern w:val="0"/>
                <w:sz w:val="20"/>
                <w:szCs w:val="20"/>
                <w:highlight w:val="none"/>
                <w:u w:val="none"/>
                <w:lang w:val="en-US" w:eastAsia="zh-CN" w:bidi="ar"/>
              </w:rPr>
              <w:t>.支持音频和视频进行关键点标记，并将音视频分成不同小节，支持自定义视频小节名称，播放时可通过点击小节名称快速定位关键教学内容。（</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课堂互动题型：内置多种课堂互动练习模板，可自主编辑题目插入课件，用于课堂随堂练习。</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6</w:t>
            </w:r>
            <w:r>
              <w:rPr>
                <w:rFonts w:hint="eastAsia" w:ascii="宋体" w:hAnsi="宋体" w:eastAsia="宋体" w:cs="宋体"/>
                <w:i w:val="0"/>
                <w:iCs w:val="0"/>
                <w:color w:val="auto"/>
                <w:kern w:val="0"/>
                <w:sz w:val="20"/>
                <w:szCs w:val="20"/>
                <w:highlight w:val="none"/>
                <w:u w:val="none"/>
                <w:lang w:val="en-US" w:eastAsia="zh-CN" w:bidi="ar"/>
              </w:rPr>
              <w:t>.为方便教师快速查找，所有备课资源均可按照系统自带教材章节进行存储，无需教师自建存储条目；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7</w:t>
            </w:r>
            <w:r>
              <w:rPr>
                <w:rFonts w:hint="eastAsia" w:ascii="宋体" w:hAnsi="宋体" w:eastAsia="宋体" w:cs="宋体"/>
                <w:i w:val="0"/>
                <w:iCs w:val="0"/>
                <w:color w:val="auto"/>
                <w:kern w:val="0"/>
                <w:sz w:val="20"/>
                <w:szCs w:val="20"/>
                <w:highlight w:val="none"/>
                <w:u w:val="none"/>
                <w:lang w:val="en-US" w:eastAsia="zh-CN" w:bidi="ar"/>
              </w:rPr>
              <w:t>.备课界面支持将教案、课件、学案、试题、练习、</w:t>
            </w:r>
            <w:r>
              <w:rPr>
                <w:rFonts w:hint="eastAsia" w:ascii="宋体" w:hAnsi="宋体" w:eastAsia="宋体" w:cs="宋体"/>
                <w:i w:val="0"/>
                <w:iCs w:val="0"/>
                <w:strike w:val="0"/>
                <w:dstrike w:val="0"/>
                <w:color w:val="auto"/>
                <w:kern w:val="0"/>
                <w:sz w:val="20"/>
                <w:szCs w:val="20"/>
                <w:highlight w:val="none"/>
                <w:u w:val="none"/>
                <w:lang w:val="en-US" w:eastAsia="zh-CN" w:bidi="ar"/>
              </w:rPr>
              <w:t>网络画板、</w:t>
            </w:r>
            <w:r>
              <w:rPr>
                <w:rFonts w:hint="eastAsia" w:ascii="宋体" w:hAnsi="宋体" w:eastAsia="宋体" w:cs="宋体"/>
                <w:i w:val="0"/>
                <w:iCs w:val="0"/>
                <w:color w:val="auto"/>
                <w:kern w:val="0"/>
                <w:sz w:val="20"/>
                <w:szCs w:val="20"/>
                <w:highlight w:val="none"/>
                <w:u w:val="none"/>
                <w:lang w:val="en-US" w:eastAsia="zh-CN" w:bidi="ar"/>
              </w:rPr>
              <w:t xml:space="preserve">虚拟实验、微课等教学资源分享给校内指定教师使用；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8</w:t>
            </w:r>
            <w:r>
              <w:rPr>
                <w:rFonts w:hint="eastAsia" w:ascii="宋体" w:hAnsi="宋体" w:eastAsia="宋体" w:cs="宋体"/>
                <w:i w:val="0"/>
                <w:iCs w:val="0"/>
                <w:color w:val="auto"/>
                <w:kern w:val="0"/>
                <w:sz w:val="20"/>
                <w:szCs w:val="20"/>
                <w:highlight w:val="none"/>
                <w:u w:val="none"/>
                <w:lang w:val="en-US" w:eastAsia="zh-CN" w:bidi="ar"/>
              </w:rPr>
              <w:t xml:space="preserve">. </w:t>
            </w:r>
            <w:r>
              <w:rPr>
                <w:rFonts w:ascii="宋体" w:hAnsi="宋体" w:eastAsia="宋体" w:cs="宋体"/>
                <w:color w:val="auto"/>
                <w:kern w:val="0"/>
                <w:sz w:val="20"/>
                <w:szCs w:val="20"/>
                <w:highlight w:val="none"/>
                <w:lang w:val="en-US" w:eastAsia="zh-CN" w:bidi="ar"/>
              </w:rPr>
              <w:t>白板书写功能：提供硬笔、粉笔、荧光笔等多种书写笔触，支持自由调整粗细、颜色；支持自定义保存常用配色，色彩调节包含色调、饱和度、亮度参数设置。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9</w:t>
            </w:r>
            <w:r>
              <w:rPr>
                <w:rFonts w:hint="eastAsia" w:ascii="宋体" w:hAnsi="宋体" w:eastAsia="宋体" w:cs="宋体"/>
                <w:i w:val="0"/>
                <w:iCs w:val="0"/>
                <w:color w:val="auto"/>
                <w:kern w:val="0"/>
                <w:sz w:val="20"/>
                <w:szCs w:val="20"/>
                <w:highlight w:val="none"/>
                <w:u w:val="none"/>
                <w:lang w:val="en-US" w:eastAsia="zh-CN" w:bidi="ar"/>
              </w:rPr>
              <w:t>.支持三个及以上学生同时进行书写或手势擦除操作，不同学生各自进行书写或擦除，互不影响；</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10</w:t>
            </w:r>
            <w:r>
              <w:rPr>
                <w:rFonts w:hint="eastAsia" w:ascii="宋体" w:hAnsi="宋体" w:eastAsia="宋体" w:cs="宋体"/>
                <w:i w:val="0"/>
                <w:iCs w:val="0"/>
                <w:color w:val="auto"/>
                <w:kern w:val="0"/>
                <w:sz w:val="20"/>
                <w:szCs w:val="20"/>
                <w:highlight w:val="none"/>
                <w:u w:val="none"/>
                <w:lang w:val="en-US" w:eastAsia="zh-CN" w:bidi="ar"/>
              </w:rPr>
              <w:t>.支持对白板页面中的元素进行隐藏、锁定、缩放、旋转、置顶等操作，被隐藏元素可以一键重新显示在白板上；（</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11</w:t>
            </w:r>
            <w:r>
              <w:rPr>
                <w:rFonts w:hint="eastAsia" w:ascii="宋体" w:hAnsi="宋体" w:eastAsia="宋体" w:cs="宋体"/>
                <w:i w:val="0"/>
                <w:iCs w:val="0"/>
                <w:color w:val="auto"/>
                <w:kern w:val="0"/>
                <w:sz w:val="20"/>
                <w:szCs w:val="20"/>
                <w:highlight w:val="none"/>
                <w:u w:val="none"/>
                <w:lang w:val="en-US" w:eastAsia="zh-CN" w:bidi="ar"/>
              </w:rPr>
              <w:t>.能够在桌面授课或PPT授课时打开板中板辅助教学，应支持任意调整板中板大小，在板中板中进行板书书写与擦除、板书缩放、插入文件等操作不影响课件主画面（</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12</w:t>
            </w:r>
            <w:r>
              <w:rPr>
                <w:rFonts w:hint="eastAsia" w:ascii="宋体" w:hAnsi="宋体" w:eastAsia="宋体" w:cs="宋体"/>
                <w:i w:val="0"/>
                <w:iCs w:val="0"/>
                <w:color w:val="auto"/>
                <w:kern w:val="0"/>
                <w:sz w:val="20"/>
                <w:szCs w:val="20"/>
                <w:highlight w:val="none"/>
                <w:u w:val="none"/>
                <w:lang w:val="en-US" w:eastAsia="zh-CN" w:bidi="ar"/>
              </w:rPr>
              <w:t xml:space="preserve">.智能转写可支持连续书写多个汉字并将书写的内容自动转换为楷体，转换文字大小自动跟随手写输入字体大小变化，支持查看笔顺、朗读读音；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13</w:t>
            </w:r>
            <w:r>
              <w:rPr>
                <w:rFonts w:hint="eastAsia" w:ascii="宋体" w:hAnsi="宋体" w:eastAsia="宋体" w:cs="宋体"/>
                <w:i w:val="0"/>
                <w:iCs w:val="0"/>
                <w:color w:val="auto"/>
                <w:kern w:val="0"/>
                <w:sz w:val="20"/>
                <w:szCs w:val="20"/>
                <w:highlight w:val="none"/>
                <w:u w:val="none"/>
                <w:lang w:val="en-US" w:eastAsia="zh-CN" w:bidi="ar"/>
              </w:rPr>
              <w:t>.划词搜索：</w:t>
            </w:r>
            <w:r>
              <w:rPr>
                <w:rFonts w:ascii="宋体" w:hAnsi="宋体" w:eastAsia="宋体" w:cs="宋体"/>
                <w:color w:val="auto"/>
                <w:kern w:val="0"/>
                <w:sz w:val="20"/>
                <w:szCs w:val="20"/>
                <w:highlight w:val="none"/>
                <w:lang w:val="en-US" w:eastAsia="zh-CN" w:bidi="ar"/>
              </w:rPr>
              <w:t>白板上手写中英文内容可智能识别，一键调取互联网教育类素材、知识点资料辅助授课；不限定单一检索网站，可对接正规教育资源库。</w:t>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14</w:t>
            </w:r>
            <w:r>
              <w:rPr>
                <w:rFonts w:hint="eastAsia" w:ascii="宋体" w:hAnsi="宋体" w:eastAsia="宋体" w:cs="宋体"/>
                <w:i w:val="0"/>
                <w:iCs w:val="0"/>
                <w:color w:val="auto"/>
                <w:kern w:val="0"/>
                <w:sz w:val="20"/>
                <w:szCs w:val="20"/>
                <w:highlight w:val="none"/>
                <w:u w:val="none"/>
                <w:lang w:val="en-US" w:eastAsia="zh-CN" w:bidi="ar"/>
              </w:rPr>
              <w:t>.图形识别：</w:t>
            </w:r>
            <w:r>
              <w:rPr>
                <w:rFonts w:ascii="宋体" w:hAnsi="宋体" w:eastAsia="宋体" w:cs="宋体"/>
                <w:color w:val="auto"/>
                <w:kern w:val="0"/>
                <w:sz w:val="20"/>
                <w:szCs w:val="20"/>
                <w:highlight w:val="none"/>
                <w:lang w:val="en-US" w:eastAsia="zh-CN" w:bidi="ar"/>
              </w:rPr>
              <w:t>平面几何图形可自动规整为标准矢量图形，支持识别多种常用几何类型。</w:t>
            </w:r>
            <w:r>
              <w:rPr>
                <w:rFonts w:hint="eastAsia" w:ascii="宋体" w:hAnsi="宋体" w:eastAsia="宋体" w:cs="宋体"/>
                <w:i w:val="0"/>
                <w:iCs w:val="0"/>
                <w:strike/>
                <w:dstrike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15</w:t>
            </w:r>
            <w:r>
              <w:rPr>
                <w:rFonts w:hint="eastAsia" w:ascii="宋体" w:hAnsi="宋体" w:eastAsia="宋体" w:cs="宋体"/>
                <w:i w:val="0"/>
                <w:iCs w:val="0"/>
                <w:color w:val="auto"/>
                <w:kern w:val="0"/>
                <w:sz w:val="20"/>
                <w:szCs w:val="20"/>
                <w:highlight w:val="none"/>
                <w:u w:val="none"/>
                <w:lang w:val="en-US" w:eastAsia="zh-CN" w:bidi="ar"/>
              </w:rPr>
              <w:t>.英文转写： 可支持自由、连续书写多个单词并将书写的内容自动识别转换为印刷体，转换单词大小自动跟随手写输入单词大小变化，支持二次修改及前后增删单词、朗读、增加四线三格背景、词卡等功能；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16</w:t>
            </w:r>
            <w:r>
              <w:rPr>
                <w:rFonts w:hint="eastAsia" w:ascii="宋体" w:hAnsi="宋体" w:eastAsia="宋体" w:cs="宋体"/>
                <w:i w:val="0"/>
                <w:iCs w:val="0"/>
                <w:color w:val="auto"/>
                <w:kern w:val="0"/>
                <w:sz w:val="20"/>
                <w:szCs w:val="20"/>
                <w:highlight w:val="none"/>
                <w:u w:val="none"/>
                <w:lang w:val="en-US" w:eastAsia="zh-CN" w:bidi="ar"/>
              </w:rPr>
              <w:t>.白板教学中，支持从电脑中导入图片、视频、PPT、Word、Excel、PDF等资源，导入的PPT、Word、Excel文件可以进行二次编辑，导入的图片可以进行批注，导入的视频播放时可以进行批注讲解、擦除操作；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17</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白板背景素材：配备田字格、五线谱、坐标轴、运动场地等多类学科专用背景，同时支持教师上传自定义背景图片。</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18</w:t>
            </w:r>
            <w:r>
              <w:rPr>
                <w:rFonts w:hint="eastAsia" w:ascii="宋体" w:hAnsi="宋体" w:eastAsia="宋体" w:cs="宋体"/>
                <w:i w:val="0"/>
                <w:iCs w:val="0"/>
                <w:color w:val="auto"/>
                <w:kern w:val="0"/>
                <w:sz w:val="20"/>
                <w:szCs w:val="20"/>
                <w:highlight w:val="none"/>
                <w:u w:val="none"/>
                <w:lang w:val="en-US" w:eastAsia="zh-CN" w:bidi="ar"/>
              </w:rPr>
              <w:t>.美术画板工具提供铅笔 、蜡笔、毛笔 、油画笔等笔触，具备模拟调色盘 ，可选择不同颜色混合调色；支持在美术画板导入jpg、jpeg、bmp 、png格式的实物彩色图片一键转换为素描效果，用于美术教学；</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19</w:t>
            </w:r>
            <w:r>
              <w:rPr>
                <w:rFonts w:hint="eastAsia" w:ascii="宋体" w:hAnsi="宋体" w:eastAsia="宋体" w:cs="宋体"/>
                <w:i w:val="0"/>
                <w:iCs w:val="0"/>
                <w:color w:val="auto"/>
                <w:kern w:val="0"/>
                <w:sz w:val="20"/>
                <w:szCs w:val="20"/>
                <w:highlight w:val="none"/>
                <w:u w:val="none"/>
                <w:lang w:val="en-US" w:eastAsia="zh-CN" w:bidi="ar"/>
              </w:rPr>
              <w:t xml:space="preserve">.截屏支持对屏幕上任意区域进行自由截图或矩形截图，应支持截取过程中，在截取页面上进行书写操作，并将截取的页面保存为图片；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20</w:t>
            </w:r>
            <w:r>
              <w:rPr>
                <w:rFonts w:hint="eastAsia" w:ascii="宋体" w:hAnsi="宋体" w:eastAsia="宋体" w:cs="宋体"/>
                <w:i w:val="0"/>
                <w:iCs w:val="0"/>
                <w:color w:val="auto"/>
                <w:kern w:val="0"/>
                <w:sz w:val="20"/>
                <w:szCs w:val="20"/>
                <w:highlight w:val="none"/>
                <w:u w:val="none"/>
                <w:lang w:val="en-US" w:eastAsia="zh-CN" w:bidi="ar"/>
              </w:rPr>
              <w:t xml:space="preserve">.学生自主学习：支持学生进行闯关模式下难度递进的自主学习。闯关练习应按学段、科目、版本、册别筛选，答题完成可以査看答题是否正确以及答题解析，满足不同学生的个性化练习需求； </w:t>
            </w:r>
          </w:p>
        </w:tc>
        <w:tc>
          <w:tcPr>
            <w:tcW w:w="0" w:type="auto"/>
            <w:tcBorders>
              <w:top w:val="single" w:color="000000" w:sz="4" w:space="0"/>
              <w:left w:val="single" w:color="000000" w:sz="4" w:space="0"/>
              <w:bottom w:val="single" w:color="000000" w:sz="4" w:space="0"/>
              <w:right w:val="nil"/>
            </w:tcBorders>
            <w:shd w:val="clear" w:color="auto" w:fill="FFFFFF"/>
            <w:noWrap/>
            <w:vAlign w:val="center"/>
          </w:tcPr>
          <w:p w14:paraId="41B8975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781DB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8E897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82E7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5500 </w:t>
            </w:r>
          </w:p>
        </w:tc>
      </w:tr>
      <w:tr w14:paraId="5819C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262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2CAA9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复印打印机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FD931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1、黑白网络激光打印机一体机，自动双面打印，复印，彩色扫描，有线/无线打印，带输稿器，</w:t>
            </w:r>
            <w:r>
              <w:rPr>
                <w:rFonts w:ascii="宋体" w:hAnsi="宋体" w:eastAsia="宋体" w:cs="宋体"/>
                <w:color w:val="auto"/>
                <w:sz w:val="20"/>
                <w:szCs w:val="20"/>
                <w:highlight w:val="none"/>
              </w:rPr>
              <w:t>A4 打印速度≥33 页 / 分钟，Letter 规格≥35 页 / 分钟；月最大负荷量≥25000 页。</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w:t>
            </w:r>
            <w:r>
              <w:rPr>
                <w:rFonts w:ascii="宋体" w:hAnsi="宋体" w:eastAsia="宋体" w:cs="宋体"/>
                <w:color w:val="auto"/>
                <w:sz w:val="20"/>
                <w:szCs w:val="20"/>
                <w:highlight w:val="none"/>
              </w:rPr>
              <w:t>有效打印分辨率≥1200×600dpi；机身内存≥256MB；处理器主频≥525MHz；首页输出时间≤7.8 秒。</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w:t>
            </w:r>
            <w:r>
              <w:rPr>
                <w:rFonts w:ascii="宋体" w:hAnsi="宋体" w:eastAsia="宋体" w:cs="宋体"/>
                <w:color w:val="auto"/>
                <w:sz w:val="20"/>
                <w:szCs w:val="20"/>
                <w:highlight w:val="none"/>
              </w:rPr>
              <w:t>标准纸盒输入容量≥250 页（80g/㎡），输出容量≥120 页（80g/㎡），自动输稿器容量≥50 页；最大支持纸张规格 216mm×297mm；介质适用重量 60g/㎡～200g/㎡；兼容普通纸、厚纸、透明胶片、卡片纸、标签纸、信封、薄纸。</w:t>
            </w:r>
            <w:r>
              <w:rPr>
                <w:rFonts w:hint="eastAsia" w:ascii="宋体" w:hAnsi="宋体" w:eastAsia="宋体" w:cs="宋体"/>
                <w:i w:val="0"/>
                <w:iCs w:val="0"/>
                <w:strike/>
                <w:dstrike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w:t>
            </w:r>
            <w:r>
              <w:rPr>
                <w:rFonts w:ascii="宋体" w:hAnsi="宋体" w:eastAsia="宋体" w:cs="宋体"/>
                <w:color w:val="auto"/>
                <w:sz w:val="20"/>
                <w:szCs w:val="20"/>
                <w:highlight w:val="none"/>
              </w:rPr>
              <w:t>支持一键身份证复印、一键票据复印、多合一复印、版面自适应排列；支持 U 盘直打、邮件打印；兼容 PCL5e、PCL6、PS、PDF 打印语言。</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w:t>
            </w:r>
            <w:r>
              <w:rPr>
                <w:rFonts w:ascii="宋体" w:hAnsi="宋体" w:eastAsia="宋体" w:cs="宋体"/>
                <w:color w:val="auto"/>
                <w:sz w:val="20"/>
                <w:szCs w:val="20"/>
                <w:highlight w:val="none"/>
              </w:rPr>
              <w:t>兼容主流 Windows 服务器系统、Windows7 及以上桌面操作系统、macOS 主流版本。</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6、</w:t>
            </w:r>
            <w:r>
              <w:rPr>
                <w:rFonts w:ascii="宋体" w:hAnsi="宋体" w:eastAsia="宋体" w:cs="宋体"/>
                <w:color w:val="auto"/>
                <w:sz w:val="20"/>
                <w:szCs w:val="20"/>
                <w:highlight w:val="none"/>
              </w:rPr>
              <w:t>设备内部配备金属钢架结构，机身稳固，散热结构优良，可满足长时间连续稳定运行。</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7、</w:t>
            </w:r>
            <w:r>
              <w:rPr>
                <w:rFonts w:ascii="宋体" w:hAnsi="宋体" w:eastAsia="宋体" w:cs="宋体"/>
                <w:color w:val="auto"/>
                <w:sz w:val="20"/>
                <w:szCs w:val="20"/>
                <w:highlight w:val="none"/>
              </w:rPr>
              <w:t>配备高速 USB2.0 接口、IEEE802.3 10/100Base-Tx 有线网络接口。</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w:t>
            </w:r>
            <w:r>
              <w:rPr>
                <w:rFonts w:ascii="宋体" w:hAnsi="宋体" w:eastAsia="宋体" w:cs="宋体"/>
                <w:color w:val="auto"/>
                <w:sz w:val="20"/>
                <w:szCs w:val="20"/>
                <w:highlight w:val="none"/>
              </w:rPr>
              <w:t>采用鼓粉分离耗材设计；标准粉盒打印容量≥1500 页，硒鼓组件使用寿命≥12000 页。</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06B2EA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CEB5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0DEF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4E80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2500 </w:t>
            </w:r>
          </w:p>
        </w:tc>
      </w:tr>
      <w:tr w14:paraId="319ED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95E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28E17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移动一体机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BD6F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一、显示参数（整机≥75 寸，Windows+Android 双系统）</w:t>
            </w:r>
          </w:p>
          <w:p w14:paraId="10341A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1.OPS 配置：可配套 OPS 电脑模块，OPS 厚度≥43mm，支持背部插入安装，同等规格通用 OPS 均可适配；</w:t>
            </w:r>
          </w:p>
          <w:p w14:paraId="64DBDA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2.图像模式：支持标准、动态、亮丽、用户等多种预设图像模式；侧边栏可调节亮度、对比度、饱和度、色温等参数；音效具备多套预设模式，支持高低音、平衡、环绕声开关调节；</w:t>
            </w:r>
          </w:p>
          <w:p w14:paraId="684713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3.背光类型：DLED 直下式背光；</w:t>
            </w:r>
          </w:p>
          <w:p w14:paraId="3569F6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4.屏幕规格：≥75 英寸，16:9 A 规液晶面板，物理分辨率 3840×2160 4K 超高清；</w:t>
            </w:r>
          </w:p>
          <w:p w14:paraId="62C88DA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5.屏幕基础性能：屏幕亮度≥380cd/㎡，静态对比度≥4000:1，灰阶响应时间≤6.5ms，NTSC 色域覆盖率≥72%；可视区域尺寸为参考值，同等 75 寸 4K 面板均可；</w:t>
            </w:r>
          </w:p>
          <w:p w14:paraId="206F6B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6.分屏功能：HDMI、安卓、Windows 全通道支持手势半屏显示，一键切换全屏，具备多类分屏适配模式即可，不强制固定数量。</w:t>
            </w:r>
          </w:p>
          <w:p w14:paraId="50258E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二、系统参数</w:t>
            </w:r>
          </w:p>
          <w:p w14:paraId="456F2D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 xml:space="preserve">1.嵌入式安卓系统版本不低于 Android </w:t>
            </w:r>
            <w:r>
              <w:rPr>
                <w:rFonts w:hint="eastAsia" w:ascii="宋体" w:hAnsi="宋体" w:cs="宋体"/>
                <w:color w:val="auto"/>
                <w:kern w:val="0"/>
                <w:sz w:val="20"/>
                <w:szCs w:val="20"/>
                <w:highlight w:val="none"/>
                <w:lang w:val="en-US" w:eastAsia="zh-CN" w:bidi="ar"/>
              </w:rPr>
              <w:t>11</w:t>
            </w:r>
            <w:r>
              <w:rPr>
                <w:rFonts w:hint="eastAsia" w:ascii="宋体" w:hAnsi="宋体" w:eastAsia="宋体" w:cs="宋体"/>
                <w:color w:val="auto"/>
                <w:kern w:val="0"/>
                <w:sz w:val="20"/>
                <w:szCs w:val="20"/>
                <w:highlight w:val="none"/>
                <w:lang w:val="en-US" w:eastAsia="zh-CN" w:bidi="ar"/>
              </w:rPr>
              <w:t>，运行内存≥4GB，本地存储≥32GB；</w:t>
            </w:r>
          </w:p>
          <w:p w14:paraId="07B301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2.安卓主控：8 核处理器，等效主频≥1.55GHz（Cortex A55 或同性能架构均可）。</w:t>
            </w:r>
          </w:p>
          <w:p w14:paraId="2A699B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三、智能音视频与互联</w:t>
            </w:r>
          </w:p>
          <w:p w14:paraId="05BF78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1.内置高清广角摄像头，像素≥1600 万，视场角≥130°，覆盖整间会议室巡课拍摄；支持人脸快速解锁识别；</w:t>
            </w:r>
          </w:p>
          <w:p w14:paraId="300D90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2.内置立体环绕音响，整机额定总功率≥60W，发声均匀无杂音；麦克风阵列拾音距离≥10 米，满足全室收音；不限喇叭腔体、出声结构；</w:t>
            </w:r>
          </w:p>
          <w:p w14:paraId="67FAD9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3.内置蓝牙 5.2、2.4G/5G 双频 WiFi；双系统共用无线网络，无需重复配置；可发射 AP 热点，支持多终端无线接入，蓝牙稳定传输距离≥15 米；</w:t>
            </w:r>
          </w:p>
          <w:p w14:paraId="4B8DAD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4.支持无线投屏，可通过 NFC、扫码、无线直连任意一种方式实现手机 / 平板投屏，支持多设备同时分屏；</w:t>
            </w:r>
          </w:p>
          <w:p w14:paraId="31FA77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5.可选配环境温湿度监测模块，可对接管理平台查看教室环境数据，无强制硬性要求。</w:t>
            </w:r>
          </w:p>
          <w:p w14:paraId="43A287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四、红外触控参数</w:t>
            </w:r>
          </w:p>
          <w:p w14:paraId="61052D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1.红外多点触控，AG 防眩光钢化玻璃，光线透过率≥88%；</w:t>
            </w:r>
          </w:p>
          <w:p w14:paraId="17F365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2.支持≥50 点同步书写触控，触控响应速度≤5ms，最小识别触摸物体≤3mm，强光下书写触控无失效；</w:t>
            </w:r>
          </w:p>
          <w:p w14:paraId="69DB93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3.白板功能：无 PC 安卓端支持多笔同时书写、手掌智能擦除；可导出 PDF、SVG、IWB 等通用文档格式；内置充足数理化平面、立体绘图学科工具；差值分辨率满足 4K 高清书写精度即可，不强制固定数值。</w:t>
            </w:r>
          </w:p>
          <w:p w14:paraId="4D18A2C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五、整机接口（满足拓展需求，可配套拓展坞补充接口）</w:t>
            </w:r>
          </w:p>
          <w:p w14:paraId="502E63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1.输入：前置 HDMI、全功能 Type-C、多组 USB3.0；后置预留 HDMI 输入、3.5mm 音频输入；</w:t>
            </w:r>
          </w:p>
          <w:p w14:paraId="71C461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2.输出：3.5mm 音频输出；</w:t>
            </w:r>
          </w:p>
          <w:p w14:paraId="22826C5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3.网络：配备不少于 1 路千兆网口，双网口更佳；</w:t>
            </w:r>
          </w:p>
          <w:p w14:paraId="597477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0"/>
                <w:szCs w:val="20"/>
                <w:highlight w:val="none"/>
                <w:lang w:val="en-US" w:eastAsia="zh-CN" w:bidi="ar"/>
              </w:rPr>
              <w:t>4.板载内置 USB、触控 USB 等拓展接口，整机外设接驳能力满足会议电脑、U 盘、摄像头、麦克风等常规设备使用。</w:t>
            </w:r>
          </w:p>
          <w:p w14:paraId="10AE5A9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i w:val="0"/>
                <w:iCs w:val="0"/>
                <w:strike/>
                <w:dstrike w:val="0"/>
                <w:color w:val="auto"/>
                <w:kern w:val="0"/>
                <w:sz w:val="20"/>
                <w:szCs w:val="20"/>
                <w:highlight w:val="none"/>
                <w:u w:val="none"/>
                <w:lang w:val="en-US" w:eastAsia="zh-CN" w:bidi="ar"/>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E55B17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2A2E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2182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150E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13000 </w:t>
            </w:r>
          </w:p>
        </w:tc>
      </w:tr>
      <w:tr w14:paraId="4EE0A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7DC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D8EBF0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空调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4592F9">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auto"/>
                <w:kern w:val="0"/>
                <w:sz w:val="20"/>
                <w:szCs w:val="20"/>
                <w:highlight w:val="none"/>
                <w:lang w:val="en-US" w:eastAsia="zh-CN" w:bidi="ar"/>
              </w:rPr>
            </w:pPr>
            <w:r>
              <w:rPr>
                <w:rFonts w:ascii="宋体" w:hAnsi="宋体" w:eastAsia="宋体" w:cs="宋体"/>
                <w:color w:val="auto"/>
                <w:kern w:val="0"/>
                <w:sz w:val="20"/>
                <w:szCs w:val="20"/>
                <w:highlight w:val="none"/>
                <w:lang w:val="en-US" w:eastAsia="zh-CN" w:bidi="ar"/>
              </w:rPr>
              <w:t xml:space="preserve">机型：3 匹壁挂式全变频冷暖空调 </w:t>
            </w:r>
          </w:p>
          <w:p w14:paraId="0066E061">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firstLine="0" w:firstLineChars="0"/>
              <w:jc w:val="left"/>
              <w:rPr>
                <w:rFonts w:ascii="宋体" w:hAnsi="宋体" w:eastAsia="宋体" w:cs="宋体"/>
                <w:color w:val="auto"/>
                <w:kern w:val="0"/>
                <w:sz w:val="20"/>
                <w:szCs w:val="20"/>
                <w:highlight w:val="none"/>
                <w:lang w:val="en-US" w:eastAsia="zh-CN" w:bidi="ar"/>
              </w:rPr>
            </w:pPr>
            <w:r>
              <w:rPr>
                <w:rFonts w:ascii="宋体" w:hAnsi="宋体" w:eastAsia="宋体" w:cs="宋体"/>
                <w:color w:val="auto"/>
                <w:kern w:val="0"/>
                <w:sz w:val="20"/>
                <w:szCs w:val="20"/>
                <w:highlight w:val="none"/>
                <w:lang w:val="en-US" w:eastAsia="zh-CN" w:bidi="ar"/>
              </w:rPr>
              <w:t xml:space="preserve">能效等级：新国标一级能效 </w:t>
            </w:r>
          </w:p>
          <w:p w14:paraId="49B5DDE2">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firstLine="0" w:firstLineChars="0"/>
              <w:jc w:val="left"/>
              <w:rPr>
                <w:rFonts w:ascii="宋体" w:hAnsi="宋体" w:eastAsia="宋体" w:cs="宋体"/>
                <w:color w:val="auto"/>
                <w:kern w:val="0"/>
                <w:sz w:val="20"/>
                <w:szCs w:val="20"/>
                <w:highlight w:val="none"/>
                <w:lang w:val="en-US" w:eastAsia="zh-CN" w:bidi="ar"/>
              </w:rPr>
            </w:pPr>
            <w:r>
              <w:rPr>
                <w:rFonts w:ascii="宋体" w:hAnsi="宋体" w:eastAsia="宋体" w:cs="宋体"/>
                <w:color w:val="auto"/>
                <w:kern w:val="0"/>
                <w:sz w:val="20"/>
                <w:szCs w:val="20"/>
                <w:highlight w:val="none"/>
                <w:lang w:val="en-US" w:eastAsia="zh-CN" w:bidi="ar"/>
              </w:rPr>
              <w:t xml:space="preserve">全年能源消耗效率 APF≥4.55（以中国能效标识网备案数据为准） </w:t>
            </w:r>
          </w:p>
          <w:p w14:paraId="2BAA4308">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firstLine="0" w:firstLineChars="0"/>
              <w:jc w:val="left"/>
              <w:rPr>
                <w:rFonts w:ascii="宋体" w:hAnsi="宋体" w:eastAsia="宋体" w:cs="宋体"/>
                <w:color w:val="auto"/>
                <w:kern w:val="0"/>
                <w:sz w:val="20"/>
                <w:szCs w:val="20"/>
                <w:highlight w:val="none"/>
                <w:lang w:val="en-US" w:eastAsia="zh-CN" w:bidi="ar"/>
              </w:rPr>
            </w:pPr>
            <w:r>
              <w:rPr>
                <w:rFonts w:ascii="宋体" w:hAnsi="宋体" w:eastAsia="宋体" w:cs="宋体"/>
                <w:color w:val="auto"/>
                <w:kern w:val="0"/>
                <w:sz w:val="20"/>
                <w:szCs w:val="20"/>
                <w:highlight w:val="none"/>
                <w:lang w:val="en-US" w:eastAsia="zh-CN" w:bidi="ar"/>
              </w:rPr>
              <w:t>额定制冷量≥7310W，国标合理公差范围内有效</w:t>
            </w:r>
          </w:p>
          <w:p w14:paraId="08F1D887">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firstLine="0" w:firstLineChars="0"/>
              <w:jc w:val="left"/>
              <w:rPr>
                <w:rFonts w:ascii="宋体" w:hAnsi="宋体" w:eastAsia="宋体" w:cs="宋体"/>
                <w:color w:val="auto"/>
                <w:kern w:val="0"/>
                <w:sz w:val="20"/>
                <w:szCs w:val="20"/>
                <w:highlight w:val="none"/>
                <w:lang w:val="en-US" w:eastAsia="zh-CN" w:bidi="ar"/>
              </w:rPr>
            </w:pPr>
            <w:r>
              <w:rPr>
                <w:rFonts w:ascii="宋体" w:hAnsi="宋体" w:eastAsia="宋体" w:cs="宋体"/>
                <w:color w:val="auto"/>
                <w:kern w:val="0"/>
                <w:sz w:val="20"/>
                <w:szCs w:val="20"/>
                <w:highlight w:val="none"/>
                <w:lang w:val="en-US" w:eastAsia="zh-CN" w:bidi="ar"/>
              </w:rPr>
              <w:t xml:space="preserve">额定制热量≥9810W，国标合理公差范围内有效 </w:t>
            </w:r>
          </w:p>
          <w:p w14:paraId="0FB937AA">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firstLine="0" w:firstLineChars="0"/>
              <w:jc w:val="left"/>
              <w:rPr>
                <w:rFonts w:ascii="宋体" w:hAnsi="宋体" w:eastAsia="宋体" w:cs="宋体"/>
                <w:color w:val="auto"/>
                <w:kern w:val="0"/>
                <w:sz w:val="20"/>
                <w:szCs w:val="20"/>
                <w:highlight w:val="none"/>
                <w:lang w:val="en-US" w:eastAsia="zh-CN" w:bidi="ar"/>
              </w:rPr>
            </w:pPr>
            <w:r>
              <w:rPr>
                <w:rFonts w:ascii="宋体" w:hAnsi="宋体" w:eastAsia="宋体" w:cs="宋体"/>
                <w:color w:val="auto"/>
                <w:kern w:val="0"/>
                <w:sz w:val="20"/>
                <w:szCs w:val="20"/>
                <w:highlight w:val="none"/>
                <w:lang w:val="en-US" w:eastAsia="zh-CN" w:bidi="ar"/>
              </w:rPr>
              <w:t xml:space="preserve">额定制冷功率≤1940W </w:t>
            </w:r>
          </w:p>
          <w:p w14:paraId="54239002">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firstLine="0" w:firstLineChars="0"/>
              <w:jc w:val="left"/>
              <w:rPr>
                <w:rFonts w:ascii="宋体" w:hAnsi="宋体" w:eastAsia="宋体" w:cs="宋体"/>
                <w:color w:val="auto"/>
                <w:kern w:val="0"/>
                <w:sz w:val="20"/>
                <w:szCs w:val="20"/>
                <w:highlight w:val="none"/>
                <w:lang w:val="en-US" w:eastAsia="zh-CN" w:bidi="ar"/>
              </w:rPr>
            </w:pPr>
            <w:r>
              <w:rPr>
                <w:rFonts w:ascii="宋体" w:hAnsi="宋体" w:eastAsia="宋体" w:cs="宋体"/>
                <w:color w:val="auto"/>
                <w:kern w:val="0"/>
                <w:sz w:val="20"/>
                <w:szCs w:val="20"/>
                <w:highlight w:val="none"/>
                <w:lang w:val="en-US" w:eastAsia="zh-CN" w:bidi="ar"/>
              </w:rPr>
              <w:t xml:space="preserve">额定制热功率≤2880W </w:t>
            </w:r>
          </w:p>
          <w:p w14:paraId="5C866641">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firstLine="0" w:firstLineChars="0"/>
              <w:jc w:val="left"/>
              <w:rPr>
                <w:rFonts w:ascii="宋体" w:hAnsi="宋体" w:eastAsia="宋体" w:cs="宋体"/>
                <w:color w:val="auto"/>
                <w:kern w:val="0"/>
                <w:sz w:val="20"/>
                <w:szCs w:val="20"/>
                <w:highlight w:val="none"/>
                <w:lang w:val="en-US" w:eastAsia="zh-CN" w:bidi="ar"/>
              </w:rPr>
            </w:pPr>
            <w:r>
              <w:rPr>
                <w:rFonts w:ascii="宋体" w:hAnsi="宋体" w:eastAsia="宋体" w:cs="宋体"/>
                <w:color w:val="auto"/>
                <w:kern w:val="0"/>
                <w:sz w:val="20"/>
                <w:szCs w:val="20"/>
                <w:highlight w:val="none"/>
                <w:lang w:val="en-US" w:eastAsia="zh-CN" w:bidi="ar"/>
              </w:rPr>
              <w:t>室内机高风运行噪音≤43dB (A)</w:t>
            </w:r>
          </w:p>
          <w:p w14:paraId="1A9F6B83">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firstLine="0" w:firstLineChars="0"/>
              <w:jc w:val="left"/>
              <w:rPr>
                <w:rFonts w:ascii="宋体" w:hAnsi="宋体" w:eastAsia="宋体" w:cs="宋体"/>
                <w:color w:val="auto"/>
                <w:kern w:val="0"/>
                <w:sz w:val="20"/>
                <w:szCs w:val="20"/>
                <w:highlight w:val="none"/>
                <w:lang w:val="en-US" w:eastAsia="zh-CN" w:bidi="ar"/>
              </w:rPr>
            </w:pPr>
            <w:r>
              <w:rPr>
                <w:rFonts w:ascii="宋体" w:hAnsi="宋体" w:eastAsia="宋体" w:cs="宋体"/>
                <w:color w:val="auto"/>
                <w:kern w:val="0"/>
                <w:sz w:val="20"/>
                <w:szCs w:val="20"/>
                <w:highlight w:val="none"/>
                <w:lang w:val="en-US" w:eastAsia="zh-CN" w:bidi="ar"/>
              </w:rPr>
              <w:t>室外机运行噪音≤56dB (A)</w:t>
            </w:r>
          </w:p>
          <w:p w14:paraId="4D22C8B1">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firstLine="0" w:firstLineChars="0"/>
              <w:jc w:val="left"/>
              <w:rPr>
                <w:rFonts w:ascii="宋体" w:hAnsi="宋体" w:eastAsia="宋体" w:cs="宋体"/>
                <w:color w:val="auto"/>
                <w:kern w:val="0"/>
                <w:sz w:val="20"/>
                <w:szCs w:val="20"/>
                <w:highlight w:val="none"/>
                <w:lang w:val="en-US" w:eastAsia="zh-CN" w:bidi="ar"/>
              </w:rPr>
            </w:pPr>
            <w:r>
              <w:rPr>
                <w:rFonts w:ascii="宋体" w:hAnsi="宋体" w:eastAsia="宋体" w:cs="宋体"/>
                <w:color w:val="auto"/>
                <w:kern w:val="0"/>
                <w:sz w:val="20"/>
                <w:szCs w:val="20"/>
                <w:highlight w:val="none"/>
                <w:lang w:val="en-US" w:eastAsia="zh-CN" w:bidi="ar"/>
              </w:rPr>
              <w:t xml:space="preserve">循环风量≥1410m³/h </w:t>
            </w:r>
          </w:p>
          <w:p w14:paraId="00272FBE">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firstLine="0" w:firstLineChars="0"/>
              <w:jc w:val="left"/>
              <w:rPr>
                <w:rFonts w:ascii="宋体" w:hAnsi="宋体" w:eastAsia="宋体" w:cs="宋体"/>
                <w:color w:val="auto"/>
                <w:kern w:val="0"/>
                <w:sz w:val="20"/>
                <w:szCs w:val="20"/>
                <w:highlight w:val="none"/>
                <w:lang w:val="en-US" w:eastAsia="zh-CN" w:bidi="ar"/>
              </w:rPr>
            </w:pPr>
            <w:r>
              <w:rPr>
                <w:rFonts w:ascii="宋体" w:hAnsi="宋体" w:eastAsia="宋体" w:cs="宋体"/>
                <w:color w:val="auto"/>
                <w:kern w:val="0"/>
                <w:sz w:val="20"/>
                <w:szCs w:val="20"/>
                <w:highlight w:val="none"/>
                <w:lang w:val="en-US" w:eastAsia="zh-CN" w:bidi="ar"/>
              </w:rPr>
              <w:t>电源规格：220V～50Hz 交流市电</w:t>
            </w:r>
          </w:p>
          <w:p w14:paraId="64EB9AE7">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firstLine="0" w:firstLineChars="0"/>
              <w:jc w:val="left"/>
              <w:rPr>
                <w:rFonts w:ascii="宋体" w:hAnsi="宋体" w:eastAsia="宋体" w:cs="宋体"/>
                <w:color w:val="auto"/>
                <w:kern w:val="0"/>
                <w:sz w:val="20"/>
                <w:szCs w:val="20"/>
                <w:highlight w:val="none"/>
                <w:lang w:val="en-US" w:eastAsia="zh-CN" w:bidi="ar"/>
              </w:rPr>
            </w:pPr>
            <w:r>
              <w:rPr>
                <w:rFonts w:ascii="宋体" w:hAnsi="宋体" w:eastAsia="宋体" w:cs="宋体"/>
                <w:color w:val="auto"/>
                <w:kern w:val="0"/>
                <w:sz w:val="20"/>
                <w:szCs w:val="20"/>
                <w:highlight w:val="none"/>
                <w:lang w:val="en-US" w:eastAsia="zh-CN" w:bidi="ar"/>
              </w:rPr>
              <w:t xml:space="preserve">标准出厂配件：室内机 1 台、室外机 1 台、配套遥控器 1 个、电池 1 对、密封胶泥 1 块、墙孔装饰套 1 个、产品保修卡、产品说明书、产品合格证各 1 份 </w:t>
            </w:r>
          </w:p>
          <w:p w14:paraId="374A3BBE">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Chars="0" w:right="0" w:rightChars="0"/>
              <w:jc w:val="left"/>
              <w:rPr>
                <w:color w:val="auto"/>
                <w:sz w:val="20"/>
                <w:szCs w:val="20"/>
                <w:highlight w:val="none"/>
              </w:rPr>
            </w:pPr>
            <w:r>
              <w:rPr>
                <w:rFonts w:ascii="宋体" w:hAnsi="宋体" w:eastAsia="宋体" w:cs="宋体"/>
                <w:color w:val="auto"/>
                <w:kern w:val="0"/>
                <w:sz w:val="20"/>
                <w:szCs w:val="20"/>
                <w:highlight w:val="none"/>
                <w:lang w:val="en-US" w:eastAsia="zh-CN" w:bidi="ar"/>
              </w:rPr>
              <w:t>13、配套安装服务及辅材（同等性能辅材均可）：含 3 米加长连接铜管、墙体打孔 1 个、适配 3 匹室外机镀锌防腐安装支架、配套空气开关、外径不小于 50mm PVC 室外排水管 3 米、整机高空作业、标准抽真空安装、整机调试。</w:t>
            </w:r>
          </w:p>
          <w:p w14:paraId="3353552D">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p>
        </w:tc>
        <w:tc>
          <w:tcPr>
            <w:tcW w:w="0" w:type="auto"/>
            <w:tcBorders>
              <w:top w:val="single" w:color="000000" w:sz="4" w:space="0"/>
              <w:left w:val="single" w:color="000000" w:sz="4" w:space="0"/>
              <w:bottom w:val="single" w:color="000000" w:sz="4" w:space="0"/>
              <w:right w:val="nil"/>
            </w:tcBorders>
            <w:shd w:val="clear" w:color="auto" w:fill="FFFFFF"/>
            <w:noWrap/>
            <w:vAlign w:val="center"/>
          </w:tcPr>
          <w:p w14:paraId="6BD1158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57493D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2312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EDA7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10600 </w:t>
            </w:r>
          </w:p>
        </w:tc>
      </w:tr>
      <w:tr w14:paraId="32470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B8E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DDA2A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空调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0EDF8B3">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3匹变频冷暖柜式空调</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▲1.能效等级：</w:t>
            </w:r>
            <w:r>
              <w:rPr>
                <w:rFonts w:ascii="宋体" w:hAnsi="宋体" w:eastAsia="宋体" w:cs="宋体"/>
                <w:color w:val="auto"/>
                <w:kern w:val="0"/>
                <w:sz w:val="20"/>
                <w:szCs w:val="20"/>
                <w:highlight w:val="none"/>
                <w:lang w:val="en-US" w:eastAsia="zh-CN" w:bidi="ar"/>
              </w:rPr>
              <w:t>新国标</w:t>
            </w:r>
            <w:r>
              <w:rPr>
                <w:rFonts w:hint="eastAsia" w:ascii="宋体" w:hAnsi="宋体" w:eastAsia="宋体" w:cs="宋体"/>
                <w:i w:val="0"/>
                <w:iCs w:val="0"/>
                <w:color w:val="auto"/>
                <w:kern w:val="0"/>
                <w:sz w:val="20"/>
                <w:szCs w:val="20"/>
                <w:highlight w:val="none"/>
                <w:u w:val="none"/>
                <w:lang w:val="en-US" w:eastAsia="zh-CN" w:bidi="ar"/>
              </w:rPr>
              <w:t>二级；</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2.定频/变频：变频；</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▲3.APF：≥4.18</w:t>
            </w:r>
            <w:r>
              <w:rPr>
                <w:rFonts w:ascii="宋体" w:hAnsi="宋体" w:eastAsia="宋体" w:cs="宋体"/>
                <w:color w:val="auto"/>
                <w:kern w:val="0"/>
                <w:sz w:val="20"/>
                <w:szCs w:val="20"/>
                <w:highlight w:val="none"/>
                <w:lang w:val="en-US" w:eastAsia="zh-CN" w:bidi="ar"/>
              </w:rPr>
              <w:t>（以国家能效标识备案数据为准）</w:t>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▲4.额定制冷量(W)：≥7280；</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▲5.额定制热量(W)：≥9780；</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6.额定制冷功率(W)：≤2050；</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7.额定制热功率(W)：≤2860；</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8.室内机噪音（高风档）dB(A）：≤42.5；</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9.室外机噪音（高风档）dB(A）：≤56；</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10.循环风量（m³/h)：≥1300；</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11.电辅热功率(W)：≥2500；</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12.电压/频率（V/HZ）：220V/50HZ；</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▲13.为了方便核对参数及后期设备验收，以上参数以国家权威部门认可或中国合格评定国家认可委员会（CNAS）认证的第三方检测机构/中心出具的检测报告中的铭牌值为准，提供检测报告（提供复印件并加盖</w:t>
            </w:r>
            <w:r>
              <w:rPr>
                <w:rFonts w:hint="eastAsia" w:ascii="宋体" w:hAnsi="宋体" w:cs="宋体"/>
                <w:i w:val="0"/>
                <w:iCs w:val="0"/>
                <w:color w:val="auto"/>
                <w:kern w:val="0"/>
                <w:sz w:val="20"/>
                <w:szCs w:val="20"/>
                <w:highlight w:val="none"/>
                <w:u w:val="none"/>
                <w:lang w:val="en-US" w:eastAsia="zh-CN" w:bidi="ar"/>
              </w:rPr>
              <w:t>响应供应商</w:t>
            </w:r>
            <w:r>
              <w:rPr>
                <w:rFonts w:hint="eastAsia" w:ascii="宋体" w:hAnsi="宋体" w:eastAsia="宋体" w:cs="宋体"/>
                <w:i w:val="0"/>
                <w:iCs w:val="0"/>
                <w:color w:val="auto"/>
                <w:kern w:val="0"/>
                <w:sz w:val="20"/>
                <w:szCs w:val="20"/>
                <w:highlight w:val="none"/>
                <w:u w:val="none"/>
                <w:lang w:val="en-US" w:eastAsia="zh-CN" w:bidi="ar"/>
              </w:rPr>
              <w:t>公章）</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▲14.设备报价包含安装及安装材料费用（铜管、水管、支架、开关、插座、电线等），</w:t>
            </w:r>
            <w:r>
              <w:rPr>
                <w:rFonts w:ascii="宋体" w:hAnsi="宋体" w:eastAsia="宋体" w:cs="宋体"/>
                <w:color w:val="auto"/>
                <w:kern w:val="0"/>
                <w:sz w:val="20"/>
                <w:szCs w:val="20"/>
                <w:highlight w:val="none"/>
                <w:lang w:val="en-US" w:eastAsia="zh-CN" w:bidi="ar"/>
              </w:rPr>
              <w:t>所有辅材均符合国家相关标准，同等国标规格辅材均可使用。</w:t>
            </w:r>
          </w:p>
        </w:tc>
        <w:tc>
          <w:tcPr>
            <w:tcW w:w="0" w:type="auto"/>
            <w:tcBorders>
              <w:top w:val="single" w:color="000000" w:sz="4" w:space="0"/>
              <w:left w:val="single" w:color="000000" w:sz="4" w:space="0"/>
              <w:bottom w:val="single" w:color="000000" w:sz="4" w:space="0"/>
              <w:right w:val="nil"/>
            </w:tcBorders>
            <w:shd w:val="clear" w:color="auto" w:fill="FFFFFF"/>
            <w:noWrap/>
            <w:vAlign w:val="center"/>
          </w:tcPr>
          <w:p w14:paraId="2DE6A34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5D4C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B43A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0C0F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13000 </w:t>
            </w:r>
          </w:p>
        </w:tc>
      </w:tr>
      <w:tr w14:paraId="43748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14F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922E3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幼儿％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917A45">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主要材质：PP，PVC，产品明细：≥272件。（</w:t>
            </w:r>
            <w:r>
              <w:rPr>
                <w:rFonts w:ascii="宋体" w:hAnsi="宋体" w:eastAsia="宋体" w:cs="宋体"/>
                <w:color w:val="auto"/>
                <w:sz w:val="20"/>
                <w:szCs w:val="20"/>
                <w:highlight w:val="none"/>
              </w:rPr>
              <w:t>参考尺寸，允许 ±10mm 合理公差</w:t>
            </w:r>
            <w:r>
              <w:rPr>
                <w:rFonts w:hint="eastAsia" w:ascii="宋体" w:hAnsi="宋体" w:eastAsia="宋体" w:cs="宋体"/>
                <w:i w:val="0"/>
                <w:iCs w:val="0"/>
                <w:color w:val="auto"/>
                <w:kern w:val="0"/>
                <w:sz w:val="20"/>
                <w:szCs w:val="20"/>
                <w:highlight w:val="none"/>
                <w:u w:val="none"/>
                <w:lang w:val="en-US" w:eastAsia="zh-CN" w:bidi="ar"/>
              </w:rPr>
              <w:t>）</w:t>
            </w:r>
          </w:p>
          <w:p w14:paraId="5ED096AC">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300连接盘（蓝色）300mm*120mm 72个；连接管180mm*48mm 48根，连接管313mm*48mm 48根；连接管500mm*48mm 48根；连接管764mm*48mm 42根；连接管1139mm*48mm 14根；</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（1）科学类构建积木从简单到复杂，从平面到立体，从静态到复杂，从动态到机械架构，玩法多样，可提升活动童趣，让孩子在游戏中得到锻炼和发展，加强孩子的户外体能运动能力。</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（2）其特点一物多用，一物多练，一物多变，以此来拼搭锻炼孩子不同动作的造型；同时可配合开展亲子活动。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（3）运用器械材料的结构，孩子可自主拆卸，组合，构建不同的游戏场景，开展角色游戏活动。老师引导孩子自主拼搭建构主题场景，让孩子在场景中进行角色表演游戏，达到社会角色的认知</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（4）玩具的可触及边缘、边角或分模线无可触及的功能性危险锐利边缘，无功能性锐利尖端，无小零件脱落现象。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产品抗菌性能符合检测合格标准，</w:t>
            </w:r>
            <w:r>
              <w:rPr>
                <w:rFonts w:ascii="宋体" w:hAnsi="宋体" w:eastAsia="宋体" w:cs="宋体"/>
                <w:color w:val="auto"/>
                <w:sz w:val="20"/>
                <w:szCs w:val="20"/>
                <w:highlight w:val="none"/>
              </w:rPr>
              <w:t>供货验收时，供应商</w:t>
            </w:r>
            <w:r>
              <w:rPr>
                <w:rFonts w:hint="eastAsia" w:ascii="宋体" w:hAnsi="宋体" w:eastAsia="宋体" w:cs="宋体"/>
                <w:i w:val="0"/>
                <w:iCs w:val="0"/>
                <w:color w:val="auto"/>
                <w:kern w:val="0"/>
                <w:sz w:val="20"/>
                <w:szCs w:val="20"/>
                <w:highlight w:val="none"/>
                <w:u w:val="none"/>
                <w:lang w:val="en-US" w:eastAsia="zh-CN" w:bidi="ar"/>
              </w:rPr>
              <w:t>提供由国家认可认证机构 CMA/CNAS出具的产品主要材质PP塑料的抗菌性检测报告复印件加盖公章</w:t>
            </w:r>
            <w:r>
              <w:rPr>
                <w:rFonts w:ascii="宋体" w:hAnsi="宋体" w:eastAsia="宋体" w:cs="宋体"/>
                <w:color w:val="auto"/>
                <w:sz w:val="20"/>
                <w:szCs w:val="20"/>
                <w:highlight w:val="none"/>
              </w:rPr>
              <w:t>备查</w:t>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产品防霉性能符合检测合格标准，</w:t>
            </w:r>
            <w:r>
              <w:rPr>
                <w:rFonts w:ascii="宋体" w:hAnsi="宋体" w:eastAsia="宋体" w:cs="宋体"/>
                <w:color w:val="auto"/>
                <w:sz w:val="20"/>
                <w:szCs w:val="20"/>
                <w:highlight w:val="none"/>
              </w:rPr>
              <w:t>供货验收时，供应商</w:t>
            </w:r>
            <w:r>
              <w:rPr>
                <w:rFonts w:hint="eastAsia" w:ascii="宋体" w:hAnsi="宋体" w:eastAsia="宋体" w:cs="宋体"/>
                <w:i w:val="0"/>
                <w:iCs w:val="0"/>
                <w:color w:val="auto"/>
                <w:kern w:val="0"/>
                <w:sz w:val="20"/>
                <w:szCs w:val="20"/>
                <w:highlight w:val="none"/>
                <w:u w:val="none"/>
                <w:lang w:val="en-US" w:eastAsia="zh-CN" w:bidi="ar"/>
              </w:rPr>
              <w:t>须提供由国家认可认证机构 CMA/CNAS出具的产品主要材质PP塑料的防霉性检测报告复印件加盖公章</w:t>
            </w:r>
            <w:r>
              <w:rPr>
                <w:rFonts w:ascii="宋体" w:hAnsi="宋体" w:eastAsia="宋体" w:cs="宋体"/>
                <w:color w:val="auto"/>
                <w:sz w:val="20"/>
                <w:szCs w:val="20"/>
                <w:highlight w:val="none"/>
              </w:rPr>
              <w:t>备查</w:t>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产品抗病毒性能符合检测合格标准，</w:t>
            </w:r>
            <w:r>
              <w:rPr>
                <w:rFonts w:ascii="宋体" w:hAnsi="宋体" w:eastAsia="宋体" w:cs="宋体"/>
                <w:color w:val="auto"/>
                <w:sz w:val="20"/>
                <w:szCs w:val="20"/>
                <w:highlight w:val="none"/>
              </w:rPr>
              <w:t>供货验收时，供应商</w:t>
            </w:r>
            <w:r>
              <w:rPr>
                <w:rFonts w:hint="eastAsia" w:ascii="宋体" w:hAnsi="宋体" w:eastAsia="宋体" w:cs="宋体"/>
                <w:i w:val="0"/>
                <w:iCs w:val="0"/>
                <w:color w:val="auto"/>
                <w:kern w:val="0"/>
                <w:sz w:val="20"/>
                <w:szCs w:val="20"/>
                <w:highlight w:val="none"/>
                <w:u w:val="none"/>
                <w:lang w:val="en-US" w:eastAsia="zh-CN" w:bidi="ar"/>
              </w:rPr>
              <w:t>须供提由国家认可认证机构 CMA/CNAS 出具的产品主要材质PP塑料的抗病毒性检测报告复印件加盖公章</w:t>
            </w:r>
            <w:r>
              <w:rPr>
                <w:rFonts w:ascii="宋体" w:hAnsi="宋体" w:eastAsia="宋体" w:cs="宋体"/>
                <w:color w:val="auto"/>
                <w:sz w:val="20"/>
                <w:szCs w:val="20"/>
                <w:highlight w:val="none"/>
              </w:rPr>
              <w:t>备查</w:t>
            </w:r>
            <w:r>
              <w:rPr>
                <w:rFonts w:hint="eastAsia" w:ascii="宋体" w:hAnsi="宋体" w:eastAsia="宋体" w:cs="宋体"/>
                <w:i w:val="0"/>
                <w:iCs w:val="0"/>
                <w:color w:val="auto"/>
                <w:kern w:val="0"/>
                <w:sz w:val="20"/>
                <w:szCs w:val="20"/>
                <w:highlight w:val="none"/>
                <w:u w:val="none"/>
                <w:lang w:val="en-US" w:eastAsia="zh-CN" w:bidi="ar"/>
              </w:rPr>
              <w:t>；</w:t>
            </w:r>
          </w:p>
          <w:p w14:paraId="00A458C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产品符合 GB 6675.1-2014《玩具安全 第 1 部分：基本规范》、GB6675.2-2014《玩具安全 第 2 部分：机械与物理性能》、GB 6675.3-2014《玩具安全第3部分：易燃性能》、GB 6675.4-2014《玩具安全 第 4 部分：特定元素的迁移》，检测结果为符合或合格。提供由国家认可认证机构 CMA/CNAS 出具的测试报告。</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350F30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289D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8399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00D2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20400 </w:t>
            </w:r>
          </w:p>
        </w:tc>
      </w:tr>
      <w:tr w14:paraId="73F44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0A8E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85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C84F1D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幼儿绘本</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C386A0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本次采购绘本涵盖十大通用品类，所有参选书籍需适配幼儿园教学场景，贴合幼儿成长特点，具体品类及通用标准如下，供应商可在对应品类内提供合规等效书籍：</w:t>
            </w:r>
          </w:p>
          <w:p w14:paraId="251CB3AD">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一、采购绘本品类</w:t>
            </w:r>
          </w:p>
          <w:p w14:paraId="12F4732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1.中外经典童话、寓言与民间故事绘本：世界经典童话、安徒生童话、格林童话、伊索寓言、民间小故事；中国寓言、成语故事、神话传说等。</w:t>
            </w:r>
          </w:p>
          <w:p w14:paraId="15AC7CAF">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中华优秀传统文化、传统节日绘本：二十四节气、春节、端午、中秋、清明等传统节日；国学启蒙、古代名人故事、古典名著幼儿改编绘本；优先吸纳壮族本土神话、民俗、壮汉双语绘本（百鸟衣、一幅壮锦、壮族铜鼓等相关题材）。</w:t>
            </w:r>
          </w:p>
          <w:p w14:paraId="72B0994D">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3.红色教育、爱国主义与榜样科普绘本：革命小故事、红色主题绘本、时代楷模、科学家榜样、航天、家国主题正向教育绘本。</w:t>
            </w:r>
          </w:p>
          <w:p w14:paraId="20BF15D7">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4.幼儿习惯养成与生活自理绘本：自主进餐、穿衣、洗漱、如厕、作息卫生、珍惜粮食、物品整理、良好行为习惯培养。</w:t>
            </w:r>
          </w:p>
          <w:p w14:paraId="4949250D">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5.情绪管理、情商、社交、逆商培养绘本：情绪识别、克服恐惧、分离焦虑、学会分享、友好交往、拒绝冲突、接纳自我、正确面对挫折、懂得感恩、学会表达。</w:t>
            </w:r>
          </w:p>
          <w:p w14:paraId="1229F833">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6.幼儿安全与自我保护绘本：防拐骗、交通安全、防溺水、居家防火用电、防烫伤、拒绝校园霸凌、身体边界教育、户外安全、饮食安全等。</w:t>
            </w:r>
          </w:p>
          <w:p w14:paraId="3586AAF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7.科普启蒙绘本：自然动植物、四季、太空、地理、简单物理现象、数学思维启蒙、数字生活、人体健康、生态环保科普。</w:t>
            </w:r>
          </w:p>
          <w:p w14:paraId="7D50344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8.生命教育、财商启蒙绘本：生命成长、性别认知、学会告别、接纳差异；认识钱币、劳动、储蓄、爱心捐赠等启蒙内容。</w:t>
            </w:r>
          </w:p>
          <w:p w14:paraId="57FFD64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9.亲子亲情、艺术、音乐、创意互动绘本：亲子情感、音乐启蒙、创意游戏绘本、低幼互动机关绘本、获奖原创绘本。</w:t>
            </w:r>
          </w:p>
          <w:p w14:paraId="408635E9">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10.优质知名系列、正向 IP 绘本：国际大师绘本、暖房子、铃木绘本、聪明豆、不一样的卡梅拉等经典系列；迪士尼、超级飞侠、小猪佩奇等正向卡通 IP 绘本。</w:t>
            </w:r>
          </w:p>
          <w:p w14:paraId="50CFA864">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二、采购绘本质量标准</w:t>
            </w:r>
          </w:p>
          <w:p w14:paraId="1AE42F1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 合规性标准：所有绘本为正规出版、公开发行的合法出版物，具备图书出版资质、ISBN书号，无盗版、无删减、无违规内容，符合国家出版物出版规范。</w:t>
            </w:r>
          </w:p>
          <w:p w14:paraId="6509327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 适龄安全标准：适配3-6岁幼儿阅读，内容积极健康、三观正向，无暴力、低俗、恐怖、不良导向内容；纸张厚实、边缘圆角打磨、无毛刺、无刺鼻异味，油墨环保无毒，符合幼儿读物安全标准。</w:t>
            </w:r>
          </w:p>
          <w:p w14:paraId="0400EBC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 装帧品质标准：平装、精装均可，书页平整、印刷清晰、色彩均匀，无模糊、重影、漏印、脱页、破损问题，装订牢固，适合幼儿反复翻阅使用。</w:t>
            </w:r>
          </w:p>
          <w:p w14:paraId="7AA444E4">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 内容适配标准：文字简洁易懂、配图精美、故事完整，贴合幼儿园教学大纲及幼儿认知规律，具备对应的教育启蒙价值，可满足幼儿园日常阅读、课堂教学、区域活动使用需求。</w:t>
            </w:r>
          </w:p>
          <w:p w14:paraId="472B025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三、其他要求：</w:t>
            </w:r>
            <w:r>
              <w:rPr>
                <w:rFonts w:hint="eastAsia" w:ascii="宋体" w:hAnsi="宋体" w:cs="宋体"/>
                <w:i w:val="0"/>
                <w:iCs w:val="0"/>
                <w:color w:val="auto"/>
                <w:kern w:val="0"/>
                <w:sz w:val="20"/>
                <w:szCs w:val="20"/>
                <w:highlight w:val="none"/>
                <w:u w:val="none"/>
                <w:lang w:val="en-US" w:eastAsia="zh-CN" w:bidi="ar"/>
              </w:rPr>
              <w:t>成交</w:t>
            </w:r>
            <w:r>
              <w:rPr>
                <w:rFonts w:hint="eastAsia" w:ascii="宋体" w:hAnsi="宋体" w:eastAsia="宋体" w:cs="宋体"/>
                <w:i w:val="0"/>
                <w:iCs w:val="0"/>
                <w:color w:val="auto"/>
                <w:kern w:val="0"/>
                <w:sz w:val="20"/>
                <w:szCs w:val="20"/>
                <w:highlight w:val="none"/>
                <w:u w:val="none"/>
                <w:lang w:val="en-US" w:eastAsia="zh-CN" w:bidi="ar"/>
              </w:rPr>
              <w:t>后，供应商须提交拟供货书目清单给幼儿园审核确认，采购人有权对不适合书目进行合理调换，总册数不变。</w:t>
            </w:r>
          </w:p>
          <w:p w14:paraId="25E07CB9">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single" w:color="000000" w:sz="4" w:space="0"/>
              <w:bottom w:val="nil"/>
              <w:right w:val="nil"/>
            </w:tcBorders>
            <w:shd w:val="clear" w:color="auto" w:fill="auto"/>
            <w:noWrap/>
            <w:vAlign w:val="center"/>
          </w:tcPr>
          <w:p w14:paraId="39FAD3A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6B14E5D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册</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08D02EC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0F844B2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20000 </w:t>
            </w:r>
          </w:p>
        </w:tc>
      </w:tr>
      <w:tr w14:paraId="7BE2A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FE0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w:t>
            </w: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4B81E104">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084FC38E">
            <w:pPr>
              <w:keepNext w:val="0"/>
              <w:keepLines w:val="0"/>
              <w:widowControl/>
              <w:suppressLineNumbers w:val="0"/>
              <w:jc w:val="center"/>
              <w:textAlignment w:val="center"/>
              <w:rPr>
                <w:rFonts w:hint="eastAsia" w:ascii="宋体" w:hAnsi="宋体" w:eastAsia="宋体" w:cs="宋体"/>
                <w:b/>
                <w:bCs/>
                <w:i w:val="0"/>
                <w:iCs w:val="0"/>
                <w:color w:val="FF0000"/>
                <w:kern w:val="2"/>
                <w:sz w:val="20"/>
                <w:szCs w:val="20"/>
                <w:u w:val="none"/>
                <w:lang w:val="en-US" w:eastAsia="zh-CN" w:bidi="ar-SA"/>
              </w:rPr>
            </w:pPr>
            <w:r>
              <w:rPr>
                <w:rFonts w:hint="eastAsia" w:ascii="宋体" w:hAnsi="宋体" w:eastAsia="宋体" w:cs="宋体"/>
                <w:b/>
                <w:bCs/>
                <w:i w:val="0"/>
                <w:iCs w:val="0"/>
                <w:color w:val="FF0000"/>
                <w:kern w:val="0"/>
                <w:sz w:val="20"/>
                <w:szCs w:val="20"/>
                <w:u w:val="none"/>
                <w:lang w:val="en-US" w:eastAsia="zh-CN" w:bidi="ar"/>
              </w:rPr>
              <w:t>上林县城南幼儿园</w:t>
            </w: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4EDB3C3F">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4AF9C9C4">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08EF4686">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24BCE04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250000 </w:t>
            </w:r>
          </w:p>
        </w:tc>
      </w:tr>
      <w:tr w14:paraId="12BF8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417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2040996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教学一体机    </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35B0A1F2">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一、整体设计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1、整机采用一体设计，外部无任何可见内部功能模块连接线。</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2、整机采用全金属外壳设计，边角采用弧形设计，表面无尖锐边缘或凸起；整机屏幕边缘采用金属圆角包边防护，整机背板采用金属材质。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3、整机屏幕采用65英寸液晶显示器。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4、整机采用LED液晶A规屏，显示比例16:9。</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w:t>
            </w:r>
            <w:r>
              <w:rPr>
                <w:color w:val="auto"/>
                <w:sz w:val="20"/>
                <w:szCs w:val="20"/>
                <w:highlight w:val="none"/>
              </w:rPr>
              <w:t>整机硬件性能与接口</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w:t>
            </w:r>
            <w:r>
              <w:rPr>
                <w:rStyle w:val="12"/>
                <w:color w:val="auto"/>
                <w:sz w:val="20"/>
                <w:szCs w:val="20"/>
                <w:highlight w:val="none"/>
              </w:rPr>
              <w:t>双系统配置</w:t>
            </w:r>
            <w:r>
              <w:rPr>
                <w:color w:val="auto"/>
                <w:sz w:val="20"/>
                <w:szCs w:val="20"/>
                <w:highlight w:val="none"/>
              </w:rPr>
              <w:t xml:space="preserve"> </w:t>
            </w:r>
            <w:r>
              <w:rPr>
                <w:rFonts w:hint="eastAsia"/>
                <w:color w:val="auto"/>
                <w:sz w:val="20"/>
                <w:szCs w:val="20"/>
                <w:highlight w:val="none"/>
              </w:rPr>
              <w:t>整机搭载 电脑模块 + 嵌入式系统，系统版本不低于 当前最新版本；系统内存 RAM≥4G，存储 ROM≥32G；安卓端可独立实现白板书写、文档编辑、网页浏览等基础教学功能。（相关性能指标可提供厂商彩页、功能截图、第三方检测报告任意一种佐证，设备到货验收时提供完整 CMA/CNAS 检测报告备查）</w:t>
            </w:r>
            <w:r>
              <w:rPr>
                <w:rFonts w:hint="eastAsia"/>
                <w:color w:val="auto"/>
                <w:sz w:val="20"/>
                <w:szCs w:val="20"/>
                <w:highlight w:val="none"/>
                <w:lang w:eastAsia="zh-CN"/>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color w:val="auto"/>
                <w:sz w:val="20"/>
                <w:szCs w:val="20"/>
                <w:highlight w:val="none"/>
                <w:lang w:val="en-US" w:eastAsia="zh-CN"/>
              </w:rPr>
              <w:t>2、</w:t>
            </w:r>
            <w:r>
              <w:rPr>
                <w:color w:val="auto"/>
                <w:sz w:val="20"/>
                <w:szCs w:val="20"/>
                <w:highlight w:val="none"/>
              </w:rPr>
              <w:t>整机配备前置外接接口，支持双系统共用读取 U 盘等存储设备；整机配备全功能 Type-C、HDMI、USB3.0 输入接口，侧置预留 HDMI、RS232、USB、音频输出、触控 USB 等拓展接口；整机外设拓展能力满足日常教学设备接驳需求，可通过拓展坞实现同等外接能力。前置接口配有防尘防护盖板，保护接口与外接 U 盘。</w:t>
            </w:r>
          </w:p>
          <w:p w14:paraId="506BA7C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jc w:val="both"/>
              <w:rPr>
                <w:color w:val="auto"/>
                <w:sz w:val="20"/>
                <w:szCs w:val="20"/>
                <w:highlight w:val="none"/>
              </w:rPr>
            </w:pPr>
            <w:r>
              <w:rPr>
                <w:rFonts w:hint="eastAsia"/>
                <w:color w:val="auto"/>
                <w:sz w:val="20"/>
                <w:szCs w:val="20"/>
                <w:highlight w:val="none"/>
                <w:lang w:val="en-US" w:eastAsia="zh-CN"/>
              </w:rPr>
              <w:t>3、</w:t>
            </w:r>
            <w:r>
              <w:rPr>
                <w:color w:val="auto"/>
                <w:sz w:val="20"/>
                <w:szCs w:val="20"/>
                <w:highlight w:val="none"/>
              </w:rPr>
              <w:t>整机内置高品质扬声器，整机额定总输出功率≥60W，发声均匀，无杂音、破音，满足教室扩声需求。</w:t>
            </w:r>
          </w:p>
          <w:p w14:paraId="433B9A06">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4、</w:t>
            </w:r>
            <w:r>
              <w:rPr>
                <w:color w:val="auto"/>
                <w:sz w:val="20"/>
                <w:szCs w:val="20"/>
                <w:highlight w:val="none"/>
              </w:rPr>
              <w:t>红外触控技术，最小识别触控物体≤3mm；整机支持双系统多点触控，触控流畅无断触。</w:t>
            </w:r>
          </w:p>
          <w:p w14:paraId="1411ABD0">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5、</w:t>
            </w:r>
            <w:r>
              <w:rPr>
                <w:color w:val="auto"/>
                <w:sz w:val="20"/>
                <w:szCs w:val="20"/>
                <w:highlight w:val="none"/>
              </w:rPr>
              <w:t>整机内置高清摄像头与阵列麦克风，无需外接线材；摄像头像素≥1600 万，广角设计，可完整覆盖教室区域，满足远程巡课、课堂录播；麦克风有效拾音距离≥10 米，多人发言清晰收录。设备自带摄像头工作指示灯，摄像状态直观提示。</w:t>
            </w:r>
          </w:p>
          <w:p w14:paraId="0FE282C8">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6、</w:t>
            </w:r>
            <w:r>
              <w:rPr>
                <w:color w:val="auto"/>
                <w:sz w:val="20"/>
                <w:szCs w:val="20"/>
                <w:highlight w:val="none"/>
              </w:rPr>
              <w:t>支持无线投屏功能，可通过 NFC、扫码、无线连接等任意一种方式实现手机、平板投屏，支持多台移动设备同时分屏展示。</w:t>
            </w:r>
          </w:p>
          <w:p w14:paraId="4B511926">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 xml:space="preserve"> 7、内置双频 WiFi（2.4G+5GHz）、蓝牙模块，蓝牙标准不低于 Bluetooth 5.2；整机可无线联网、发射无线热点，双系统共用一套无线网络配置，无需重复设置；蓝牙可稳定连接外设，无线传输距离满足教室使用。</w:t>
            </w:r>
          </w:p>
          <w:p w14:paraId="3387596B">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 xml:space="preserve"> 8、设备搭载护眼低蓝光背光方案，从硬件层面削减有害蓝光，显示画面无明显泛黄、色偏，符合校园护眼相关规范；屏幕 NTSC 色域覆盖率≥72%，安卓系统支持 4K 高清 UI 显示。</w:t>
            </w:r>
          </w:p>
          <w:p w14:paraId="262242B4">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9、OPS 电脑配置：运行内存≥8G，固态硬盘≥256G。</w:t>
            </w:r>
          </w:p>
          <w:p w14:paraId="174A7E16">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br w:type="textWrapping"/>
            </w:r>
            <w:r>
              <w:rPr>
                <w:rFonts w:hint="eastAsia" w:ascii="宋体" w:hAnsi="宋体" w:eastAsia="宋体" w:cs="宋体"/>
                <w:i w:val="0"/>
                <w:iCs w:val="0"/>
                <w:color w:val="auto"/>
                <w:kern w:val="0"/>
                <w:sz w:val="20"/>
                <w:szCs w:val="20"/>
                <w:highlight w:val="none"/>
                <w:u w:val="none"/>
                <w:lang w:val="en-US" w:eastAsia="zh-CN" w:bidi="ar"/>
              </w:rPr>
              <w:t>三、</w:t>
            </w:r>
            <w:r>
              <w:rPr>
                <w:color w:val="auto"/>
                <w:sz w:val="20"/>
                <w:szCs w:val="20"/>
                <w:highlight w:val="none"/>
              </w:rPr>
              <w:t>整机基础交互功能</w:t>
            </w:r>
          </w:p>
          <w:p w14:paraId="0D997780">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1、</w:t>
            </w:r>
            <w:r>
              <w:rPr>
                <w:color w:val="auto"/>
                <w:sz w:val="20"/>
                <w:szCs w:val="20"/>
                <w:highlight w:val="none"/>
              </w:rPr>
              <w:t>整机内置图像、音效调节模块，提供多种预设图像、音效模式，支持手动调节亮度、对比度、高低音、色温等参数，适配不同教学场景。</w:t>
            </w:r>
          </w:p>
          <w:p w14:paraId="480E6190">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 xml:space="preserve"> 2、支持分屏、半屏显示功能，可一键切换全屏 / 半屏，画面完整无裁剪，触控操作正常；支持画面局部放大、聚光灯（区域高亮、其余区域暗化）教学工具。</w:t>
            </w:r>
          </w:p>
          <w:p w14:paraId="41FC1D1D">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3、</w:t>
            </w:r>
            <w:r>
              <w:rPr>
                <w:color w:val="auto"/>
                <w:sz w:val="20"/>
                <w:szCs w:val="20"/>
                <w:highlight w:val="none"/>
              </w:rPr>
              <w:t>系统悬浮快捷工具栏，可调取批注、截屏、计时、锁屏、硬件自检、聚光灯、学科工具等教学常用功能，工具栏支持自定义调整。</w:t>
            </w:r>
          </w:p>
          <w:p w14:paraId="1F088ADE">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4、</w:t>
            </w:r>
            <w:r>
              <w:rPr>
                <w:color w:val="auto"/>
                <w:sz w:val="20"/>
                <w:szCs w:val="20"/>
                <w:highlight w:val="none"/>
              </w:rPr>
              <w:t>支持智能手势快捷操作，可通过手势触发熄屏、批注、分屏等自定义功能，手势识别灵敏稳定。</w:t>
            </w:r>
          </w:p>
          <w:p w14:paraId="424BC921">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5、</w:t>
            </w:r>
            <w:r>
              <w:rPr>
                <w:color w:val="auto"/>
                <w:sz w:val="20"/>
                <w:szCs w:val="20"/>
                <w:highlight w:val="none"/>
              </w:rPr>
              <w:t>全通道支持自由截屏，可框选任意区域保存截图；授课过程中可一键调取各类教学小工具：答题器、倒计时、节拍器、日历、随机抽选等。</w:t>
            </w:r>
          </w:p>
          <w:p w14:paraId="23E2CE0B">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6、</w:t>
            </w:r>
            <w:r>
              <w:rPr>
                <w:color w:val="auto"/>
                <w:sz w:val="20"/>
                <w:szCs w:val="20"/>
                <w:highlight w:val="none"/>
              </w:rPr>
              <w:t>双系统实现功能互通：一键切换系统、共享 USB 外设、共享网络、背光手势快捷控制。</w:t>
            </w:r>
          </w:p>
          <w:p w14:paraId="1E2ED3F0">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7、</w:t>
            </w:r>
            <w:r>
              <w:rPr>
                <w:color w:val="auto"/>
                <w:sz w:val="20"/>
                <w:szCs w:val="20"/>
                <w:highlight w:val="none"/>
              </w:rPr>
              <w:t>内置互动白板，支持多笔同时书写、手掌智能擦除，笔迹自带笔锋；白板文件支持导出 PDF、SVG、IWB 等通用格式；内置充足平面、立体学科绘图工具，满足数理化教学绘图需求。</w:t>
            </w:r>
          </w:p>
          <w:p w14:paraId="54B56E61">
            <w:pPr>
              <w:keepNext w:val="0"/>
              <w:keepLines w:val="0"/>
              <w:widowControl/>
              <w:numPr>
                <w:ilvl w:val="0"/>
                <w:numId w:val="0"/>
              </w:numPr>
              <w:suppressLineNumbers w:val="0"/>
              <w:jc w:val="both"/>
              <w:textAlignment w:val="center"/>
              <w:rPr>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四、</w:t>
            </w:r>
            <w:r>
              <w:rPr>
                <w:color w:val="auto"/>
                <w:sz w:val="20"/>
                <w:szCs w:val="20"/>
                <w:highlight w:val="none"/>
              </w:rPr>
              <w:t>配套教学软件功能</w:t>
            </w:r>
            <w:r>
              <w:rPr>
                <w:rFonts w:hint="eastAsia" w:ascii="宋体" w:hAnsi="宋体" w:eastAsia="宋体" w:cs="宋体"/>
                <w:i w:val="0"/>
                <w:iCs w:val="0"/>
                <w:strike/>
                <w:dstrike w:val="0"/>
                <w:color w:val="auto"/>
                <w:kern w:val="0"/>
                <w:sz w:val="20"/>
                <w:szCs w:val="20"/>
                <w:highlight w:val="none"/>
                <w:u w:val="none"/>
                <w:lang w:val="en-US" w:eastAsia="zh-CN" w:bidi="ar"/>
              </w:rPr>
              <w:br w:type="textWrapping"/>
            </w:r>
            <w:r>
              <w:rPr>
                <w:rFonts w:hint="eastAsia"/>
                <w:color w:val="auto"/>
                <w:sz w:val="20"/>
                <w:szCs w:val="20"/>
                <w:highlight w:val="none"/>
                <w:lang w:val="en-US" w:eastAsia="zh-CN"/>
              </w:rPr>
              <w:t>1、</w:t>
            </w:r>
            <w:r>
              <w:rPr>
                <w:color w:val="auto"/>
                <w:sz w:val="20"/>
                <w:szCs w:val="20"/>
                <w:highlight w:val="none"/>
              </w:rPr>
              <w:t>教学资源分类管理：可按年级、学科、教材版本收纳课件、习题、阅读资料，支持云端存储、本地资源调取。</w:t>
            </w:r>
          </w:p>
          <w:p w14:paraId="71A5754F">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2、</w:t>
            </w:r>
            <w:r>
              <w:rPr>
                <w:color w:val="auto"/>
                <w:sz w:val="20"/>
                <w:szCs w:val="20"/>
                <w:highlight w:val="none"/>
              </w:rPr>
              <w:t>白板教学模板丰富，支持田字格、五线谱、米字格、坐标纸等学科专用背景，支持原笔迹批注、拖拽、擦除。</w:t>
            </w:r>
          </w:p>
          <w:p w14:paraId="5F3B2FBA">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3、</w:t>
            </w:r>
            <w:r>
              <w:rPr>
                <w:color w:val="auto"/>
                <w:sz w:val="20"/>
                <w:szCs w:val="20"/>
                <w:highlight w:val="none"/>
              </w:rPr>
              <w:t>支持 PPT 原生播放、手势翻页、多级放大，批注笔迹同步保存；支持一键将课件上传至个人云空间，授课时云端直接下载使用。</w:t>
            </w:r>
          </w:p>
          <w:p w14:paraId="47841EC7">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4、</w:t>
            </w:r>
            <w:r>
              <w:rPr>
                <w:color w:val="auto"/>
                <w:sz w:val="20"/>
                <w:szCs w:val="20"/>
                <w:highlight w:val="none"/>
              </w:rPr>
              <w:t>支持集体备课、在线听评课功能：可自定义评课评分模板、评分细则，听课记录可保存、导出分享；支持教师扫码听课评价。</w:t>
            </w:r>
          </w:p>
          <w:p w14:paraId="0BEF3312">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5、</w:t>
            </w:r>
            <w:r>
              <w:rPr>
                <w:color w:val="auto"/>
                <w:sz w:val="20"/>
                <w:szCs w:val="20"/>
                <w:highlight w:val="none"/>
              </w:rPr>
              <w:t>课堂录播功能：授课全过程可录制，支持暂停、停止，可自定义录制音视频画质，录制窗口可隐藏不遮挡教学画面。</w:t>
            </w:r>
          </w:p>
          <w:p w14:paraId="5678DCF8">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6、</w:t>
            </w:r>
            <w:r>
              <w:rPr>
                <w:color w:val="auto"/>
                <w:sz w:val="20"/>
                <w:szCs w:val="20"/>
                <w:highlight w:val="none"/>
              </w:rPr>
              <w:t>支持手机远程控制大屏课件翻页；支持课堂互动答题，学生扫码答题，教师查看答题正确率、导出课堂学情报告；支持课堂弹幕、班级成员管理。</w:t>
            </w:r>
          </w:p>
          <w:p w14:paraId="1D97024B">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7、</w:t>
            </w:r>
            <w:r>
              <w:rPr>
                <w:color w:val="auto"/>
                <w:sz w:val="20"/>
                <w:szCs w:val="20"/>
                <w:highlight w:val="none"/>
              </w:rPr>
              <w:t>支持网页资源一键导入课件，可制作课堂互动小游戏并保存至个人云盘，随时调取复用。</w:t>
            </w:r>
          </w:p>
          <w:p w14:paraId="53843B5E">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8、</w:t>
            </w:r>
            <w:r>
              <w:rPr>
                <w:color w:val="auto"/>
                <w:sz w:val="20"/>
                <w:szCs w:val="20"/>
                <w:highlight w:val="none"/>
              </w:rPr>
              <w:t>为每位教师提供免费教学云存储空间，支持本地个人资源同步至云端，授课随时调取。</w:t>
            </w:r>
          </w:p>
          <w:p w14:paraId="269BB7C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both"/>
              <w:rPr>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五、</w:t>
            </w:r>
            <w:r>
              <w:rPr>
                <w:color w:val="auto"/>
                <w:sz w:val="20"/>
                <w:szCs w:val="20"/>
                <w:highlight w:val="none"/>
              </w:rPr>
              <w:t>集控管理平台功能</w:t>
            </w:r>
          </w:p>
          <w:p w14:paraId="49B66082">
            <w:pPr>
              <w:keepNext w:val="0"/>
              <w:keepLines w:val="0"/>
              <w:widowControl/>
              <w:numPr>
                <w:ilvl w:val="0"/>
                <w:numId w:val="0"/>
              </w:numPr>
              <w:suppressLineNumbers w:val="0"/>
              <w:jc w:val="both"/>
              <w:textAlignment w:val="center"/>
              <w:rPr>
                <w:color w:val="auto"/>
                <w:sz w:val="20"/>
                <w:szCs w:val="20"/>
                <w:highlight w:val="none"/>
              </w:rPr>
            </w:pPr>
            <w:r>
              <w:rPr>
                <w:rFonts w:hint="eastAsia"/>
                <w:color w:val="auto"/>
                <w:sz w:val="20"/>
                <w:szCs w:val="20"/>
                <w:highlight w:val="none"/>
                <w:lang w:val="en-US" w:eastAsia="zh-CN"/>
              </w:rPr>
              <w:t xml:space="preserve"> 1、</w:t>
            </w:r>
            <w:r>
              <w:rPr>
                <w:color w:val="auto"/>
                <w:sz w:val="20"/>
                <w:szCs w:val="20"/>
                <w:highlight w:val="none"/>
              </w:rPr>
              <w:t>平台可统一查看所有教学设备硬件信息：屏幕尺寸、系统版本、CPU、内存、硬盘、网络状态等；支持列表、缩略图两种设备查看模式，批量预览设备实时画面。</w:t>
            </w:r>
          </w:p>
          <w:p w14:paraId="063B0217">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2、</w:t>
            </w:r>
            <w:r>
              <w:rPr>
                <w:color w:val="auto"/>
                <w:sz w:val="20"/>
                <w:szCs w:val="20"/>
                <w:highlight w:val="none"/>
              </w:rPr>
              <w:t>远程巡课督导：可实时查看设备屏幕画面与课堂摄像头画面；支持远程下发设备系统、集控软件升级包，设备空闲时段自动完成更新。</w:t>
            </w:r>
          </w:p>
          <w:p w14:paraId="65DF7E4C">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eastAsia"/>
                <w:color w:val="auto"/>
                <w:sz w:val="20"/>
                <w:szCs w:val="20"/>
                <w:highlight w:val="none"/>
                <w:lang w:val="en-US" w:eastAsia="zh-CN"/>
              </w:rPr>
              <w:t xml:space="preserve"> 3、</w:t>
            </w:r>
            <w:r>
              <w:rPr>
                <w:color w:val="auto"/>
                <w:sz w:val="20"/>
                <w:szCs w:val="20"/>
                <w:highlight w:val="none"/>
              </w:rPr>
              <w:t>远程管理功能：支持批量设置定时锁屏 / 解锁，可按工作日、周末自定义循环策略；远程下发考场考试安排，设备按时展示考试信息。</w:t>
            </w:r>
          </w:p>
        </w:tc>
        <w:tc>
          <w:tcPr>
            <w:tcW w:w="0" w:type="auto"/>
            <w:tcBorders>
              <w:top w:val="nil"/>
              <w:left w:val="single" w:color="000000" w:sz="4" w:space="0"/>
              <w:bottom w:val="single" w:color="000000" w:sz="4" w:space="0"/>
              <w:right w:val="nil"/>
            </w:tcBorders>
            <w:shd w:val="clear" w:color="auto" w:fill="auto"/>
            <w:noWrap/>
            <w:vAlign w:val="center"/>
          </w:tcPr>
          <w:p w14:paraId="4EF1879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097D1F9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19F3477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10000 </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7D78272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10000 </w:t>
            </w:r>
          </w:p>
        </w:tc>
      </w:tr>
      <w:tr w14:paraId="43269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B92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4F366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幼儿大圆桌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3BAA07">
            <w:pPr>
              <w:keepNext w:val="0"/>
              <w:keepLines w:val="0"/>
              <w:widowControl/>
              <w:numPr>
                <w:ilvl w:val="0"/>
                <w:numId w:val="0"/>
              </w:numPr>
              <w:suppressLineNumbers w:val="0"/>
              <w:jc w:val="left"/>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1、</w:t>
            </w:r>
            <w:r>
              <w:rPr>
                <w:rFonts w:ascii="宋体" w:hAnsi="宋体" w:eastAsia="宋体" w:cs="宋体"/>
                <w:color w:val="auto"/>
                <w:sz w:val="20"/>
                <w:szCs w:val="20"/>
                <w:highlight w:val="none"/>
              </w:rPr>
              <w:t>儿童实木圆桌，表面喷涂环保水性清漆；采用优质硬实木，橡木或同等力学性能实木均可选用，木材无腐朽、贯通裂纹、大面积死节</w:t>
            </w:r>
            <w:r>
              <w:rPr>
                <w:rFonts w:hint="eastAsia" w:ascii="宋体" w:hAnsi="宋体" w:eastAsia="宋体" w:cs="宋体"/>
                <w:color w:val="auto"/>
                <w:sz w:val="20"/>
                <w:szCs w:val="20"/>
                <w:highlight w:val="none"/>
                <w:lang w:eastAsia="zh-CN"/>
              </w:rPr>
              <w:t>；</w:t>
            </w:r>
          </w:p>
          <w:p w14:paraId="2EDC0F21">
            <w:pPr>
              <w:keepNext w:val="0"/>
              <w:keepLines w:val="0"/>
              <w:widowControl/>
              <w:numPr>
                <w:ilvl w:val="0"/>
                <w:numId w:val="8"/>
              </w:numPr>
              <w:suppressLineNumbers w:val="0"/>
              <w:jc w:val="left"/>
              <w:textAlignment w:val="center"/>
              <w:rPr>
                <w:rFonts w:ascii="宋体" w:hAnsi="宋体" w:eastAsia="宋体" w:cs="宋体"/>
                <w:color w:val="auto"/>
                <w:sz w:val="20"/>
                <w:szCs w:val="20"/>
                <w:highlight w:val="none"/>
              </w:rPr>
            </w:pPr>
            <w:r>
              <w:rPr>
                <w:rFonts w:ascii="宋体" w:hAnsi="宋体" w:eastAsia="宋体" w:cs="宋体"/>
                <w:color w:val="auto"/>
                <w:sz w:val="20"/>
                <w:szCs w:val="20"/>
                <w:highlight w:val="none"/>
              </w:rPr>
              <w:t>参考尺寸：桌面直径 80cm，桌高 55cm，桌腿截面参考 50mm×50mm；尺寸允许 ±8mm 合理加工公差</w:t>
            </w:r>
            <w:r>
              <w:rPr>
                <w:rFonts w:hint="eastAsia" w:ascii="宋体" w:hAnsi="宋体" w:eastAsia="宋体" w:cs="宋体"/>
                <w:color w:val="auto"/>
                <w:sz w:val="20"/>
                <w:szCs w:val="20"/>
                <w:highlight w:val="none"/>
                <w:lang w:eastAsia="zh-CN"/>
              </w:rPr>
              <w:t>；</w:t>
            </w:r>
          </w:p>
          <w:p w14:paraId="3C0D44A3">
            <w:pPr>
              <w:keepNext w:val="0"/>
              <w:keepLines w:val="0"/>
              <w:widowControl/>
              <w:suppressLineNumbers w:val="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0"/>
                <w:szCs w:val="20"/>
                <w:highlight w:val="none"/>
                <w:lang w:val="en-US" w:eastAsia="zh-CN"/>
              </w:rPr>
              <w:t>3、</w:t>
            </w:r>
            <w:r>
              <w:rPr>
                <w:rFonts w:ascii="宋体" w:hAnsi="宋体" w:eastAsia="宋体" w:cs="宋体"/>
                <w:color w:val="auto"/>
                <w:sz w:val="20"/>
                <w:szCs w:val="20"/>
                <w:highlight w:val="none"/>
              </w:rPr>
              <w:t>桌面加厚处理，所有边缘全方位圆弧钝化包边，无毛刺尖角；底部设置加固横撑结构，整体连接牢固不易松动</w:t>
            </w:r>
            <w:r>
              <w:rPr>
                <w:rFonts w:hint="eastAsia" w:ascii="宋体" w:hAnsi="宋体" w:eastAsia="宋体" w:cs="宋体"/>
                <w:color w:val="auto"/>
                <w:sz w:val="20"/>
                <w:szCs w:val="20"/>
                <w:highlight w:val="none"/>
                <w:lang w:eastAsia="zh-CN"/>
              </w:rPr>
              <w:t>。</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02B977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5797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FBE3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700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93EB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8400 </w:t>
            </w:r>
          </w:p>
        </w:tc>
      </w:tr>
      <w:tr w14:paraId="4D71A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A2A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53BEB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跑酷组合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903A1B">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一、整套器材明细（参考尺寸+数量）</w:t>
            </w:r>
          </w:p>
          <w:p w14:paraId="3FBEA6E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w:t>
            </w:r>
          </w:p>
          <w:p w14:paraId="08ADA8EC">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1、单面弧形跑酷箱体：参考尺寸175cm×75cm×175cm，共2个；弧形过渡流畅，适配幼儿翻越、跳跃训练，箱体稳固、抗压不变形。</w:t>
            </w:r>
          </w:p>
          <w:p w14:paraId="5161B7F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2、猫挂三角架：参考尺寸120cm×80cm×90cm，共2个；三角稳定结构，支撑牢固，适配幼儿悬挂、攀爬、平衡训练。</w:t>
            </w:r>
          </w:p>
          <w:p w14:paraId="06527792">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3、渐进式跳箱：参考尺寸76cm×65cm×130cm，共1个；分层渐进结构，适配幼儿阶梯式跳跃体能训练。</w:t>
            </w:r>
          </w:p>
          <w:p w14:paraId="10A51F24">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4、跑酷跳箱一：参考尺寸90cm×45cm×48cm，共1个；箱体方正稳固，海绵填充饱满，跳跃缓冲性佳。</w:t>
            </w:r>
          </w:p>
          <w:p w14:paraId="5E6EA7FB">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5、跑酷跳箱二：参考尺寸90cm×70cm×75cm，共1个；加厚箱体设计，承重抗压，适配幼儿跳跃、跨越训练。</w:t>
            </w:r>
          </w:p>
          <w:p w14:paraId="64A0B995">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6、跑酷跳箱三：参考尺寸90cm×68cm×60cm，共1个；尺寸适配低龄幼儿训练，缓冲安全、稳定性强。</w:t>
            </w:r>
          </w:p>
          <w:p w14:paraId="1E3B8DE5">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7、跑酷跳箱四：参考尺寸90cm×70cm×95cm，共1个；高箱体设计，满足进阶跑酷跳跃训练需求。</w:t>
            </w:r>
          </w:p>
          <w:p w14:paraId="7DBCFF5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8、升降三角架：参考尺寸100cm×100cm×170cm，共2个；可适配不同高度训练需求，三角稳固结构，抗撞击、不易倾倒。</w:t>
            </w:r>
          </w:p>
          <w:p w14:paraId="6CBB62F7">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9、三角蹬：参考尺寸78cm×50cm×45cm，共8个；小巧轻便、堆叠组合灵活，适配合梯、跨越、踩踏平衡训练。</w:t>
            </w:r>
          </w:p>
          <w:p w14:paraId="47A0E8EE">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10、双折训练体操垫：参考尺寸120cm×60cm×5cm，共5个；双折设计，收纳便捷；高密度海绵缓冲，表层防滑耐磨皮革，防护性佳，适配跑酷训练防护铺垫。</w:t>
            </w:r>
          </w:p>
          <w:p w14:paraId="3B57A322">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二、材质与安全工艺要求</w:t>
            </w:r>
          </w:p>
          <w:p w14:paraId="379723C3">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1、主体箱体、支架结构稳固，板材厚实抗压，整体不易变形、开裂，适配幼儿园高频体能跑酷训练使用。</w:t>
            </w:r>
          </w:p>
          <w:p w14:paraId="44ED7CC1">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2、所有器材外露边角、棱边全部采用全方位大圆弧倒角钝化处理，无尖角、毛刺、锐利切口，杜绝磕碰划伤风险，符合GB 6675儿童玩具安全标准。</w:t>
            </w:r>
          </w:p>
          <w:p w14:paraId="10F18117">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3、软体部件采用高密度回弹海绵，外层包裹耐磨防水环保皮革，缝合工整紧密，不易开线、脱层、塌陷，表面光滑易清洁、可日常消毒擦拭。</w:t>
            </w:r>
          </w:p>
          <w:p w14:paraId="675A578F">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4、硬质支架采用加厚管材，焊接牢固、打磨平整，表面防锈防腐喷涂处理，结构承重稳定，训练过程无晃动、无松动异响。</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32DA52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3914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6D5E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2F05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12000 </w:t>
            </w:r>
          </w:p>
        </w:tc>
      </w:tr>
      <w:tr w14:paraId="67E42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D9F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4A74A5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碳化积木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E8E6FA">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（参考尺寸+数量）</w:t>
            </w:r>
          </w:p>
          <w:p w14:paraId="30CCF9A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以下所有尺寸允许±2cm合理生产及安装公差。1.配置规格：整套共 866 件，含 23 种不同造型规格，适配幼儿园户外安吉建构游戏。</w:t>
            </w:r>
          </w:p>
          <w:p w14:paraId="0BFFC78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2.材质要求：采用优质烘干实木，无开裂、无虫蛀、无腐朽、无大面积死节，含水率适配户外使用，不易变形开裂；新西兰松木或同等品质烘干实木均可使用。</w:t>
            </w:r>
          </w:p>
          <w:p w14:paraId="7D1C30C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3.工艺标准：整体碳化防腐处理，表面喷涂环保水性碳化清漆，防腐耐候、防水防潮；所有边角精细圆角打磨，光滑无毛刺、无尖锐棱角，符合幼儿游戏安全标准。</w:t>
            </w:r>
          </w:p>
          <w:p w14:paraId="1436A9BE">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4.尺寸参数（参考尺寸，允许 ±15mm 合理加工公差） </w:t>
            </w:r>
          </w:p>
          <w:p w14:paraId="431AC1E4">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板材基础厚度：2.5cm、5cm；单品最长尺寸：120cm×10cm×2.5cm</w:t>
            </w:r>
          </w:p>
          <w:p w14:paraId="1A1A5A3E">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5.安全标准：符合 GB 6675 玩具安全系列标准，环保无异味、结实耐造，可长期户外暴晒雨淋使用。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53CF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E171F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ED06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11800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3768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11800 </w:t>
            </w:r>
          </w:p>
        </w:tc>
      </w:tr>
      <w:tr w14:paraId="12680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97E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62D0FC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828片</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碳化拼插积木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9A14E5">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大型户外碳化实木建构积木（总计828 件，15 种造型）</w:t>
            </w:r>
            <w:r>
              <w:rPr>
                <w:rFonts w:hint="eastAsia" w:ascii="宋体" w:hAnsi="宋体" w:eastAsia="宋体" w:cs="宋体"/>
                <w:i w:val="0"/>
                <w:iCs w:val="0"/>
                <w:color w:val="auto"/>
                <w:kern w:val="0"/>
                <w:sz w:val="20"/>
                <w:szCs w:val="20"/>
                <w:highlight w:val="none"/>
                <w:u w:val="none"/>
                <w:lang w:val="en-US" w:eastAsia="zh-CN" w:bidi="ar"/>
              </w:rPr>
              <w:t>（参考尺寸+数量）</w:t>
            </w:r>
          </w:p>
          <w:p w14:paraId="1F493963">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w:t>
            </w:r>
          </w:p>
          <w:p w14:paraId="72341B0F">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一、材质要求</w:t>
            </w:r>
          </w:p>
          <w:p w14:paraId="3CE655CD">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主体采用优质实木，经过充分烘干、碳化防腐处理；新西兰松、国产烘干松木及同等性能实木均可选用；木材无腐朽、虫蛀、大面积死节、贯通裂纹，含水率适配户外环境，长期露天使用不易开裂变形。</w:t>
            </w:r>
          </w:p>
          <w:p w14:paraId="7E6F5690">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二、加工工艺</w:t>
            </w:r>
          </w:p>
          <w:p w14:paraId="1953A865">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1.积木表面碳化工艺处理；喷涂户外水性环保清漆；</w:t>
            </w:r>
          </w:p>
          <w:p w14:paraId="28DA4AE2">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2.所有板材边缘统一打磨圆角，光滑无毛刺，杜绝尖锐棱角，防止幼儿磕碰划伤；</w:t>
            </w:r>
          </w:p>
          <w:p w14:paraId="6BDA9FC3">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3.板材切割规整，拼接搭建稳固，适配幼儿园户外安吉游戏建构活动。</w:t>
            </w:r>
          </w:p>
          <w:p w14:paraId="5AF8223F">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三、环保与质量标准</w:t>
            </w:r>
          </w:p>
          <w:p w14:paraId="635568E5">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 xml:space="preserve">成品整体符合 GB 6675《玩具安全》系列国家标准及 GB 18581-2020 木器涂料有害物质限值要求。 </w:t>
            </w:r>
            <w:r>
              <w:rPr>
                <w:rFonts w:hint="eastAsia" w:ascii="宋体" w:hAnsi="宋体" w:cs="宋体"/>
                <w:i w:val="0"/>
                <w:iCs w:val="0"/>
                <w:strike w:val="0"/>
                <w:dstrike w:val="0"/>
                <w:color w:val="auto"/>
                <w:kern w:val="0"/>
                <w:sz w:val="20"/>
                <w:szCs w:val="20"/>
                <w:highlight w:val="none"/>
                <w:u w:val="none"/>
                <w:lang w:val="en-US" w:eastAsia="zh-CN" w:bidi="ar"/>
              </w:rPr>
              <w:t>成交</w:t>
            </w:r>
            <w:r>
              <w:rPr>
                <w:rFonts w:hint="eastAsia" w:ascii="宋体" w:hAnsi="宋体" w:eastAsia="宋体" w:cs="宋体"/>
                <w:i w:val="0"/>
                <w:iCs w:val="0"/>
                <w:strike w:val="0"/>
                <w:dstrike w:val="0"/>
                <w:color w:val="auto"/>
                <w:kern w:val="0"/>
                <w:sz w:val="20"/>
                <w:szCs w:val="20"/>
                <w:highlight w:val="none"/>
                <w:u w:val="none"/>
                <w:lang w:val="en-US" w:eastAsia="zh-CN" w:bidi="ar"/>
              </w:rPr>
              <w:t>供货后，采购人可要求供应商提供具备 CMA 资质第三方检测机构出具的检测资料备查，检测覆盖：</w:t>
            </w:r>
          </w:p>
          <w:p w14:paraId="6FF35729">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1.GB 6675.1-2014 玩具安全 第 1 部分：基本规范</w:t>
            </w:r>
          </w:p>
          <w:p w14:paraId="799BC1F6">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2.GB 6675.2-2014 玩具安全 第 2 部分：机械与物理性能</w:t>
            </w:r>
          </w:p>
          <w:p w14:paraId="73AD7A53">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3.GB 6675.3-2014 玩具安全 第 3 部分：易燃性能</w:t>
            </w:r>
          </w:p>
          <w:p w14:paraId="007B0A5A">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4.GB 6675.1-2014 邻苯二甲酸酯增塑剂</w:t>
            </w:r>
          </w:p>
          <w:p w14:paraId="2AEF0ECA">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5.GB 6675.1-2014、GB 6675.4-2014 特定元素的迁移</w:t>
            </w:r>
          </w:p>
          <w:p w14:paraId="4DEFE2E8">
            <w:pPr>
              <w:keepNext w:val="0"/>
              <w:keepLines w:val="0"/>
              <w:widowControl/>
              <w:suppressLineNumbers w:val="0"/>
              <w:jc w:val="left"/>
              <w:textAlignment w:val="center"/>
              <w:rPr>
                <w:rFonts w:hint="eastAsia" w:ascii="宋体" w:hAnsi="宋体" w:eastAsia="宋体" w:cs="宋体"/>
                <w:i w:val="0"/>
                <w:iCs w:val="0"/>
                <w:strike w:val="0"/>
                <w:dstrike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6.GB 18581-2020 木器涂料甲醛限值</w:t>
            </w:r>
          </w:p>
          <w:p w14:paraId="5E1EFB3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strike w:val="0"/>
                <w:dstrike w:val="0"/>
                <w:color w:val="auto"/>
                <w:kern w:val="0"/>
                <w:sz w:val="20"/>
                <w:szCs w:val="20"/>
                <w:highlight w:val="none"/>
                <w:u w:val="none"/>
                <w:lang w:val="en-US" w:eastAsia="zh-CN" w:bidi="ar"/>
              </w:rPr>
              <w:t>四、构件清单（参考尺寸，长宽厚允许 ±1.5cm 合理公差）</w:t>
            </w:r>
            <w:r>
              <w:rPr>
                <w:rFonts w:hint="eastAsia" w:ascii="宋体" w:hAnsi="宋体" w:eastAsia="宋体" w:cs="宋体"/>
                <w:i w:val="0"/>
                <w:iCs w:val="0"/>
                <w:strike/>
                <w:dstrike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1.正方形Ⅰ（1孔）：10*10*5cm,90块；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2.正方形Ⅱ（1孔）：10*10*2.5cm,220块；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3.长方形Ⅰ（2孔）：20*10*5cm,45块；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4.长方形Ⅱ（2孔）：20*10*2.5cm,120块；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5.长方形Ⅲ（2孔）：40*10*2.5cm,40块；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6.长方形Ⅳ（3孔）：60*10*2.5cm,50块；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7.长方形Ⅴ（4孔）：80*10*2.5cm,30块；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8.圆棒Ⅰ：Φ2.5*10cm,28块；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9.圆棒Ⅱ：Φ2.5*20cm,80块；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10.圆棒Ⅲ：Φ2.5*40cm,80块；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11.圆柱Ⅰ（2孔）：Φ10*10cm,20块；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12.圆柱Ⅱ（2孔）：Φ10*20cm,10块；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13.Y形积木：40*30*2.5cm,1块；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14.1/2圆环：直径30*15*2.5cm,2块；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15.长条板：100*10*2.5cm,12块；</w:t>
            </w:r>
          </w:p>
          <w:p w14:paraId="61C697E9">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五、验收要求</w:t>
            </w:r>
          </w:p>
          <w:p w14:paraId="3E6CD852">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全套积木数量齐全，造型规格匹配清单；碳化均匀、漆面完整，无明显开裂、尖锐边角；成品无刺激性异味，适配园区户外长期使用。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AE972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22048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98C6B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9680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0C88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9680 </w:t>
            </w:r>
          </w:p>
        </w:tc>
      </w:tr>
      <w:tr w14:paraId="43D76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48B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CFE5D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户外游戏体能梯-可收纳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16C3DC">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户外可收纳游戏体能梯（24 件套）（参考尺寸+数量）</w:t>
            </w:r>
          </w:p>
          <w:p w14:paraId="4F091874">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w:t>
            </w:r>
          </w:p>
          <w:p w14:paraId="336B35A2">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1.材质要求 主体采用优质烘干实木，新西兰松或同等力学性能烘干松木均可选用；木材无虫蛀、腐朽、贯通裂纹、大面积死节，含水率适配户外环境，长期户外使用不易开裂变形。</w:t>
            </w:r>
          </w:p>
          <w:p w14:paraId="09D55AC4">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2.加工工艺 构件表面碳化防腐处理；静电喷涂水性环保油漆；所有可触及边缘、棱角全方位圆角打磨，光滑无毛刺，杜绝幼儿磕碰划伤风险；拼接结构牢固稳定，满足幼儿攀爬、平衡体能训练承重需求。</w:t>
            </w:r>
          </w:p>
          <w:p w14:paraId="2EB23BC5">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3.环保与检测标准 产品符合 GB 6675.1~4-2014《玩具安全》系列标准、</w:t>
            </w:r>
            <w:r>
              <w:rPr>
                <w:rFonts w:hint="eastAsia" w:ascii="宋体" w:hAnsi="宋体" w:cs="宋体"/>
                <w:i w:val="0"/>
                <w:iCs w:val="0"/>
                <w:color w:val="auto"/>
                <w:kern w:val="0"/>
                <w:sz w:val="20"/>
                <w:szCs w:val="20"/>
                <w:highlight w:val="none"/>
                <w:u w:val="none"/>
                <w:lang w:val="en-US" w:eastAsia="zh-CN" w:bidi="ar"/>
              </w:rPr>
              <w:t>GB30981.2-2025</w:t>
            </w:r>
            <w:r>
              <w:rPr>
                <w:rFonts w:hint="eastAsia" w:ascii="宋体" w:hAnsi="宋体" w:eastAsia="宋体" w:cs="宋体"/>
                <w:i w:val="0"/>
                <w:iCs w:val="0"/>
                <w:color w:val="auto"/>
                <w:kern w:val="0"/>
                <w:sz w:val="20"/>
                <w:szCs w:val="20"/>
                <w:highlight w:val="none"/>
                <w:u w:val="none"/>
                <w:lang w:val="en-US" w:eastAsia="zh-CN" w:bidi="ar"/>
              </w:rPr>
              <w:t xml:space="preserve"> 木器涂料有害物质限值要求。</w:t>
            </w:r>
            <w:r>
              <w:rPr>
                <w:rFonts w:hint="eastAsia" w:ascii="宋体" w:hAnsi="宋体" w:cs="宋体"/>
                <w:i w:val="0"/>
                <w:iCs w:val="0"/>
                <w:color w:val="auto"/>
                <w:kern w:val="0"/>
                <w:sz w:val="20"/>
                <w:szCs w:val="20"/>
                <w:highlight w:val="none"/>
                <w:u w:val="none"/>
                <w:lang w:val="en-US" w:eastAsia="zh-CN" w:bidi="ar"/>
              </w:rPr>
              <w:t>成交</w:t>
            </w:r>
            <w:r>
              <w:rPr>
                <w:rFonts w:hint="eastAsia" w:ascii="宋体" w:hAnsi="宋体" w:eastAsia="宋体" w:cs="宋体"/>
                <w:i w:val="0"/>
                <w:iCs w:val="0"/>
                <w:color w:val="auto"/>
                <w:kern w:val="0"/>
                <w:sz w:val="20"/>
                <w:szCs w:val="20"/>
                <w:highlight w:val="none"/>
                <w:u w:val="none"/>
                <w:lang w:val="en-US" w:eastAsia="zh-CN" w:bidi="ar"/>
              </w:rPr>
              <w:t>供货后，采购人有权要求供应商提供具备 CMA/CNAS 资质第三方检测机构出具的检测资料备查，检测覆盖： （1）GB 6675.1-2014 基本规范 （2）GB 6675.2-2014 机械与物理性能 （3）GB 6675.3-2014 易燃性能 （4）GB 6675.1-2014 邻苯二甲酸酯 （5）GB 6675.4-2014 特定元素的迁移 （6）</w:t>
            </w:r>
            <w:r>
              <w:rPr>
                <w:rFonts w:hint="eastAsia" w:ascii="宋体" w:hAnsi="宋体" w:cs="宋体"/>
                <w:i w:val="0"/>
                <w:iCs w:val="0"/>
                <w:color w:val="auto"/>
                <w:kern w:val="0"/>
                <w:sz w:val="20"/>
                <w:szCs w:val="20"/>
                <w:highlight w:val="none"/>
                <w:u w:val="none"/>
                <w:lang w:val="en-US" w:eastAsia="zh-CN" w:bidi="ar"/>
              </w:rPr>
              <w:t>GB30981.2-2025</w:t>
            </w:r>
            <w:r>
              <w:rPr>
                <w:rFonts w:hint="eastAsia" w:ascii="宋体" w:hAnsi="宋体" w:eastAsia="宋体" w:cs="宋体"/>
                <w:i w:val="0"/>
                <w:iCs w:val="0"/>
                <w:color w:val="auto"/>
                <w:kern w:val="0"/>
                <w:sz w:val="20"/>
                <w:szCs w:val="20"/>
                <w:highlight w:val="none"/>
                <w:u w:val="none"/>
                <w:lang w:val="en-US" w:eastAsia="zh-CN" w:bidi="ar"/>
              </w:rPr>
              <w:t xml:space="preserve"> 甲醛限值。</w:t>
            </w:r>
          </w:p>
          <w:p w14:paraId="294BFDC5">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4.配置说明 整套合计 24 件套，构件可自由组合搭建多种游戏场景，支持收纳存放，适配幼儿园户外安吉游戏、体能活动。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CF5D5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50411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77FB4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7800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550F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7800 </w:t>
            </w:r>
          </w:p>
        </w:tc>
      </w:tr>
      <w:tr w14:paraId="03013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55F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12C97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碳化小车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187E35">
            <w:pPr>
              <w:rPr>
                <w:rFonts w:hint="eastAsia"/>
                <w:color w:val="auto"/>
                <w:sz w:val="20"/>
                <w:szCs w:val="20"/>
                <w:highlight w:val="none"/>
              </w:rPr>
            </w:pPr>
            <w:r>
              <w:rPr>
                <w:rFonts w:hint="eastAsia"/>
                <w:color w:val="auto"/>
                <w:highlight w:val="none"/>
                <w:lang w:val="en-US" w:eastAsia="zh-CN"/>
              </w:rPr>
              <w:t>1.</w:t>
            </w:r>
            <w:r>
              <w:rPr>
                <w:rFonts w:hint="eastAsia"/>
                <w:color w:val="auto"/>
                <w:sz w:val="20"/>
                <w:szCs w:val="20"/>
                <w:highlight w:val="none"/>
              </w:rPr>
              <w:t>材质工艺：采用优质烘干实木，新西兰松或同等力学性能烘干松木均可选用；整体碳化防腐处理，表面喷涂水性环保清漆；所有边角全方位圆角打磨，光滑无毛刺、无尖锐棱角，木材无虫蛀、腐朽、大面积死节。</w:t>
            </w:r>
          </w:p>
          <w:p w14:paraId="7817E234">
            <w:pPr>
              <w:rPr>
                <w:rFonts w:hint="eastAsia" w:eastAsiaTheme="minorEastAsia"/>
                <w:color w:val="auto"/>
                <w:sz w:val="20"/>
                <w:szCs w:val="20"/>
                <w:highlight w:val="none"/>
                <w:lang w:val="en-US" w:eastAsia="zh-CN"/>
              </w:rPr>
            </w:pPr>
            <w:r>
              <w:rPr>
                <w:rFonts w:hint="eastAsia"/>
                <w:color w:val="auto"/>
                <w:sz w:val="20"/>
                <w:szCs w:val="20"/>
                <w:highlight w:val="none"/>
                <w:lang w:val="en-US" w:eastAsia="zh-CN"/>
              </w:rPr>
              <w:t>2.</w:t>
            </w:r>
            <w:r>
              <w:rPr>
                <w:rFonts w:hint="eastAsia"/>
                <w:color w:val="auto"/>
                <w:sz w:val="20"/>
                <w:szCs w:val="20"/>
                <w:highlight w:val="none"/>
              </w:rPr>
              <w:t>参考尺寸：60cm×49cm×54cm</w:t>
            </w:r>
            <w:r>
              <w:rPr>
                <w:rFonts w:hint="eastAsia"/>
                <w:color w:val="auto"/>
                <w:sz w:val="20"/>
                <w:szCs w:val="20"/>
                <w:highlight w:val="none"/>
                <w:lang w:eastAsia="zh-CN"/>
              </w:rPr>
              <w:t>（</w:t>
            </w:r>
            <w:r>
              <w:rPr>
                <w:rFonts w:hint="eastAsia"/>
                <w:color w:val="auto"/>
                <w:sz w:val="20"/>
                <w:szCs w:val="20"/>
                <w:highlight w:val="none"/>
              </w:rPr>
              <w:t>尺寸允许 ±12mm 加工公差</w:t>
            </w:r>
            <w:r>
              <w:rPr>
                <w:rFonts w:hint="eastAsia"/>
                <w:color w:val="auto"/>
                <w:sz w:val="20"/>
                <w:szCs w:val="20"/>
                <w:highlight w:val="none"/>
                <w:lang w:eastAsia="zh-CN"/>
              </w:rPr>
              <w:t>）</w:t>
            </w:r>
          </w:p>
          <w:p w14:paraId="3B954C46">
            <w:pPr>
              <w:rPr>
                <w:rFonts w:hint="eastAsia" w:ascii="宋体" w:hAnsi="宋体" w:eastAsia="宋体" w:cs="宋体"/>
                <w:i w:val="0"/>
                <w:iCs w:val="0"/>
                <w:color w:val="auto"/>
                <w:kern w:val="0"/>
                <w:sz w:val="20"/>
                <w:szCs w:val="20"/>
                <w:highlight w:val="none"/>
                <w:u w:val="none"/>
                <w:lang w:val="en-US" w:eastAsia="zh-CN" w:bidi="ar"/>
              </w:rPr>
            </w:pPr>
            <w:r>
              <w:rPr>
                <w:rFonts w:hint="eastAsia"/>
                <w:color w:val="auto"/>
                <w:sz w:val="20"/>
                <w:szCs w:val="20"/>
                <w:highlight w:val="none"/>
                <w:lang w:val="en-US" w:eastAsia="zh-CN"/>
              </w:rPr>
              <w:t>3</w:t>
            </w:r>
            <w:r>
              <w:rPr>
                <w:rFonts w:hint="eastAsia"/>
                <w:color w:val="auto"/>
                <w:sz w:val="20"/>
                <w:szCs w:val="20"/>
                <w:highlight w:val="none"/>
              </w:rPr>
              <w:t>.安全及验收：符合 GB 6675《玩具安全》系列标准；供货后采购人可要求提供对应 CMA/CNAS 检测报告复印件加盖公章备查；成品拼接牢固，户外长期使用不易开裂变形，漆面均匀无异味</w:t>
            </w:r>
            <w:r>
              <w:rPr>
                <w:rFonts w:hint="eastAsia"/>
                <w:color w:val="auto"/>
                <w:highlight w:val="none"/>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FD03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8AF7E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241F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CF5D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1260 </w:t>
            </w:r>
          </w:p>
        </w:tc>
      </w:tr>
      <w:tr w14:paraId="414EE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0012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1463E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达芬奇桥（跨海桥）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7352C2">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新西兰松木碳化清漆，约150件套。材质：桦木胶合板，圆角打磨；单根构件规格：≧500×50×9mm；搭建最大跨度：约3.4m；搭建最大高度：约0.8m；搭建方式：纯咬合拼接，无需胶水、紧固件；配置：搭建说明书+力学原理指导手册+收纳木箱；用途：STEM工程结构科普教学，构件可重复拆装使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6C7F6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32F0B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01815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6606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7335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6606 </w:t>
            </w:r>
          </w:p>
        </w:tc>
      </w:tr>
      <w:tr w14:paraId="47C8C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4E4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02044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小轮胎（小）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5314C4">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符合幼儿游戏要求；尺寸（允许±2cm误差）：直径30cm、长度60cm、75×35×35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652FA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4B3CD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C9336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91F1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1100 </w:t>
            </w:r>
          </w:p>
        </w:tc>
      </w:tr>
      <w:tr w14:paraId="08732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AB3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25F4A96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小轮胎（大）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46467A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符合幼儿游戏要求；尺寸：长度80cm（允许±2cm误差）；轮胎48cm（允许±2cm误差）、厚度4.4cm（允许±0.2cm误差）</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40E5D8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5 </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10BB40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组</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BD05D3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260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3850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1300 </w:t>
            </w:r>
          </w:p>
        </w:tc>
      </w:tr>
      <w:tr w14:paraId="470EB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97B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694CDD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撑杆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BED2E8">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新西兰松木碳化清漆，6根/套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E3F95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BF734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3A2EB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90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9D63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900 </w:t>
            </w:r>
          </w:p>
        </w:tc>
      </w:tr>
      <w:tr w14:paraId="55036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9E9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AF966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幼儿篮球架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BAA276">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可升降幼儿篮球架;篮板尺寸：73×49cm（允许±2cm误差）、篮圈直径38cm（允许±2cm误差）、升降高度1.08-1.4米，篮球底座74×44×9.5cm（允许±2cm误差）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7030A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21DE3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DE6B0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1450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8450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2900 </w:t>
            </w:r>
          </w:p>
        </w:tc>
      </w:tr>
      <w:tr w14:paraId="27A8E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6C7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0" w:type="auto"/>
            <w:tcBorders>
              <w:top w:val="nil"/>
              <w:left w:val="single" w:color="000000" w:sz="4" w:space="0"/>
              <w:bottom w:val="single" w:color="000000" w:sz="4" w:space="0"/>
              <w:right w:val="single" w:color="000000" w:sz="4" w:space="0"/>
            </w:tcBorders>
            <w:shd w:val="clear" w:color="auto" w:fill="FFFFFF"/>
            <w:vAlign w:val="center"/>
          </w:tcPr>
          <w:p w14:paraId="000CCE0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软体酷跑器材</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09E1EB37">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软体酷跑器材11件套，材质：加厚PVC外皮，防水防滑，珍珠棉/压缩棉/EVA内芯材质。</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4B68F2D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 </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2875A03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51BEE01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9280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B991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9280 </w:t>
            </w:r>
          </w:p>
        </w:tc>
      </w:tr>
      <w:tr w14:paraId="7FC51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19F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8FACF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跳箱</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137F5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尺寸（允许±20</w:t>
            </w:r>
            <w:r>
              <w:rPr>
                <w:rFonts w:hint="eastAsia" w:ascii="宋体" w:hAnsi="宋体" w:eastAsia="宋体" w:cs="宋体"/>
                <w:i w:val="0"/>
                <w:iCs w:val="0"/>
                <w:color w:val="auto"/>
                <w:sz w:val="20"/>
                <w:szCs w:val="20"/>
                <w:highlight w:val="none"/>
                <w:u w:val="none"/>
              </w:rPr>
              <w:t>mm</w:t>
            </w:r>
            <w:r>
              <w:rPr>
                <w:rFonts w:hint="eastAsia" w:ascii="宋体" w:hAnsi="宋体" w:eastAsia="宋体" w:cs="宋体"/>
                <w:i w:val="0"/>
                <w:iCs w:val="0"/>
                <w:color w:val="auto"/>
                <w:kern w:val="0"/>
                <w:sz w:val="20"/>
                <w:szCs w:val="20"/>
                <w:highlight w:val="none"/>
                <w:u w:val="none"/>
                <w:lang w:val="en-US" w:eastAsia="zh-CN" w:bidi="ar"/>
              </w:rPr>
              <w:t>误差）：750*650*100/250/400/550mm，分四块，叠起来总高1300mm，软体，加重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8EBD7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B3A3D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735CB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1890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4C04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1890 </w:t>
            </w:r>
          </w:p>
        </w:tc>
      </w:tr>
      <w:tr w14:paraId="5B457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203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AF111D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斜坡垫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7F9419">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尺寸：1500*750*350/50mm（允许±20</w:t>
            </w:r>
            <w:r>
              <w:rPr>
                <w:rFonts w:hint="eastAsia" w:ascii="宋体" w:hAnsi="宋体" w:eastAsia="宋体" w:cs="宋体"/>
                <w:i w:val="0"/>
                <w:iCs w:val="0"/>
                <w:color w:val="auto"/>
                <w:sz w:val="20"/>
                <w:szCs w:val="20"/>
                <w:highlight w:val="none"/>
                <w:u w:val="none"/>
              </w:rPr>
              <w:t>mm</w:t>
            </w:r>
            <w:r>
              <w:rPr>
                <w:rFonts w:hint="eastAsia" w:ascii="宋体" w:hAnsi="宋体" w:eastAsia="宋体" w:cs="宋体"/>
                <w:i w:val="0"/>
                <w:iCs w:val="0"/>
                <w:color w:val="auto"/>
                <w:kern w:val="0"/>
                <w:sz w:val="20"/>
                <w:szCs w:val="20"/>
                <w:highlight w:val="none"/>
                <w:u w:val="none"/>
                <w:lang w:val="en-US" w:eastAsia="zh-CN" w:bidi="ar"/>
              </w:rPr>
              <w:t>误差）长斜坡垫，可折叠，加厚PVC防撕裂皮革，珍珠棉 填充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081A1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B340B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E6EE1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480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CF6C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480 </w:t>
            </w:r>
          </w:p>
        </w:tc>
      </w:tr>
      <w:tr w14:paraId="0873A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7F0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AD33B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幼儿单杠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6C211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尺寸：1400*1080*1550mm（允许±20</w:t>
            </w:r>
            <w:r>
              <w:rPr>
                <w:rFonts w:hint="eastAsia" w:ascii="宋体" w:hAnsi="宋体" w:eastAsia="宋体" w:cs="宋体"/>
                <w:i w:val="0"/>
                <w:iCs w:val="0"/>
                <w:color w:val="auto"/>
                <w:sz w:val="20"/>
                <w:szCs w:val="20"/>
                <w:highlight w:val="none"/>
                <w:u w:val="none"/>
              </w:rPr>
              <w:t>mm</w:t>
            </w:r>
            <w:r>
              <w:rPr>
                <w:rFonts w:hint="eastAsia" w:ascii="宋体" w:hAnsi="宋体" w:eastAsia="宋体" w:cs="宋体"/>
                <w:i w:val="0"/>
                <w:iCs w:val="0"/>
                <w:color w:val="auto"/>
                <w:kern w:val="0"/>
                <w:sz w:val="20"/>
                <w:szCs w:val="20"/>
                <w:highlight w:val="none"/>
                <w:u w:val="none"/>
                <w:lang w:val="en-US" w:eastAsia="zh-CN" w:bidi="ar"/>
              </w:rPr>
              <w:t>误差），钢架，可折叠，高度可调节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5808A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5CEEB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96D1D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680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7196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1360 </w:t>
            </w:r>
          </w:p>
        </w:tc>
      </w:tr>
      <w:tr w14:paraId="6E05F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E41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512E8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双杆爬行架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D8B72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尺寸：1800*750*500（允许±20</w:t>
            </w:r>
            <w:r>
              <w:rPr>
                <w:rFonts w:hint="eastAsia" w:ascii="宋体" w:hAnsi="宋体" w:eastAsia="宋体" w:cs="宋体"/>
                <w:i w:val="0"/>
                <w:iCs w:val="0"/>
                <w:color w:val="auto"/>
                <w:sz w:val="20"/>
                <w:szCs w:val="20"/>
                <w:highlight w:val="none"/>
                <w:u w:val="none"/>
              </w:rPr>
              <w:t>mm</w:t>
            </w:r>
            <w:r>
              <w:rPr>
                <w:rFonts w:hint="eastAsia" w:ascii="宋体" w:hAnsi="宋体" w:eastAsia="宋体" w:cs="宋体"/>
                <w:i w:val="0"/>
                <w:iCs w:val="0"/>
                <w:color w:val="auto"/>
                <w:kern w:val="0"/>
                <w:sz w:val="20"/>
                <w:szCs w:val="20"/>
                <w:highlight w:val="none"/>
                <w:u w:val="none"/>
                <w:lang w:val="en-US" w:eastAsia="zh-CN" w:bidi="ar"/>
              </w:rPr>
              <w:t>误差），双杆钢架，宽度可在380/440/500mm（允许±20</w:t>
            </w:r>
            <w:r>
              <w:rPr>
                <w:rFonts w:hint="eastAsia" w:ascii="宋体" w:hAnsi="宋体" w:eastAsia="宋体" w:cs="宋体"/>
                <w:i w:val="0"/>
                <w:iCs w:val="0"/>
                <w:color w:val="auto"/>
                <w:sz w:val="20"/>
                <w:szCs w:val="20"/>
                <w:highlight w:val="none"/>
                <w:u w:val="none"/>
              </w:rPr>
              <w:t>mm</w:t>
            </w:r>
            <w:r>
              <w:rPr>
                <w:rFonts w:hint="eastAsia" w:ascii="宋体" w:hAnsi="宋体" w:eastAsia="宋体" w:cs="宋体"/>
                <w:i w:val="0"/>
                <w:iCs w:val="0"/>
                <w:color w:val="auto"/>
                <w:kern w:val="0"/>
                <w:sz w:val="20"/>
                <w:szCs w:val="20"/>
                <w:highlight w:val="none"/>
                <w:u w:val="none"/>
                <w:lang w:val="en-US" w:eastAsia="zh-CN" w:bidi="ar"/>
              </w:rPr>
              <w:t>误差）三档调节，高度可调。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DE55B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C1419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CD7A8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380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8008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380 </w:t>
            </w:r>
          </w:p>
        </w:tc>
      </w:tr>
      <w:tr w14:paraId="5B294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B28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FBA63B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起跳器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29B9A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尺寸：400*600*180mm（允许±20</w:t>
            </w:r>
            <w:r>
              <w:rPr>
                <w:rFonts w:hint="eastAsia" w:ascii="宋体" w:hAnsi="宋体" w:eastAsia="宋体" w:cs="宋体"/>
                <w:i w:val="0"/>
                <w:iCs w:val="0"/>
                <w:color w:val="auto"/>
                <w:sz w:val="20"/>
                <w:szCs w:val="20"/>
                <w:highlight w:val="none"/>
                <w:u w:val="none"/>
              </w:rPr>
              <w:t>mm</w:t>
            </w:r>
            <w:r>
              <w:rPr>
                <w:rFonts w:hint="eastAsia" w:ascii="宋体" w:hAnsi="宋体" w:eastAsia="宋体" w:cs="宋体"/>
                <w:i w:val="0"/>
                <w:iCs w:val="0"/>
                <w:color w:val="auto"/>
                <w:kern w:val="0"/>
                <w:sz w:val="20"/>
                <w:szCs w:val="20"/>
                <w:highlight w:val="none"/>
                <w:u w:val="none"/>
                <w:lang w:val="en-US" w:eastAsia="zh-CN" w:bidi="ar"/>
              </w:rPr>
              <w:t>误差），可承重</w:t>
            </w:r>
            <w:r>
              <w:rPr>
                <w:rFonts w:hint="eastAsia"/>
                <w:color w:val="auto"/>
                <w:sz w:val="20"/>
                <w:szCs w:val="20"/>
                <w:highlight w:val="none"/>
              </w:rPr>
              <w:t>≥</w:t>
            </w:r>
            <w:r>
              <w:rPr>
                <w:rFonts w:hint="eastAsia" w:ascii="宋体" w:hAnsi="宋体" w:eastAsia="宋体" w:cs="宋体"/>
                <w:i w:val="0"/>
                <w:iCs w:val="0"/>
                <w:color w:val="auto"/>
                <w:kern w:val="0"/>
                <w:sz w:val="20"/>
                <w:szCs w:val="20"/>
                <w:highlight w:val="none"/>
                <w:u w:val="none"/>
                <w:lang w:val="en-US" w:eastAsia="zh-CN" w:bidi="ar"/>
              </w:rPr>
              <w:t>40kg</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7FF40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B5353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5A883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E0FB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440 </w:t>
            </w:r>
          </w:p>
        </w:tc>
      </w:tr>
      <w:tr w14:paraId="71F76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258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181D073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龟背体育转盘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F515C6">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pe材质，幼儿感统器械，大号30个，尺寸：38*20cm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B1AEC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9E5B8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4969E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8D59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540 </w:t>
            </w:r>
          </w:p>
        </w:tc>
      </w:tr>
      <w:tr w14:paraId="210F4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B85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3DDC11C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幼儿高跷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97369D">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彩色幼儿高跷，尺寸：900mm高，直径28mm，防滑手柄和脚垫，实木，刷环保清漆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EF68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73507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507A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F480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1750 </w:t>
            </w:r>
          </w:p>
        </w:tc>
      </w:tr>
      <w:tr w14:paraId="769AC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7A2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5D415C4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羊角球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672DA7">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幼儿肢体平衡，环保pvc材料；尺寸：45cm、55cm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973AD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17F0D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3740B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D063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700 </w:t>
            </w:r>
          </w:p>
        </w:tc>
      </w:tr>
      <w:tr w14:paraId="73758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344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65E58C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大型沙水游戏组合148件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F82B73">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芬兰松防腐木，pvc，pp，不锈钢适合3岁以上儿童使用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111D7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52536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CB716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8800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283B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8800 </w:t>
            </w:r>
          </w:p>
        </w:tc>
      </w:tr>
      <w:tr w14:paraId="1B37B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D65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EB43F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呼啦圈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52317D">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尺寸：直径400mm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3FE2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85643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3EC0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E142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440 </w:t>
            </w:r>
          </w:p>
        </w:tc>
      </w:tr>
      <w:tr w14:paraId="7FD17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B5C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54002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呼啦圈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05996E">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尺寸：直径500mm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7D2C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8F3AE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914B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3B44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750 </w:t>
            </w:r>
          </w:p>
        </w:tc>
      </w:tr>
      <w:tr w14:paraId="7017B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D6E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51E4227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万能管道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1DA24A">
            <w:pPr>
              <w:rPr>
                <w:rFonts w:hint="eastAsia"/>
                <w:color w:val="auto"/>
                <w:sz w:val="20"/>
                <w:szCs w:val="20"/>
                <w:highlight w:val="none"/>
              </w:rPr>
            </w:pPr>
            <w:r>
              <w:rPr>
                <w:rFonts w:hint="eastAsia"/>
                <w:color w:val="auto"/>
                <w:sz w:val="20"/>
                <w:szCs w:val="20"/>
                <w:highlight w:val="none"/>
              </w:rPr>
              <w:t>1.材质：全新原生环保 PP 塑料，无回收废料，抗紫外线、耐雨淋老化，户外长期使用不易脆化褪色；所有边缘圆弧钝化，无锐利尖端。</w:t>
            </w:r>
          </w:p>
          <w:p w14:paraId="07A8F7D4">
            <w:pPr>
              <w:rPr>
                <w:rFonts w:hint="eastAsia"/>
                <w:color w:val="auto"/>
                <w:sz w:val="20"/>
                <w:szCs w:val="20"/>
                <w:highlight w:val="none"/>
              </w:rPr>
            </w:pPr>
            <w:r>
              <w:rPr>
                <w:rFonts w:hint="eastAsia"/>
                <w:color w:val="auto"/>
                <w:sz w:val="20"/>
                <w:szCs w:val="20"/>
                <w:highlight w:val="none"/>
                <w:lang w:val="en-US" w:eastAsia="zh-CN"/>
              </w:rPr>
              <w:t>2</w:t>
            </w:r>
            <w:r>
              <w:rPr>
                <w:rFonts w:hint="eastAsia"/>
                <w:color w:val="auto"/>
                <w:sz w:val="20"/>
                <w:szCs w:val="20"/>
                <w:highlight w:val="none"/>
              </w:rPr>
              <w:t>.配置要求：整套总件数≥160 件，含圆盆≥50 只，连接管材≥</w:t>
            </w:r>
            <w:r>
              <w:rPr>
                <w:rFonts w:hint="eastAsia"/>
                <w:color w:val="auto"/>
                <w:sz w:val="20"/>
                <w:szCs w:val="20"/>
                <w:highlight w:val="none"/>
                <w:lang w:val="en-US" w:eastAsia="zh-CN"/>
              </w:rPr>
              <w:t>110</w:t>
            </w:r>
            <w:r>
              <w:rPr>
                <w:rFonts w:hint="eastAsia"/>
                <w:color w:val="auto"/>
                <w:sz w:val="20"/>
                <w:szCs w:val="20"/>
                <w:highlight w:val="none"/>
              </w:rPr>
              <w:t xml:space="preserve"> 件参考管径≥48mm；管材长度规格齐全，拼接卡扣咬合紧密，拆装顺畅。</w:t>
            </w:r>
          </w:p>
          <w:p w14:paraId="769350BE">
            <w:pPr>
              <w:rPr>
                <w:rFonts w:hint="eastAsia" w:eastAsiaTheme="minorEastAsia"/>
                <w:color w:val="auto"/>
                <w:sz w:val="20"/>
                <w:szCs w:val="20"/>
                <w:highlight w:val="none"/>
                <w:lang w:eastAsia="zh-CN"/>
              </w:rPr>
            </w:pPr>
            <w:r>
              <w:rPr>
                <w:rFonts w:hint="eastAsia"/>
                <w:color w:val="auto"/>
                <w:sz w:val="20"/>
                <w:szCs w:val="20"/>
                <w:highlight w:val="none"/>
                <w:lang w:val="en-US" w:eastAsia="zh-CN"/>
              </w:rPr>
              <w:t>3</w:t>
            </w:r>
            <w:r>
              <w:rPr>
                <w:rFonts w:hint="eastAsia"/>
                <w:color w:val="auto"/>
                <w:sz w:val="20"/>
                <w:szCs w:val="20"/>
                <w:highlight w:val="none"/>
              </w:rPr>
              <w:t>.整体组装参考尺寸：3100mm×3200mm×1460mm</w:t>
            </w:r>
            <w:r>
              <w:rPr>
                <w:rFonts w:hint="eastAsia"/>
                <w:color w:val="auto"/>
                <w:sz w:val="20"/>
                <w:szCs w:val="20"/>
                <w:highlight w:val="none"/>
                <w:lang w:eastAsia="zh-CN"/>
              </w:rPr>
              <w:t>（</w:t>
            </w:r>
            <w:r>
              <w:rPr>
                <w:rFonts w:hint="eastAsia"/>
                <w:color w:val="auto"/>
                <w:sz w:val="20"/>
                <w:szCs w:val="20"/>
                <w:highlight w:val="none"/>
              </w:rPr>
              <w:t xml:space="preserve">允许 ±10mm </w:t>
            </w:r>
            <w:r>
              <w:rPr>
                <w:rFonts w:hint="eastAsia"/>
                <w:color w:val="auto"/>
                <w:sz w:val="20"/>
                <w:szCs w:val="20"/>
                <w:highlight w:val="none"/>
                <w:lang w:eastAsia="zh-CN"/>
              </w:rPr>
              <w:t>误差）</w:t>
            </w:r>
          </w:p>
          <w:p w14:paraId="6A93EECD">
            <w:pPr>
              <w:rPr>
                <w:rFonts w:hint="eastAsia" w:ascii="宋体" w:hAnsi="宋体" w:eastAsia="宋体" w:cs="宋体"/>
                <w:i w:val="0"/>
                <w:iCs w:val="0"/>
                <w:color w:val="auto"/>
                <w:kern w:val="0"/>
                <w:sz w:val="20"/>
                <w:szCs w:val="20"/>
                <w:highlight w:val="none"/>
                <w:u w:val="none"/>
                <w:lang w:val="en-US" w:eastAsia="zh-CN" w:bidi="ar"/>
              </w:rPr>
            </w:pPr>
            <w:r>
              <w:rPr>
                <w:rFonts w:hint="eastAsia"/>
                <w:color w:val="auto"/>
                <w:sz w:val="20"/>
                <w:szCs w:val="20"/>
                <w:highlight w:val="none"/>
                <w:lang w:val="en-US" w:eastAsia="zh-CN"/>
              </w:rPr>
              <w:t>4</w:t>
            </w:r>
            <w:r>
              <w:rPr>
                <w:rFonts w:hint="eastAsia"/>
                <w:color w:val="auto"/>
                <w:sz w:val="20"/>
                <w:szCs w:val="20"/>
                <w:highlight w:val="none"/>
              </w:rPr>
              <w:t>.验收标准：配件齐全无缺件，拼搭稳固可实现平面、立体、动态造型；满足幼儿园户外建构游戏使用，符合 GB 6675 玩具安全标准。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3FA3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8144D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1243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6800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3365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6800 </w:t>
            </w:r>
          </w:p>
        </w:tc>
      </w:tr>
      <w:tr w14:paraId="137DF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DF2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w:t>
            </w:r>
          </w:p>
        </w:tc>
        <w:tc>
          <w:tcPr>
            <w:tcW w:w="0" w:type="auto"/>
            <w:tcBorders>
              <w:top w:val="single" w:color="000000" w:sz="4" w:space="0"/>
              <w:left w:val="nil"/>
              <w:bottom w:val="nil"/>
              <w:right w:val="single" w:color="000000" w:sz="4" w:space="0"/>
            </w:tcBorders>
            <w:shd w:val="clear" w:color="auto" w:fill="FFFFFF"/>
            <w:vAlign w:val="center"/>
          </w:tcPr>
          <w:p w14:paraId="777C294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莫兰迪色特大号007泡沫砖积木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E56911">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Eva软质积木环保无气味；1套共计48件，含：</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大号长方体2个（28*7cm）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中号长方体2个（10*7cm）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小号立方体4个（7*7cm）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正方体4个（14*7cm）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大号圆柱体2个（28*7cm）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中号圆柱体4个（14*7cm）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小号圆柱体2个(7*7cm)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大号1/2圆柱体4个（14*7cm)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小号1/2圆柱体4个(7*7cm)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大号楔体2个(31*28*14*7cm)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大号拱桥4个(28*14*14*7cm)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小号拱桥4个(14*7*7cm)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微号楔体4个（10*7*7cm)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小号楔体2个（14*7*7cm）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中号楔体4个(20*14*7cm)</w:t>
            </w:r>
          </w:p>
          <w:p w14:paraId="71F6EA64">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以上尺寸允许±0.5cm误差</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E9C210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57D5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12B0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1FFA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2904 </w:t>
            </w:r>
          </w:p>
        </w:tc>
      </w:tr>
      <w:tr w14:paraId="7A920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E41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w:t>
            </w:r>
          </w:p>
        </w:tc>
        <w:tc>
          <w:tcPr>
            <w:tcW w:w="0" w:type="auto"/>
            <w:tcBorders>
              <w:top w:val="single" w:color="000000" w:sz="4" w:space="0"/>
              <w:left w:val="nil"/>
              <w:bottom w:val="nil"/>
              <w:right w:val="single" w:color="000000" w:sz="4" w:space="0"/>
            </w:tcBorders>
            <w:shd w:val="clear" w:color="auto" w:fill="FFFFFF"/>
            <w:vAlign w:val="center"/>
          </w:tcPr>
          <w:p w14:paraId="59BBFE9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踏板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D131E2">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运动踏板，110单板尺寸（长度110*宽度41.5*高度20cm，允许±2cm误差)；HDPE环保塑料（灰色、黑色、绿色三色可选）</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64CD4C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516E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30D5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A51D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880 </w:t>
            </w:r>
          </w:p>
        </w:tc>
      </w:tr>
      <w:tr w14:paraId="44712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62C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w:t>
            </w:r>
          </w:p>
        </w:tc>
        <w:tc>
          <w:tcPr>
            <w:tcW w:w="0" w:type="auto"/>
            <w:tcBorders>
              <w:top w:val="single" w:color="000000" w:sz="4" w:space="0"/>
              <w:left w:val="nil"/>
              <w:bottom w:val="nil"/>
              <w:right w:val="single" w:color="000000" w:sz="4" w:space="0"/>
            </w:tcBorders>
            <w:shd w:val="clear" w:color="auto" w:fill="FFFFFF"/>
            <w:vAlign w:val="center"/>
          </w:tcPr>
          <w:p w14:paraId="4A27467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平衡木（桥面加厚）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E02310">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3米实木平衡木；尺寸：长3米，面宽10cm,高度30cm;木板加厚6cm;两段带平台</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B2F6D7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6381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C53C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DEDA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1020 </w:t>
            </w:r>
          </w:p>
        </w:tc>
      </w:tr>
      <w:tr w14:paraId="34ACA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DAE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w:t>
            </w:r>
          </w:p>
        </w:tc>
        <w:tc>
          <w:tcPr>
            <w:tcW w:w="0" w:type="auto"/>
            <w:tcBorders>
              <w:top w:val="single" w:color="000000" w:sz="4" w:space="0"/>
              <w:left w:val="nil"/>
              <w:bottom w:val="nil"/>
              <w:right w:val="single" w:color="000000" w:sz="4" w:space="0"/>
            </w:tcBorders>
            <w:shd w:val="clear" w:color="auto" w:fill="FFFFFF"/>
            <w:vAlign w:val="center"/>
          </w:tcPr>
          <w:p w14:paraId="04E2182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跳袋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2A795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小号袋鼠跳袋10个，尺寸：50*50cm（允许±2cm误差）（建议身高80-105cm)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中号袋鼠跳袋10个，尺寸50*70cm（允许±2cm误差）(建议身高105-140cm)</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6E1FA4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E9B5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E8EF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D296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340 </w:t>
            </w:r>
          </w:p>
        </w:tc>
      </w:tr>
      <w:tr w14:paraId="33801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550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w:t>
            </w:r>
          </w:p>
        </w:tc>
        <w:tc>
          <w:tcPr>
            <w:tcW w:w="0" w:type="auto"/>
            <w:tcBorders>
              <w:top w:val="single" w:color="000000" w:sz="4" w:space="0"/>
              <w:left w:val="nil"/>
              <w:bottom w:val="nil"/>
              <w:right w:val="single" w:color="000000" w:sz="4" w:space="0"/>
            </w:tcBorders>
            <w:shd w:val="clear" w:color="auto" w:fill="FFFFFF"/>
            <w:vAlign w:val="center"/>
          </w:tcPr>
          <w:p w14:paraId="7247E50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火箭滑板车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47A51">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中号5轮加固型，尺寸51*43cm，加宽加厚，硅胶静音轮，赠送牵引绳</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4D81AC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38F0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E489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DEA0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500 </w:t>
            </w:r>
          </w:p>
        </w:tc>
      </w:tr>
      <w:tr w14:paraId="5558F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201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117</w:t>
            </w:r>
          </w:p>
        </w:tc>
        <w:tc>
          <w:tcPr>
            <w:tcW w:w="0" w:type="auto"/>
            <w:tcBorders>
              <w:top w:val="single" w:color="000000" w:sz="4" w:space="0"/>
              <w:left w:val="nil"/>
              <w:bottom w:val="nil"/>
              <w:right w:val="single" w:color="000000" w:sz="4" w:space="0"/>
            </w:tcBorders>
            <w:shd w:val="clear" w:color="auto" w:fill="FFFFFF"/>
            <w:vAlign w:val="center"/>
          </w:tcPr>
          <w:p w14:paraId="70AED26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火车轨道积木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CB74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138pcs轨道拓展包；包装尺寸36.5*12.5*28.8cm（允许±2cm误差）;木质火车拼接轨道</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BC4E5A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9C2D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4041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6C16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2560 </w:t>
            </w:r>
          </w:p>
        </w:tc>
      </w:tr>
      <w:tr w14:paraId="48A8A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81E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w:t>
            </w:r>
          </w:p>
        </w:tc>
        <w:tc>
          <w:tcPr>
            <w:tcW w:w="0" w:type="auto"/>
            <w:tcBorders>
              <w:top w:val="single" w:color="000000" w:sz="4" w:space="0"/>
              <w:left w:val="nil"/>
              <w:bottom w:val="nil"/>
              <w:right w:val="single" w:color="000000" w:sz="4" w:space="0"/>
            </w:tcBorders>
            <w:shd w:val="clear" w:color="auto" w:fill="FFFFFF"/>
            <w:vAlign w:val="center"/>
          </w:tcPr>
          <w:p w14:paraId="7A42819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儿童敏捷梯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E1469">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碳钢/编织；加宽加厚可折叠，1套16格，每格40*40cm，长度可达6.4米</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337726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C8F9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C8A6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8265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240 </w:t>
            </w:r>
          </w:p>
        </w:tc>
      </w:tr>
      <w:tr w14:paraId="16561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4BE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119</w:t>
            </w:r>
          </w:p>
        </w:tc>
        <w:tc>
          <w:tcPr>
            <w:tcW w:w="0" w:type="auto"/>
            <w:tcBorders>
              <w:top w:val="single" w:color="000000" w:sz="4" w:space="0"/>
              <w:left w:val="nil"/>
              <w:bottom w:val="nil"/>
              <w:right w:val="single" w:color="000000" w:sz="4" w:space="0"/>
            </w:tcBorders>
            <w:shd w:val="clear" w:color="auto" w:fill="FFFFFF"/>
            <w:vAlign w:val="center"/>
          </w:tcPr>
          <w:p w14:paraId="1916264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滚铁环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CD7E47">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加厚加粗pp材质，材质：中号轮直径30cm；1个铁环配1根加粗不锈钢杆子，杆子可伸缩27-74cm</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F76503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BD88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DB81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FADD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270 </w:t>
            </w:r>
          </w:p>
        </w:tc>
      </w:tr>
      <w:tr w14:paraId="3C076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060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0" w:type="auto"/>
            <w:tcBorders>
              <w:top w:val="single" w:color="000000" w:sz="4" w:space="0"/>
              <w:left w:val="nil"/>
              <w:bottom w:val="nil"/>
              <w:right w:val="single" w:color="000000" w:sz="4" w:space="0"/>
            </w:tcBorders>
            <w:shd w:val="clear" w:color="auto" w:fill="FFFFFF"/>
            <w:vAlign w:val="center"/>
          </w:tcPr>
          <w:p w14:paraId="7EFDAAC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软体红砖积木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8367C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（参考尺寸+数量）</w:t>
            </w:r>
          </w:p>
          <w:p w14:paraId="4A3CD4D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以下所有尺寸允许±2cm合理生产及安装公差。620件；eva材质，含长方砖80块（200*100*50mm）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正方砖200个(100×100×50mm)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圆钉砖200个（35×50mm）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三角砖50块（100*100*50/2mm）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方木板6个（50×100×200mm）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方木棍（长）6个（30×200mm）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方木棍短6个（30×100 MM）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 瓦一20个（170×250×10mm）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瓦二20个（100×100 MM）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长砖棍8个(35×200 MM)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梁8个(25×1500mm)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梁架16个（35×40mm)</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8D54DB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21DA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D243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E591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2580 </w:t>
            </w:r>
          </w:p>
        </w:tc>
      </w:tr>
      <w:tr w14:paraId="7D775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151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w:t>
            </w:r>
          </w:p>
        </w:tc>
        <w:tc>
          <w:tcPr>
            <w:tcW w:w="0" w:type="auto"/>
            <w:tcBorders>
              <w:top w:val="single" w:color="000000" w:sz="4" w:space="0"/>
              <w:left w:val="nil"/>
              <w:bottom w:val="nil"/>
              <w:right w:val="single" w:color="000000" w:sz="4" w:space="0"/>
            </w:tcBorders>
            <w:shd w:val="clear" w:color="auto" w:fill="FFFFFF"/>
            <w:vAlign w:val="center"/>
          </w:tcPr>
          <w:p w14:paraId="5991DB3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三折叠体操垫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B240A">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材质：pu复合皮革，珍珠棉内胆；尺寸：约180*60*5cm </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A44326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5E50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AB5C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4440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650 </w:t>
            </w:r>
          </w:p>
        </w:tc>
      </w:tr>
      <w:tr w14:paraId="530A4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5B4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B26426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儿童警察游戏服饰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CBE46C">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小交警——男白帽、反光魔术贴马甲110cm（允许±2cm误差）  5套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小交警——男白帽、反光魔术贴马甲120cm（允许±2cm误差）  5套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小警察——男黑蓝帽、反光魔术贴马甲110cm（允许±2cm误差） 3套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小警察——男黑蓝帽、反光魔术贴马甲120cm（允许±2cm误差） 3套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配白手套、口哨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A42A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0459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31AA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3DD0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800 </w:t>
            </w:r>
          </w:p>
        </w:tc>
      </w:tr>
      <w:tr w14:paraId="17B98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761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D2DDDE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和面机</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80754CB">
            <w:pPr>
              <w:keepNext w:val="0"/>
              <w:keepLines w:val="0"/>
              <w:widowControl/>
              <w:suppressLineNumbers w:val="0"/>
              <w:jc w:val="left"/>
              <w:textAlignment w:val="center"/>
              <w:rPr>
                <w:rFonts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电压/频率：380/50</w:t>
            </w:r>
            <w:r>
              <w:rPr>
                <w:rFonts w:hint="eastAsia" w:ascii="仿宋_GB2312" w:hAnsi="宋体" w:eastAsia="仿宋_GB2312" w:cs="仿宋_GB2312"/>
                <w:i w:val="0"/>
                <w:iCs w:val="0"/>
                <w:color w:val="auto"/>
                <w:kern w:val="0"/>
                <w:sz w:val="20"/>
                <w:szCs w:val="20"/>
                <w:highlight w:val="none"/>
                <w:u w:val="none"/>
                <w:lang w:val="en-US" w:eastAsia="zh-CN" w:bidi="ar"/>
              </w:rPr>
              <w:br w:type="textWrapping"/>
            </w:r>
            <w:r>
              <w:rPr>
                <w:rFonts w:hint="eastAsia" w:ascii="仿宋_GB2312" w:hAnsi="宋体" w:eastAsia="仿宋_GB2312" w:cs="仿宋_GB2312"/>
                <w:i w:val="0"/>
                <w:iCs w:val="0"/>
                <w:color w:val="auto"/>
                <w:kern w:val="0"/>
                <w:sz w:val="20"/>
                <w:szCs w:val="20"/>
                <w:highlight w:val="none"/>
                <w:u w:val="none"/>
                <w:lang w:val="en-US" w:eastAsia="zh-CN" w:bidi="ar"/>
              </w:rPr>
              <w:t>额定功率（KW:)3；容量（L):80</w:t>
            </w:r>
            <w:r>
              <w:rPr>
                <w:rFonts w:hint="eastAsia" w:ascii="仿宋_GB2312" w:hAnsi="宋体" w:eastAsia="仿宋_GB2312" w:cs="仿宋_GB2312"/>
                <w:i w:val="0"/>
                <w:iCs w:val="0"/>
                <w:color w:val="auto"/>
                <w:kern w:val="0"/>
                <w:sz w:val="20"/>
                <w:szCs w:val="20"/>
                <w:highlight w:val="none"/>
                <w:u w:val="none"/>
                <w:lang w:val="en-US" w:eastAsia="zh-CN" w:bidi="ar"/>
              </w:rPr>
              <w:br w:type="textWrapping"/>
            </w:r>
            <w:r>
              <w:rPr>
                <w:rFonts w:hint="eastAsia" w:ascii="仿宋_GB2312" w:hAnsi="宋体" w:eastAsia="仿宋_GB2312" w:cs="仿宋_GB2312"/>
                <w:i w:val="0"/>
                <w:iCs w:val="0"/>
                <w:color w:val="auto"/>
                <w:kern w:val="0"/>
                <w:sz w:val="20"/>
                <w:szCs w:val="20"/>
                <w:highlight w:val="none"/>
                <w:u w:val="none"/>
                <w:lang w:val="en-US" w:eastAsia="zh-CN" w:bidi="ar"/>
              </w:rPr>
              <w:t>合面量（KG）：25</w:t>
            </w:r>
            <w:r>
              <w:rPr>
                <w:rFonts w:hint="eastAsia" w:ascii="仿宋_GB2312" w:hAnsi="宋体" w:eastAsia="仿宋_GB2312" w:cs="仿宋_GB2312"/>
                <w:i w:val="0"/>
                <w:iCs w:val="0"/>
                <w:color w:val="auto"/>
                <w:kern w:val="0"/>
                <w:sz w:val="20"/>
                <w:szCs w:val="20"/>
                <w:highlight w:val="none"/>
                <w:u w:val="none"/>
                <w:lang w:val="en-US" w:eastAsia="zh-CN" w:bidi="ar"/>
              </w:rPr>
              <w:br w:type="textWrapping"/>
            </w:r>
            <w:r>
              <w:rPr>
                <w:rFonts w:hint="eastAsia" w:ascii="仿宋_GB2312" w:hAnsi="宋体" w:eastAsia="仿宋_GB2312" w:cs="仿宋_GB2312"/>
                <w:i w:val="0"/>
                <w:iCs w:val="0"/>
                <w:color w:val="auto"/>
                <w:kern w:val="0"/>
                <w:sz w:val="20"/>
                <w:szCs w:val="20"/>
                <w:highlight w:val="none"/>
                <w:u w:val="none"/>
                <w:lang w:val="en-US" w:eastAsia="zh-CN" w:bidi="ar"/>
              </w:rPr>
              <w:t>搅拌器转速(r/min ):</w:t>
            </w:r>
            <w:r>
              <w:rPr>
                <w:rFonts w:ascii="宋体" w:hAnsi="宋体" w:eastAsia="宋体" w:cs="宋体"/>
                <w:sz w:val="20"/>
                <w:szCs w:val="20"/>
                <w:highlight w:val="none"/>
              </w:rPr>
              <w:t>高速：210~230r/min；低速：150~170r/min</w:t>
            </w:r>
            <w:r>
              <w:rPr>
                <w:rFonts w:hint="eastAsia" w:ascii="仿宋_GB2312" w:hAnsi="宋体" w:eastAsia="仿宋_GB2312" w:cs="仿宋_GB2312"/>
                <w:i w:val="0"/>
                <w:iCs w:val="0"/>
                <w:color w:val="auto"/>
                <w:kern w:val="0"/>
                <w:sz w:val="20"/>
                <w:szCs w:val="20"/>
                <w:highlight w:val="none"/>
                <w:u w:val="none"/>
                <w:lang w:val="en-US" w:eastAsia="zh-CN" w:bidi="ar"/>
              </w:rPr>
              <w:br w:type="textWrapping"/>
            </w:r>
            <w:r>
              <w:rPr>
                <w:rFonts w:hint="eastAsia" w:ascii="仿宋_GB2312" w:hAnsi="宋体" w:eastAsia="仿宋_GB2312" w:cs="仿宋_GB2312"/>
                <w:i w:val="0"/>
                <w:iCs w:val="0"/>
                <w:color w:val="auto"/>
                <w:kern w:val="0"/>
                <w:sz w:val="20"/>
                <w:szCs w:val="20"/>
                <w:highlight w:val="none"/>
                <w:u w:val="none"/>
                <w:lang w:val="en-US" w:eastAsia="zh-CN" w:bidi="ar"/>
              </w:rPr>
              <w:t>料桶转速（r/min )：</w:t>
            </w:r>
            <w:r>
              <w:rPr>
                <w:rFonts w:ascii="宋体" w:hAnsi="宋体" w:eastAsia="宋体" w:cs="宋体"/>
                <w:sz w:val="20"/>
                <w:szCs w:val="20"/>
                <w:highlight w:val="none"/>
              </w:rPr>
              <w:t>高速：17~19r/min；低速：12~14r/min</w:t>
            </w:r>
            <w:r>
              <w:rPr>
                <w:rFonts w:hint="eastAsia" w:ascii="仿宋_GB2312" w:hAnsi="宋体" w:eastAsia="仿宋_GB2312" w:cs="仿宋_GB2312"/>
                <w:i w:val="0"/>
                <w:iCs w:val="0"/>
                <w:color w:val="auto"/>
                <w:kern w:val="0"/>
                <w:sz w:val="20"/>
                <w:szCs w:val="20"/>
                <w:highlight w:val="none"/>
                <w:u w:val="none"/>
                <w:lang w:val="en-US" w:eastAsia="zh-CN" w:bidi="ar"/>
              </w:rPr>
              <w:br w:type="textWrapping"/>
            </w:r>
            <w:r>
              <w:rPr>
                <w:rFonts w:hint="eastAsia" w:ascii="仿宋_GB2312" w:hAnsi="宋体" w:eastAsia="仿宋_GB2312" w:cs="仿宋_GB2312"/>
                <w:i w:val="0"/>
                <w:iCs w:val="0"/>
                <w:color w:val="auto"/>
                <w:kern w:val="0"/>
                <w:sz w:val="20"/>
                <w:szCs w:val="20"/>
                <w:highlight w:val="none"/>
                <w:u w:val="none"/>
                <w:lang w:val="en-US" w:eastAsia="zh-CN" w:bidi="ar"/>
              </w:rPr>
              <w:t>整机重量（kg)：</w:t>
            </w:r>
            <w:r>
              <w:rPr>
                <w:rFonts w:ascii="宋体" w:hAnsi="宋体" w:eastAsia="宋体" w:cs="宋体"/>
                <w:sz w:val="20"/>
                <w:szCs w:val="20"/>
                <w:highlight w:val="none"/>
              </w:rPr>
              <w:t>240~265kg</w:t>
            </w:r>
            <w:r>
              <w:rPr>
                <w:rFonts w:hint="eastAsia" w:ascii="仿宋_GB2312" w:hAnsi="宋体" w:eastAsia="仿宋_GB2312" w:cs="仿宋_GB2312"/>
                <w:i w:val="0"/>
                <w:iCs w:val="0"/>
                <w:color w:val="auto"/>
                <w:kern w:val="0"/>
                <w:sz w:val="20"/>
                <w:szCs w:val="20"/>
                <w:highlight w:val="none"/>
                <w:u w:val="none"/>
                <w:lang w:val="en-US" w:eastAsia="zh-CN" w:bidi="ar"/>
              </w:rPr>
              <w:br w:type="textWrapping"/>
            </w:r>
            <w:r>
              <w:rPr>
                <w:rFonts w:hint="eastAsia" w:ascii="仿宋_GB2312" w:hAnsi="宋体" w:eastAsia="仿宋_GB2312" w:cs="仿宋_GB2312"/>
                <w:i w:val="0"/>
                <w:iCs w:val="0"/>
                <w:color w:val="auto"/>
                <w:kern w:val="0"/>
                <w:sz w:val="20"/>
                <w:szCs w:val="20"/>
                <w:highlight w:val="none"/>
                <w:u w:val="none"/>
                <w:lang w:val="en-US" w:eastAsia="zh-CN" w:bidi="ar"/>
              </w:rPr>
              <w:t>外形尺寸：580*1000*1050mm</w:t>
            </w:r>
            <w:r>
              <w:rPr>
                <w:rFonts w:hint="eastAsia" w:ascii="宋体" w:hAnsi="宋体" w:eastAsia="宋体" w:cs="宋体"/>
                <w:i w:val="0"/>
                <w:iCs w:val="0"/>
                <w:color w:val="auto"/>
                <w:kern w:val="0"/>
                <w:sz w:val="20"/>
                <w:szCs w:val="20"/>
                <w:highlight w:val="none"/>
                <w:u w:val="none"/>
                <w:lang w:val="en-US" w:eastAsia="zh-CN" w:bidi="ar"/>
              </w:rPr>
              <w:t>（允许±20</w:t>
            </w:r>
            <w:r>
              <w:rPr>
                <w:rFonts w:hint="eastAsia" w:ascii="宋体" w:hAnsi="宋体" w:eastAsia="宋体" w:cs="宋体"/>
                <w:i w:val="0"/>
                <w:iCs w:val="0"/>
                <w:color w:val="auto"/>
                <w:sz w:val="20"/>
                <w:szCs w:val="20"/>
                <w:highlight w:val="none"/>
                <w:u w:val="none"/>
              </w:rPr>
              <w:t>mm</w:t>
            </w:r>
            <w:r>
              <w:rPr>
                <w:rFonts w:hint="eastAsia" w:ascii="宋体" w:hAnsi="宋体" w:eastAsia="宋体" w:cs="宋体"/>
                <w:i w:val="0"/>
                <w:iCs w:val="0"/>
                <w:color w:val="auto"/>
                <w:kern w:val="0"/>
                <w:sz w:val="20"/>
                <w:szCs w:val="20"/>
                <w:highlight w:val="none"/>
                <w:u w:val="none"/>
                <w:lang w:val="en-US" w:eastAsia="zh-CN" w:bidi="ar"/>
              </w:rPr>
              <w:t>误差）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6129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3D5B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8CF8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9000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792C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9000 </w:t>
            </w:r>
          </w:p>
        </w:tc>
      </w:tr>
      <w:tr w14:paraId="6D824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1D0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B68090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醒发箱</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E7C234">
            <w:pPr>
              <w:keepNext w:val="0"/>
              <w:keepLines w:val="0"/>
              <w:widowControl/>
              <w:suppressLineNumbers w:val="0"/>
              <w:jc w:val="left"/>
              <w:textAlignment w:val="center"/>
              <w:rPr>
                <w:rFonts w:hint="eastAsia" w:ascii="仿宋_GB2312" w:hAnsi="宋体" w:eastAsia="仿宋_GB2312" w:cs="仿宋_GB2312"/>
                <w:i w:val="0"/>
                <w:iCs w:val="0"/>
                <w:color w:val="auto"/>
                <w:sz w:val="20"/>
                <w:szCs w:val="20"/>
                <w:highlight w:val="none"/>
                <w:u w:val="none"/>
              </w:rPr>
            </w:pPr>
            <w:r>
              <w:rPr>
                <w:rStyle w:val="15"/>
                <w:rFonts w:hAnsi="宋体"/>
                <w:color w:val="auto"/>
                <w:highlight w:val="none"/>
                <w:lang w:val="en-US" w:eastAsia="zh-CN" w:bidi="ar"/>
              </w:rPr>
              <w:t>层架盘数32，配带盘数32，温度范围20-60</w:t>
            </w:r>
            <w:r>
              <w:rPr>
                <w:rStyle w:val="16"/>
                <w:color w:val="auto"/>
                <w:highlight w:val="none"/>
                <w:lang w:val="en-US" w:eastAsia="zh-CN" w:bidi="ar"/>
              </w:rPr>
              <w:t>℃，湿度范围20-99，层架间距90mm，定时时间0-10小时，额定功率2800W，产品尺寸1000*700*1920mm</w:t>
            </w:r>
            <w:r>
              <w:rPr>
                <w:rFonts w:hint="eastAsia" w:ascii="宋体" w:hAnsi="宋体" w:eastAsia="宋体" w:cs="宋体"/>
                <w:i w:val="0"/>
                <w:iCs w:val="0"/>
                <w:color w:val="auto"/>
                <w:kern w:val="0"/>
                <w:sz w:val="20"/>
                <w:szCs w:val="20"/>
                <w:highlight w:val="none"/>
                <w:u w:val="none"/>
                <w:lang w:val="en-US" w:eastAsia="zh-CN" w:bidi="ar"/>
              </w:rPr>
              <w:t>（允许±20</w:t>
            </w:r>
            <w:r>
              <w:rPr>
                <w:rFonts w:hint="eastAsia" w:ascii="宋体" w:hAnsi="宋体" w:eastAsia="宋体" w:cs="宋体"/>
                <w:i w:val="0"/>
                <w:iCs w:val="0"/>
                <w:color w:val="auto"/>
                <w:sz w:val="20"/>
                <w:szCs w:val="20"/>
                <w:highlight w:val="none"/>
                <w:u w:val="none"/>
              </w:rPr>
              <w:t>mm</w:t>
            </w:r>
            <w:r>
              <w:rPr>
                <w:rFonts w:hint="eastAsia" w:ascii="宋体" w:hAnsi="宋体" w:eastAsia="宋体" w:cs="宋体"/>
                <w:i w:val="0"/>
                <w:iCs w:val="0"/>
                <w:color w:val="auto"/>
                <w:kern w:val="0"/>
                <w:sz w:val="20"/>
                <w:szCs w:val="20"/>
                <w:highlight w:val="none"/>
                <w:u w:val="none"/>
                <w:lang w:val="en-US" w:eastAsia="zh-CN" w:bidi="ar"/>
              </w:rPr>
              <w:t>误差）</w:t>
            </w:r>
            <w:r>
              <w:rPr>
                <w:rStyle w:val="16"/>
                <w:color w:val="auto"/>
                <w:highlight w:val="none"/>
                <w:lang w:val="en-US" w:eastAsia="zh-CN" w:bidi="ar"/>
              </w:rPr>
              <w:t>，自动补水、双重防干烧、热风循环、加厚全钢水箱，按键+旋钮，可视化玻璃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4E94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F6D0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02D8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CDB2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2000 </w:t>
            </w:r>
          </w:p>
        </w:tc>
      </w:tr>
      <w:tr w14:paraId="34DD1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0EF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9469C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压面机</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4BE52C">
            <w:pPr>
              <w:keepNext w:val="0"/>
              <w:keepLines w:val="0"/>
              <w:widowControl/>
              <w:suppressLineNumbers w:val="0"/>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产品尺寸620*650*980</w:t>
            </w:r>
            <w:r>
              <w:rPr>
                <w:rFonts w:hint="eastAsia" w:ascii="宋体" w:hAnsi="宋体" w:eastAsia="宋体" w:cs="宋体"/>
                <w:i w:val="0"/>
                <w:iCs w:val="0"/>
                <w:color w:val="auto"/>
                <w:kern w:val="0"/>
                <w:sz w:val="20"/>
                <w:szCs w:val="20"/>
                <w:highlight w:val="none"/>
                <w:u w:val="none"/>
                <w:lang w:val="en-US" w:eastAsia="zh-CN" w:bidi="ar"/>
              </w:rPr>
              <w:t>（允许±20</w:t>
            </w:r>
            <w:r>
              <w:rPr>
                <w:rFonts w:hint="eastAsia" w:ascii="宋体" w:hAnsi="宋体" w:eastAsia="宋体" w:cs="宋体"/>
                <w:i w:val="0"/>
                <w:iCs w:val="0"/>
                <w:color w:val="auto"/>
                <w:sz w:val="20"/>
                <w:szCs w:val="20"/>
                <w:highlight w:val="none"/>
                <w:u w:val="none"/>
              </w:rPr>
              <w:t>mm</w:t>
            </w:r>
            <w:r>
              <w:rPr>
                <w:rFonts w:hint="eastAsia" w:ascii="宋体" w:hAnsi="宋体" w:eastAsia="宋体" w:cs="宋体"/>
                <w:i w:val="0"/>
                <w:iCs w:val="0"/>
                <w:color w:val="auto"/>
                <w:kern w:val="0"/>
                <w:sz w:val="20"/>
                <w:szCs w:val="20"/>
                <w:highlight w:val="none"/>
                <w:u w:val="none"/>
                <w:lang w:val="en-US" w:eastAsia="zh-CN" w:bidi="ar"/>
              </w:rPr>
              <w:t>误差）</w:t>
            </w:r>
            <w:r>
              <w:rPr>
                <w:rFonts w:hint="eastAsia" w:ascii="仿宋_GB2312" w:hAnsi="宋体" w:eastAsia="仿宋_GB2312" w:cs="仿宋_GB2312"/>
                <w:i w:val="0"/>
                <w:iCs w:val="0"/>
                <w:color w:val="auto"/>
                <w:kern w:val="0"/>
                <w:sz w:val="20"/>
                <w:szCs w:val="20"/>
                <w:highlight w:val="none"/>
                <w:u w:val="none"/>
                <w:lang w:val="en-US" w:eastAsia="zh-CN" w:bidi="ar"/>
              </w:rPr>
              <w:t>，电压380v，功率1.5kw，面棍长度340mm</w:t>
            </w:r>
            <w:r>
              <w:rPr>
                <w:rFonts w:hint="eastAsia" w:ascii="宋体" w:hAnsi="宋体" w:eastAsia="宋体" w:cs="宋体"/>
                <w:i w:val="0"/>
                <w:iCs w:val="0"/>
                <w:color w:val="auto"/>
                <w:kern w:val="0"/>
                <w:sz w:val="20"/>
                <w:szCs w:val="20"/>
                <w:highlight w:val="none"/>
                <w:u w:val="none"/>
                <w:lang w:val="en-US" w:eastAsia="zh-CN" w:bidi="ar"/>
              </w:rPr>
              <w:t>（允许±20</w:t>
            </w:r>
            <w:r>
              <w:rPr>
                <w:rFonts w:hint="eastAsia" w:ascii="宋体" w:hAnsi="宋体" w:eastAsia="宋体" w:cs="宋体"/>
                <w:i w:val="0"/>
                <w:iCs w:val="0"/>
                <w:color w:val="auto"/>
                <w:sz w:val="20"/>
                <w:szCs w:val="20"/>
                <w:highlight w:val="none"/>
                <w:u w:val="none"/>
              </w:rPr>
              <w:t>mm</w:t>
            </w:r>
            <w:r>
              <w:rPr>
                <w:rFonts w:hint="eastAsia" w:ascii="宋体" w:hAnsi="宋体" w:eastAsia="宋体" w:cs="宋体"/>
                <w:i w:val="0"/>
                <w:iCs w:val="0"/>
                <w:color w:val="auto"/>
                <w:kern w:val="0"/>
                <w:sz w:val="20"/>
                <w:szCs w:val="20"/>
                <w:highlight w:val="none"/>
                <w:u w:val="none"/>
                <w:lang w:val="en-US" w:eastAsia="zh-CN" w:bidi="ar"/>
              </w:rPr>
              <w:t>误差）</w:t>
            </w:r>
            <w:r>
              <w:rPr>
                <w:rFonts w:hint="eastAsia" w:ascii="仿宋_GB2312" w:hAnsi="宋体" w:eastAsia="仿宋_GB2312" w:cs="仿宋_GB2312"/>
                <w:i w:val="0"/>
                <w:iCs w:val="0"/>
                <w:color w:val="auto"/>
                <w:kern w:val="0"/>
                <w:sz w:val="20"/>
                <w:szCs w:val="20"/>
                <w:highlight w:val="none"/>
                <w:u w:val="none"/>
                <w:lang w:val="en-US" w:eastAsia="zh-CN" w:bidi="ar"/>
              </w:rPr>
              <w:t>，产能100kg/h，铜芯电机，精钢，适用人数200-250人。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8C98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3D56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AAA4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EF95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3000 </w:t>
            </w:r>
          </w:p>
        </w:tc>
      </w:tr>
      <w:tr w14:paraId="5EDCE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FB3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914A2A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烤箱</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7150AF9">
            <w:pPr>
              <w:keepNext w:val="0"/>
              <w:keepLines w:val="0"/>
              <w:widowControl/>
              <w:suppressLineNumbers w:val="0"/>
              <w:jc w:val="left"/>
              <w:textAlignment w:val="center"/>
              <w:rPr>
                <w:rFonts w:hint="eastAsia" w:ascii="仿宋_GB2312" w:hAnsi="宋体" w:eastAsia="仿宋_GB2312" w:cs="仿宋_GB2312"/>
                <w:i w:val="0"/>
                <w:iCs w:val="0"/>
                <w:color w:val="auto"/>
                <w:sz w:val="20"/>
                <w:szCs w:val="20"/>
                <w:highlight w:val="none"/>
                <w:u w:val="none"/>
              </w:rPr>
            </w:pPr>
            <w:r>
              <w:rPr>
                <w:rStyle w:val="15"/>
                <w:rFonts w:hAnsi="宋体"/>
                <w:color w:val="auto"/>
                <w:highlight w:val="none"/>
                <w:lang w:val="en-US" w:eastAsia="zh-CN" w:bidi="ar"/>
              </w:rPr>
              <w:t>电压380V,4p/63A空开</w:t>
            </w:r>
            <w:r>
              <w:rPr>
                <w:rStyle w:val="15"/>
                <w:rFonts w:hAnsi="宋体"/>
                <w:color w:val="auto"/>
                <w:highlight w:val="none"/>
                <w:lang w:val="en-US" w:eastAsia="zh-CN" w:bidi="ar"/>
              </w:rPr>
              <w:br w:type="textWrapping"/>
            </w:r>
            <w:r>
              <w:rPr>
                <w:rStyle w:val="15"/>
                <w:rFonts w:hAnsi="宋体"/>
                <w:color w:val="auto"/>
                <w:highlight w:val="none"/>
                <w:lang w:val="en-US" w:eastAsia="zh-CN" w:bidi="ar"/>
              </w:rPr>
              <w:t>三层六盘，温度范围50-350</w:t>
            </w:r>
            <w:r>
              <w:rPr>
                <w:rStyle w:val="16"/>
                <w:color w:val="auto"/>
                <w:highlight w:val="none"/>
                <w:lang w:val="en-US" w:eastAsia="zh-CN" w:bidi="ar"/>
              </w:rPr>
              <w:t>℃</w:t>
            </w:r>
            <w:r>
              <w:rPr>
                <w:rStyle w:val="15"/>
                <w:rFonts w:hAnsi="宋体"/>
                <w:color w:val="auto"/>
                <w:highlight w:val="none"/>
                <w:lang w:val="en-US" w:eastAsia="zh-CN" w:bidi="ar"/>
              </w:rPr>
              <w:t>，产品尺寸1220*910*1465mm</w:t>
            </w:r>
            <w:r>
              <w:rPr>
                <w:rFonts w:hint="eastAsia" w:ascii="宋体" w:hAnsi="宋体" w:eastAsia="宋体" w:cs="宋体"/>
                <w:i w:val="0"/>
                <w:iCs w:val="0"/>
                <w:color w:val="auto"/>
                <w:kern w:val="0"/>
                <w:sz w:val="20"/>
                <w:szCs w:val="20"/>
                <w:highlight w:val="none"/>
                <w:u w:val="none"/>
                <w:lang w:val="en-US" w:eastAsia="zh-CN" w:bidi="ar"/>
              </w:rPr>
              <w:t>（允许±20</w:t>
            </w:r>
            <w:r>
              <w:rPr>
                <w:rFonts w:hint="eastAsia" w:ascii="宋体" w:hAnsi="宋体" w:eastAsia="宋体" w:cs="宋体"/>
                <w:i w:val="0"/>
                <w:iCs w:val="0"/>
                <w:color w:val="auto"/>
                <w:sz w:val="20"/>
                <w:szCs w:val="20"/>
                <w:highlight w:val="none"/>
                <w:u w:val="none"/>
              </w:rPr>
              <w:t>mm</w:t>
            </w:r>
            <w:r>
              <w:rPr>
                <w:rFonts w:hint="eastAsia" w:ascii="宋体" w:hAnsi="宋体" w:eastAsia="宋体" w:cs="宋体"/>
                <w:i w:val="0"/>
                <w:iCs w:val="0"/>
                <w:color w:val="auto"/>
                <w:kern w:val="0"/>
                <w:sz w:val="20"/>
                <w:szCs w:val="20"/>
                <w:highlight w:val="none"/>
                <w:u w:val="none"/>
                <w:lang w:val="en-US" w:eastAsia="zh-CN" w:bidi="ar"/>
              </w:rPr>
              <w:t>误差）</w:t>
            </w:r>
            <w:r>
              <w:rPr>
                <w:rStyle w:val="15"/>
                <w:rFonts w:hAnsi="宋体"/>
                <w:color w:val="auto"/>
                <w:highlight w:val="none"/>
                <w:lang w:val="en-US" w:eastAsia="zh-CN" w:bidi="ar"/>
              </w:rPr>
              <w:t>,内胆870*690*200mm</w:t>
            </w:r>
            <w:r>
              <w:rPr>
                <w:rFonts w:hint="eastAsia" w:ascii="宋体" w:hAnsi="宋体" w:eastAsia="宋体" w:cs="宋体"/>
                <w:i w:val="0"/>
                <w:iCs w:val="0"/>
                <w:color w:val="auto"/>
                <w:kern w:val="0"/>
                <w:sz w:val="20"/>
                <w:szCs w:val="20"/>
                <w:highlight w:val="none"/>
                <w:u w:val="none"/>
                <w:lang w:val="en-US" w:eastAsia="zh-CN" w:bidi="ar"/>
              </w:rPr>
              <w:t>（允许±20</w:t>
            </w:r>
            <w:r>
              <w:rPr>
                <w:rFonts w:hint="eastAsia" w:ascii="宋体" w:hAnsi="宋体" w:eastAsia="宋体" w:cs="宋体"/>
                <w:i w:val="0"/>
                <w:iCs w:val="0"/>
                <w:color w:val="auto"/>
                <w:sz w:val="20"/>
                <w:szCs w:val="20"/>
                <w:highlight w:val="none"/>
                <w:u w:val="none"/>
              </w:rPr>
              <w:t>mm</w:t>
            </w:r>
            <w:r>
              <w:rPr>
                <w:rFonts w:hint="eastAsia" w:ascii="宋体" w:hAnsi="宋体" w:eastAsia="宋体" w:cs="宋体"/>
                <w:i w:val="0"/>
                <w:iCs w:val="0"/>
                <w:color w:val="auto"/>
                <w:kern w:val="0"/>
                <w:sz w:val="20"/>
                <w:szCs w:val="20"/>
                <w:highlight w:val="none"/>
                <w:u w:val="none"/>
                <w:lang w:val="en-US" w:eastAsia="zh-CN" w:bidi="ar"/>
              </w:rPr>
              <w:t>误差）</w:t>
            </w:r>
            <w:r>
              <w:rPr>
                <w:rStyle w:val="15"/>
                <w:rFonts w:hAnsi="宋体"/>
                <w:color w:val="auto"/>
                <w:highlight w:val="none"/>
                <w:lang w:val="en-US" w:eastAsia="zh-CN" w:bidi="ar"/>
              </w:rPr>
              <w:t>，烤盘尺寸600*400*50mm</w:t>
            </w:r>
            <w:r>
              <w:rPr>
                <w:rFonts w:hint="eastAsia" w:ascii="宋体" w:hAnsi="宋体" w:eastAsia="宋体" w:cs="宋体"/>
                <w:i w:val="0"/>
                <w:iCs w:val="0"/>
                <w:color w:val="auto"/>
                <w:kern w:val="0"/>
                <w:sz w:val="20"/>
                <w:szCs w:val="20"/>
                <w:highlight w:val="none"/>
                <w:u w:val="none"/>
                <w:lang w:val="en-US" w:eastAsia="zh-CN" w:bidi="ar"/>
              </w:rPr>
              <w:t>（允许±20</w:t>
            </w:r>
            <w:r>
              <w:rPr>
                <w:rFonts w:hint="eastAsia" w:ascii="宋体" w:hAnsi="宋体" w:eastAsia="宋体" w:cs="宋体"/>
                <w:i w:val="0"/>
                <w:iCs w:val="0"/>
                <w:color w:val="auto"/>
                <w:sz w:val="20"/>
                <w:szCs w:val="20"/>
                <w:highlight w:val="none"/>
                <w:u w:val="none"/>
              </w:rPr>
              <w:t>mm</w:t>
            </w:r>
            <w:r>
              <w:rPr>
                <w:rFonts w:hint="eastAsia" w:ascii="宋体" w:hAnsi="宋体" w:eastAsia="宋体" w:cs="宋体"/>
                <w:i w:val="0"/>
                <w:iCs w:val="0"/>
                <w:color w:val="auto"/>
                <w:kern w:val="0"/>
                <w:sz w:val="20"/>
                <w:szCs w:val="20"/>
                <w:highlight w:val="none"/>
                <w:u w:val="none"/>
                <w:lang w:val="en-US" w:eastAsia="zh-CN" w:bidi="ar"/>
              </w:rPr>
              <w:t>误差）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21C9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CF87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5ACC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20500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9643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20500 </w:t>
            </w:r>
          </w:p>
        </w:tc>
      </w:tr>
      <w:tr w14:paraId="42FEA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FFD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C089A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面粉车</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7BE046">
            <w:pPr>
              <w:keepNext w:val="0"/>
              <w:keepLines w:val="0"/>
              <w:widowControl/>
              <w:suppressLineNumbers w:val="0"/>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25KG316不锈钢,外部50*50*60</w:t>
            </w:r>
            <w:r>
              <w:rPr>
                <w:rFonts w:hint="eastAsia" w:ascii="宋体" w:hAnsi="宋体" w:eastAsia="宋体" w:cs="宋体"/>
                <w:i w:val="0"/>
                <w:iCs w:val="0"/>
                <w:color w:val="auto"/>
                <w:kern w:val="0"/>
                <w:sz w:val="20"/>
                <w:szCs w:val="20"/>
                <w:highlight w:val="none"/>
                <w:u w:val="none"/>
                <w:lang w:val="en-US" w:eastAsia="zh-CN" w:bidi="ar"/>
              </w:rPr>
              <w:t>cm（允许±2cm误差）</w:t>
            </w:r>
            <w:r>
              <w:rPr>
                <w:rFonts w:hint="eastAsia" w:ascii="仿宋_GB2312" w:hAnsi="宋体" w:eastAsia="仿宋_GB2312" w:cs="仿宋_GB2312"/>
                <w:i w:val="0"/>
                <w:iCs w:val="0"/>
                <w:color w:val="auto"/>
                <w:kern w:val="0"/>
                <w:sz w:val="20"/>
                <w:szCs w:val="20"/>
                <w:highlight w:val="none"/>
                <w:u w:val="none"/>
                <w:lang w:val="en-US" w:eastAsia="zh-CN" w:bidi="ar"/>
              </w:rPr>
              <w:t>，内部45*45*43</w:t>
            </w:r>
            <w:r>
              <w:rPr>
                <w:rFonts w:hint="eastAsia" w:ascii="宋体" w:hAnsi="宋体" w:eastAsia="宋体" w:cs="宋体"/>
                <w:i w:val="0"/>
                <w:iCs w:val="0"/>
                <w:color w:val="auto"/>
                <w:kern w:val="0"/>
                <w:sz w:val="20"/>
                <w:szCs w:val="20"/>
                <w:highlight w:val="none"/>
                <w:u w:val="none"/>
                <w:lang w:val="en-US" w:eastAsia="zh-CN" w:bidi="ar"/>
              </w:rPr>
              <w:t>cm（允许±2cm误差）</w:t>
            </w:r>
            <w:r>
              <w:rPr>
                <w:rFonts w:hint="eastAsia" w:ascii="仿宋_GB2312" w:hAnsi="宋体" w:eastAsia="仿宋_GB2312" w:cs="仿宋_GB2312"/>
                <w:i w:val="0"/>
                <w:iCs w:val="0"/>
                <w:color w:val="auto"/>
                <w:kern w:val="0"/>
                <w:sz w:val="20"/>
                <w:szCs w:val="20"/>
                <w:highlight w:val="none"/>
                <w:u w:val="none"/>
                <w:lang w:val="en-US" w:eastAsia="zh-CN" w:bidi="ar"/>
              </w:rPr>
              <w:t>，防虫防潮，万向轮，折叠盖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645C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9A6C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C72C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342B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3000 </w:t>
            </w:r>
          </w:p>
        </w:tc>
      </w:tr>
      <w:tr w14:paraId="4EB16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C90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017B73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电饼铛</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5C69991">
            <w:pPr>
              <w:keepNext w:val="0"/>
              <w:keepLines w:val="0"/>
              <w:widowControl/>
              <w:suppressLineNumbers w:val="0"/>
              <w:jc w:val="left"/>
              <w:textAlignment w:val="center"/>
              <w:rPr>
                <w:rFonts w:hint="eastAsia" w:ascii="仿宋_GB2312" w:hAnsi="宋体" w:eastAsia="仿宋_GB2312" w:cs="仿宋_GB2312"/>
                <w:i w:val="0"/>
                <w:iCs w:val="0"/>
                <w:color w:val="auto"/>
                <w:sz w:val="20"/>
                <w:szCs w:val="20"/>
                <w:highlight w:val="none"/>
                <w:u w:val="none"/>
              </w:rPr>
            </w:pPr>
            <w:r>
              <w:rPr>
                <w:rStyle w:val="15"/>
                <w:rFonts w:hAnsi="宋体"/>
                <w:color w:val="auto"/>
                <w:highlight w:val="none"/>
                <w:lang w:val="en-US" w:eastAsia="zh-CN" w:bidi="ar"/>
              </w:rPr>
              <w:t>立式摆放，锅盘直径内径54cm，锅深3cm,额定功率5000W，额定电压220v/380v，温度范围0-300</w:t>
            </w:r>
            <w:r>
              <w:rPr>
                <w:rStyle w:val="16"/>
                <w:color w:val="auto"/>
                <w:highlight w:val="none"/>
                <w:lang w:val="en-US" w:eastAsia="zh-CN" w:bidi="ar"/>
              </w:rPr>
              <w:t>℃</w:t>
            </w:r>
            <w:r>
              <w:rPr>
                <w:rStyle w:val="15"/>
                <w:rFonts w:hAnsi="宋体"/>
                <w:color w:val="auto"/>
                <w:highlight w:val="none"/>
                <w:lang w:val="en-US" w:eastAsia="zh-CN" w:bidi="ar"/>
              </w:rPr>
              <w:t>，加热盘：第三代铸管盘，锅体材质铝合金，外形尺寸62*75*88cm</w:t>
            </w:r>
            <w:r>
              <w:rPr>
                <w:rFonts w:hint="eastAsia" w:ascii="宋体" w:hAnsi="宋体" w:eastAsia="宋体" w:cs="宋体"/>
                <w:i w:val="0"/>
                <w:iCs w:val="0"/>
                <w:color w:val="auto"/>
                <w:kern w:val="0"/>
                <w:sz w:val="20"/>
                <w:szCs w:val="20"/>
                <w:highlight w:val="none"/>
                <w:u w:val="none"/>
                <w:lang w:val="en-US" w:eastAsia="zh-CN" w:bidi="ar"/>
              </w:rPr>
              <w:t>（允许±2cm误差）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2DC5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C9C8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3506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A929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2800 </w:t>
            </w:r>
          </w:p>
        </w:tc>
      </w:tr>
      <w:tr w14:paraId="07E95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4B2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129</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1670301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单星盆水池</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3D99AF0C">
            <w:pPr>
              <w:keepNext w:val="0"/>
              <w:keepLines w:val="0"/>
              <w:widowControl/>
              <w:suppressLineNumbers w:val="0"/>
              <w:jc w:val="left"/>
              <w:textAlignment w:val="center"/>
              <w:rPr>
                <w:rFonts w:hint="eastAsia" w:ascii="仿宋_GB2312" w:hAnsi="宋体"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（允许±20</w:t>
            </w:r>
            <w:r>
              <w:rPr>
                <w:rFonts w:hint="eastAsia" w:ascii="宋体" w:hAnsi="宋体" w:eastAsia="宋体" w:cs="宋体"/>
                <w:i w:val="0"/>
                <w:iCs w:val="0"/>
                <w:color w:val="auto"/>
                <w:sz w:val="20"/>
                <w:szCs w:val="20"/>
                <w:highlight w:val="none"/>
                <w:u w:val="none"/>
              </w:rPr>
              <w:t>mm</w:t>
            </w:r>
            <w:r>
              <w:rPr>
                <w:rFonts w:hint="eastAsia" w:ascii="宋体" w:hAnsi="宋体" w:eastAsia="宋体" w:cs="宋体"/>
                <w:i w:val="0"/>
                <w:iCs w:val="0"/>
                <w:color w:val="auto"/>
                <w:kern w:val="0"/>
                <w:sz w:val="20"/>
                <w:szCs w:val="20"/>
                <w:highlight w:val="none"/>
                <w:u w:val="none"/>
                <w:lang w:val="en-US" w:eastAsia="zh-CN" w:bidi="ar"/>
              </w:rPr>
              <w:t>误差）</w:t>
            </w:r>
            <w:r>
              <w:rPr>
                <w:rFonts w:hint="eastAsia" w:ascii="仿宋_GB2312" w:hAnsi="宋体" w:eastAsia="仿宋_GB2312" w:cs="仿宋_GB2312"/>
                <w:i w:val="0"/>
                <w:iCs w:val="0"/>
                <w:color w:val="auto"/>
                <w:kern w:val="0"/>
                <w:sz w:val="20"/>
                <w:szCs w:val="20"/>
                <w:highlight w:val="none"/>
                <w:u w:val="none"/>
                <w:lang w:val="en-US" w:eastAsia="zh-CN" w:bidi="ar"/>
              </w:rPr>
              <w:t>1000*700*800</w:t>
            </w:r>
            <w:r>
              <w:rPr>
                <w:rFonts w:hint="eastAsia" w:ascii="宋体" w:hAnsi="宋体" w:eastAsia="宋体" w:cs="宋体"/>
                <w:i w:val="0"/>
                <w:iCs w:val="0"/>
                <w:color w:val="auto"/>
                <w:sz w:val="20"/>
                <w:szCs w:val="20"/>
                <w:highlight w:val="none"/>
                <w:u w:val="none"/>
              </w:rPr>
              <w:t>mm</w:t>
            </w:r>
            <w:r>
              <w:rPr>
                <w:rFonts w:hint="eastAsia" w:ascii="仿宋_GB2312" w:hAnsi="宋体" w:eastAsia="仿宋_GB2312" w:cs="仿宋_GB2312"/>
                <w:i w:val="0"/>
                <w:iCs w:val="0"/>
                <w:color w:val="auto"/>
                <w:kern w:val="0"/>
                <w:sz w:val="20"/>
                <w:szCs w:val="20"/>
                <w:highlight w:val="none"/>
                <w:u w:val="none"/>
                <w:lang w:val="en-US" w:eastAsia="zh-CN" w:bidi="ar"/>
              </w:rPr>
              <w:br w:type="textWrapping"/>
            </w:r>
            <w:r>
              <w:rPr>
                <w:rFonts w:hint="eastAsia" w:ascii="仿宋_GB2312" w:hAnsi="宋体" w:eastAsia="仿宋_GB2312" w:cs="仿宋_GB2312"/>
                <w:i w:val="0"/>
                <w:iCs w:val="0"/>
                <w:color w:val="auto"/>
                <w:kern w:val="0"/>
                <w:sz w:val="20"/>
                <w:szCs w:val="20"/>
                <w:highlight w:val="none"/>
                <w:u w:val="none"/>
                <w:lang w:val="en-US" w:eastAsia="zh-CN" w:bidi="ar"/>
              </w:rPr>
              <w:t>+150</w:t>
            </w:r>
            <w:r>
              <w:rPr>
                <w:rFonts w:hint="eastAsia" w:ascii="宋体" w:hAnsi="宋体" w:eastAsia="宋体" w:cs="宋体"/>
                <w:i w:val="0"/>
                <w:iCs w:val="0"/>
                <w:color w:val="auto"/>
                <w:sz w:val="20"/>
                <w:szCs w:val="20"/>
                <w:highlight w:val="none"/>
                <w:u w:val="none"/>
              </w:rPr>
              <w:t>mm</w:t>
            </w:r>
            <w:r>
              <w:rPr>
                <w:rFonts w:hint="eastAsia" w:ascii="仿宋_GB2312" w:hAnsi="宋体" w:eastAsia="仿宋_GB2312" w:cs="仿宋_GB2312"/>
                <w:i w:val="0"/>
                <w:iCs w:val="0"/>
                <w:color w:val="auto"/>
                <w:kern w:val="0"/>
                <w:sz w:val="20"/>
                <w:szCs w:val="20"/>
                <w:highlight w:val="none"/>
                <w:u w:val="none"/>
                <w:lang w:val="en-US" w:eastAsia="zh-CN" w:bidi="ar"/>
              </w:rPr>
              <w:t>，不锈钢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561F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629F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9D58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84AA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600 </w:t>
            </w:r>
          </w:p>
        </w:tc>
      </w:tr>
      <w:tr w14:paraId="0064A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69A0A">
            <w:pPr>
              <w:keepNext w:val="0"/>
              <w:keepLines w:val="0"/>
              <w:widowControl/>
              <w:suppressLineNumbers w:val="0"/>
              <w:jc w:val="center"/>
              <w:textAlignment w:val="center"/>
              <w:rPr>
                <w:rFonts w:hint="eastAsia" w:ascii="宋体" w:hAnsi="宋体" w:eastAsia="宋体" w:cs="宋体"/>
                <w:i w:val="0"/>
                <w:iCs w:val="0"/>
                <w:color w:val="000000"/>
                <w:sz w:val="20"/>
                <w:szCs w:val="20"/>
                <w:highlight w:val="yellow"/>
                <w:u w:val="none"/>
              </w:rPr>
            </w:pPr>
            <w:r>
              <w:rPr>
                <w:rFonts w:hint="eastAsia" w:ascii="宋体" w:hAnsi="宋体" w:eastAsia="宋体" w:cs="宋体"/>
                <w:i w:val="0"/>
                <w:iCs w:val="0"/>
                <w:color w:val="000000"/>
                <w:kern w:val="0"/>
                <w:sz w:val="20"/>
                <w:szCs w:val="20"/>
                <w:highlight w:val="none"/>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E338D1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双门侧边推车款高温消毒柜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4EB5D0">
            <w:pPr>
              <w:keepNext w:val="0"/>
              <w:keepLines w:val="0"/>
              <w:widowControl/>
              <w:numPr>
                <w:ilvl w:val="0"/>
                <w:numId w:val="9"/>
              </w:numPr>
              <w:suppressLineNumbers w:val="0"/>
              <w:jc w:val="left"/>
              <w:textAlignment w:val="center"/>
              <w:rPr>
                <w:rFonts w:hint="eastAsia" w:ascii="宋体" w:hAnsi="宋体" w:eastAsia="宋体" w:cs="宋体"/>
                <w:i w:val="0"/>
                <w:iCs w:val="0"/>
                <w:color w:val="auto"/>
                <w:sz w:val="20"/>
                <w:szCs w:val="20"/>
                <w:highlight w:val="none"/>
                <w:u w:val="none"/>
                <w:lang w:eastAsia="zh-CN"/>
              </w:rPr>
            </w:pPr>
            <w:r>
              <w:rPr>
                <w:rFonts w:hint="eastAsia" w:ascii="宋体" w:hAnsi="宋体" w:eastAsia="宋体" w:cs="宋体"/>
                <w:i w:val="0"/>
                <w:iCs w:val="0"/>
                <w:color w:val="auto"/>
                <w:sz w:val="20"/>
                <w:szCs w:val="20"/>
                <w:highlight w:val="none"/>
                <w:u w:val="none"/>
              </w:rPr>
              <w:t>外形尺寸≧1900×880×1775mm，二星级消毒</w:t>
            </w:r>
            <w:r>
              <w:rPr>
                <w:rFonts w:hint="eastAsia" w:ascii="宋体" w:hAnsi="宋体" w:eastAsia="宋体" w:cs="宋体"/>
                <w:i w:val="0"/>
                <w:iCs w:val="0"/>
                <w:color w:val="auto"/>
                <w:sz w:val="20"/>
                <w:szCs w:val="20"/>
                <w:highlight w:val="none"/>
                <w:u w:val="none"/>
                <w:lang w:eastAsia="zh-CN"/>
              </w:rPr>
              <w:t>。</w:t>
            </w:r>
          </w:p>
          <w:p w14:paraId="5CCB88F8">
            <w:pPr>
              <w:keepNext w:val="0"/>
              <w:keepLines w:val="0"/>
              <w:widowControl/>
              <w:numPr>
                <w:ilvl w:val="0"/>
                <w:numId w:val="9"/>
              </w:numPr>
              <w:suppressLineNumbers w:val="0"/>
              <w:ind w:left="0" w:leftChars="0" w:firstLine="0" w:firstLineChars="0"/>
              <w:jc w:val="left"/>
              <w:textAlignment w:val="center"/>
              <w:rPr>
                <w:rFonts w:hint="eastAsia" w:ascii="宋体" w:hAnsi="宋体" w:eastAsia="宋体" w:cs="宋体"/>
                <w:i w:val="0"/>
                <w:iCs w:val="0"/>
                <w:color w:val="auto"/>
                <w:sz w:val="20"/>
                <w:szCs w:val="20"/>
                <w:highlight w:val="none"/>
                <w:u w:val="none"/>
                <w:lang w:eastAsia="zh-CN"/>
              </w:rPr>
            </w:pPr>
            <w:r>
              <w:rPr>
                <w:rFonts w:hint="eastAsia" w:ascii="宋体" w:hAnsi="宋体" w:eastAsia="宋体" w:cs="宋体"/>
                <w:i w:val="0"/>
                <w:iCs w:val="0"/>
                <w:color w:val="auto"/>
                <w:sz w:val="20"/>
                <w:szCs w:val="20"/>
                <w:highlight w:val="none"/>
                <w:u w:val="none"/>
              </w:rPr>
              <w:t>执行GB17988‑2008标准，AC380V 50Hz，功率≥4.0KW，高温热风循环消毒，消毒温度120‑125℃，恒温不少于15分钟</w:t>
            </w:r>
            <w:r>
              <w:rPr>
                <w:rFonts w:hint="eastAsia" w:ascii="宋体" w:hAnsi="宋体" w:eastAsia="宋体" w:cs="宋体"/>
                <w:i w:val="0"/>
                <w:iCs w:val="0"/>
                <w:color w:val="auto"/>
                <w:sz w:val="20"/>
                <w:szCs w:val="20"/>
                <w:highlight w:val="none"/>
                <w:u w:val="none"/>
                <w:lang w:eastAsia="zh-CN"/>
              </w:rPr>
              <w:t>。</w:t>
            </w:r>
          </w:p>
          <w:p w14:paraId="5203833B">
            <w:pPr>
              <w:keepNext w:val="0"/>
              <w:keepLines w:val="0"/>
              <w:widowControl/>
              <w:numPr>
                <w:ilvl w:val="0"/>
                <w:numId w:val="9"/>
              </w:numPr>
              <w:suppressLineNumbers w:val="0"/>
              <w:ind w:left="0" w:lef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内胆304食品级不锈钢，配套2台侧边推入式不锈钢转运推车</w:t>
            </w:r>
            <w:r>
              <w:rPr>
                <w:rFonts w:hint="eastAsia" w:ascii="宋体" w:hAnsi="宋体" w:eastAsia="宋体" w:cs="宋体"/>
                <w:i w:val="0"/>
                <w:iCs w:val="0"/>
                <w:color w:val="auto"/>
                <w:sz w:val="20"/>
                <w:szCs w:val="20"/>
                <w:highlight w:val="none"/>
                <w:u w:val="none"/>
                <w:lang w:eastAsia="zh-CN"/>
              </w:rPr>
              <w:t>。</w:t>
            </w:r>
          </w:p>
          <w:p w14:paraId="6EC07705">
            <w:pPr>
              <w:keepNext w:val="0"/>
              <w:keepLines w:val="0"/>
              <w:widowControl/>
              <w:numPr>
                <w:ilvl w:val="0"/>
                <w:numId w:val="9"/>
              </w:numPr>
              <w:suppressLineNumbers w:val="0"/>
              <w:ind w:left="0" w:leftChars="0"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数显定时控温，具备超温、开门断电、漏电多重安全保护，提供合格证及第三方检测报告。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0B81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65AE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292D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C4C5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30000 </w:t>
            </w:r>
          </w:p>
        </w:tc>
      </w:tr>
      <w:tr w14:paraId="1246E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F2C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66938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电热水器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311763">
            <w:pPr>
              <w:keepNext w:val="0"/>
              <w:keepLines w:val="0"/>
              <w:widowControl/>
              <w:suppressLineNumbers w:val="0"/>
              <w:jc w:val="left"/>
              <w:textAlignment w:val="center"/>
              <w:rPr>
                <w:rFonts w:hint="eastAsia" w:ascii="仿宋_GB2312" w:hAnsi="宋体" w:eastAsia="仿宋_GB2312" w:cs="仿宋_GB2312"/>
                <w:i w:val="0"/>
                <w:iCs w:val="0"/>
                <w:color w:val="auto"/>
                <w:sz w:val="20"/>
                <w:szCs w:val="20"/>
                <w:u w:val="none"/>
              </w:rPr>
            </w:pPr>
            <w:r>
              <w:rPr>
                <w:rFonts w:hint="eastAsia" w:ascii="仿宋_GB2312" w:hAnsi="宋体" w:eastAsia="仿宋_GB2312" w:cs="仿宋_GB2312"/>
                <w:i w:val="0"/>
                <w:iCs w:val="0"/>
                <w:color w:val="auto"/>
                <w:kern w:val="0"/>
                <w:sz w:val="20"/>
                <w:szCs w:val="20"/>
                <w:u w:val="none"/>
                <w:lang w:val="en-US" w:eastAsia="zh-CN" w:bidi="ar"/>
              </w:rPr>
              <w:t>加热功率3200W，双管加热，电压220V/50Hz,防水等级IPX4，圆筒形60L-79L，变频加热，防电墙，内胆免清洗，触控式，一级能效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1ABC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5A89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24C0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81A7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2400 </w:t>
            </w:r>
          </w:p>
        </w:tc>
      </w:tr>
      <w:tr w14:paraId="1500E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D575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132</w:t>
            </w:r>
          </w:p>
        </w:tc>
        <w:tc>
          <w:tcPr>
            <w:tcW w:w="0" w:type="auto"/>
            <w:tcBorders>
              <w:top w:val="single" w:color="000000" w:sz="4" w:space="0"/>
              <w:left w:val="nil"/>
              <w:bottom w:val="nil"/>
              <w:right w:val="single" w:color="000000" w:sz="4" w:space="0"/>
            </w:tcBorders>
            <w:shd w:val="clear" w:color="auto" w:fill="auto"/>
            <w:vAlign w:val="center"/>
          </w:tcPr>
          <w:p w14:paraId="4D0285B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幼儿绘本</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84A8752">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本次采购绘本涵盖</w:t>
            </w:r>
            <w:r>
              <w:rPr>
                <w:rFonts w:hint="eastAsia" w:ascii="宋体" w:hAnsi="宋体" w:eastAsia="宋体" w:cs="宋体"/>
                <w:i w:val="0"/>
                <w:iCs w:val="0"/>
                <w:color w:val="auto"/>
                <w:sz w:val="20"/>
                <w:szCs w:val="20"/>
                <w:highlight w:val="none"/>
                <w:u w:val="none"/>
                <w:lang w:eastAsia="zh-CN"/>
              </w:rPr>
              <w:t>八</w:t>
            </w:r>
            <w:r>
              <w:rPr>
                <w:rFonts w:hint="eastAsia" w:ascii="宋体" w:hAnsi="宋体" w:eastAsia="宋体" w:cs="宋体"/>
                <w:i w:val="0"/>
                <w:iCs w:val="0"/>
                <w:color w:val="auto"/>
                <w:sz w:val="20"/>
                <w:szCs w:val="20"/>
                <w:highlight w:val="none"/>
                <w:u w:val="none"/>
              </w:rPr>
              <w:t>大通用品类，所有参选书籍需适配幼儿园教学场景，贴合幼儿成长特点，具体品类及通用标准如下，供应商可在对应品类内提供合规等效书籍：</w:t>
            </w:r>
          </w:p>
          <w:p w14:paraId="6EC16A14">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auto"/>
                <w:sz w:val="20"/>
                <w:szCs w:val="20"/>
                <w:highlight w:val="none"/>
                <w:u w:val="none"/>
                <w:lang w:eastAsia="zh-CN"/>
              </w:rPr>
            </w:pPr>
            <w:r>
              <w:rPr>
                <w:rFonts w:hint="eastAsia" w:ascii="宋体" w:hAnsi="宋体" w:eastAsia="宋体" w:cs="宋体"/>
                <w:i w:val="0"/>
                <w:iCs w:val="0"/>
                <w:color w:val="auto"/>
                <w:sz w:val="20"/>
                <w:szCs w:val="20"/>
                <w:highlight w:val="none"/>
                <w:u w:val="none"/>
                <w:lang w:eastAsia="zh-CN"/>
              </w:rPr>
              <w:t>一、采购绘本品类</w:t>
            </w:r>
          </w:p>
          <w:p w14:paraId="27FF5087">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lang w:val="en-US" w:eastAsia="zh-CN"/>
              </w:rPr>
              <w:t>1.传统文化类：含中国传统节日、神话故事、民间传说、国学启蒙等内容，如春节、端午、中秋相关绘本，《猴子捞月》《精卫填海》等经典故事绘本。</w:t>
            </w:r>
          </w:p>
          <w:p w14:paraId="0043E435">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lang w:val="en-US" w:eastAsia="zh-CN"/>
              </w:rPr>
              <w:t>2.科普知识类：涵盖自然科学、动植物认知、生活常识、科学启蒙等内容，如植物生长、海洋生物、昆虫奥秘、人体结构等相关绘本。</w:t>
            </w:r>
          </w:p>
          <w:p w14:paraId="74F3F2D7">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lang w:val="en-US" w:eastAsia="zh-CN"/>
              </w:rPr>
              <w:t>3.情绪管理与性格培养类：聚焦幼儿情绪疏导、性格塑造、社交能力培养等，如克服恐惧、学会分享、懂得感恩、应对挫折等主题绘本。</w:t>
            </w:r>
          </w:p>
          <w:p w14:paraId="0493DA48">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lang w:val="en-US" w:eastAsia="zh-CN"/>
              </w:rPr>
              <w:t>4.习惯养成类：围绕幼儿生活习惯、行为规范培养，如卫生习惯、饮食习惯、作息习惯、文明礼仪等相关绘本。</w:t>
            </w:r>
          </w:p>
          <w:p w14:paraId="6CADB26E">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lang w:val="en-US" w:eastAsia="zh-CN"/>
              </w:rPr>
              <w:t>5.童话故事类：包含中外经典童话、原创儿童故事等，如《小红帽》《拇指姑娘》等经典童话，以及贴合幼儿生活的原创故事绘本。</w:t>
            </w:r>
          </w:p>
          <w:p w14:paraId="7D6EBB89">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lang w:val="en-US" w:eastAsia="zh-CN"/>
              </w:rPr>
              <w:t>6.安全认知类：涵盖人身安全、交通安全、防拐骗、自我保护等内容，如不跟陌生人走、不触碰危险物品、安全过马路等主题绘本。</w:t>
            </w:r>
          </w:p>
          <w:p w14:paraId="11BC01BB">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lang w:val="en-US" w:eastAsia="zh-CN"/>
              </w:rPr>
              <w:t>8.红色教育类：</w:t>
            </w:r>
            <w:r>
              <w:rPr>
                <w:rFonts w:hint="eastAsia" w:ascii="宋体" w:hAnsi="宋体" w:eastAsia="宋体" w:cs="宋体"/>
                <w:i w:val="0"/>
                <w:iCs w:val="0"/>
                <w:color w:val="auto"/>
                <w:sz w:val="20"/>
                <w:szCs w:val="20"/>
                <w:highlight w:val="none"/>
                <w:u w:val="none"/>
              </w:rPr>
              <w:t>包含红色故事、时代楷模、科学家事迹、爱国歌曲绘本、民族精神教育等内容，潜移默化培养幼儿爱国情怀、感恩之心与奋斗精神，所有合规幼儿爱国主义、红色启蒙绘本均可参与供货。</w:t>
            </w:r>
          </w:p>
          <w:p w14:paraId="410B7932">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lang w:eastAsia="zh-CN"/>
              </w:rPr>
              <w:t>二</w:t>
            </w:r>
            <w:r>
              <w:rPr>
                <w:rFonts w:hint="eastAsia" w:ascii="宋体" w:hAnsi="宋体" w:eastAsia="宋体" w:cs="宋体"/>
                <w:i w:val="0"/>
                <w:iCs w:val="0"/>
                <w:color w:val="auto"/>
                <w:sz w:val="20"/>
                <w:szCs w:val="20"/>
                <w:highlight w:val="none"/>
                <w:u w:val="none"/>
              </w:rPr>
              <w:t>、</w:t>
            </w:r>
            <w:r>
              <w:rPr>
                <w:rFonts w:hint="eastAsia" w:ascii="宋体" w:hAnsi="宋体" w:eastAsia="宋体" w:cs="宋体"/>
                <w:i w:val="0"/>
                <w:iCs w:val="0"/>
                <w:color w:val="auto"/>
                <w:sz w:val="20"/>
                <w:szCs w:val="20"/>
                <w:highlight w:val="none"/>
                <w:u w:val="none"/>
                <w:lang w:eastAsia="zh-CN"/>
              </w:rPr>
              <w:t>采购绘本</w:t>
            </w:r>
            <w:r>
              <w:rPr>
                <w:rFonts w:hint="eastAsia" w:ascii="宋体" w:hAnsi="宋体" w:eastAsia="宋体" w:cs="宋体"/>
                <w:i w:val="0"/>
                <w:iCs w:val="0"/>
                <w:color w:val="auto"/>
                <w:sz w:val="20"/>
                <w:szCs w:val="20"/>
                <w:highlight w:val="none"/>
                <w:u w:val="none"/>
              </w:rPr>
              <w:t>质量标准</w:t>
            </w:r>
          </w:p>
          <w:p w14:paraId="18010081">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1. 合规性标准：所有绘本为正规出版、公开发行的合法出版物，具备图书出版资质、ISBN书号，无盗版、无删减、无违规内容，符合国家出版物出版规范。</w:t>
            </w:r>
          </w:p>
          <w:p w14:paraId="5B298F75">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2. 适龄安全标准：适配3-6岁幼儿阅读，内容积极健康、三观正向，无暴力、低俗、恐怖、不良导向内容；纸张厚实、边缘圆角打磨、无毛刺、无刺鼻异味，油墨环保无毒，符合幼儿读物安全标准。</w:t>
            </w:r>
          </w:p>
          <w:p w14:paraId="51F8FF43">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3. 装帧品质标准：平装、精装均可，书页平整、印刷清晰、色彩均匀，无模糊、重影、漏印、脱页、破损问题，装订牢固，适合幼儿反复翻阅使用。</w:t>
            </w:r>
          </w:p>
          <w:p w14:paraId="467CD810">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4. 内容适配标准：文字简洁易懂、配图精美、故事完整，贴合幼儿园教学大纲及幼儿认知规律，具备对应的教育启蒙价值，可满足幼儿园日常阅读、课堂教学、区域活动使用需求。</w:t>
            </w:r>
          </w:p>
          <w:p w14:paraId="780313C1">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lang w:eastAsia="zh-CN"/>
              </w:rPr>
              <w:t>三、其他要求：</w:t>
            </w:r>
            <w:r>
              <w:rPr>
                <w:rFonts w:hint="eastAsia" w:ascii="宋体" w:hAnsi="宋体" w:cs="宋体"/>
                <w:i w:val="0"/>
                <w:iCs w:val="0"/>
                <w:color w:val="auto"/>
                <w:sz w:val="20"/>
                <w:szCs w:val="20"/>
                <w:highlight w:val="none"/>
                <w:u w:val="none"/>
                <w:lang w:eastAsia="zh-CN"/>
              </w:rPr>
              <w:t>成交</w:t>
            </w:r>
            <w:r>
              <w:rPr>
                <w:rFonts w:hint="eastAsia" w:ascii="宋体" w:hAnsi="宋体" w:eastAsia="宋体" w:cs="宋体"/>
                <w:i w:val="0"/>
                <w:iCs w:val="0"/>
                <w:color w:val="auto"/>
                <w:sz w:val="20"/>
                <w:szCs w:val="20"/>
                <w:highlight w:val="none"/>
                <w:u w:val="none"/>
              </w:rPr>
              <w:t>后，供应商须提交拟供货书目清单给幼儿园审核确认，采购人有权对不适合书目进行合理调换，总册数不变。</w:t>
            </w:r>
          </w:p>
          <w:p w14:paraId="096E86A9">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single" w:color="000000" w:sz="4" w:space="0"/>
              <w:bottom w:val="nil"/>
              <w:right w:val="nil"/>
            </w:tcBorders>
            <w:shd w:val="clear" w:color="auto" w:fill="auto"/>
            <w:noWrap/>
            <w:vAlign w:val="center"/>
          </w:tcPr>
          <w:p w14:paraId="4376C6E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2830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69D13D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册</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4D592E7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20 </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5A5D8B5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56600 </w:t>
            </w:r>
          </w:p>
        </w:tc>
      </w:tr>
      <w:tr w14:paraId="185C6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A01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7892B41B">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1DC92A30">
            <w:pPr>
              <w:keepNext w:val="0"/>
              <w:keepLines w:val="0"/>
              <w:widowControl/>
              <w:suppressLineNumbers w:val="0"/>
              <w:jc w:val="center"/>
              <w:textAlignment w:val="center"/>
              <w:rPr>
                <w:rFonts w:hint="eastAsia" w:ascii="宋体" w:hAnsi="宋体" w:eastAsia="宋体" w:cs="宋体"/>
                <w:b/>
                <w:bCs/>
                <w:i w:val="0"/>
                <w:iCs w:val="0"/>
                <w:color w:val="FF0000"/>
                <w:kern w:val="2"/>
                <w:sz w:val="20"/>
                <w:szCs w:val="20"/>
                <w:u w:val="none"/>
                <w:lang w:val="en-US" w:eastAsia="zh-CN" w:bidi="ar-SA"/>
              </w:rPr>
            </w:pPr>
            <w:r>
              <w:rPr>
                <w:rFonts w:hint="eastAsia" w:ascii="宋体" w:hAnsi="宋体" w:eastAsia="宋体" w:cs="宋体"/>
                <w:b/>
                <w:bCs/>
                <w:i w:val="0"/>
                <w:iCs w:val="0"/>
                <w:color w:val="FF0000"/>
                <w:kern w:val="0"/>
                <w:sz w:val="20"/>
                <w:szCs w:val="20"/>
                <w:u w:val="none"/>
                <w:lang w:val="en-US" w:eastAsia="zh-CN" w:bidi="ar"/>
              </w:rPr>
              <w:t>大丰中心幼儿园</w:t>
            </w: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62994567">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3A15F577">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08FACBFF">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3864F8A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80000 </w:t>
            </w:r>
          </w:p>
        </w:tc>
      </w:tr>
      <w:tr w14:paraId="27ABE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B15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0" w:type="auto"/>
            <w:tcBorders>
              <w:top w:val="nil"/>
              <w:left w:val="nil"/>
              <w:bottom w:val="single" w:color="000000" w:sz="4" w:space="0"/>
              <w:right w:val="single" w:color="000000" w:sz="4" w:space="0"/>
            </w:tcBorders>
            <w:shd w:val="clear" w:color="auto" w:fill="auto"/>
            <w:vAlign w:val="center"/>
          </w:tcPr>
          <w:p w14:paraId="66A5F3E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教学一体机</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7578520A">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一、整体设计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1、整机采用一体设计，外部无任何可见内部功能模块连接线。</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2、整机采用全金属外壳设计，边角采用弧形设计，表面无尖锐边缘或凸起；整机屏幕边缘采用金属圆角包边防护，整机背板采用金属材质。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3、整机屏幕采用65英寸液晶显示器。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4、整机采用LED液晶A规屏，显示比例16:9。</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w:t>
            </w:r>
            <w:r>
              <w:rPr>
                <w:color w:val="auto"/>
                <w:sz w:val="20"/>
                <w:szCs w:val="20"/>
                <w:highlight w:val="none"/>
              </w:rPr>
              <w:t>整机硬件性能与接口</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w:t>
            </w:r>
            <w:r>
              <w:rPr>
                <w:rStyle w:val="12"/>
                <w:color w:val="auto"/>
                <w:sz w:val="20"/>
                <w:szCs w:val="20"/>
                <w:highlight w:val="none"/>
              </w:rPr>
              <w:t>双系统配置</w:t>
            </w:r>
            <w:r>
              <w:rPr>
                <w:color w:val="auto"/>
                <w:sz w:val="20"/>
                <w:szCs w:val="20"/>
                <w:highlight w:val="none"/>
              </w:rPr>
              <w:t xml:space="preserve"> </w:t>
            </w:r>
            <w:r>
              <w:rPr>
                <w:rFonts w:hint="eastAsia"/>
                <w:color w:val="auto"/>
                <w:sz w:val="20"/>
                <w:szCs w:val="20"/>
                <w:highlight w:val="none"/>
              </w:rPr>
              <w:t>整机搭载 电脑模块 + 嵌入式系统，系统版本不低于 当前最新版本；系统内存 RAM≥4G，存储 ROM≥32G；安卓端可独立实现白板书写、文档编辑、网页浏览等基础教学功能。（相关性能指标可提供厂商彩页、功能截图、第三方检测报告任意一种佐证，设备到货验收时提供完整 CMA/CNAS 检测报告备查）</w:t>
            </w:r>
            <w:r>
              <w:rPr>
                <w:rFonts w:hint="eastAsia"/>
                <w:color w:val="auto"/>
                <w:sz w:val="20"/>
                <w:szCs w:val="20"/>
                <w:highlight w:val="none"/>
                <w:lang w:eastAsia="zh-CN"/>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color w:val="auto"/>
                <w:sz w:val="20"/>
                <w:szCs w:val="20"/>
                <w:highlight w:val="none"/>
                <w:lang w:val="en-US" w:eastAsia="zh-CN"/>
              </w:rPr>
              <w:t>2、</w:t>
            </w:r>
            <w:r>
              <w:rPr>
                <w:color w:val="auto"/>
                <w:sz w:val="20"/>
                <w:szCs w:val="20"/>
                <w:highlight w:val="none"/>
              </w:rPr>
              <w:t>整机配备前置外接接口，支持双系统共用读取 U 盘等存储设备；整机配备全功能 Type-C、HDMI、USB3.0 输入接口，侧置预留 HDMI、RS232、USB、音频输出、触控 USB 等拓展接口；整机外设拓展能力满足日常教学设备接驳需求，可通过拓展坞实现同等外接能力。前置接口配有防尘防护盖板，保护接口与外接 U 盘。</w:t>
            </w:r>
          </w:p>
          <w:p w14:paraId="776FA64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jc w:val="both"/>
              <w:rPr>
                <w:color w:val="auto"/>
                <w:sz w:val="20"/>
                <w:szCs w:val="20"/>
                <w:highlight w:val="none"/>
              </w:rPr>
            </w:pPr>
            <w:r>
              <w:rPr>
                <w:rFonts w:hint="eastAsia"/>
                <w:color w:val="auto"/>
                <w:sz w:val="20"/>
                <w:szCs w:val="20"/>
                <w:highlight w:val="none"/>
                <w:lang w:val="en-US" w:eastAsia="zh-CN"/>
              </w:rPr>
              <w:t>3、</w:t>
            </w:r>
            <w:r>
              <w:rPr>
                <w:color w:val="auto"/>
                <w:sz w:val="20"/>
                <w:szCs w:val="20"/>
                <w:highlight w:val="none"/>
              </w:rPr>
              <w:t>整机内置高品质扬声器，整机额定总输出功率≥60W，发声均匀，无杂音、破音，满足教室扩声需求。</w:t>
            </w:r>
          </w:p>
          <w:p w14:paraId="4A3B0B27">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4、</w:t>
            </w:r>
            <w:r>
              <w:rPr>
                <w:color w:val="auto"/>
                <w:sz w:val="20"/>
                <w:szCs w:val="20"/>
                <w:highlight w:val="none"/>
              </w:rPr>
              <w:t>红外触控技术，最小识别触控物体≤3mm；整机支持双系统多点触控，触控流畅无断触。</w:t>
            </w:r>
          </w:p>
          <w:p w14:paraId="59476D04">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5、</w:t>
            </w:r>
            <w:r>
              <w:rPr>
                <w:color w:val="auto"/>
                <w:sz w:val="20"/>
                <w:szCs w:val="20"/>
                <w:highlight w:val="none"/>
              </w:rPr>
              <w:t>整机内置高清摄像头与阵列麦克风，无需外接线材；摄像头像素≥1600 万，广角设计，可完整覆盖教室区域，满足远程巡课、课堂录播；麦克风有效拾音距离≥10 米，多人发言清晰收录。设备自带摄像头工作指示灯，摄像状态直观提示。</w:t>
            </w:r>
          </w:p>
          <w:p w14:paraId="32DC54ED">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6、</w:t>
            </w:r>
            <w:r>
              <w:rPr>
                <w:color w:val="auto"/>
                <w:sz w:val="20"/>
                <w:szCs w:val="20"/>
                <w:highlight w:val="none"/>
              </w:rPr>
              <w:t>支持无线投屏功能，可通过 NFC、扫码、无线连接等任意一种方式实现手机、平板投屏，支持多台移动设备同时分屏展示。</w:t>
            </w:r>
          </w:p>
          <w:p w14:paraId="7B4052CF">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 xml:space="preserve"> 7、内置双频 WiFi（2.4G+5GHz）、蓝牙模块，蓝牙标准不低于 Bluetooth 5.2；整机可无线联网、发射无线热点，双系统共用一套无线网络配置，无需重复设置；蓝牙可稳定连接外设，无线传输距离满足教室使用。</w:t>
            </w:r>
          </w:p>
          <w:p w14:paraId="7C319B6E">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 xml:space="preserve"> 8、设备搭载护眼低蓝光背光方案，从硬件层面削减有害蓝光，显示画面无明显泛黄、色偏，符合校园护眼相关规范；屏幕 NTSC 色域覆盖率≥72%，安卓系统支持 4K 高清 UI 显示。</w:t>
            </w:r>
          </w:p>
          <w:p w14:paraId="342573E4">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9、OPS 电脑配置：运行内存≥8G，固态硬盘≥256G。</w:t>
            </w:r>
          </w:p>
          <w:p w14:paraId="1AA26217">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br w:type="textWrapping"/>
            </w:r>
            <w:r>
              <w:rPr>
                <w:rFonts w:hint="eastAsia" w:ascii="宋体" w:hAnsi="宋体" w:eastAsia="宋体" w:cs="宋体"/>
                <w:i w:val="0"/>
                <w:iCs w:val="0"/>
                <w:color w:val="auto"/>
                <w:kern w:val="0"/>
                <w:sz w:val="20"/>
                <w:szCs w:val="20"/>
                <w:highlight w:val="none"/>
                <w:u w:val="none"/>
                <w:lang w:val="en-US" w:eastAsia="zh-CN" w:bidi="ar"/>
              </w:rPr>
              <w:t>三、</w:t>
            </w:r>
            <w:r>
              <w:rPr>
                <w:color w:val="auto"/>
                <w:sz w:val="20"/>
                <w:szCs w:val="20"/>
                <w:highlight w:val="none"/>
              </w:rPr>
              <w:t>整机基础交互功能</w:t>
            </w:r>
          </w:p>
          <w:p w14:paraId="4B8027D6">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1、</w:t>
            </w:r>
            <w:r>
              <w:rPr>
                <w:color w:val="auto"/>
                <w:sz w:val="20"/>
                <w:szCs w:val="20"/>
                <w:highlight w:val="none"/>
              </w:rPr>
              <w:t>整机内置图像、音效调节模块，提供多种预设图像、音效模式，支持手动调节亮度、对比度、高低音、色温等参数，适配不同教学场景。</w:t>
            </w:r>
          </w:p>
          <w:p w14:paraId="090EE2D7">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 xml:space="preserve"> 2、支持分屏、半屏显示功能，可一键切换全屏 / 半屏，画面完整无裁剪，触控操作正常；支持画面局部放大、聚光灯（区域高亮、其余区域暗化）教学工具。</w:t>
            </w:r>
          </w:p>
          <w:p w14:paraId="62B6279E">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3、</w:t>
            </w:r>
            <w:r>
              <w:rPr>
                <w:color w:val="auto"/>
                <w:sz w:val="20"/>
                <w:szCs w:val="20"/>
                <w:highlight w:val="none"/>
              </w:rPr>
              <w:t>系统悬浮快捷工具栏，可调取批注、截屏、计时、锁屏、硬件自检、聚光灯、学科工具等教学常用功能，工具栏支持自定义调整。</w:t>
            </w:r>
          </w:p>
          <w:p w14:paraId="442D5512">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4、</w:t>
            </w:r>
            <w:r>
              <w:rPr>
                <w:color w:val="auto"/>
                <w:sz w:val="20"/>
                <w:szCs w:val="20"/>
                <w:highlight w:val="none"/>
              </w:rPr>
              <w:t>支持智能手势快捷操作，可通过手势触发熄屏、批注、分屏等自定义功能，手势识别灵敏稳定。</w:t>
            </w:r>
          </w:p>
          <w:p w14:paraId="5C3B96EC">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5、</w:t>
            </w:r>
            <w:r>
              <w:rPr>
                <w:color w:val="auto"/>
                <w:sz w:val="20"/>
                <w:szCs w:val="20"/>
                <w:highlight w:val="none"/>
              </w:rPr>
              <w:t>全通道支持自由截屏，可框选任意区域保存截图；授课过程中可一键调取各类教学小工具：答题器、倒计时、节拍器、日历、随机抽选等。</w:t>
            </w:r>
          </w:p>
          <w:p w14:paraId="3174CD15">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6、</w:t>
            </w:r>
            <w:r>
              <w:rPr>
                <w:color w:val="auto"/>
                <w:sz w:val="20"/>
                <w:szCs w:val="20"/>
                <w:highlight w:val="none"/>
              </w:rPr>
              <w:t>双系统实现功能互通：一键切换系统、共享 USB 外设、共享网络、背光手势快捷控制。</w:t>
            </w:r>
          </w:p>
          <w:p w14:paraId="24B56CFC">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7、</w:t>
            </w:r>
            <w:r>
              <w:rPr>
                <w:color w:val="auto"/>
                <w:sz w:val="20"/>
                <w:szCs w:val="20"/>
                <w:highlight w:val="none"/>
              </w:rPr>
              <w:t>内置互动白板，支持多笔同时书写、手掌智能擦除，笔迹自带笔锋；白板文件支持导出 PDF、SVG、IWB 等通用格式；内置充足平面、立体学科绘图工具，满足数理化教学绘图需求。</w:t>
            </w:r>
          </w:p>
          <w:p w14:paraId="6CD27AEA">
            <w:pPr>
              <w:keepNext w:val="0"/>
              <w:keepLines w:val="0"/>
              <w:widowControl/>
              <w:numPr>
                <w:ilvl w:val="0"/>
                <w:numId w:val="0"/>
              </w:numPr>
              <w:suppressLineNumbers w:val="0"/>
              <w:jc w:val="both"/>
              <w:textAlignment w:val="center"/>
              <w:rPr>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四、</w:t>
            </w:r>
            <w:r>
              <w:rPr>
                <w:color w:val="auto"/>
                <w:sz w:val="20"/>
                <w:szCs w:val="20"/>
                <w:highlight w:val="none"/>
              </w:rPr>
              <w:t>配套教学软件功能</w:t>
            </w:r>
            <w:r>
              <w:rPr>
                <w:rFonts w:hint="eastAsia" w:ascii="宋体" w:hAnsi="宋体" w:eastAsia="宋体" w:cs="宋体"/>
                <w:i w:val="0"/>
                <w:iCs w:val="0"/>
                <w:strike/>
                <w:dstrike w:val="0"/>
                <w:color w:val="auto"/>
                <w:kern w:val="0"/>
                <w:sz w:val="20"/>
                <w:szCs w:val="20"/>
                <w:highlight w:val="none"/>
                <w:u w:val="none"/>
                <w:lang w:val="en-US" w:eastAsia="zh-CN" w:bidi="ar"/>
              </w:rPr>
              <w:br w:type="textWrapping"/>
            </w:r>
            <w:r>
              <w:rPr>
                <w:rFonts w:hint="eastAsia"/>
                <w:color w:val="auto"/>
                <w:sz w:val="20"/>
                <w:szCs w:val="20"/>
                <w:highlight w:val="none"/>
                <w:lang w:val="en-US" w:eastAsia="zh-CN"/>
              </w:rPr>
              <w:t>1、</w:t>
            </w:r>
            <w:r>
              <w:rPr>
                <w:color w:val="auto"/>
                <w:sz w:val="20"/>
                <w:szCs w:val="20"/>
                <w:highlight w:val="none"/>
              </w:rPr>
              <w:t>教学资源分类管理：可按年级、学科、教材版本收纳课件、习题、阅读资料，支持云端存储、本地资源调取。</w:t>
            </w:r>
          </w:p>
          <w:p w14:paraId="2A073732">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2、</w:t>
            </w:r>
            <w:r>
              <w:rPr>
                <w:color w:val="auto"/>
                <w:sz w:val="20"/>
                <w:szCs w:val="20"/>
                <w:highlight w:val="none"/>
              </w:rPr>
              <w:t>白板教学模板丰富，支持田字格、五线谱、米字格、坐标纸等学科专用背景，支持原笔迹批注、拖拽、擦除。</w:t>
            </w:r>
          </w:p>
          <w:p w14:paraId="60C5DED1">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3、</w:t>
            </w:r>
            <w:r>
              <w:rPr>
                <w:color w:val="auto"/>
                <w:sz w:val="20"/>
                <w:szCs w:val="20"/>
                <w:highlight w:val="none"/>
              </w:rPr>
              <w:t>支持 PPT 原生播放、手势翻页、多级放大，批注笔迹同步保存；支持一键将课件上传至个人云空间，授课时云端直接下载使用。</w:t>
            </w:r>
          </w:p>
          <w:p w14:paraId="6D7F3465">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4、</w:t>
            </w:r>
            <w:r>
              <w:rPr>
                <w:color w:val="auto"/>
                <w:sz w:val="20"/>
                <w:szCs w:val="20"/>
                <w:highlight w:val="none"/>
              </w:rPr>
              <w:t>支持集体备课、在线听评课功能：可自定义评课评分模板、评分细则，听课记录可保存、导出分享；支持教师扫码听课评价。</w:t>
            </w:r>
          </w:p>
          <w:p w14:paraId="6788A9D7">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5、</w:t>
            </w:r>
            <w:r>
              <w:rPr>
                <w:color w:val="auto"/>
                <w:sz w:val="20"/>
                <w:szCs w:val="20"/>
                <w:highlight w:val="none"/>
              </w:rPr>
              <w:t>课堂录播功能：授课全过程可录制，支持暂停、停止，可自定义录制音视频画质，录制窗口可隐藏不遮挡教学画面。</w:t>
            </w:r>
          </w:p>
          <w:p w14:paraId="7785D8A8">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6、</w:t>
            </w:r>
            <w:r>
              <w:rPr>
                <w:color w:val="auto"/>
                <w:sz w:val="20"/>
                <w:szCs w:val="20"/>
                <w:highlight w:val="none"/>
              </w:rPr>
              <w:t>支持手机远程控制大屏课件翻页；支持课堂互动答题，学生扫码答题，教师查看答题正确率、导出课堂学情报告；支持课堂弹幕、班级成员管理。</w:t>
            </w:r>
          </w:p>
          <w:p w14:paraId="1EEB66B0">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7、</w:t>
            </w:r>
            <w:r>
              <w:rPr>
                <w:color w:val="auto"/>
                <w:sz w:val="20"/>
                <w:szCs w:val="20"/>
                <w:highlight w:val="none"/>
              </w:rPr>
              <w:t>支持网页资源一键导入课件，可制作课堂互动小游戏并保存至个人云盘，随时调取复用。</w:t>
            </w:r>
          </w:p>
          <w:p w14:paraId="6BF8E0DE">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8、</w:t>
            </w:r>
            <w:r>
              <w:rPr>
                <w:color w:val="auto"/>
                <w:sz w:val="20"/>
                <w:szCs w:val="20"/>
                <w:highlight w:val="none"/>
              </w:rPr>
              <w:t>为每位教师提供免费教学云存储空间，支持本地个人资源同步至云端，授课随时调取。</w:t>
            </w:r>
          </w:p>
          <w:p w14:paraId="47773E7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both"/>
              <w:rPr>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五、</w:t>
            </w:r>
            <w:r>
              <w:rPr>
                <w:color w:val="auto"/>
                <w:sz w:val="20"/>
                <w:szCs w:val="20"/>
                <w:highlight w:val="none"/>
              </w:rPr>
              <w:t>集控管理平台功能</w:t>
            </w:r>
          </w:p>
          <w:p w14:paraId="183E07CC">
            <w:pPr>
              <w:keepNext w:val="0"/>
              <w:keepLines w:val="0"/>
              <w:widowControl/>
              <w:numPr>
                <w:ilvl w:val="0"/>
                <w:numId w:val="0"/>
              </w:numPr>
              <w:suppressLineNumbers w:val="0"/>
              <w:jc w:val="both"/>
              <w:textAlignment w:val="center"/>
              <w:rPr>
                <w:color w:val="auto"/>
                <w:sz w:val="20"/>
                <w:szCs w:val="20"/>
                <w:highlight w:val="none"/>
              </w:rPr>
            </w:pPr>
            <w:r>
              <w:rPr>
                <w:rFonts w:hint="eastAsia"/>
                <w:color w:val="auto"/>
                <w:sz w:val="20"/>
                <w:szCs w:val="20"/>
                <w:highlight w:val="none"/>
                <w:lang w:val="en-US" w:eastAsia="zh-CN"/>
              </w:rPr>
              <w:t xml:space="preserve"> 1、</w:t>
            </w:r>
            <w:r>
              <w:rPr>
                <w:color w:val="auto"/>
                <w:sz w:val="20"/>
                <w:szCs w:val="20"/>
                <w:highlight w:val="none"/>
              </w:rPr>
              <w:t>平台可统一查看所有教学设备硬件信息：屏幕尺寸、系统版本、CPU、内存、硬盘、网络状态等；支持列表、缩略图两种设备查看模式，批量预览设备实时画面。</w:t>
            </w:r>
          </w:p>
          <w:p w14:paraId="5064B43F">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2、</w:t>
            </w:r>
            <w:r>
              <w:rPr>
                <w:color w:val="auto"/>
                <w:sz w:val="20"/>
                <w:szCs w:val="20"/>
                <w:highlight w:val="none"/>
              </w:rPr>
              <w:t>远程巡课督导：可实时查看设备屏幕画面与课堂摄像头画面；支持远程下发设备系统、集控软件升级包，设备空闲时段自动完成更新。</w:t>
            </w:r>
          </w:p>
          <w:p w14:paraId="763EA431">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rFonts w:hint="default" w:ascii="宋体" w:hAnsi="宋体" w:eastAsia="宋体" w:cs="宋体"/>
                <w:i w:val="0"/>
                <w:iCs w:val="0"/>
                <w:color w:val="auto"/>
                <w:sz w:val="20"/>
                <w:szCs w:val="20"/>
                <w:highlight w:val="none"/>
                <w:u w:val="none"/>
                <w:lang w:val="en-US" w:eastAsia="zh-CN"/>
              </w:rPr>
            </w:pPr>
            <w:r>
              <w:rPr>
                <w:rFonts w:hint="eastAsia"/>
                <w:color w:val="auto"/>
                <w:sz w:val="20"/>
                <w:szCs w:val="20"/>
                <w:highlight w:val="none"/>
                <w:lang w:val="en-US" w:eastAsia="zh-CN"/>
              </w:rPr>
              <w:t>3、</w:t>
            </w:r>
            <w:r>
              <w:rPr>
                <w:color w:val="auto"/>
                <w:sz w:val="20"/>
                <w:szCs w:val="20"/>
                <w:highlight w:val="none"/>
              </w:rPr>
              <w:t>远程管理功能：支持批量设置定时锁屏 / 解锁，可按工作日、周末自定义循环策略；远程下发考场考试安排，设备按时展示考试信息。</w:t>
            </w:r>
          </w:p>
        </w:tc>
        <w:tc>
          <w:tcPr>
            <w:tcW w:w="0" w:type="auto"/>
            <w:tcBorders>
              <w:top w:val="nil"/>
              <w:left w:val="single" w:color="000000" w:sz="4" w:space="0"/>
              <w:bottom w:val="single" w:color="000000" w:sz="4" w:space="0"/>
              <w:right w:val="nil"/>
            </w:tcBorders>
            <w:shd w:val="clear" w:color="auto" w:fill="auto"/>
            <w:noWrap/>
            <w:vAlign w:val="center"/>
          </w:tcPr>
          <w:p w14:paraId="6072353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2FE705A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64DA5F8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10000</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7075B0D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10000 </w:t>
            </w:r>
          </w:p>
        </w:tc>
      </w:tr>
      <w:tr w14:paraId="643B4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F05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3A438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跑酷组合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79A3AA">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一、整套器材明细（参考尺寸+数量）</w:t>
            </w:r>
          </w:p>
          <w:p w14:paraId="6481127E">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w:t>
            </w:r>
          </w:p>
          <w:p w14:paraId="0A54280A">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1、单面弧形跑酷箱体：参考尺寸175cm×75cm×175cm，共2个；弧形过渡流畅，适配幼儿翻越、跳跃训练，箱体稳固、抗压不变形。</w:t>
            </w:r>
          </w:p>
          <w:p w14:paraId="50848D0B">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2、猫挂三角架：参考尺寸120cm×80cm×90cm，共2个；三角稳定结构，支撑牢固，适配幼儿悬挂、攀爬、平衡训练。</w:t>
            </w:r>
          </w:p>
          <w:p w14:paraId="577392A5">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3、渐进式跳箱：参考尺寸76cm×65cm×130cm，共1个；分层渐进结构，适配幼儿阶梯式跳跃体能训练。</w:t>
            </w:r>
          </w:p>
          <w:p w14:paraId="0C096289">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4、跑酷跳箱一：参考尺寸90cm×45cm×48cm，共1个；箱体方正稳固，海绵填充饱满，跳跃缓冲性佳。</w:t>
            </w:r>
          </w:p>
          <w:p w14:paraId="3F11D3BF">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5、跑酷跳箱二：参考尺寸90cm×70cm×75cm，共1个；加厚箱体设计，承重抗压，适配幼儿跳跃、跨越训练。</w:t>
            </w:r>
          </w:p>
          <w:p w14:paraId="25BAE3BB">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6、跑酷跳箱三：参考尺寸90cm×68cm×60cm，共1个；尺寸适配低龄幼儿训练，缓冲安全、稳定性强。</w:t>
            </w:r>
          </w:p>
          <w:p w14:paraId="6D1A27AB">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7、跑酷跳箱四：参考尺寸90cm×70cm×95cm，共1个；高箱体设计，满足进阶跑酷跳跃训练需求。</w:t>
            </w:r>
          </w:p>
          <w:p w14:paraId="7CF5D4A7">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8、升降三角架：参考尺寸100cm×100cm×170cm，共2个；可适配不同高度训练需求，三角稳固结构，抗撞击、不易倾倒。</w:t>
            </w:r>
          </w:p>
          <w:p w14:paraId="7AD3B9EE">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9、三角蹬：参考尺寸78cm×50cm×45cm，共8个；小巧轻便、堆叠组合灵活，适配合梯、跨越、踩踏平衡训练。</w:t>
            </w:r>
          </w:p>
          <w:p w14:paraId="739176A4">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10、双折训练体操垫：参考尺寸120cm×60cm×5cm，共5个；双折设计，收纳便捷；高密度海绵缓冲，表层防滑耐磨皮革，防护性佳，适配跑酷训练防护铺垫。</w:t>
            </w:r>
          </w:p>
          <w:p w14:paraId="199805FD">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二、材质与安全工艺要求</w:t>
            </w:r>
          </w:p>
          <w:p w14:paraId="5C6C3D52">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1、主体箱体、支架结构稳固，板材厚实抗压，整体不易变形、开裂，适配幼儿园高频体能跑酷训练使用。</w:t>
            </w:r>
          </w:p>
          <w:p w14:paraId="24A032A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2、所有器材外露边角、棱边全部采用全方位大圆弧倒角钝化处理，无尖角、毛刺、锐利切口，杜绝磕碰划伤风险，符合GB 6675儿童玩具安全标准。</w:t>
            </w:r>
          </w:p>
          <w:p w14:paraId="51489F4A">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3、软体部件采用高密度回弹海绵，外层包裹耐磨防水环保皮革，缝合工整紧密，不易开线、脱层、塌陷，表面光滑易清洁、可日常消毒擦拭。</w:t>
            </w:r>
          </w:p>
          <w:p w14:paraId="318CBF4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4、硬质支架采用加厚管材，焊接牢固、打磨平整，表面防锈防腐喷涂处理，结构承重稳定，训练过程无晃动、无松动异响。</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9D72C5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68F9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0866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61D0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12000 </w:t>
            </w:r>
          </w:p>
        </w:tc>
      </w:tr>
      <w:tr w14:paraId="5CCEF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7B9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4D679F2">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幼儿角色表演区材料</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54035D">
            <w:pPr>
              <w:keepNext w:val="0"/>
              <w:keepLines w:val="0"/>
              <w:widowControl/>
              <w:numPr>
                <w:ilvl w:val="0"/>
                <w:numId w:val="1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场景道具材料：拼搭成操作台，结合场景标签，可开展娃娃家——卧室、娃娃家——客厅、娃娃家——厨房、商店、美发屋、甜品屋、水果店、鲜花店主题活动。</w:t>
            </w:r>
          </w:p>
          <w:p w14:paraId="75641E3C">
            <w:pPr>
              <w:keepNext w:val="0"/>
              <w:keepLines w:val="0"/>
              <w:widowControl/>
              <w:numPr>
                <w:ilvl w:val="0"/>
                <w:numId w:val="10"/>
              </w:numPr>
              <w:suppressLineNumbers w:val="0"/>
              <w:ind w:left="0" w:leftChars="0" w:firstLine="0" w:firstLineChars="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角色装扮 道具，可开展娃娃家——卧室、娃娃家——客厅、娃娃家——厨房、商店、美发屋、甜品屋、水果店、鲜花店主题活动。</w:t>
            </w:r>
          </w:p>
          <w:p w14:paraId="2FE2C96D">
            <w:pPr>
              <w:keepNext w:val="0"/>
              <w:keepLines w:val="0"/>
              <w:widowControl/>
              <w:numPr>
                <w:ilvl w:val="0"/>
                <w:numId w:val="10"/>
              </w:numPr>
              <w:suppressLineNumbers w:val="0"/>
              <w:ind w:left="0" w:leftChars="0" w:firstLine="0" w:firstLineChars="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操作道具:娃娃家厨房主题活动,娃娃家卧室、美发屋、水果店主题活动,娃娃家客厅、娃娃家卧室、娃娃家厨房主题活动,娃娃家客厅、甜品屋主题活动,娃娃家卧室、娃娃家客厅、娃娃家厨房、商店、美发屋、甜品屋、水果店、鲜花店主题活动.</w:t>
            </w:r>
          </w:p>
          <w:p w14:paraId="7F5A507E">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4.配套角色表演服装，配套表演头饰道具</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45669B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7E0F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44F4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EFC9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20000 </w:t>
            </w:r>
          </w:p>
        </w:tc>
      </w:tr>
      <w:tr w14:paraId="558CF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2E8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84D9CA1">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复印机</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F4F222">
            <w:pPr>
              <w:rPr>
                <w:rFonts w:hint="eastAsia"/>
                <w:color w:val="auto"/>
                <w:highlight w:val="none"/>
              </w:rPr>
            </w:pPr>
            <w:r>
              <w:rPr>
                <w:rFonts w:hint="eastAsia"/>
                <w:color w:val="auto"/>
                <w:highlight w:val="none"/>
              </w:rPr>
              <w:t>A3 黑白多功能激光一体机</w:t>
            </w:r>
          </w:p>
          <w:p w14:paraId="5ABD3706">
            <w:pPr>
              <w:rPr>
                <w:rFonts w:hint="eastAsia"/>
                <w:color w:val="auto"/>
                <w:highlight w:val="none"/>
              </w:rPr>
            </w:pPr>
            <w:r>
              <w:rPr>
                <w:rFonts w:hint="eastAsia"/>
                <w:color w:val="auto"/>
                <w:highlight w:val="none"/>
              </w:rPr>
              <w:t>1.核心功能：支持 A3 幅面打印、复印、彩色扫描，标配自动双面、有线 / 无线网络打印，配备自动输稿器。</w:t>
            </w:r>
          </w:p>
          <w:p w14:paraId="0DCEC24D">
            <w:pPr>
              <w:rPr>
                <w:rFonts w:hint="eastAsia"/>
                <w:color w:val="auto"/>
                <w:highlight w:val="none"/>
              </w:rPr>
            </w:pPr>
            <w:r>
              <w:rPr>
                <w:rFonts w:hint="eastAsia"/>
                <w:color w:val="auto"/>
                <w:highlight w:val="none"/>
                <w:lang w:val="en-US" w:eastAsia="zh-CN"/>
              </w:rPr>
              <w:t>2</w:t>
            </w:r>
            <w:r>
              <w:rPr>
                <w:rFonts w:hint="eastAsia"/>
                <w:color w:val="auto"/>
                <w:highlight w:val="none"/>
              </w:rPr>
              <w:t>.性能指标： ①打印速度≥25 页 / 分钟；预热时间≤20s，首页复印输出时间≤4.6s； ②机身内存≥4GB，内置硬盘≥320G；触控显示屏≥10.1 英寸； ③有效打印分辨率≥600×600dpi； ④纸盒总容量≥1100 页，手动多功能进纸托盘≥100 页；兼容 PCL 等主流打印语言。</w:t>
            </w:r>
          </w:p>
          <w:p w14:paraId="1D0599E2">
            <w:pPr>
              <w:rPr>
                <w:rFonts w:hint="eastAsia"/>
                <w:color w:val="auto"/>
                <w:highlight w:val="none"/>
              </w:rPr>
            </w:pPr>
            <w:r>
              <w:rPr>
                <w:rFonts w:hint="eastAsia"/>
                <w:color w:val="auto"/>
                <w:highlight w:val="none"/>
                <w:lang w:val="en-US" w:eastAsia="zh-CN"/>
              </w:rPr>
              <w:t>3</w:t>
            </w:r>
            <w:r>
              <w:rPr>
                <w:rFonts w:hint="eastAsia"/>
                <w:color w:val="auto"/>
                <w:highlight w:val="none"/>
              </w:rPr>
              <w:t>.系统与接口：配备高速 USB2.0、10/100M 有线网口；兼容 Windows7 及以上、主流 macOS 新版本操作系统。</w:t>
            </w:r>
          </w:p>
          <w:p w14:paraId="60E650DC">
            <w:pPr>
              <w:rPr>
                <w:rFonts w:hint="eastAsia" w:ascii="宋体" w:hAnsi="宋体" w:eastAsia="宋体" w:cs="宋体"/>
                <w:i w:val="0"/>
                <w:iCs w:val="0"/>
                <w:color w:val="auto"/>
                <w:kern w:val="0"/>
                <w:sz w:val="20"/>
                <w:szCs w:val="20"/>
                <w:highlight w:val="none"/>
                <w:u w:val="none"/>
                <w:lang w:val="en-US" w:eastAsia="zh-CN" w:bidi="ar"/>
              </w:rPr>
            </w:pPr>
            <w:r>
              <w:rPr>
                <w:rFonts w:hint="eastAsia"/>
                <w:color w:val="auto"/>
                <w:highlight w:val="none"/>
                <w:lang w:val="en-US" w:eastAsia="zh-CN"/>
              </w:rPr>
              <w:t>4</w:t>
            </w:r>
            <w:r>
              <w:rPr>
                <w:rFonts w:hint="eastAsia"/>
                <w:color w:val="auto"/>
                <w:highlight w:val="none"/>
              </w:rPr>
              <w:t>.机身与耗材：内部金属钢架结构，散热良好，支持长时间连续作业；采用鼓粉分离耗材设计，耗材寿命不低于行业常规标准。</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5B48AA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74DE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E1B3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0050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16500 </w:t>
            </w:r>
          </w:p>
        </w:tc>
      </w:tr>
      <w:tr w14:paraId="38491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320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056E524D">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三角吊环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E1F7BE">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三角吊环一对+链扣2个，吊环宽度16cm</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5BC7DE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A56F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98D0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6054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165 </w:t>
            </w:r>
          </w:p>
        </w:tc>
      </w:tr>
      <w:tr w14:paraId="17EB7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B20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139</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416D9EF9">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木棒吊环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3E117D">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木棒+吊环+挂钩+连接带，10mm塑料绳，绳长1-1.8米，可以调节，木棒3.2cm直径，长40cm</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CD8A9C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959E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F464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B18F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180 </w:t>
            </w:r>
          </w:p>
        </w:tc>
      </w:tr>
      <w:tr w14:paraId="4B5DA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522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2B7DED59">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软板秋千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30CEBE">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软板秋千+连接扣2个，总长2米（可调节），软板长度66cm，宽14cm</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D08CFC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95F3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ECC2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2344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120 </w:t>
            </w:r>
          </w:p>
        </w:tc>
      </w:tr>
      <w:tr w14:paraId="1F51A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6EC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141</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468C86FA">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弯板秋千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322563">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弯板秋千+连接扣2个，总长2米（可调节），弯板长42cm, 宽17cm</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4C4156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3270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B845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9EF0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120 </w:t>
            </w:r>
          </w:p>
        </w:tc>
      </w:tr>
      <w:tr w14:paraId="629F7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9CA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142</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25CFC23B">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圆形秋千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5F2FC8">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60cm彩色+吊绳+树带+扣，总长1.8米，圆直径60cm</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14C210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FD86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34F1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D041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260 </w:t>
            </w:r>
          </w:p>
        </w:tc>
      </w:tr>
      <w:tr w14:paraId="3E05F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49F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143</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00400F63">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3米实木彩梯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CBD6C4">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实木彩梯+连接扣2个，木棍尺寸：长度40cm，木棍直径35mm</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0C10DE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DA91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2311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9AAC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435 </w:t>
            </w:r>
          </w:p>
        </w:tc>
      </w:tr>
      <w:tr w14:paraId="58A99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47E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144</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78FE8063">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6档塑料梯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DADBC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六档双头塑料梯+连接扣2个，爬梯</w:t>
            </w:r>
            <w:r>
              <w:rPr>
                <w:rFonts w:ascii="宋体" w:hAnsi="宋体" w:eastAsia="宋体" w:cs="宋体"/>
                <w:sz w:val="20"/>
                <w:szCs w:val="20"/>
                <w:highlight w:val="none"/>
              </w:rPr>
              <w:t>总长 190cm~210cm</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F6BE75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B656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B6C8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FB99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225 </w:t>
            </w:r>
          </w:p>
        </w:tc>
      </w:tr>
      <w:tr w14:paraId="3EA72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EB0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145</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22A25499">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糖葫芦串爬绳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431A29">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圆环4个，爬绳</w:t>
            </w:r>
            <w:r>
              <w:rPr>
                <w:rFonts w:ascii="宋体" w:hAnsi="宋体" w:eastAsia="宋体" w:cs="宋体"/>
                <w:sz w:val="20"/>
                <w:szCs w:val="20"/>
                <w:highlight w:val="none"/>
              </w:rPr>
              <w:t>总长 190cm~210cm</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499501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6077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310A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AEA6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280 </w:t>
            </w:r>
          </w:p>
        </w:tc>
      </w:tr>
      <w:tr w14:paraId="0189A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817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146</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21AF428D">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大圆盘爬绳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4AB462">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大圆盘爬绳+连接扣1个，圆盘直径30cm,圆盘厚度11cm,爬绳总长200cm</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5121A1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703E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1B09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50FD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270 </w:t>
            </w:r>
          </w:p>
        </w:tc>
      </w:tr>
      <w:tr w14:paraId="32C7E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5EE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147</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1AD6F0E3">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锦纶攀爬绳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A0B5CF">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长约2米，材质：尼龙66（锦纶）；直径：10.5mm；结构：皮芯一体；破断拉力：≥25kN；标准：EN1891、GB 42297‑2022；用途：攀岩/速降/高空作业/拓展。</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CEE4B2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8324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B48D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65EC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240 </w:t>
            </w:r>
          </w:p>
        </w:tc>
      </w:tr>
      <w:tr w14:paraId="5ABD3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050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148</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01C2A3F1">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多彩企鹅打地鼠（金丝绒布料）（小号）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E50AE6">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小号企鹅叶子款，≧60厘米高</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661910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FA23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EA8F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E56D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810 </w:t>
            </w:r>
          </w:p>
        </w:tc>
      </w:tr>
      <w:tr w14:paraId="38D33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E44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149</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5849A9CF">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坦克圈海绵爬行垫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86D01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尺寸（允许±2cm误差）：周长300cm,宽度50cm</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B29D5B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1F12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207A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1EF3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405 </w:t>
            </w:r>
          </w:p>
        </w:tc>
      </w:tr>
      <w:tr w14:paraId="71F7D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584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49706B8A">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隔离室木质观察床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7F20E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三面护栏，尺寸规格150*70cm（允许±2cm误差），送床垫</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39E3D2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3C28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4497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9A83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380 </w:t>
            </w:r>
          </w:p>
        </w:tc>
      </w:tr>
      <w:tr w14:paraId="68D7E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850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151</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7D512C96">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10个班级区域篮子、游戏材料 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F1C66A">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（参考尺寸+数量）</w:t>
            </w:r>
          </w:p>
          <w:p w14:paraId="5160B6C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以下所有尺寸允许±2cm合理生产及安装公差。域柜用的篮子尺寸：（分别是长27.5cm、宽16.8cm、高8cm和长35.5cm、宽24.5cm、高8cm两种）、碟子、游戏材料；布置班级主题墙等材料</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E3BD06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3480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644A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DC99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10000 </w:t>
            </w:r>
          </w:p>
        </w:tc>
      </w:tr>
      <w:tr w14:paraId="048CA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4E0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088F6BF5">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大滚球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92283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直径63cm（允许±2cm误差），工程塑料，5个1组</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BA1E0A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4B91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F96A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CAC4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600 </w:t>
            </w:r>
          </w:p>
        </w:tc>
      </w:tr>
      <w:tr w14:paraId="508DD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96C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74FB8FF8">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分体式双杠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7BC43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规格尺寸：65*45*80cm（允许±2cm误差）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材质：金属+橡胶</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86AA31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DCCB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062C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48F8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700 </w:t>
            </w:r>
          </w:p>
        </w:tc>
      </w:tr>
      <w:tr w14:paraId="5E1BC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1CA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154</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36B4F666">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滚铁环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497A36">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尺寸：直径30cm，固定杆54cm</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B3D18D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70B8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EB74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0349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110 </w:t>
            </w:r>
          </w:p>
        </w:tc>
      </w:tr>
      <w:tr w14:paraId="1CCBB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380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155</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4293949E">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站立式涂鸦双面透明绘画板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674FB0">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sz w:val="20"/>
                <w:szCs w:val="20"/>
                <w:u w:val="none"/>
                <w:lang w:val="en-US" w:eastAsia="zh-CN"/>
              </w:rPr>
              <w:t>1、</w:t>
            </w:r>
            <w:r>
              <w:rPr>
                <w:rFonts w:hint="eastAsia" w:ascii="宋体" w:hAnsi="宋体" w:eastAsia="宋体" w:cs="宋体"/>
                <w:i w:val="0"/>
                <w:iCs w:val="0"/>
                <w:color w:val="auto"/>
                <w:sz w:val="20"/>
                <w:szCs w:val="20"/>
                <w:u w:val="none"/>
              </w:rPr>
              <w:t>尺寸：</w:t>
            </w:r>
            <w:r>
              <w:rPr>
                <w:rFonts w:hint="eastAsia" w:ascii="宋体" w:hAnsi="宋体" w:eastAsia="宋体" w:cs="宋体"/>
                <w:i w:val="0"/>
                <w:iCs w:val="0"/>
                <w:color w:val="auto"/>
                <w:sz w:val="20"/>
                <w:szCs w:val="20"/>
                <w:u w:val="none"/>
                <w:lang w:val="en-US" w:eastAsia="zh-CN"/>
              </w:rPr>
              <w:t>约</w:t>
            </w:r>
            <w:r>
              <w:rPr>
                <w:rFonts w:hint="eastAsia" w:ascii="宋体" w:hAnsi="宋体" w:eastAsia="宋体" w:cs="宋体"/>
                <w:i w:val="0"/>
                <w:iCs w:val="0"/>
                <w:color w:val="auto"/>
                <w:sz w:val="20"/>
                <w:szCs w:val="20"/>
                <w:u w:val="none"/>
              </w:rPr>
              <w:t>1200 × 750 × 450 mm（高×宽×深）</w:t>
            </w:r>
          </w:p>
          <w:p w14:paraId="2B92417E">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sz w:val="20"/>
                <w:szCs w:val="20"/>
                <w:u w:val="none"/>
                <w:lang w:val="en-US" w:eastAsia="zh-CN"/>
              </w:rPr>
              <w:t>2、</w:t>
            </w:r>
            <w:r>
              <w:rPr>
                <w:rFonts w:hint="eastAsia" w:ascii="宋体" w:hAnsi="宋体" w:eastAsia="宋体" w:cs="宋体"/>
                <w:i w:val="0"/>
                <w:iCs w:val="0"/>
                <w:color w:val="auto"/>
                <w:sz w:val="20"/>
                <w:szCs w:val="20"/>
                <w:u w:val="none"/>
              </w:rPr>
              <w:t>板面：双面透明亚克力（厚度5–8mm，可擦写）</w:t>
            </w:r>
          </w:p>
          <w:p w14:paraId="421E9202">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sz w:val="20"/>
                <w:szCs w:val="20"/>
                <w:u w:val="none"/>
                <w:lang w:val="en-US" w:eastAsia="zh-CN"/>
              </w:rPr>
              <w:t>3、</w:t>
            </w:r>
            <w:r>
              <w:rPr>
                <w:rFonts w:hint="eastAsia" w:ascii="宋体" w:hAnsi="宋体" w:eastAsia="宋体" w:cs="宋体"/>
                <w:i w:val="0"/>
                <w:iCs w:val="0"/>
                <w:color w:val="auto"/>
                <w:sz w:val="20"/>
                <w:szCs w:val="20"/>
                <w:u w:val="none"/>
              </w:rPr>
              <w:t>框架：实木/加厚钢管，带万向轮可移动、360°翻转</w:t>
            </w:r>
          </w:p>
          <w:p w14:paraId="453663CF">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sz w:val="20"/>
                <w:szCs w:val="20"/>
                <w:u w:val="none"/>
                <w:lang w:val="en-US" w:eastAsia="zh-CN"/>
              </w:rPr>
              <w:t>4、</w:t>
            </w:r>
            <w:r>
              <w:rPr>
                <w:rFonts w:hint="eastAsia" w:ascii="宋体" w:hAnsi="宋体" w:eastAsia="宋体" w:cs="宋体"/>
                <w:i w:val="0"/>
                <w:iCs w:val="0"/>
                <w:color w:val="auto"/>
                <w:sz w:val="20"/>
                <w:szCs w:val="20"/>
                <w:u w:val="none"/>
              </w:rPr>
              <w:t>功能：双面涂鸦、高度可调、带收纳托盘</w:t>
            </w:r>
          </w:p>
          <w:p w14:paraId="007AEBCC">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sz w:val="20"/>
                <w:szCs w:val="20"/>
                <w:u w:val="none"/>
                <w:lang w:val="en-US" w:eastAsia="zh-CN"/>
              </w:rPr>
              <w:t>5、</w:t>
            </w:r>
            <w:r>
              <w:rPr>
                <w:rFonts w:hint="eastAsia" w:ascii="宋体" w:hAnsi="宋体" w:eastAsia="宋体" w:cs="宋体"/>
                <w:i w:val="0"/>
                <w:iCs w:val="0"/>
                <w:color w:val="auto"/>
                <w:sz w:val="20"/>
                <w:szCs w:val="20"/>
                <w:u w:val="none"/>
              </w:rPr>
              <w:t xml:space="preserve"> 重量：约25–30kg，承重≥50kg</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64EBBA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BBF1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96B6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E594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1600 </w:t>
            </w:r>
          </w:p>
        </w:tc>
      </w:tr>
      <w:tr w14:paraId="20511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931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156</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3934C434">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儿童5号篮球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396042">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kern w:val="0"/>
                <w:sz w:val="20"/>
                <w:szCs w:val="20"/>
                <w:highlight w:val="none"/>
                <w:u w:val="none"/>
                <w:lang w:val="en-US" w:eastAsia="zh-CN" w:bidi="ar"/>
              </w:rPr>
              <w:t>一、产品基础规格</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规格型号：5 号幼儿专用篮球</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标称外径：220mm（22cm），成品尺寸公差 ±2mm；圆周约 69～71cm，适配 3～7 岁幼儿园幼儿手掌抓握、拍球训练。</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球体重量：320g～360g，重量均衡，幼儿轻松拍击不伤手腕。</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球面筋沟：标准深筋槽设计，筋沟宽度 4±0.5mm，深度 2.5±0.3mm，防滑易抓握。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二、材质要求（环保橡胶核心条款）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球面主体材质：</w:t>
            </w:r>
            <w:r>
              <w:rPr>
                <w:rFonts w:ascii="宋体" w:hAnsi="宋体" w:eastAsia="宋体" w:cs="宋体"/>
                <w:color w:val="auto"/>
                <w:sz w:val="20"/>
                <w:szCs w:val="20"/>
                <w:highlight w:val="none"/>
              </w:rPr>
              <w:t>全新环保橡胶混合料，可采用食品级天然橡胶搭配改性合成橡胶或其他同等环保全新橡胶配方；</w:t>
            </w:r>
            <w:r>
              <w:rPr>
                <w:rFonts w:hint="eastAsia" w:ascii="宋体" w:hAnsi="宋体" w:eastAsia="宋体" w:cs="宋体"/>
                <w:i w:val="0"/>
                <w:iCs w:val="0"/>
                <w:color w:val="auto"/>
                <w:kern w:val="0"/>
                <w:sz w:val="20"/>
                <w:szCs w:val="20"/>
                <w:highlight w:val="none"/>
                <w:u w:val="none"/>
                <w:lang w:val="en-US" w:eastAsia="zh-CN" w:bidi="ar"/>
              </w:rPr>
              <w:t>禁用再生废橡胶、回收劣质废旧胶皮，不含废旧轮胎碎料、工业废胶。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环保指标：无刺鼻异味，甲醛含量≤10mg/kg、重金属（铅、镉、汞、铬）符合 GB 6675 玩具安全国标，不含邻苯二甲酸酯（6P），满足幼儿园室内密闭环境使用。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内胆：丁基橡胶密闭内胆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气密性优异，常温常压充气后静置 72h 气压压降≤10%，不漏气、不易慢撒气；中胎为高弹橡胶中胎，缓冲减震，落地回弹高度：充气标准状态下落高 1.2m 自由落体，回弹 60～70cm。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缠纱：高强度尼龙纤维全缠纱</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整球全缠绕尼龙纱线，不变形、不起鼓，长期拍打球体不鼓包、不椭圆。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三、外观与工艺参数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球面纹路：凹凸颗粒防滑纹</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颗粒圆润无尖锐棱角，颗粒高度 0.8～1.2mm，避免划伤幼儿手掌；球面无毛边、毛刺、尖锐凸起，边角打磨圆润。</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配色：多色可选（红 / 黄 / 蓝 / 橙幼儿园常规配色）</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球面油墨采用环保水性油墨印刷，不掉色、不脱色，幼儿出汗触摸无掉色沾染皮肤，印刷图案附着力达标，反复摩擦不掉漆。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气嘴：内嵌式防吞安全气嘴</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气嘴凹陷内嵌设计，无外突硬质凸起，防止幼儿磕碰、抠咬误食，气嘴密封胶圈为环保硅胶材质。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四、执行国家标准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执行GB 6675.1~4-2014《玩具安全》国家强制性标准、GB/T 19851.11 中小学体育器材安全标准；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供货随附：第三方质检报告（甲醛、邻苯、重金属检测）、产品合格证、出厂检验单。</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五、验收验收标准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尺寸抽检：随机抽取 10% 货品卡尺实测直径，控制在 21.8～22.2cm；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气味验收：开箱无刺鼻化工臭味、塑胶异味；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充气验收：标准充气后静置 3 天不漏气，无变形鼓包；</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耐磨测试：常温地面连续拍打 500 次，球面无开裂、掉皮、大面积掉漆。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六、包装要求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单球 OPP 环保塑料袋独立封装，外箱瓦楞纸箱打包，标注品名、规格、执行标准、生产日期、厂家信息，便于幼儿园入库盘点。</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44CC07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E7F0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832D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E805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2500 </w:t>
            </w:r>
          </w:p>
        </w:tc>
      </w:tr>
      <w:tr w14:paraId="11AF0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4CF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157</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773071B3">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脚踏自行车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CF4106">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材质：高碳钢，车架尺寸14寸，车身长度105cm（允许±2cm误差）,车轮直径35cm，座椅高度53-64cm，龙头高度67-75cm</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570AFD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268D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35BD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D64A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1000 </w:t>
            </w:r>
          </w:p>
        </w:tc>
      </w:tr>
      <w:tr w14:paraId="7CE1D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A1A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158</w:t>
            </w:r>
          </w:p>
        </w:tc>
        <w:tc>
          <w:tcPr>
            <w:tcW w:w="0" w:type="auto"/>
            <w:tcBorders>
              <w:top w:val="single" w:color="000000" w:sz="4" w:space="0"/>
              <w:left w:val="nil"/>
              <w:bottom w:val="nil"/>
              <w:right w:val="single" w:color="000000" w:sz="4" w:space="0"/>
            </w:tcBorders>
            <w:shd w:val="clear" w:color="auto" w:fill="auto"/>
            <w:vAlign w:val="center"/>
          </w:tcPr>
          <w:p w14:paraId="0C5959C9">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脚踏自行车</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ED94A6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材质：高碳钢，车架尺寸16寸，车身长度115cm（允许±2cm误差）,车轮直径40cm，座椅高度58-69cm，龙头高度72-80cm</w:t>
            </w:r>
          </w:p>
        </w:tc>
        <w:tc>
          <w:tcPr>
            <w:tcW w:w="0" w:type="auto"/>
            <w:tcBorders>
              <w:top w:val="single" w:color="000000" w:sz="4" w:space="0"/>
              <w:left w:val="single" w:color="000000" w:sz="4" w:space="0"/>
              <w:bottom w:val="nil"/>
              <w:right w:val="nil"/>
            </w:tcBorders>
            <w:shd w:val="clear" w:color="auto" w:fill="auto"/>
            <w:noWrap/>
            <w:vAlign w:val="center"/>
          </w:tcPr>
          <w:p w14:paraId="1C7BF6F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57B9B7A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辆</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1F78534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220</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79B71A0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1100 </w:t>
            </w:r>
          </w:p>
        </w:tc>
      </w:tr>
      <w:tr w14:paraId="0F67D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BD6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w:t>
            </w: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5045BD8F">
            <w:pPr>
              <w:jc w:val="left"/>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7F1C0646">
            <w:pPr>
              <w:keepNext w:val="0"/>
              <w:keepLines w:val="0"/>
              <w:widowControl/>
              <w:suppressLineNumbers w:val="0"/>
              <w:jc w:val="center"/>
              <w:textAlignment w:val="center"/>
              <w:rPr>
                <w:rFonts w:hint="eastAsia" w:ascii="宋体" w:hAnsi="宋体" w:eastAsia="宋体" w:cs="宋体"/>
                <w:b/>
                <w:bCs/>
                <w:i w:val="0"/>
                <w:iCs w:val="0"/>
                <w:color w:val="FF0000"/>
                <w:kern w:val="2"/>
                <w:sz w:val="20"/>
                <w:szCs w:val="20"/>
                <w:u w:val="none"/>
                <w:lang w:val="en-US" w:eastAsia="zh-CN" w:bidi="ar-SA"/>
              </w:rPr>
            </w:pPr>
            <w:r>
              <w:rPr>
                <w:rFonts w:hint="eastAsia" w:ascii="宋体" w:hAnsi="宋体" w:eastAsia="宋体" w:cs="宋体"/>
                <w:b/>
                <w:bCs/>
                <w:i w:val="0"/>
                <w:iCs w:val="0"/>
                <w:color w:val="FF0000"/>
                <w:kern w:val="0"/>
                <w:sz w:val="20"/>
                <w:szCs w:val="20"/>
                <w:u w:val="none"/>
                <w:lang w:val="en-US" w:eastAsia="zh-CN" w:bidi="ar"/>
              </w:rPr>
              <w:t>上林县明亮镇中心幼儿园</w:t>
            </w: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5AF24384">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67CEE9EB">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09936BD3">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64C7D349">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100000</w:t>
            </w:r>
          </w:p>
        </w:tc>
      </w:tr>
      <w:tr w14:paraId="37E6C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A98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6483896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教学一体机</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4EA3F091">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一、整体设计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1、整机采用一体设计，外部无任何可见内部功能模块连接线。</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2、整机采用全金属外壳设计，边角采用弧形设计，表面无尖锐边缘或凸起；整机屏幕边缘采用金属圆角包边防护，整机背板采用金属材质。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3、整机屏幕采用65英寸液晶显示器。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4、整机采用LED液晶A规屏，显示比例16:9。</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w:t>
            </w:r>
            <w:r>
              <w:rPr>
                <w:color w:val="auto"/>
                <w:sz w:val="20"/>
                <w:szCs w:val="20"/>
                <w:highlight w:val="none"/>
              </w:rPr>
              <w:t>整机硬件性能与接口</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w:t>
            </w:r>
            <w:r>
              <w:rPr>
                <w:rStyle w:val="12"/>
                <w:color w:val="auto"/>
                <w:sz w:val="20"/>
                <w:szCs w:val="20"/>
                <w:highlight w:val="none"/>
              </w:rPr>
              <w:t>双系统配置</w:t>
            </w:r>
            <w:r>
              <w:rPr>
                <w:color w:val="auto"/>
                <w:sz w:val="20"/>
                <w:szCs w:val="20"/>
                <w:highlight w:val="none"/>
              </w:rPr>
              <w:t xml:space="preserve"> </w:t>
            </w:r>
            <w:r>
              <w:rPr>
                <w:rFonts w:hint="eastAsia"/>
                <w:color w:val="auto"/>
                <w:sz w:val="20"/>
                <w:szCs w:val="20"/>
                <w:highlight w:val="none"/>
              </w:rPr>
              <w:t>整机搭载 电脑模块 + 嵌入式系统，系统版本不低于 当前最新版本；系统内存 RAM≥4G，存储 ROM≥32G；安卓端可独立实现白板书写、文档编辑、网页浏览等基础教学功能。（相关性能指标可提供厂商彩页、功能截图、第三方检测报告任意一种佐证，设备到货验收时提供完整 CMA/CNAS 检测报告备查）</w:t>
            </w:r>
            <w:r>
              <w:rPr>
                <w:rFonts w:hint="eastAsia"/>
                <w:color w:val="auto"/>
                <w:sz w:val="20"/>
                <w:szCs w:val="20"/>
                <w:highlight w:val="none"/>
                <w:lang w:eastAsia="zh-CN"/>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color w:val="auto"/>
                <w:sz w:val="20"/>
                <w:szCs w:val="20"/>
                <w:highlight w:val="none"/>
                <w:lang w:val="en-US" w:eastAsia="zh-CN"/>
              </w:rPr>
              <w:t>2、</w:t>
            </w:r>
            <w:r>
              <w:rPr>
                <w:color w:val="auto"/>
                <w:sz w:val="20"/>
                <w:szCs w:val="20"/>
                <w:highlight w:val="none"/>
              </w:rPr>
              <w:t>整机配备前置外接接口，支持双系统共用读取 U 盘等存储设备；整机配备全功能 Type-C、HDMI、USB3.0 输入接口，侧置预留 HDMI、RS232、USB、音频输出、触控 USB 等拓展接口；整机外设拓展能力满足日常教学设备接驳需求，可通过拓展坞实现同等外接能力。前置接口配有防尘防护盖板，保护接口与外接 U 盘。</w:t>
            </w:r>
          </w:p>
          <w:p w14:paraId="085CCE8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jc w:val="both"/>
              <w:rPr>
                <w:color w:val="auto"/>
                <w:sz w:val="20"/>
                <w:szCs w:val="20"/>
                <w:highlight w:val="none"/>
              </w:rPr>
            </w:pPr>
            <w:r>
              <w:rPr>
                <w:rFonts w:hint="eastAsia"/>
                <w:color w:val="auto"/>
                <w:sz w:val="20"/>
                <w:szCs w:val="20"/>
                <w:highlight w:val="none"/>
                <w:lang w:val="en-US" w:eastAsia="zh-CN"/>
              </w:rPr>
              <w:t>3、</w:t>
            </w:r>
            <w:r>
              <w:rPr>
                <w:color w:val="auto"/>
                <w:sz w:val="20"/>
                <w:szCs w:val="20"/>
                <w:highlight w:val="none"/>
              </w:rPr>
              <w:t>整机内置高品质扬声器，整机额定总输出功率≥60W，发声均匀，无杂音、破音，满足教室扩声需求。</w:t>
            </w:r>
          </w:p>
          <w:p w14:paraId="1294B93E">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4、</w:t>
            </w:r>
            <w:r>
              <w:rPr>
                <w:color w:val="auto"/>
                <w:sz w:val="20"/>
                <w:szCs w:val="20"/>
                <w:highlight w:val="none"/>
              </w:rPr>
              <w:t>红外触控技术，最小识别触控物体≤3mm；整机支持双系统多点触控，触控流畅无断触。</w:t>
            </w:r>
          </w:p>
          <w:p w14:paraId="772FCD7A">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5、</w:t>
            </w:r>
            <w:r>
              <w:rPr>
                <w:color w:val="auto"/>
                <w:sz w:val="20"/>
                <w:szCs w:val="20"/>
                <w:highlight w:val="none"/>
              </w:rPr>
              <w:t>整机内置高清摄像头与阵列麦克风，无需外接线材；摄像头像素≥1600 万，广角设计，可完整覆盖教室区域，满足远程巡课、课堂录播；麦克风有效拾音距离≥10 米，多人发言清晰收录。设备自带摄像头工作指示灯，摄像状态直观提示。</w:t>
            </w:r>
          </w:p>
          <w:p w14:paraId="3F263B80">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6、</w:t>
            </w:r>
            <w:r>
              <w:rPr>
                <w:color w:val="auto"/>
                <w:sz w:val="20"/>
                <w:szCs w:val="20"/>
                <w:highlight w:val="none"/>
              </w:rPr>
              <w:t>支持无线投屏功能，可通过 NFC、扫码、无线连接等任意一种方式实现手机、平板投屏，支持多台移动设备同时分屏展示。</w:t>
            </w:r>
          </w:p>
          <w:p w14:paraId="560E3467">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 xml:space="preserve"> 7、内置双频 WiFi（2.4G+5GHz）、蓝牙模块，蓝牙标准不低于 Bluetooth 5.2；整机可无线联网、发射无线热点，双系统共用一套无线网络配置，无需重复设置；蓝牙可稳定连接外设，无线传输距离满足教室使用。</w:t>
            </w:r>
          </w:p>
          <w:p w14:paraId="2D2E9209">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 xml:space="preserve"> 8、设备搭载护眼低蓝光背光方案，从硬件层面削减有害蓝光，显示画面无明显泛黄、色偏，符合校园护眼相关规范；屏幕 NTSC 色域覆盖率≥72%，安卓系统支持 4K 高清 UI 显示。</w:t>
            </w:r>
          </w:p>
          <w:p w14:paraId="6C8DCCB2">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9、OPS 电脑配置：运行内存≥8G，固态硬盘≥256G。</w:t>
            </w:r>
          </w:p>
          <w:p w14:paraId="1C24729C">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br w:type="textWrapping"/>
            </w:r>
            <w:r>
              <w:rPr>
                <w:rFonts w:hint="eastAsia" w:ascii="宋体" w:hAnsi="宋体" w:eastAsia="宋体" w:cs="宋体"/>
                <w:i w:val="0"/>
                <w:iCs w:val="0"/>
                <w:color w:val="auto"/>
                <w:kern w:val="0"/>
                <w:sz w:val="20"/>
                <w:szCs w:val="20"/>
                <w:highlight w:val="none"/>
                <w:u w:val="none"/>
                <w:lang w:val="en-US" w:eastAsia="zh-CN" w:bidi="ar"/>
              </w:rPr>
              <w:t>三、</w:t>
            </w:r>
            <w:r>
              <w:rPr>
                <w:color w:val="auto"/>
                <w:sz w:val="20"/>
                <w:szCs w:val="20"/>
                <w:highlight w:val="none"/>
              </w:rPr>
              <w:t>整机基础交互功能</w:t>
            </w:r>
          </w:p>
          <w:p w14:paraId="495E0FF6">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1、</w:t>
            </w:r>
            <w:r>
              <w:rPr>
                <w:color w:val="auto"/>
                <w:sz w:val="20"/>
                <w:szCs w:val="20"/>
                <w:highlight w:val="none"/>
              </w:rPr>
              <w:t>整机内置图像、音效调节模块，提供多种预设图像、音效模式，支持手动调节亮度、对比度、高低音、色温等参数，适配不同教学场景。</w:t>
            </w:r>
          </w:p>
          <w:p w14:paraId="386359C8">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rFonts w:hint="eastAsia"/>
                <w:color w:val="auto"/>
                <w:sz w:val="20"/>
                <w:szCs w:val="20"/>
                <w:highlight w:val="none"/>
                <w:lang w:val="en-US" w:eastAsia="zh-CN"/>
              </w:rPr>
            </w:pPr>
            <w:r>
              <w:rPr>
                <w:rFonts w:hint="eastAsia"/>
                <w:color w:val="auto"/>
                <w:sz w:val="20"/>
                <w:szCs w:val="20"/>
                <w:highlight w:val="none"/>
                <w:lang w:val="en-US" w:eastAsia="zh-CN"/>
              </w:rPr>
              <w:t xml:space="preserve"> 2、支持分屏、半屏显示功能，可一键切换全屏 / 半屏，画面完整无裁剪，触控操作正常；支持画面局部放大、聚光灯（区域高亮、其余区域暗化）教学工具。</w:t>
            </w:r>
          </w:p>
          <w:p w14:paraId="3A99D943">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3、</w:t>
            </w:r>
            <w:r>
              <w:rPr>
                <w:color w:val="auto"/>
                <w:sz w:val="20"/>
                <w:szCs w:val="20"/>
                <w:highlight w:val="none"/>
              </w:rPr>
              <w:t>系统悬浮快捷工具栏，可调取批注、截屏、计时、锁屏、硬件自检、聚光灯、学科工具等教学常用功能，工具栏支持自定义调整。</w:t>
            </w:r>
          </w:p>
          <w:p w14:paraId="5D9F4484">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4、</w:t>
            </w:r>
            <w:r>
              <w:rPr>
                <w:color w:val="auto"/>
                <w:sz w:val="20"/>
                <w:szCs w:val="20"/>
                <w:highlight w:val="none"/>
              </w:rPr>
              <w:t>支持智能手势快捷操作，可通过手势触发熄屏、批注、分屏等自定义功能，手势识别灵敏稳定。</w:t>
            </w:r>
          </w:p>
          <w:p w14:paraId="3893E67D">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5、</w:t>
            </w:r>
            <w:r>
              <w:rPr>
                <w:color w:val="auto"/>
                <w:sz w:val="20"/>
                <w:szCs w:val="20"/>
                <w:highlight w:val="none"/>
              </w:rPr>
              <w:t>全通道支持自由截屏，可框选任意区域保存截图；授课过程中可一键调取各类教学小工具：答题器、倒计时、节拍器、日历、随机抽选等。</w:t>
            </w:r>
          </w:p>
          <w:p w14:paraId="2616C8D2">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6、</w:t>
            </w:r>
            <w:r>
              <w:rPr>
                <w:color w:val="auto"/>
                <w:sz w:val="20"/>
                <w:szCs w:val="20"/>
                <w:highlight w:val="none"/>
              </w:rPr>
              <w:t>双系统实现功能互通：一键切换系统、共享 USB 外设、共享网络、背光手势快捷控制。</w:t>
            </w:r>
          </w:p>
          <w:p w14:paraId="20D0D891">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7、</w:t>
            </w:r>
            <w:r>
              <w:rPr>
                <w:color w:val="auto"/>
                <w:sz w:val="20"/>
                <w:szCs w:val="20"/>
                <w:highlight w:val="none"/>
              </w:rPr>
              <w:t>内置互动白板，支持多笔同时书写、手掌智能擦除，笔迹自带笔锋；白板文件支持导出 PDF、SVG、IWB 等通用格式；内置充足平面、立体学科绘图工具，满足数理化教学绘图需求。</w:t>
            </w:r>
          </w:p>
          <w:p w14:paraId="5E437ACA">
            <w:pPr>
              <w:keepNext w:val="0"/>
              <w:keepLines w:val="0"/>
              <w:widowControl/>
              <w:numPr>
                <w:ilvl w:val="0"/>
                <w:numId w:val="0"/>
              </w:numPr>
              <w:suppressLineNumbers w:val="0"/>
              <w:jc w:val="both"/>
              <w:textAlignment w:val="center"/>
              <w:rPr>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四、</w:t>
            </w:r>
            <w:r>
              <w:rPr>
                <w:color w:val="auto"/>
                <w:sz w:val="20"/>
                <w:szCs w:val="20"/>
                <w:highlight w:val="none"/>
              </w:rPr>
              <w:t>配套教学软件功能</w:t>
            </w:r>
            <w:r>
              <w:rPr>
                <w:rFonts w:hint="eastAsia" w:ascii="宋体" w:hAnsi="宋体" w:eastAsia="宋体" w:cs="宋体"/>
                <w:i w:val="0"/>
                <w:iCs w:val="0"/>
                <w:strike/>
                <w:dstrike w:val="0"/>
                <w:color w:val="auto"/>
                <w:kern w:val="0"/>
                <w:sz w:val="20"/>
                <w:szCs w:val="20"/>
                <w:highlight w:val="none"/>
                <w:u w:val="none"/>
                <w:lang w:val="en-US" w:eastAsia="zh-CN" w:bidi="ar"/>
              </w:rPr>
              <w:br w:type="textWrapping"/>
            </w:r>
            <w:r>
              <w:rPr>
                <w:rFonts w:hint="eastAsia"/>
                <w:color w:val="auto"/>
                <w:sz w:val="20"/>
                <w:szCs w:val="20"/>
                <w:highlight w:val="none"/>
                <w:lang w:val="en-US" w:eastAsia="zh-CN"/>
              </w:rPr>
              <w:t>1、</w:t>
            </w:r>
            <w:r>
              <w:rPr>
                <w:color w:val="auto"/>
                <w:sz w:val="20"/>
                <w:szCs w:val="20"/>
                <w:highlight w:val="none"/>
              </w:rPr>
              <w:t>教学资源分类管理：可按年级、学科、教材版本收纳课件、习题、阅读资料，支持云端存储、本地资源调取。</w:t>
            </w:r>
          </w:p>
          <w:p w14:paraId="60BFE731">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2、</w:t>
            </w:r>
            <w:r>
              <w:rPr>
                <w:color w:val="auto"/>
                <w:sz w:val="20"/>
                <w:szCs w:val="20"/>
                <w:highlight w:val="none"/>
              </w:rPr>
              <w:t>白板教学模板丰富，支持田字格、五线谱、米字格、坐标纸等学科专用背景，支持原笔迹批注、拖拽、擦除。</w:t>
            </w:r>
          </w:p>
          <w:p w14:paraId="0B2D92A9">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3、</w:t>
            </w:r>
            <w:r>
              <w:rPr>
                <w:color w:val="auto"/>
                <w:sz w:val="20"/>
                <w:szCs w:val="20"/>
                <w:highlight w:val="none"/>
              </w:rPr>
              <w:t>支持 PPT 原生播放、手势翻页、多级放大，批注笔迹同步保存；支持一键将课件上传至个人云空间，授课时云端直接下载使用。</w:t>
            </w:r>
          </w:p>
          <w:p w14:paraId="5F13B05C">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4、</w:t>
            </w:r>
            <w:r>
              <w:rPr>
                <w:color w:val="auto"/>
                <w:sz w:val="20"/>
                <w:szCs w:val="20"/>
                <w:highlight w:val="none"/>
              </w:rPr>
              <w:t>支持集体备课、在线听评课功能：可自定义评课评分模板、评分细则，听课记录可保存、导出分享；支持教师扫码听课评价。</w:t>
            </w:r>
          </w:p>
          <w:p w14:paraId="418BE794">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5、</w:t>
            </w:r>
            <w:r>
              <w:rPr>
                <w:color w:val="auto"/>
                <w:sz w:val="20"/>
                <w:szCs w:val="20"/>
                <w:highlight w:val="none"/>
              </w:rPr>
              <w:t>课堂录播功能：授课全过程可录制，支持暂停、停止，可自定义录制音视频画质，录制窗口可隐藏不遮挡教学画面。</w:t>
            </w:r>
          </w:p>
          <w:p w14:paraId="1DAFD53B">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6、</w:t>
            </w:r>
            <w:r>
              <w:rPr>
                <w:color w:val="auto"/>
                <w:sz w:val="20"/>
                <w:szCs w:val="20"/>
                <w:highlight w:val="none"/>
              </w:rPr>
              <w:t>支持手机远程控制大屏课件翻页；支持课堂互动答题，学生扫码答题，教师查看答题正确率、导出课堂学情报告；支持课堂弹幕、班级成员管理。</w:t>
            </w:r>
          </w:p>
          <w:p w14:paraId="17C7109C">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7、</w:t>
            </w:r>
            <w:r>
              <w:rPr>
                <w:color w:val="auto"/>
                <w:sz w:val="20"/>
                <w:szCs w:val="20"/>
                <w:highlight w:val="none"/>
              </w:rPr>
              <w:t>支持网页资源一键导入课件，可制作课堂互动小游戏并保存至个人云盘，随时调取复用。</w:t>
            </w:r>
          </w:p>
          <w:p w14:paraId="7575ED73">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8、</w:t>
            </w:r>
            <w:r>
              <w:rPr>
                <w:color w:val="auto"/>
                <w:sz w:val="20"/>
                <w:szCs w:val="20"/>
                <w:highlight w:val="none"/>
              </w:rPr>
              <w:t>为每位教师提供免费教学云存储空间，支持本地个人资源同步至云端，授课随时调取。</w:t>
            </w:r>
          </w:p>
          <w:p w14:paraId="71B7A7E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both"/>
              <w:rPr>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五、</w:t>
            </w:r>
            <w:r>
              <w:rPr>
                <w:color w:val="auto"/>
                <w:sz w:val="20"/>
                <w:szCs w:val="20"/>
                <w:highlight w:val="none"/>
              </w:rPr>
              <w:t>集控管理平台功能</w:t>
            </w:r>
          </w:p>
          <w:p w14:paraId="6FEBD167">
            <w:pPr>
              <w:keepNext w:val="0"/>
              <w:keepLines w:val="0"/>
              <w:widowControl/>
              <w:numPr>
                <w:ilvl w:val="0"/>
                <w:numId w:val="0"/>
              </w:numPr>
              <w:suppressLineNumbers w:val="0"/>
              <w:jc w:val="both"/>
              <w:textAlignment w:val="center"/>
              <w:rPr>
                <w:color w:val="auto"/>
                <w:sz w:val="20"/>
                <w:szCs w:val="20"/>
                <w:highlight w:val="none"/>
              </w:rPr>
            </w:pPr>
            <w:r>
              <w:rPr>
                <w:rFonts w:hint="eastAsia"/>
                <w:color w:val="auto"/>
                <w:sz w:val="20"/>
                <w:szCs w:val="20"/>
                <w:highlight w:val="none"/>
                <w:lang w:val="en-US" w:eastAsia="zh-CN"/>
              </w:rPr>
              <w:t xml:space="preserve"> 1、</w:t>
            </w:r>
            <w:r>
              <w:rPr>
                <w:color w:val="auto"/>
                <w:sz w:val="20"/>
                <w:szCs w:val="20"/>
                <w:highlight w:val="none"/>
              </w:rPr>
              <w:t>平台可统一查看所有教学设备硬件信息：屏幕尺寸、系统版本、CPU、内存、硬盘、网络状态等；支持列表、缩略图两种设备查看模式，批量预览设备实时画面。</w:t>
            </w:r>
          </w:p>
          <w:p w14:paraId="5AC45C76">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both"/>
              <w:rPr>
                <w:color w:val="auto"/>
                <w:sz w:val="20"/>
                <w:szCs w:val="20"/>
                <w:highlight w:val="none"/>
              </w:rPr>
            </w:pPr>
            <w:r>
              <w:rPr>
                <w:rFonts w:hint="eastAsia"/>
                <w:color w:val="auto"/>
                <w:sz w:val="20"/>
                <w:szCs w:val="20"/>
                <w:highlight w:val="none"/>
                <w:lang w:val="en-US" w:eastAsia="zh-CN"/>
              </w:rPr>
              <w:t xml:space="preserve"> 2、</w:t>
            </w:r>
            <w:r>
              <w:rPr>
                <w:color w:val="auto"/>
                <w:sz w:val="20"/>
                <w:szCs w:val="20"/>
                <w:highlight w:val="none"/>
              </w:rPr>
              <w:t>远程巡课督导：可实时查看设备屏幕画面与课堂摄像头画面；支持远程下发设备系统、集控软件升级包，设备空闲时段自动完成更新。</w:t>
            </w:r>
          </w:p>
          <w:p w14:paraId="7900F641">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eastAsia"/>
                <w:color w:val="auto"/>
                <w:sz w:val="20"/>
                <w:szCs w:val="20"/>
                <w:highlight w:val="none"/>
                <w:lang w:val="en-US" w:eastAsia="zh-CN"/>
              </w:rPr>
              <w:t xml:space="preserve"> 3、</w:t>
            </w:r>
            <w:r>
              <w:rPr>
                <w:color w:val="auto"/>
                <w:sz w:val="20"/>
                <w:szCs w:val="20"/>
                <w:highlight w:val="none"/>
              </w:rPr>
              <w:t>远程管理功能：支持批量设置定时锁屏 / 解锁，可按工作日、周末自定义循环策略；远程下发考场考试安排，设备按时展示考试信息。</w:t>
            </w:r>
          </w:p>
        </w:tc>
        <w:tc>
          <w:tcPr>
            <w:tcW w:w="0" w:type="auto"/>
            <w:tcBorders>
              <w:top w:val="nil"/>
              <w:left w:val="single" w:color="000000" w:sz="4" w:space="0"/>
              <w:bottom w:val="single" w:color="000000" w:sz="4" w:space="0"/>
              <w:right w:val="nil"/>
            </w:tcBorders>
            <w:shd w:val="clear" w:color="auto" w:fill="auto"/>
            <w:noWrap/>
            <w:vAlign w:val="center"/>
          </w:tcPr>
          <w:p w14:paraId="411B040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325BD59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13103EB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10000</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2E38079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10000 </w:t>
            </w:r>
          </w:p>
        </w:tc>
      </w:tr>
      <w:tr w14:paraId="70E4B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888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17AFA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移动一体机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190FF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一、显示参数（整机≥75 寸，Windows+Android 双系统）</w:t>
            </w:r>
          </w:p>
          <w:p w14:paraId="41E7C3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1.OPS 配置：可配套 OPS 电脑模块，OPS 厚度≥43mm，支持背部插入安装，同等规格通用 OPS 均可适配；</w:t>
            </w:r>
          </w:p>
          <w:p w14:paraId="1BB46F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2.图像模式：支持标准、动态、亮丽、用户等多种预设图像模式；侧边栏可调节亮度、对比度、饱和度、色温等参数；音效具备多套预设模式，支持高低音、平衡、环绕声开关调节；</w:t>
            </w:r>
          </w:p>
          <w:p w14:paraId="4E9F43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3.背光类型：DLED 直下式背光；</w:t>
            </w:r>
          </w:p>
          <w:p w14:paraId="5EBF31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4.屏幕规格：≥75 英寸，16:9 A 规液晶面板，物理分辨率 3840×2160 4K 超高清；</w:t>
            </w:r>
          </w:p>
          <w:p w14:paraId="036D07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5.屏幕基础性能：屏幕亮度≥380cd/㎡，静态对比度≥4000:1，灰阶响应时间≤6.5ms，NTSC 色域覆盖率≥72%；可视区域尺寸为参考值，同等 75 寸 4K 面板均可；</w:t>
            </w:r>
          </w:p>
          <w:p w14:paraId="020652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6.分屏功能：HDMI、安卓、Windows 全通道支持手势半屏显示，一键切换全屏，具备多类分屏适配模式即可，不强制固定数量。</w:t>
            </w:r>
          </w:p>
          <w:p w14:paraId="4C1747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二、系统参数</w:t>
            </w:r>
          </w:p>
          <w:p w14:paraId="3A5625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 xml:space="preserve">1.嵌入式安卓系统版本不低于 Android </w:t>
            </w:r>
            <w:r>
              <w:rPr>
                <w:rFonts w:hint="eastAsia" w:ascii="宋体" w:hAnsi="宋体" w:cs="宋体"/>
                <w:color w:val="auto"/>
                <w:kern w:val="0"/>
                <w:sz w:val="20"/>
                <w:szCs w:val="20"/>
                <w:highlight w:val="none"/>
                <w:lang w:val="en-US" w:eastAsia="zh-CN" w:bidi="ar"/>
              </w:rPr>
              <w:t>11</w:t>
            </w:r>
            <w:r>
              <w:rPr>
                <w:rFonts w:hint="eastAsia" w:ascii="宋体" w:hAnsi="宋体" w:eastAsia="宋体" w:cs="宋体"/>
                <w:color w:val="auto"/>
                <w:kern w:val="0"/>
                <w:sz w:val="20"/>
                <w:szCs w:val="20"/>
                <w:highlight w:val="none"/>
                <w:lang w:val="en-US" w:eastAsia="zh-CN" w:bidi="ar"/>
              </w:rPr>
              <w:t>，运行内存≥4GB，本地存储≥32GB；</w:t>
            </w:r>
          </w:p>
          <w:p w14:paraId="057E26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2.安卓主控：8 核处理器，等效主频≥1.55GHz（Cortex A55 或同性能架构均可）。</w:t>
            </w:r>
          </w:p>
          <w:p w14:paraId="0708007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三、智能音视频与互联</w:t>
            </w:r>
          </w:p>
          <w:p w14:paraId="630B23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1.内置高清广角摄像头，像素≥1600 万，视场角≥130°，覆盖整间会议室巡课拍摄；支持人脸快速解锁识别；</w:t>
            </w:r>
          </w:p>
          <w:p w14:paraId="4BAFE0A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2.内置立体环绕音响，整机额定总功率≥60W，发声均匀无杂音；麦克风阵列拾音距离≥10 米，满足全室收音；不限喇叭腔体、出声结构；</w:t>
            </w:r>
          </w:p>
          <w:p w14:paraId="2EA2148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3.内置蓝牙 5.2、2.4G/5G 双频 WiFi；双系统共用无线网络，无需重复配置；可发射 AP 热点，支持多终端无线接入，蓝牙稳定传输距离≥15 米；</w:t>
            </w:r>
          </w:p>
          <w:p w14:paraId="029A07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4.支持无线投屏，可通过 NFC、扫码、无线直连任意一种方式实现手机 / 平板投屏，支持多设备同时分屏；</w:t>
            </w:r>
          </w:p>
          <w:p w14:paraId="2B4519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5.可选配环境温湿度监测模块，可对接管理平台查看教室环境数据，无强制硬性要求。</w:t>
            </w:r>
          </w:p>
          <w:p w14:paraId="083E9E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四、红外触控参数</w:t>
            </w:r>
          </w:p>
          <w:p w14:paraId="46A62F1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1.红外多点触控，AG 防眩光钢化玻璃，光线透过率≥88%；</w:t>
            </w:r>
          </w:p>
          <w:p w14:paraId="3F8CC8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2.支持≥50 点同步书写触控，触控响应速度≤5ms，最小识别触摸物体≤3mm，强光下书写触控无失效；</w:t>
            </w:r>
          </w:p>
          <w:p w14:paraId="2F4A20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3.白板功能：无 PC 安卓端支持多笔同时书写、手掌智能擦除；可导出 PDF、SVG、IWB 等通用文档格式；内置充足数理化平面、立体绘图学科工具；差值分辨率满足 4K 高清书写精度即可，不强制固定数值。</w:t>
            </w:r>
          </w:p>
          <w:p w14:paraId="07ACEE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五、整机接口（满足拓展需求，可配套拓展坞补充接口）</w:t>
            </w:r>
          </w:p>
          <w:p w14:paraId="04C5BE7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1.输入：前置 HDMI、全功能 Type-C、多组 USB3.0；后置预留 HDMI 输入、3.5mm 音频输入；</w:t>
            </w:r>
          </w:p>
          <w:p w14:paraId="778981D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2.输出：3.5mm 音频输出；</w:t>
            </w:r>
          </w:p>
          <w:p w14:paraId="499A3C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3.网络：配备不少于 1 路千兆网口，双网口更佳；</w:t>
            </w:r>
          </w:p>
          <w:p w14:paraId="775832D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default" w:ascii="宋体" w:hAnsi="宋体" w:eastAsia="宋体" w:cs="宋体"/>
                <w:i w:val="0"/>
                <w:iCs w:val="0"/>
                <w:color w:val="auto"/>
                <w:sz w:val="20"/>
                <w:szCs w:val="20"/>
                <w:highlight w:val="none"/>
                <w:u w:val="none"/>
                <w:lang w:val="en-US" w:eastAsia="zh-CN"/>
              </w:rPr>
            </w:pPr>
            <w:r>
              <w:rPr>
                <w:rFonts w:hint="eastAsia" w:ascii="宋体" w:hAnsi="宋体" w:eastAsia="宋体" w:cs="宋体"/>
                <w:color w:val="auto"/>
                <w:kern w:val="0"/>
                <w:sz w:val="20"/>
                <w:szCs w:val="20"/>
                <w:highlight w:val="none"/>
                <w:lang w:val="en-US" w:eastAsia="zh-CN" w:bidi="ar"/>
              </w:rPr>
              <w:t>4.板载内置 USB、触控 USB 等拓展接口，整机外设接驳能力满足会议电脑、U 盘、摄像头、麦克风等常规设备使用。</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85F608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FD9C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7D90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7FA6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13000 </w:t>
            </w:r>
          </w:p>
        </w:tc>
      </w:tr>
      <w:tr w14:paraId="02D70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C63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162</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B3B240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计算机</w:t>
            </w:r>
          </w:p>
        </w:tc>
        <w:tc>
          <w:tcPr>
            <w:tcW w:w="6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B069A">
            <w:pPr>
              <w:keepNext w:val="0"/>
              <w:keepLines w:val="0"/>
              <w:widowControl/>
              <w:numPr>
                <w:ilvl w:val="0"/>
                <w:numId w:val="7"/>
              </w:numPr>
              <w:suppressLineNumbers w:val="0"/>
              <w:jc w:val="left"/>
              <w:textAlignment w:val="center"/>
              <w:rPr>
                <w:rFonts w:hint="eastAsia" w:ascii="宋体" w:hAnsi="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硬件技术参数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▲1、基本要求：国产自主品牌商用台式机，</w:t>
            </w:r>
            <w:r>
              <w:rPr>
                <w:rFonts w:hint="eastAsia" w:ascii="宋体" w:hAnsi="宋体" w:cs="宋体"/>
                <w:i w:val="0"/>
                <w:iCs w:val="0"/>
                <w:strike w:val="0"/>
                <w:dstrike w:val="0"/>
                <w:color w:val="auto"/>
                <w:kern w:val="0"/>
                <w:sz w:val="20"/>
                <w:szCs w:val="20"/>
                <w:highlight w:val="none"/>
                <w:u w:val="none"/>
                <w:lang w:val="en-US" w:eastAsia="zh-CN" w:bidi="ar"/>
              </w:rPr>
              <w:t>结构稳固，具备良好的散热性能。</w:t>
            </w:r>
          </w:p>
          <w:p w14:paraId="055239A1">
            <w:pPr>
              <w:keepNext w:val="0"/>
              <w:keepLines w:val="0"/>
              <w:widowControl/>
              <w:numPr>
                <w:ilvl w:val="0"/>
                <w:numId w:val="0"/>
              </w:numPr>
              <w:suppressLineNumbers w:val="0"/>
              <w:jc w:val="left"/>
              <w:textAlignment w:val="center"/>
              <w:rPr>
                <w:rFonts w:hint="eastAsia" w:ascii="宋体" w:hAnsi="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2、处理器： 处理器采用国产处理器，八核，主频≥2.7GHz；</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3、内存：配置≥16GB DDR4 UDIMM内存，配置≥2个内存插槽；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4、显卡：≥2G独立显卡。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5、硬盘：≥512GB M.2接口NVME协议SSD；</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▲6、电源：电源功率≤180W，电源适配器电线组件应符合GB/T15934的要求；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7、网络：1个RJ45 10/100/1000自适应以太网口；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▲8、接口：前置USB3.0接口≥4个；后置USB3.0接口≥2个，USB2.0接口≥2个；音频接口：麦克风1个，耳机1个；后端3个Audio音频接口；PCIE插槽数量≥3个；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▲9、数据安全：BIOS级USB屏蔽及智能USB数据保护：USB支持BIOS下接口开关，针对存储设备支持USB接口切换禁止访问模式/只读模式。</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10、显示器：配置≥23.8寸LED显示器，IPS屏，分辨率≥1920*1080，刷新频率≥</w:t>
            </w:r>
            <w:r>
              <w:rPr>
                <w:rFonts w:hint="eastAsia" w:ascii="宋体" w:hAnsi="宋体" w:cs="宋体"/>
                <w:i w:val="0"/>
                <w:iCs w:val="0"/>
                <w:color w:val="auto"/>
                <w:kern w:val="0"/>
                <w:sz w:val="20"/>
                <w:szCs w:val="20"/>
                <w:highlight w:val="none"/>
                <w:u w:val="none"/>
                <w:lang w:val="en-US" w:eastAsia="zh-CN" w:bidi="ar"/>
              </w:rPr>
              <w:t>75</w:t>
            </w:r>
            <w:r>
              <w:rPr>
                <w:rFonts w:hint="eastAsia" w:ascii="宋体" w:hAnsi="宋体" w:eastAsia="宋体" w:cs="宋体"/>
                <w:i w:val="0"/>
                <w:iCs w:val="0"/>
                <w:color w:val="auto"/>
                <w:kern w:val="0"/>
                <w:sz w:val="20"/>
                <w:szCs w:val="20"/>
                <w:highlight w:val="none"/>
                <w:u w:val="none"/>
                <w:lang w:val="en-US" w:eastAsia="zh-CN" w:bidi="ar"/>
              </w:rPr>
              <w:t>Hz，对比度≥1000:1</w:t>
            </w:r>
            <w:r>
              <w:rPr>
                <w:rFonts w:hint="eastAsia" w:ascii="宋体" w:hAnsi="宋体" w:cs="宋体"/>
                <w:i w:val="0"/>
                <w:iCs w:val="0"/>
                <w:color w:val="auto"/>
                <w:kern w:val="0"/>
                <w:sz w:val="20"/>
                <w:szCs w:val="20"/>
                <w:highlight w:val="none"/>
                <w:u w:val="none"/>
                <w:lang w:val="en-US" w:eastAsia="zh-CN" w:bidi="ar"/>
              </w:rPr>
              <w:t>；</w:t>
            </w:r>
          </w:p>
          <w:p w14:paraId="5A35B9CD">
            <w:pPr>
              <w:keepNext w:val="0"/>
              <w:keepLines w:val="0"/>
              <w:widowControl/>
              <w:numPr>
                <w:ilvl w:val="0"/>
                <w:numId w:val="0"/>
              </w:numPr>
              <w:suppressLineNumbers w:val="0"/>
              <w:ind w:left="0" w:leftChars="0" w:firstLine="0" w:firstLineChars="0"/>
              <w:jc w:val="left"/>
              <w:textAlignment w:val="center"/>
              <w:rPr>
                <w:rFonts w:hint="default"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kern w:val="0"/>
                <w:sz w:val="20"/>
                <w:szCs w:val="20"/>
                <w:highlight w:val="none"/>
                <w:u w:val="none"/>
                <w:lang w:val="en-US" w:eastAsia="zh-CN" w:bidi="ar"/>
              </w:rPr>
              <w:t>11、操作系统：预装符合桌面操作系统政府采购需求标准的正版操作系统；预装的操作系统符合《操作系统政府采购需求标准》中加*指标要求（财政部工业和信息化部关于印发《操作系统政府采购需求标准（2023年版）》的通知）。</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12、办公软件：预装带正版授权的办公软件</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（含三年服务）；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▲13、关键部件安全要求：CPU和操作系统等关键部件应当符合安全可靠测评要求。（提供通过安全可靠测评的证明书或作出承诺）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二、班级管理平台软件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1、后台采用 B/S 架构设计，能够支持不同角色在 web 上进行操作，支持微信和账号登录、支持学校自定义角色、教师角色切换。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2、支持上传多个备课文档、支持一屏稿件对比，支持查看该次集体备课数据统计及访问记录。集体备课终稿存到我的成果库。并支持查看集体备课数据报告；</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、支持区域、学校管理者发起在线收集资料的任务，老师按照在线任务要求上传资料，支持管理者将收集上来的资料分类归档管理【</w:t>
            </w:r>
            <w:r>
              <w:rPr>
                <w:rFonts w:hint="eastAsia" w:ascii="宋体" w:hAnsi="宋体" w:cs="宋体"/>
                <w:i w:val="0"/>
                <w:iCs w:val="0"/>
                <w:color w:val="auto"/>
                <w:kern w:val="0"/>
                <w:sz w:val="20"/>
                <w:szCs w:val="20"/>
                <w:highlight w:val="none"/>
                <w:u w:val="none"/>
                <w:lang w:val="en-US" w:eastAsia="zh-CN" w:bidi="ar"/>
              </w:rPr>
              <w:t>响应供应商</w:t>
            </w:r>
            <w:r>
              <w:rPr>
                <w:rFonts w:hint="eastAsia" w:ascii="宋体" w:hAnsi="宋体" w:eastAsia="宋体" w:cs="宋体"/>
                <w:i w:val="0"/>
                <w:iCs w:val="0"/>
                <w:color w:val="auto"/>
                <w:kern w:val="0"/>
                <w:sz w:val="20"/>
                <w:szCs w:val="20"/>
                <w:highlight w:val="none"/>
                <w:u w:val="none"/>
                <w:lang w:val="en-US" w:eastAsia="zh-CN" w:bidi="ar"/>
              </w:rPr>
              <w:t>于</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中必须提供所投产品满足本条技术要求的相关有效证明材料复印件，证明材料可以是国家认可的第三方检验（测）机构出具的合格有效的检验（测）报告或官网截图或功能截图或产品彩页】</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三、教学授课软件功能要求：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 xml:space="preserve">.无需导入平台，可直接在PPT中通过备课插件添加课堂互动游戏、思维导图、网站链接、网络画板等。课件编辑完成可一键同步至云端；如教师不想保存在云平台可直接以PPT格式保存在本地，不允许系统自动在云平台中更新教师的资源；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 xml:space="preserve">.试题能够根据课本章节、题型、难易程度进行筛选，并提供知识点试题，可按知识点筛选，支持收藏、查看试题答案、解析、关联知识点，支持对试题进行二次编辑，支持将试题一键加入备课；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.通过对纸质试题拍照，可将图片上传，将纸质文字变为电子版文字，便于老师优质试题的收集使用；（</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4</w:t>
            </w:r>
            <w:r>
              <w:rPr>
                <w:rFonts w:hint="eastAsia" w:ascii="宋体" w:hAnsi="宋体" w:eastAsia="宋体" w:cs="宋体"/>
                <w:i w:val="0"/>
                <w:iCs w:val="0"/>
                <w:color w:val="auto"/>
                <w:kern w:val="0"/>
                <w:sz w:val="20"/>
                <w:szCs w:val="20"/>
                <w:highlight w:val="none"/>
                <w:u w:val="none"/>
                <w:lang w:val="en-US" w:eastAsia="zh-CN" w:bidi="ar"/>
              </w:rPr>
              <w:t>.支持将音视频分成不同小节，支持自定义视频小节名称，播放时可通过点击小节名称快速定位关键教学内容。（</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内置多种随堂练习、趣味答题模板，适配课堂巩固。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6</w:t>
            </w:r>
            <w:r>
              <w:rPr>
                <w:rFonts w:hint="eastAsia" w:ascii="宋体" w:hAnsi="宋体" w:eastAsia="宋体" w:cs="宋体"/>
                <w:i w:val="0"/>
                <w:iCs w:val="0"/>
                <w:color w:val="auto"/>
                <w:kern w:val="0"/>
                <w:sz w:val="20"/>
                <w:szCs w:val="20"/>
                <w:highlight w:val="none"/>
                <w:u w:val="none"/>
                <w:lang w:val="en-US" w:eastAsia="zh-CN" w:bidi="ar"/>
              </w:rPr>
              <w:t>.为方便教师快速查找，所有备课资源均可按照系统自带教材章节进行存储，无需教师自建存储条目；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7</w:t>
            </w:r>
            <w:r>
              <w:rPr>
                <w:rFonts w:hint="eastAsia" w:ascii="宋体" w:hAnsi="宋体" w:eastAsia="宋体" w:cs="宋体"/>
                <w:i w:val="0"/>
                <w:iCs w:val="0"/>
                <w:color w:val="auto"/>
                <w:kern w:val="0"/>
                <w:sz w:val="20"/>
                <w:szCs w:val="20"/>
                <w:highlight w:val="none"/>
                <w:u w:val="none"/>
                <w:lang w:val="en-US" w:eastAsia="zh-CN" w:bidi="ar"/>
              </w:rPr>
              <w:t xml:space="preserve">.备课界面支持将教案、课件、学案、试题、练习、网络画板、虚拟实验、微课等教学资源分享给校内指定教师使用；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8</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白板教学：提供多种书写笔触、可调色彩，支持自定义常用配色。</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9</w:t>
            </w:r>
            <w:r>
              <w:rPr>
                <w:rFonts w:hint="eastAsia" w:ascii="宋体" w:hAnsi="宋体" w:eastAsia="宋体" w:cs="宋体"/>
                <w:i w:val="0"/>
                <w:iCs w:val="0"/>
                <w:color w:val="auto"/>
                <w:kern w:val="0"/>
                <w:sz w:val="20"/>
                <w:szCs w:val="20"/>
                <w:highlight w:val="none"/>
                <w:u w:val="none"/>
                <w:lang w:val="en-US" w:eastAsia="zh-CN" w:bidi="ar"/>
              </w:rPr>
              <w:t>.支持三个及以上学生同时进行书写或手势擦除操作，不同学生各自进行书写或擦除，互不影响；</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10</w:t>
            </w:r>
            <w:r>
              <w:rPr>
                <w:rFonts w:hint="eastAsia" w:ascii="宋体" w:hAnsi="宋体" w:eastAsia="宋体" w:cs="宋体"/>
                <w:i w:val="0"/>
                <w:iCs w:val="0"/>
                <w:color w:val="auto"/>
                <w:kern w:val="0"/>
                <w:sz w:val="20"/>
                <w:szCs w:val="20"/>
                <w:highlight w:val="none"/>
                <w:u w:val="none"/>
                <w:lang w:val="en-US" w:eastAsia="zh-CN" w:bidi="ar"/>
              </w:rPr>
              <w:t>.支持对白板页面中的元素进行隐藏、锁定、缩放、旋转、置顶等操作，被隐藏元素可以一键重新显示在白板上；</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D599D3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93C1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EBE0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C588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10000 </w:t>
            </w:r>
          </w:p>
        </w:tc>
      </w:tr>
      <w:tr w14:paraId="2EFE9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B99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8A605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平衡车</w:t>
            </w:r>
          </w:p>
        </w:tc>
        <w:tc>
          <w:tcPr>
            <w:tcW w:w="0" w:type="auto"/>
            <w:tcBorders>
              <w:top w:val="single" w:color="000000" w:sz="4" w:space="0"/>
              <w:left w:val="single" w:color="000000" w:sz="4" w:space="0"/>
              <w:bottom w:val="single" w:color="000000" w:sz="4" w:space="0"/>
              <w:right w:val="nil"/>
            </w:tcBorders>
            <w:shd w:val="clear" w:color="auto" w:fill="auto"/>
            <w:vAlign w:val="center"/>
          </w:tcPr>
          <w:p w14:paraId="4E62357D">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尺寸：</w:t>
            </w:r>
            <w:r>
              <w:rPr>
                <w:rFonts w:hint="eastAsia" w:ascii="宋体" w:hAnsi="宋体" w:eastAsia="宋体" w:cs="宋体"/>
                <w:i w:val="0"/>
                <w:iCs w:val="0"/>
                <w:color w:val="auto"/>
                <w:kern w:val="0"/>
                <w:sz w:val="20"/>
                <w:szCs w:val="20"/>
                <w:highlight w:val="none"/>
                <w:u w:val="none"/>
                <w:lang w:val="en-US" w:eastAsia="zh-CN" w:bidi="ar"/>
              </w:rPr>
              <w:t>整车长度：790~810mm，车把高度520~540mm，车座高28cm-38cm可调，</w:t>
            </w:r>
            <w:r>
              <w:rPr>
                <w:rFonts w:hint="eastAsia" w:ascii="宋体" w:hAnsi="宋体" w:eastAsia="宋体" w:cs="宋体"/>
                <w:i w:val="0"/>
                <w:iCs w:val="0"/>
                <w:color w:val="auto"/>
                <w:kern w:val="0"/>
                <w:sz w:val="20"/>
                <w:szCs w:val="20"/>
                <w:u w:val="none"/>
                <w:lang w:val="en-US" w:eastAsia="zh-CN" w:bidi="ar"/>
              </w:rPr>
              <w:t>14寸轮胎直径。镁合金车架，低跨度低重心设计，，加粗加厚防滑充气轮胎， 加宽减震，车座可调适应身高，PU全包舒适座椅。</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226074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4F1F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A4B7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9F6B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420 </w:t>
            </w:r>
          </w:p>
        </w:tc>
      </w:tr>
      <w:tr w14:paraId="5943E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037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A2088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跑酷组合</w:t>
            </w:r>
          </w:p>
        </w:tc>
        <w:tc>
          <w:tcPr>
            <w:tcW w:w="0" w:type="auto"/>
            <w:tcBorders>
              <w:top w:val="single" w:color="000000" w:sz="4" w:space="0"/>
              <w:left w:val="single" w:color="000000" w:sz="4" w:space="0"/>
              <w:bottom w:val="single" w:color="000000" w:sz="4" w:space="0"/>
              <w:right w:val="nil"/>
            </w:tcBorders>
            <w:shd w:val="clear" w:color="auto" w:fill="auto"/>
            <w:vAlign w:val="center"/>
          </w:tcPr>
          <w:p w14:paraId="2F24E867">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一、整套器材明细（参考尺寸+数量）</w:t>
            </w:r>
          </w:p>
          <w:p w14:paraId="1CA57F7D">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w:t>
            </w:r>
          </w:p>
          <w:p w14:paraId="00D99CFC">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1、单面弧形跑酷箱体：参考尺寸175cm×75cm×175cm，共2个；弧形过渡流畅，适配幼儿翻越、跳跃训练，箱体稳固、抗压不变形。</w:t>
            </w:r>
          </w:p>
          <w:p w14:paraId="5F2F8D1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2、猫挂三角架：参考尺寸120cm×80cm×90cm，共2个；三角稳定结构，支撑牢固，适配幼儿悬挂、攀爬、平衡训练。</w:t>
            </w:r>
          </w:p>
          <w:p w14:paraId="6756BC0A">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3、渐进式跳箱：参考尺寸76cm×65cm×130cm，共1个；分层渐进结构，适配幼儿阶梯式跳跃体能训练。</w:t>
            </w:r>
          </w:p>
          <w:p w14:paraId="7F2C291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4、跑酷跳箱一：参考尺寸90cm×45cm×48cm，共1个；箱体方正稳固，海绵填充饱满，跳跃缓冲性佳。</w:t>
            </w:r>
          </w:p>
          <w:p w14:paraId="3CC7A01D">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5、跑酷跳箱二：参考尺寸90cm×70cm×75cm，共1个；加厚箱体设计，承重抗压，适配幼儿跳跃、跨越训练。</w:t>
            </w:r>
          </w:p>
          <w:p w14:paraId="246436DA">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6、跑酷跳箱三：参考尺寸90cm×68cm×60cm，共1个；尺寸适配低龄幼儿训练，缓冲安全、稳定性强。</w:t>
            </w:r>
          </w:p>
          <w:p w14:paraId="346B0A9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7、跑酷跳箱四：参考尺寸90cm×70cm×95cm，共1个；高箱体设计，满足进阶跑酷跳跃训练需求。</w:t>
            </w:r>
          </w:p>
          <w:p w14:paraId="74A735B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8、升降三角架：参考尺寸100cm×100cm×170cm，共2个；可适配不同高度训练需求，三角稳固结构，抗撞击、不易倾倒。</w:t>
            </w:r>
          </w:p>
          <w:p w14:paraId="505640BE">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9、三角蹬：参考尺寸78cm×50cm×45cm，共8个；小巧轻便、堆叠组合灵活，适配合梯、跨越、踩踏平衡训练。</w:t>
            </w:r>
          </w:p>
          <w:p w14:paraId="487F9024">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10、双折训练体操垫：参考尺寸120cm×60cm×5cm，共5个；双折设计，收纳便捷；高密度海绵缓冲，表层防滑耐磨皮革，防护性佳，适配跑酷训练防护铺垫。</w:t>
            </w:r>
          </w:p>
          <w:p w14:paraId="15CED09C">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二、材质与安全工艺要求</w:t>
            </w:r>
          </w:p>
          <w:p w14:paraId="2910D7B7">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1、主体箱体、支架结构稳固，板材厚实抗压，整体不易变形、开裂，适配幼儿园高频体能跑酷训练使用。</w:t>
            </w:r>
          </w:p>
          <w:p w14:paraId="0DC80C87">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2、所有器材外露边角、棱边全部采用全方位大圆弧倒角钝化处理，无尖角、毛刺、锐利切口，杜绝磕碰划伤风险，符合GB 6675儿童玩具安全标准。</w:t>
            </w:r>
          </w:p>
          <w:p w14:paraId="6F4400CE">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3、软体部件采用高密度回弹海绵，外层包裹耐磨防水环保皮革，缝合工整紧密，不易开线、脱层、塌陷，表面光滑易清洁、可日常消毒擦拭。</w:t>
            </w:r>
          </w:p>
          <w:p w14:paraId="3FD2964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4、硬质支架采用加厚管材，焊接牢固、打磨平整，表面防锈防腐喷涂处理，结构承重稳定，训练过程无晃动、无松动异响。</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F95241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F6B1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1CE9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64DA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12000 </w:t>
            </w:r>
          </w:p>
        </w:tc>
      </w:tr>
      <w:tr w14:paraId="6C09C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8F3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C5A4A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幼儿角色表演区服装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4DC118">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kern w:val="0"/>
                <w:sz w:val="20"/>
                <w:szCs w:val="20"/>
                <w:highlight w:val="none"/>
                <w:u w:val="none"/>
                <w:lang w:val="en-US" w:eastAsia="zh-CN" w:bidi="ar"/>
              </w:rPr>
              <w:t>一、整体采购配置要求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职业类表演服：含 上衣+裤子/裙子+配套帽子+配套鞋子，每款各3套，尺码适配幼儿园小、中、大班幼儿。</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动物类表演服：连体全套服装（含头饰/头套），每款各2套，宽松版型适配全园幼儿。</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整体要求：面料柔软、透气、不褪色、不起球、无异味，符合幼儿皮肤接触安全标准，耐洗耐穿、不易变形。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二、通用面料材质标准（所有服装统一要求）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主体面料</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采用优质加厚亲肤聚酯纤维+棉混纺面料，高密度织布，克重≥180g/㎡；面料细腻平滑、透气不透光、亲肤不扎皮肤，适合幼儿长时间穿着表演。</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禁止使用薄透、粗糙、起球、廉价纱布料、回收二次面料。</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印花、贴花、装饰材质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采用环保水性胶印/烫画工艺，无刺鼻气味，不掉色、不开裂、不脱落；装饰边角全部包边锁边，无硬胶凸起，不磨皮肤。</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毛绒面料（动物服专用）</w:t>
            </w:r>
            <w:r>
              <w:rPr>
                <w:rFonts w:hint="eastAsia" w:ascii="宋体" w:hAnsi="宋体" w:eastAsia="宋体" w:cs="宋体"/>
                <w:i w:val="0"/>
                <w:iCs w:val="0"/>
                <w:color w:val="auto"/>
                <w:kern w:val="0"/>
                <w:sz w:val="20"/>
                <w:szCs w:val="20"/>
                <w:highlight w:val="none"/>
                <w:u w:val="none"/>
                <w:lang w:val="en-US" w:eastAsia="zh-CN" w:bidi="ar"/>
              </w:rPr>
              <w:br w:type="textWrapping"/>
            </w:r>
            <w:r>
              <w:rPr>
                <w:rFonts w:ascii="宋体" w:hAnsi="宋体" w:eastAsia="宋体" w:cs="宋体"/>
                <w:color w:val="auto"/>
                <w:sz w:val="20"/>
                <w:szCs w:val="20"/>
                <w:highlight w:val="none"/>
              </w:rPr>
              <w:t>采用高密短毛绒、南韩绒或同等不掉毛环保毛绒材质，毛面平整饱满，使用过程不飞絮、不粘身、无枯乱结块毛绒，杜绝毛绒吸入口鼻风险。</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三、职业表演服专用参数（全套：服装+帽子+鞋子 / 每款3套）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包含职业品类（常规幼儿园全套职业款）：医生、护士、警察、消防员、空姐、机长、厨师、工程师、环卫工人、军人、交警、理发师、店员、老师等常规职业套装。</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服装做工要求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整件服装双线锁边、全身包边工艺，线头清理干净，无跳线、无脱线、无开缝；版型宽松立体，不紧绷、不束缚幼儿肢体活动。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领口、袖口、下摆弹力适中，久穿不变形；腰部松紧带加宽加厚，不勒肚子、不卷边。</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配套帽子参数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同色系配套专用帽子，面料与衣服同款同质，版型挺括不软塌、不易变形；帽内加柔软吸汗内衬，不磨额头、不扎皮肤，松紧适配幼儿头围，佩戴稳固不易掉落。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配套表演鞋子参数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鞋面：环保柔软PU软皮材质，防水、耐擦、易清洗，无异味；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鞋底：加厚防滑软胶底，柔韧弯折不断底，静音防滑，保护幼儿脚踝；</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鞋内里：亲肤透气布，不闷脚、不磨脚，魔术贴开合，穿脱方便，适配全园幼儿脚码。</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四、动物表演服专用参数（每款2套，连体全套）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常规动物品类：小兔、小熊、老虎、狮子、小羊、小牛、小猪、小狗、小猫、青蛙、小鸟、小鸡等幼儿园常用动物款式。</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主体面料</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全身高密度短毛绒面料，毛面均匀、饱满、顺滑，不掉毛、不脱绒、不起静电，杜绝掉毛吸入幼儿口鼻，安全无害。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版型结构</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连体宽松版型，全身宽松不束缚，方便跑跳、做动作；腋下、裆部宽松加大，活动无压力；后背隐形拉链设计，穿脱方便，拉链包边不磨皮肤。</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头饰/头套要求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配套同系列立体动物头套/头饰，造型饱满可爱，无尖锐硬角，内部柔软透气，不压头、不闷汗，眼部透气开孔合理，不遮挡幼儿视线，安全表演。</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 细节工艺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五官刺绣/精工缝制，无粘贴硬塑料件，避免脱落、误食风险；所有拼接位置锁边加固，久穿不裂线、不变形。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五、安全环保标准（硬性验收条款）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色牢度达标：水洗、摩擦不褪色，不沾染幼儿皮肤。</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职业表演服：每一个职业款式 = 服装+帽子+鞋子 全套3套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面料厚实、无薄透、无起球、无掉毛、无异味；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 帽子、鞋子、服装配套统一，版型标准、配色一致；</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每套独立OPP防尘袋包装，分类装箱，标识清晰；随货附带合格证、质检报告，可提供面料检测、安全环保检测资料。</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F48C46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4F1A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D318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4EB0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1500 </w:t>
            </w:r>
          </w:p>
        </w:tc>
      </w:tr>
      <w:tr w14:paraId="16D63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3B8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767DD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沙水玩具组合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7D00CB">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（参考尺寸+数量）</w:t>
            </w:r>
          </w:p>
          <w:p w14:paraId="774230E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以下所有尺寸允许±2cm合理生产及安装公差。1、沙水组合套装148件。2、材质：芬兰木和PP）        户外沙水游戏采用芬兰松防腐木，倒角，光滑无毛刺。3、尺寸分别为水车，96*46*48.5，66*46*48.5， 每个尺寸1个共2个；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立板1：尺寸：370*300*15mm，4个；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立板2：尺寸:524*300*15mm，4个；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立板3：尺寸：677*300*15mm，4个；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立板4：尺寸：831*300*15mm，4个；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鱼板：尺寸394*150*15mm，16个；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挡水板：尺寸：500*407*15mm，，4个；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水泵：尺寸：dn48，4个；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剖面管1：尺寸：直径105mm,长1000mm，10个；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剖面管2：尺寸：直径105mm,长1500mm，5个；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剖面管3:尺寸：直径105mm,长2000mm，2个；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高透明管道1：尺寸：直径110mm,壁厚2mm,长1000mm，5个；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高透明管道2：尺寸：直径110mm,壁厚2mm,1500mm5个；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水龙头连接器：尺寸：4分，5个；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软管：尺寸25.250cm，4个；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硅胶软管：4分/35000,30米；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弯头：尺寸：175*175*120mm，2个；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三通：尺寸：215*18*120mm，2个；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塞子：尺寸：110*110*75mm   ，2个；管堵：尺寸120*120*80mm，4个；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铲子小：尺寸：360*90mm，12个；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铲子中:尺寸：500*120，5个；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铲子大：尺寸：68*150mm，3个；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筛网（小）：尺寸：直径150，20个；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筛网（中）：尺寸：直径200，10个；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筛网（中）：尺寸：直径280，5个；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沙桶：尺寸：尺寸：直径260，5个；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4415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1DFE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453D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DDF7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5500 </w:t>
            </w:r>
          </w:p>
        </w:tc>
      </w:tr>
      <w:tr w14:paraId="61F3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B17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C6E79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户外玩具多功能防雨收纳柜</w:t>
            </w:r>
          </w:p>
        </w:tc>
        <w:tc>
          <w:tcPr>
            <w:tcW w:w="0" w:type="auto"/>
            <w:tcBorders>
              <w:top w:val="single" w:color="000000" w:sz="4" w:space="0"/>
              <w:left w:val="single" w:color="000000" w:sz="4" w:space="0"/>
              <w:bottom w:val="single" w:color="000000" w:sz="4" w:space="0"/>
              <w:right w:val="nil"/>
            </w:tcBorders>
            <w:shd w:val="clear" w:color="auto" w:fill="auto"/>
            <w:vAlign w:val="center"/>
          </w:tcPr>
          <w:p w14:paraId="2D01B39D">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规格尺</w:t>
            </w:r>
            <w:r>
              <w:rPr>
                <w:rFonts w:hint="eastAsia" w:ascii="宋体" w:hAnsi="宋体" w:eastAsia="宋体" w:cs="宋体"/>
                <w:i w:val="0"/>
                <w:iCs w:val="0"/>
                <w:color w:val="auto"/>
                <w:kern w:val="0"/>
                <w:sz w:val="20"/>
                <w:szCs w:val="20"/>
                <w:highlight w:val="none"/>
                <w:u w:val="none"/>
                <w:lang w:val="en-US" w:eastAsia="zh-CN" w:bidi="ar"/>
              </w:rPr>
              <w:t>寸：</w:t>
            </w:r>
            <w:r>
              <w:rPr>
                <w:rFonts w:ascii="宋体" w:hAnsi="宋体" w:eastAsia="宋体" w:cs="宋体"/>
                <w:sz w:val="20"/>
                <w:szCs w:val="20"/>
                <w:highlight w:val="none"/>
              </w:rPr>
              <w:t>宽 1350~1450mm、深 650~750mm、高 1250~1350mm</w:t>
            </w:r>
            <w:r>
              <w:rPr>
                <w:rFonts w:hint="eastAsia" w:ascii="宋体" w:hAnsi="宋体" w:eastAsia="宋体" w:cs="宋体"/>
                <w:i w:val="0"/>
                <w:iCs w:val="0"/>
                <w:color w:val="auto"/>
                <w:kern w:val="0"/>
                <w:sz w:val="20"/>
                <w:szCs w:val="20"/>
                <w:highlight w:val="none"/>
                <w:u w:val="none"/>
                <w:lang w:val="en-US" w:eastAsia="zh-CN" w:bidi="ar"/>
              </w:rPr>
              <w:t>，钢材</w:t>
            </w:r>
            <w:r>
              <w:rPr>
                <w:rFonts w:hint="eastAsia" w:ascii="宋体" w:hAnsi="宋体" w:eastAsia="宋体" w:cs="宋体"/>
                <w:i w:val="0"/>
                <w:iCs w:val="0"/>
                <w:color w:val="auto"/>
                <w:kern w:val="0"/>
                <w:sz w:val="20"/>
                <w:szCs w:val="20"/>
                <w:u w:val="none"/>
                <w:lang w:val="en-US" w:eastAsia="zh-CN" w:bidi="ar"/>
              </w:rPr>
              <w:t>焊接制作，静电喷涂，深灰色；分二层层架，可活动拆装 ；中间全空间连通，每组分两个对开门，安装4个移动轮，锁具安装。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94C8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7859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A01A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962E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10800 </w:t>
            </w:r>
          </w:p>
        </w:tc>
      </w:tr>
      <w:tr w14:paraId="18B2D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C4E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4E815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军事体能训练障碍器材</w:t>
            </w:r>
          </w:p>
        </w:tc>
        <w:tc>
          <w:tcPr>
            <w:tcW w:w="0" w:type="auto"/>
            <w:tcBorders>
              <w:top w:val="single" w:color="000000" w:sz="4" w:space="0"/>
              <w:left w:val="single" w:color="000000" w:sz="4" w:space="0"/>
              <w:bottom w:val="single" w:color="000000" w:sz="4" w:space="0"/>
              <w:right w:val="nil"/>
            </w:tcBorders>
            <w:shd w:val="clear" w:color="auto" w:fill="auto"/>
            <w:vAlign w:val="center"/>
          </w:tcPr>
          <w:p w14:paraId="034DF639">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（参考尺寸+数量）</w:t>
            </w:r>
          </w:p>
          <w:p w14:paraId="517D517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以下所有尺寸允许±2cm合理生产及安装公差。平衡木1个尺寸：2.8m*35cm 墩子2个尺寸：55*30*50cm 圆木桩1个尺寸：180*30cm 穿洞1个：110*110cm 三角攀爬1个：尺寸110*90cm 垫子2个尺寸：160*98*9cm 高低台1个 尺寸：70*70*80cm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936A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CE68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69C6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A8E4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4200 </w:t>
            </w:r>
          </w:p>
        </w:tc>
      </w:tr>
      <w:tr w14:paraId="30CF5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62D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169</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A1B634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安吉游戏户外碳化攀爬架组合</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C4D8417">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（参考尺寸+数量）</w:t>
            </w:r>
          </w:p>
          <w:p w14:paraId="317EBE7C">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新西兰松木碳化清漆，PVC,PP等。工艺：打磨光滑无毛刺。规格：探索组合28件/套（安吉箱60*60*60cm2个，侧面有2个不同的镂空造型，分别是六边形镂空和长方形镂空，方便梯子插入箱体；短梯子150*35*7cm4个，长梯子195*35*7cm4个，人字架120*60*14cm4个，高支架60*60*60cm2个，低支架60*60*30cm2个，长平衡板150*20*2.5cm4个，短平衡板120*20*2.5cm4个，大滚筒（短）φ56*60cm1个，小滚筒（短）φ50*60cm1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1.主木材：材质为碳化木+防水PVC板，安吉箱板材厚度≧1.5cm，工艺处理：经过开料、刨光、砂磨、边缘倒圆处理。成品无裂纹和毛刺，接缝自然，没有明显缝隙及缺口。</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2.油漆：使用环保型玩具专用水性漆，二底二面，喷漆均匀，表面漆膜平整光亮、无皱皮、发粘和漏漆现象，无毒无味，安全环保。甲醛释放量符合</w:t>
            </w:r>
            <w:r>
              <w:rPr>
                <w:rFonts w:hint="eastAsia" w:ascii="宋体" w:hAnsi="宋体" w:cs="宋体"/>
                <w:i w:val="0"/>
                <w:iCs w:val="0"/>
                <w:color w:val="auto"/>
                <w:kern w:val="0"/>
                <w:sz w:val="20"/>
                <w:szCs w:val="20"/>
                <w:highlight w:val="none"/>
                <w:u w:val="none"/>
                <w:lang w:val="en-US" w:eastAsia="zh-CN" w:bidi="ar"/>
              </w:rPr>
              <w:t>GB30981.2-2025</w:t>
            </w:r>
            <w:r>
              <w:rPr>
                <w:rFonts w:hint="eastAsia" w:ascii="宋体" w:hAnsi="宋体" w:eastAsia="宋体" w:cs="宋体"/>
                <w:i w:val="0"/>
                <w:iCs w:val="0"/>
                <w:color w:val="auto"/>
                <w:kern w:val="0"/>
                <w:sz w:val="20"/>
                <w:szCs w:val="20"/>
                <w:highlight w:val="none"/>
                <w:u w:val="none"/>
                <w:lang w:val="en-US" w:eastAsia="zh-CN" w:bidi="ar"/>
              </w:rPr>
              <w:t>木器涂料中有害物质限量的要求，并提供检测报告。</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滚筒材质为环保PP材质，牢固耐用，安全环保。4、提供GB6675-2014.1.2.3.4国家玩具安全标准检测报告（检测报告必须包括:GB6675.4-2014-特定元素的迁移，GB6675.1-2014-章节537领苯二甲酸酯，GB6675.2-2014-玩具安全第2部分机械与物理性能，GB6675.3-2014玩具安全第3部分：易燃性能，共四个部分检测合格）。</w:t>
            </w:r>
          </w:p>
        </w:tc>
        <w:tc>
          <w:tcPr>
            <w:tcW w:w="0" w:type="auto"/>
            <w:tcBorders>
              <w:top w:val="single" w:color="000000" w:sz="4" w:space="0"/>
              <w:left w:val="single" w:color="000000" w:sz="4" w:space="0"/>
              <w:bottom w:val="nil"/>
              <w:right w:val="nil"/>
            </w:tcBorders>
            <w:shd w:val="clear" w:color="auto" w:fill="auto"/>
            <w:noWrap/>
            <w:vAlign w:val="center"/>
          </w:tcPr>
          <w:p w14:paraId="0DC831D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7C0035D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0BC5ED75">
            <w:pPr>
              <w:keepNext w:val="0"/>
              <w:keepLines w:val="0"/>
              <w:widowControl/>
              <w:suppressLineNumbers w:val="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6680</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0E3E8343">
            <w:pPr>
              <w:keepNext w:val="0"/>
              <w:keepLines w:val="0"/>
              <w:widowControl/>
              <w:suppressLineNumbers w:val="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6680</w:t>
            </w:r>
          </w:p>
        </w:tc>
      </w:tr>
      <w:tr w14:paraId="7B05B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955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171</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1FAEDF7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安吉游戏户外碳化攀爬架组合</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7483D587">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（参考尺寸+数量）</w:t>
            </w:r>
          </w:p>
          <w:p w14:paraId="1E0F9DD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28件套。材质：新西兰松木，高温碳化防腐处理，全圆角打磨；单件尺寸：低架60×55×80cm、中架60×55×100cm、高架60×55×120cm，人字梯120×60×14cm，直梯150×40×9cm，平衡板180×20×4cm；工艺：碳化+户外环保水性漆，防蛀耐候；执行标准：GB28007‑2011；用途：幼儿园户外体能、自主探索游戏，可自由拼接搭建。</w:t>
            </w:r>
          </w:p>
        </w:tc>
        <w:tc>
          <w:tcPr>
            <w:tcW w:w="0" w:type="auto"/>
            <w:tcBorders>
              <w:top w:val="nil"/>
              <w:left w:val="single" w:color="000000" w:sz="4" w:space="0"/>
              <w:bottom w:val="single" w:color="000000" w:sz="4" w:space="0"/>
              <w:right w:val="nil"/>
            </w:tcBorders>
            <w:shd w:val="clear" w:color="auto" w:fill="auto"/>
            <w:noWrap/>
            <w:vAlign w:val="center"/>
          </w:tcPr>
          <w:p w14:paraId="1617DDC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34510E6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3DA43FF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7100</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5E4B3C5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7100 </w:t>
            </w:r>
          </w:p>
        </w:tc>
      </w:tr>
      <w:tr w14:paraId="459BE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A57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229DA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跑酷组合感统训练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E55F8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（参考尺寸+数量）</w:t>
            </w:r>
          </w:p>
          <w:p w14:paraId="08AEBC3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单面弧形箱尺寸175*75*175cm/2个、骑马柱组合尺寸:150*60cm/2个、后手翻辅助器2个、斜坡垫尺寸：120*60*35cm2个、猫挂三角架尺寸：120*80*90cm/2个、渐进式跳箱尺寸：76*65*130cm/1个、跳箱尺寸:90*45/22*48/1个、跳箱尺寸:90*70/30*75cm/1个 、升降三角架尺寸：100*100*100*170cm/2个、三角蹬尺寸：78*50*45cm/8个、双折垫尺寸：120*60*5cm/5个、跑跳组合尺寸：300*60cm2个</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C9D94D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1801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D06E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7628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13000 </w:t>
            </w:r>
          </w:p>
        </w:tc>
      </w:tr>
      <w:tr w14:paraId="3AD9B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F74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B73A5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万能工匠</w:t>
            </w:r>
            <w:r>
              <w:rPr>
                <w:rFonts w:hint="eastAsia" w:ascii="宋体" w:hAnsi="宋体" w:cs="宋体"/>
                <w:i w:val="0"/>
                <w:iCs w:val="0"/>
                <w:color w:val="auto"/>
                <w:kern w:val="0"/>
                <w:sz w:val="20"/>
                <w:szCs w:val="20"/>
                <w:highlight w:val="none"/>
                <w:u w:val="none"/>
                <w:lang w:val="en-US" w:eastAsia="zh-CN" w:bidi="ar"/>
              </w:rPr>
              <w:t>组合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10BBB4">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允许±</w:t>
            </w: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％合理生产及安装公差：参考规格：507*316*193cm,加厚</w:t>
            </w:r>
            <w:r>
              <w:rPr>
                <w:rFonts w:hint="eastAsia" w:ascii="宋体" w:hAnsi="宋体" w:cs="宋体"/>
                <w:i w:val="0"/>
                <w:iCs w:val="0"/>
                <w:color w:val="auto"/>
                <w:kern w:val="0"/>
                <w:sz w:val="20"/>
                <w:szCs w:val="20"/>
                <w:highlight w:val="none"/>
                <w:u w:val="none"/>
                <w:lang w:val="en-US" w:eastAsia="zh-CN" w:bidi="ar"/>
              </w:rPr>
              <w:t>,组件总数不少于</w:t>
            </w:r>
            <w:r>
              <w:rPr>
                <w:rFonts w:hint="eastAsia" w:ascii="宋体" w:hAnsi="宋体" w:eastAsia="宋体" w:cs="宋体"/>
                <w:i w:val="0"/>
                <w:iCs w:val="0"/>
                <w:color w:val="auto"/>
                <w:kern w:val="0"/>
                <w:sz w:val="20"/>
                <w:szCs w:val="20"/>
                <w:highlight w:val="none"/>
                <w:u w:val="none"/>
                <w:lang w:val="en-US" w:eastAsia="zh-CN" w:bidi="ar"/>
              </w:rPr>
              <w:t>258件(圆盘</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76个，轮胎</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8个，管子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174条)具体配置：圆盘</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76个，115.2cm管子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72根，76cm管子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66根，48.5cm管子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12根，15.2cm管子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8根，171cm管子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16根，轮胎</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8个</w:t>
            </w:r>
            <w:r>
              <w:rPr>
                <w:rFonts w:hint="eastAsia" w:ascii="宋体" w:hAnsi="宋体" w:cs="宋体"/>
                <w:i w:val="0"/>
                <w:iCs w:val="0"/>
                <w:color w:val="auto"/>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9D4CC2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8E9D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51391">
            <w:pPr>
              <w:keepNext w:val="0"/>
              <w:keepLines w:val="0"/>
              <w:widowControl/>
              <w:suppressLineNumbers w:val="0"/>
              <w:jc w:val="center"/>
              <w:textAlignment w:val="center"/>
              <w:rPr>
                <w:rFonts w:hint="default"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sz w:val="20"/>
                <w:szCs w:val="20"/>
                <w:highlight w:val="none"/>
                <w:u w:val="none"/>
                <w:lang w:val="en-US" w:eastAsia="zh-CN"/>
              </w:rPr>
              <w:t>5800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99522">
            <w:pPr>
              <w:keepNext w:val="0"/>
              <w:keepLines w:val="0"/>
              <w:widowControl/>
              <w:suppressLineNumbers w:val="0"/>
              <w:jc w:val="center"/>
              <w:textAlignment w:val="center"/>
              <w:rPr>
                <w:rFonts w:hint="default"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sz w:val="20"/>
                <w:szCs w:val="20"/>
                <w:highlight w:val="none"/>
                <w:u w:val="none"/>
                <w:lang w:val="en-US" w:eastAsia="zh-CN"/>
              </w:rPr>
              <w:t>5800</w:t>
            </w:r>
          </w:p>
        </w:tc>
      </w:tr>
      <w:tr w14:paraId="1B19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7F5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174</w:t>
            </w: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685494D4">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5AD942E3">
            <w:pPr>
              <w:keepNext w:val="0"/>
              <w:keepLines w:val="0"/>
              <w:widowControl/>
              <w:suppressLineNumbers w:val="0"/>
              <w:jc w:val="center"/>
              <w:textAlignment w:val="center"/>
              <w:rPr>
                <w:rFonts w:hint="eastAsia" w:ascii="宋体" w:hAnsi="宋体" w:eastAsia="宋体" w:cs="宋体"/>
                <w:b/>
                <w:bCs/>
                <w:i w:val="0"/>
                <w:iCs w:val="0"/>
                <w:color w:val="FF0000"/>
                <w:kern w:val="2"/>
                <w:sz w:val="20"/>
                <w:szCs w:val="20"/>
                <w:u w:val="none"/>
                <w:lang w:val="en-US" w:eastAsia="zh-CN" w:bidi="ar-SA"/>
              </w:rPr>
            </w:pPr>
            <w:r>
              <w:rPr>
                <w:rFonts w:hint="eastAsia" w:ascii="宋体" w:hAnsi="宋体" w:eastAsia="宋体" w:cs="宋体"/>
                <w:b/>
                <w:bCs/>
                <w:i w:val="0"/>
                <w:iCs w:val="0"/>
                <w:color w:val="FF0000"/>
                <w:kern w:val="0"/>
                <w:sz w:val="20"/>
                <w:szCs w:val="20"/>
                <w:u w:val="none"/>
                <w:lang w:val="en-US" w:eastAsia="zh-CN" w:bidi="ar"/>
              </w:rPr>
              <w:t>上林县巷贤镇中心幼儿园</w:t>
            </w:r>
          </w:p>
        </w:tc>
        <w:tc>
          <w:tcPr>
            <w:tcW w:w="0" w:type="auto"/>
            <w:tcBorders>
              <w:top w:val="single" w:color="000000" w:sz="4" w:space="0"/>
              <w:left w:val="single" w:color="000000" w:sz="4" w:space="0"/>
              <w:bottom w:val="single" w:color="000000" w:sz="4" w:space="0"/>
              <w:right w:val="nil"/>
            </w:tcBorders>
            <w:shd w:val="clear" w:color="auto" w:fill="92D050"/>
            <w:noWrap/>
            <w:vAlign w:val="center"/>
          </w:tcPr>
          <w:p w14:paraId="6DA8A80D">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2B6269D3">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71B48F9A">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439A4FE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100000 </w:t>
            </w:r>
          </w:p>
        </w:tc>
      </w:tr>
      <w:tr w14:paraId="4F52C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A5B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3182F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教学一体机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24A878">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一、整体设计</w:t>
            </w:r>
          </w:p>
          <w:p w14:paraId="4C7C6273">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1、整机采用一体设计，外部无任何可见内部功能模块连接线。</w:t>
            </w:r>
          </w:p>
          <w:p w14:paraId="036463E2">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2、整机采用全金属外壳设计，边角采用弧形设计，表面无尖锐边缘或凸起；整机屏幕边缘采用金属圆角包边防护，整机背板采用金属材质。</w:t>
            </w:r>
          </w:p>
          <w:p w14:paraId="537D7B04">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3、整机屏幕采用65英寸液晶显示器。</w:t>
            </w:r>
          </w:p>
          <w:p w14:paraId="5CC53A13">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4、整机采用LED液晶A规屏，显示比例16:9。</w:t>
            </w:r>
          </w:p>
          <w:p w14:paraId="791FD55F">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二、整机硬件性能与接口</w:t>
            </w:r>
          </w:p>
          <w:p w14:paraId="71BCB341">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1、双系统配置 整机搭载 电脑模块 + 嵌入式系统，系统版本不低于 当前最新版本；系统内存 RAM≥4G，存储 ROM≥32G；安卓端可独立实现白板书写、文档编辑、网页浏览等基础教学功能。（相关性能指标可提供厂商彩页、功能截图、第三方检测报告任意一种佐证，设备到货验收时提供完整 CMA/CNAS 检测报告备查）。</w:t>
            </w:r>
          </w:p>
          <w:p w14:paraId="4453B63B">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2、整机配备前置外接接口，支持双系统共用读取 U 盘等存储设备；整机配备全功能 Type-C、HDMI、USB3.0 输入接口，侧置预留 HDMI、RS232、USB、音频输出、触控 USB 等拓展接口；整机外设拓展能力满足日常教学设备接驳需求，可通过拓展坞实现同等外接能力。前置接口配有防尘防护盖板，保护接口与外接 U 盘。</w:t>
            </w:r>
          </w:p>
          <w:p w14:paraId="4F68F3E5">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3、整机内置高品质扬声器，整机额定总输出功率≥60W，发声均匀，无杂音、破音，满足教室扩声需求。</w:t>
            </w:r>
          </w:p>
          <w:p w14:paraId="38CE8534">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4、红外触控技术，最小识别触控物体≤3mm；整机支持双系统多点触控，触控流畅无断触。</w:t>
            </w:r>
          </w:p>
          <w:p w14:paraId="7A933A38">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5、整机内置高清摄像头与阵列麦克风，无需外接线材；摄像头像素≥1600 万，广角设计，可完整覆盖教室区域，满足远程巡课、课堂录播；麦克风有效拾音距离≥10 米，多人发言清晰收录。设备自带摄像头工作指示灯，摄像状态直观提示。</w:t>
            </w:r>
          </w:p>
          <w:p w14:paraId="06DA070D">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6、支持无线投屏功能，可通过 NFC、扫码、无线连接等任意一种方式实现手机、平板投屏，支持多台移动设备同时分屏展示。</w:t>
            </w:r>
          </w:p>
          <w:p w14:paraId="466C7780">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7、内置双频 WiFi（2.4G+5GHz）、蓝牙模块，蓝牙标准不低于 Bluetooth 5.2；整机可无线联网、发射无线热点，双系统共用一套无线网络配置，无需重复设置；蓝牙可稳定连接外设，无线传输距离满足教室使用。</w:t>
            </w:r>
          </w:p>
          <w:p w14:paraId="0FB24BF0">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8、设备搭载护眼低蓝光背光方案，从硬件层面削减有害蓝光，显示画面无明显泛黄、色偏，符合校园护眼相关规范；屏幕 NTSC 色域覆盖率≥72%，安卓系统支持 4K 高清 UI 显示。</w:t>
            </w:r>
          </w:p>
          <w:p w14:paraId="7ADA1E1E">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9、OPS 电脑配置：运行内存≥8G，固态硬盘≥256G。</w:t>
            </w:r>
          </w:p>
          <w:p w14:paraId="0AE2CB7F">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p>
          <w:p w14:paraId="59BADE66">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三、整机基础交互功能</w:t>
            </w:r>
          </w:p>
          <w:p w14:paraId="0CC91907">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1、整机内置图像、音效调节模块，提供多种预设图像、音效模式，支持手动调节亮度、对比度、高低音、色温等参数，适配不同教学场景。</w:t>
            </w:r>
          </w:p>
          <w:p w14:paraId="6962C41F">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2、支持分屏、半屏显示功能，可一键切换全屏 / 半屏，画面完整无裁剪，触控操作正常；支持画面局部放大、聚光灯（区域高亮、其余区域暗化）教学工具。</w:t>
            </w:r>
          </w:p>
          <w:p w14:paraId="60C2ECD6">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3、系统悬浮快捷工具栏，可调取批注、截屏、计时、锁屏、硬件自检、聚光灯、学科工具等教学常用功能，工具栏支持自定义调整。</w:t>
            </w:r>
          </w:p>
          <w:p w14:paraId="3ADB0D0F">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4、支持智能手势快捷操作，可通过手势触发熄屏、批注、分屏等自定义功能，手势识别灵敏稳定。</w:t>
            </w:r>
          </w:p>
          <w:p w14:paraId="1C7CE015">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5、全通道支持自由截屏，可框选任意区域保存截图；授课过程中可一键调取各类教学小工具：答题器、倒计时、节拍器、日历、随机抽选等。</w:t>
            </w:r>
          </w:p>
          <w:p w14:paraId="7D5B1716">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6、双系统实现功能互通：一键切换系统、共享 USB 外设、共享网络、背光手势快捷控制。</w:t>
            </w:r>
          </w:p>
          <w:p w14:paraId="6D3CDA24">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7、内置互动白板，支持多笔同时书写、手掌智能擦除，笔迹自带笔锋；白板文件支持导出 PDF、SVG、IWB 等通用格式；内置充足平面、立体学科绘图工具，满足数理化教学绘图需求。</w:t>
            </w:r>
          </w:p>
          <w:p w14:paraId="27B4036A">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四、配套教学软件功能</w:t>
            </w:r>
          </w:p>
          <w:p w14:paraId="1CA08E14">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1、教学资源分类管理：可按年级、学科、教材版本收纳课件、习题、阅读资料，支持云端存储、本地资源调取。</w:t>
            </w:r>
          </w:p>
          <w:p w14:paraId="4B5FECAC">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2、白板教学模板丰富，支持田字格、五线谱、米字格、坐标纸等学科专用背景，支持原笔迹批注、拖拽、擦除。</w:t>
            </w:r>
          </w:p>
          <w:p w14:paraId="2D3CF880">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3、支持 PPT 原生播放、手势翻页、多级放大，批注笔迹同步保存；支持一键将课件上传至个人云空间，授课时云端直接下载使用。</w:t>
            </w:r>
          </w:p>
          <w:p w14:paraId="4D1FA321">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4、支持集体备课、在线听评课功能：可自定义评课评分模板、评分细则，听课记录可保存、导出分享；支持教师扫码听课评价。</w:t>
            </w:r>
          </w:p>
          <w:p w14:paraId="19BB8FDD">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5、课堂录播功能：授课全过程可录制，支持暂停、停止，可自定义录制音视频画质，录制窗口可隐藏不遮挡教学画面。</w:t>
            </w:r>
          </w:p>
          <w:p w14:paraId="1AC3442D">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6、支持手机远程控制大屏课件翻页；支持课堂互动答题，学生扫码答题，教师查看答题正确率、导出课堂学情报告；支持课堂弹幕、班级成员管理。</w:t>
            </w:r>
          </w:p>
          <w:p w14:paraId="55218653">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7、支持网页资源一键导入课件，可制作课堂互动小游戏并保存至个人云盘，随时调取复用。</w:t>
            </w:r>
          </w:p>
          <w:p w14:paraId="76E11204">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8、为每位教师提供免费教学云存储空间，支持本地个人资源同步至云端，授课随时调取。</w:t>
            </w:r>
          </w:p>
          <w:p w14:paraId="7A4DCF70">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五、集控管理平台功能</w:t>
            </w:r>
          </w:p>
          <w:p w14:paraId="776BD621">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 xml:space="preserve"> 1、平台可统一查看所有教学设备硬件信息：屏幕尺寸、系统版本、CPU、内存、硬盘、网络状态等；支持列表、缩略图两种设备查看模式，批量预览设备实时画面。</w:t>
            </w:r>
          </w:p>
          <w:p w14:paraId="5CDE5135">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 xml:space="preserve"> 2、远程巡课督导：可实时查看设备屏幕画面与课堂摄像头画面；支持远程下发设备系统、集控软件升级包，设备空闲时段自动完成更新。</w:t>
            </w:r>
          </w:p>
          <w:p w14:paraId="25C18D83">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i w:val="0"/>
                <w:iCs w:val="0"/>
                <w:color w:val="auto"/>
                <w:sz w:val="20"/>
                <w:szCs w:val="20"/>
                <w:highlight w:val="none"/>
                <w:u w:val="none"/>
                <w:lang w:val="en-US" w:eastAsia="zh-CN"/>
              </w:rPr>
              <w:t xml:space="preserve"> 3、远程管理功能：支持批量设置定时锁屏 / 解锁，可按工作日、周末自定义循环策略；远程下发考场考试安排，设备按时展示考试信息。</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2DFD44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BA1F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D696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0798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20000 </w:t>
            </w:r>
          </w:p>
        </w:tc>
      </w:tr>
      <w:tr w14:paraId="47A5F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315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D9D40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移动一体机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DACF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一、显示参数（整机≥75 寸，Windows+Android 双系统）</w:t>
            </w:r>
          </w:p>
          <w:p w14:paraId="59F4B03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1.OPS 配置：可配套 OPS 电脑模块，OPS 厚度≥43mm，支持背部插入安装，同等规格通用 OPS 均可适配；</w:t>
            </w:r>
          </w:p>
          <w:p w14:paraId="6161EF5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2.图像模式：支持标准、动态、亮丽、用户等多种预设图像模式；侧边栏可调节亮度、对比度、饱和度、色温等参数；音效具备多套预设模式，支持高低音、平衡、环绕声开关调节；</w:t>
            </w:r>
          </w:p>
          <w:p w14:paraId="3E21A6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3.背光类型：DLED 直下式背光；</w:t>
            </w:r>
          </w:p>
          <w:p w14:paraId="64A3939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4.屏幕规格：≥75 英寸，16:9 A 规液晶面板，物理分辨率 3840×2160 4K 超高清；</w:t>
            </w:r>
          </w:p>
          <w:p w14:paraId="7BEA59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5.屏幕基础性能：屏幕亮度≥380cd/㎡，静态对比度≥4000:1，灰阶响应时间≤6.5ms，NTSC 色域覆盖率≥72%；可视区域尺寸为参考值，同等 75 寸 4K 面板均可；</w:t>
            </w:r>
          </w:p>
          <w:p w14:paraId="555424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6.分屏功能：HDMI、安卓、Windows 全通道支持手势半屏显示，一键切换全屏，具备多类分屏适配模式即可，不强制固定数量。</w:t>
            </w:r>
          </w:p>
          <w:p w14:paraId="3261AC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二、系统参数</w:t>
            </w:r>
          </w:p>
          <w:p w14:paraId="21F6F2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 xml:space="preserve">1.嵌入式安卓系统版本不低于 Android </w:t>
            </w:r>
            <w:r>
              <w:rPr>
                <w:rFonts w:hint="eastAsia" w:ascii="宋体" w:hAnsi="宋体" w:cs="宋体"/>
                <w:color w:val="auto"/>
                <w:kern w:val="0"/>
                <w:sz w:val="20"/>
                <w:szCs w:val="20"/>
                <w:highlight w:val="none"/>
                <w:lang w:val="en-US" w:eastAsia="zh-CN" w:bidi="ar"/>
              </w:rPr>
              <w:t>11</w:t>
            </w:r>
            <w:r>
              <w:rPr>
                <w:rFonts w:hint="eastAsia" w:ascii="宋体" w:hAnsi="宋体" w:eastAsia="宋体" w:cs="宋体"/>
                <w:color w:val="auto"/>
                <w:kern w:val="0"/>
                <w:sz w:val="20"/>
                <w:szCs w:val="20"/>
                <w:highlight w:val="none"/>
                <w:lang w:val="en-US" w:eastAsia="zh-CN" w:bidi="ar"/>
              </w:rPr>
              <w:t>，运行内存≥4GB，本地存储≥32GB；</w:t>
            </w:r>
          </w:p>
          <w:p w14:paraId="301B94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2.安卓主控：8 核处理器，等效主频≥1.55GHz（Cortex A55 或同性能架构均可）。</w:t>
            </w:r>
          </w:p>
          <w:p w14:paraId="6E886B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三、智能音视频与互联</w:t>
            </w:r>
          </w:p>
          <w:p w14:paraId="761113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1.内置高清广角摄像头，像素≥1600 万，视场角≥130°，覆盖整间会议室巡课拍摄；支持人脸快速解锁识别；</w:t>
            </w:r>
          </w:p>
          <w:p w14:paraId="4D1387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2.内置立体环绕音响，整机额定总功率≥60W，发声均匀无杂音；麦克风阵列拾音距离≥10 米，满足全室收音；不限喇叭腔体、出声结构；</w:t>
            </w:r>
          </w:p>
          <w:p w14:paraId="709296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3.内置蓝牙 5.2、2.4G/5G 双频 WiFi；双系统共用无线网络，无需重复配置；可发射 AP 热点，支持多终端无线接入，蓝牙稳定传输距离≥15 米；</w:t>
            </w:r>
          </w:p>
          <w:p w14:paraId="4CD59AC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4.支持无线投屏，可通过 NFC、扫码、无线直连任意一种方式实现手机 / 平板投屏，支持多设备同时分屏；</w:t>
            </w:r>
          </w:p>
          <w:p w14:paraId="6FD51C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5.可选配环境温湿度监测模块，可对接管理平台查看教室环境数据，无强制硬性要求。</w:t>
            </w:r>
          </w:p>
          <w:p w14:paraId="187997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四、红外触控参数</w:t>
            </w:r>
          </w:p>
          <w:p w14:paraId="38D718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1.红外多点触控，AG 防眩光钢化玻璃，光线透过率≥88%；</w:t>
            </w:r>
          </w:p>
          <w:p w14:paraId="08B20D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2.支持≥50 点同步书写触控，触控响应速度≤5ms，最小识别触摸物体≤3mm，强光下书写触控无失效；</w:t>
            </w:r>
          </w:p>
          <w:p w14:paraId="31B38E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3.白板功能：无 PC 安卓端支持多笔同时书写、手掌智能擦除；可导出 PDF、SVG、IWB 等通用文档格式；内置充足数理化平面、立体绘图学科工具；差值分辨率满足 4K 高清书写精度即可，不强制固定数值。</w:t>
            </w:r>
          </w:p>
          <w:p w14:paraId="5C6B15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五、整机接口（满足拓展需求，可配套拓展坞补充接口）</w:t>
            </w:r>
          </w:p>
          <w:p w14:paraId="19BD72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1.输入：前置 HDMI、全功能 Type-C、多组 USB3.0；后置预留 HDMI 输入、3.5mm 音频输入；</w:t>
            </w:r>
          </w:p>
          <w:p w14:paraId="61A7C8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2.输出：3.5mm 音频输出；</w:t>
            </w:r>
          </w:p>
          <w:p w14:paraId="1C2E85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3.网络：配备不少于 1 路千兆网口，双网口更佳；</w:t>
            </w:r>
          </w:p>
          <w:p w14:paraId="7BAAC6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0"/>
                <w:szCs w:val="20"/>
                <w:highlight w:val="none"/>
                <w:lang w:val="en-US" w:eastAsia="zh-CN" w:bidi="ar"/>
              </w:rPr>
              <w:t>4.板载内置 USB、触控 USB 等拓展接口，整机外设接驳能力满足会议电脑、U 盘、摄像头、麦克风等常规设备使用。</w:t>
            </w:r>
          </w:p>
          <w:p w14:paraId="1297551F">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8FCCE3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9AFD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3623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5DDF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13000 </w:t>
            </w:r>
          </w:p>
        </w:tc>
      </w:tr>
      <w:tr w14:paraId="5C42E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6FC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62320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计算机</w:t>
            </w:r>
          </w:p>
        </w:tc>
        <w:tc>
          <w:tcPr>
            <w:tcW w:w="6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96518">
            <w:pPr>
              <w:keepNext w:val="0"/>
              <w:keepLines w:val="0"/>
              <w:widowControl/>
              <w:numPr>
                <w:ilvl w:val="0"/>
                <w:numId w:val="7"/>
              </w:numPr>
              <w:suppressLineNumbers w:val="0"/>
              <w:jc w:val="left"/>
              <w:textAlignment w:val="center"/>
              <w:rPr>
                <w:rFonts w:hint="eastAsia" w:ascii="宋体" w:hAnsi="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硬件技术参数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▲1、基本要求：国产自主品牌商用台式机，</w:t>
            </w:r>
            <w:r>
              <w:rPr>
                <w:rFonts w:hint="eastAsia" w:ascii="宋体" w:hAnsi="宋体" w:cs="宋体"/>
                <w:i w:val="0"/>
                <w:iCs w:val="0"/>
                <w:strike w:val="0"/>
                <w:dstrike w:val="0"/>
                <w:color w:val="auto"/>
                <w:kern w:val="0"/>
                <w:sz w:val="20"/>
                <w:szCs w:val="20"/>
                <w:highlight w:val="none"/>
                <w:u w:val="none"/>
                <w:lang w:val="en-US" w:eastAsia="zh-CN" w:bidi="ar"/>
              </w:rPr>
              <w:t>结构稳固，具备良好的散热性能。</w:t>
            </w:r>
          </w:p>
          <w:p w14:paraId="159DAF81">
            <w:pPr>
              <w:keepNext w:val="0"/>
              <w:keepLines w:val="0"/>
              <w:widowControl/>
              <w:numPr>
                <w:ilvl w:val="0"/>
                <w:numId w:val="0"/>
              </w:numPr>
              <w:suppressLineNumbers w:val="0"/>
              <w:jc w:val="left"/>
              <w:textAlignment w:val="center"/>
              <w:rPr>
                <w:rFonts w:hint="eastAsia" w:ascii="宋体" w:hAnsi="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2、处理器： 处理器采用国产处理器，八核，主频≥2.7GHz；</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3、内存：配置≥16GB DDR4 UDIMM内存，配置≥2个内存插槽；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4、显卡：≥2G独立显卡。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5、硬盘：≥512GB M.2接口NVME协议SSD；</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▲6、电源：电源功率≤180W，电源适配器电线组件应符合GB/T15934的要求；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7、网络：1个RJ45 10/100/1000自适应以太网口；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▲8、接口：前置USB3.0接口≥4个；后置USB3.0接口≥2个，USB2.0接口≥2个；音频接口：麦克风1个，耳机1个；后端3个Audio音频接口；PCIE插槽数量≥3个；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▲9、数据安全：BIOS级USB屏蔽及智能USB数据保护：USB支持BIOS下接口开关，针对存储设备支持USB接口切换禁止访问模式/只读模式。</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10、显示器：配置≥23.8寸LED显示器，IPS屏，分辨率≥1920*1080，刷新频率≥</w:t>
            </w:r>
            <w:r>
              <w:rPr>
                <w:rFonts w:hint="eastAsia" w:ascii="宋体" w:hAnsi="宋体" w:cs="宋体"/>
                <w:i w:val="0"/>
                <w:iCs w:val="0"/>
                <w:color w:val="auto"/>
                <w:kern w:val="0"/>
                <w:sz w:val="20"/>
                <w:szCs w:val="20"/>
                <w:highlight w:val="none"/>
                <w:u w:val="none"/>
                <w:lang w:val="en-US" w:eastAsia="zh-CN" w:bidi="ar"/>
              </w:rPr>
              <w:t>75</w:t>
            </w:r>
            <w:r>
              <w:rPr>
                <w:rFonts w:hint="eastAsia" w:ascii="宋体" w:hAnsi="宋体" w:eastAsia="宋体" w:cs="宋体"/>
                <w:i w:val="0"/>
                <w:iCs w:val="0"/>
                <w:color w:val="auto"/>
                <w:kern w:val="0"/>
                <w:sz w:val="20"/>
                <w:szCs w:val="20"/>
                <w:highlight w:val="none"/>
                <w:u w:val="none"/>
                <w:lang w:val="en-US" w:eastAsia="zh-CN" w:bidi="ar"/>
              </w:rPr>
              <w:t>Hz，对比度≥1000:1</w:t>
            </w:r>
            <w:r>
              <w:rPr>
                <w:rFonts w:hint="eastAsia" w:ascii="宋体" w:hAnsi="宋体" w:cs="宋体"/>
                <w:i w:val="0"/>
                <w:iCs w:val="0"/>
                <w:color w:val="auto"/>
                <w:kern w:val="0"/>
                <w:sz w:val="20"/>
                <w:szCs w:val="20"/>
                <w:highlight w:val="none"/>
                <w:u w:val="none"/>
                <w:lang w:val="en-US" w:eastAsia="zh-CN" w:bidi="ar"/>
              </w:rPr>
              <w:t>；</w:t>
            </w:r>
          </w:p>
          <w:p w14:paraId="128FEE34">
            <w:pPr>
              <w:keepNext w:val="0"/>
              <w:keepLines w:val="0"/>
              <w:widowControl/>
              <w:numPr>
                <w:ilvl w:val="0"/>
                <w:numId w:val="0"/>
              </w:numPr>
              <w:suppressLineNumbers w:val="0"/>
              <w:ind w:left="0" w:leftChars="0" w:firstLine="0" w:firstLineChars="0"/>
              <w:jc w:val="left"/>
              <w:textAlignment w:val="center"/>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11、操作系统：预装符合桌面操作系统政府采购需求标准的正版操作系统；预装的操作系统符合《操作系统政府采购需求标准》中加*指标要求（财政部工业和信息化部关于印发《操作系统政府采购需求标准（2023年版）》的通知）。</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12、办公软件：预装带正版授权的办公软件</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（含三年服务）；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▲13、关键部件安全要求：CPU和操作系统等关键部件应当符合安全可靠测评要求。（提供通过安全可靠测评的证明书或作出承诺）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二、班级管理平台软件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1、后台采用 B/S 架构设计，能够支持不同角色在 web 上进行操作，支持微信和账号登录、支持学校自定义角色、教师角色切换。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2、支持上传多个备课文档、支持一屏稿件对比，支持查看该次集体备课数据统计及访问记录。集体备课终稿存到我的成果库。并支持查看集体备课数据报告；</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、支持区域、学校管理者发起在线收集资料的任务，老师按照在线任务要求上传资料，支持管理者将收集上来的资料分类归档管理【</w:t>
            </w:r>
            <w:r>
              <w:rPr>
                <w:rFonts w:hint="eastAsia" w:ascii="宋体" w:hAnsi="宋体" w:cs="宋体"/>
                <w:i w:val="0"/>
                <w:iCs w:val="0"/>
                <w:color w:val="auto"/>
                <w:kern w:val="0"/>
                <w:sz w:val="20"/>
                <w:szCs w:val="20"/>
                <w:highlight w:val="none"/>
                <w:u w:val="none"/>
                <w:lang w:val="en-US" w:eastAsia="zh-CN" w:bidi="ar"/>
              </w:rPr>
              <w:t>响应供应商</w:t>
            </w:r>
            <w:r>
              <w:rPr>
                <w:rFonts w:hint="eastAsia" w:ascii="宋体" w:hAnsi="宋体" w:eastAsia="宋体" w:cs="宋体"/>
                <w:i w:val="0"/>
                <w:iCs w:val="0"/>
                <w:color w:val="auto"/>
                <w:kern w:val="0"/>
                <w:sz w:val="20"/>
                <w:szCs w:val="20"/>
                <w:highlight w:val="none"/>
                <w:u w:val="none"/>
                <w:lang w:val="en-US" w:eastAsia="zh-CN" w:bidi="ar"/>
              </w:rPr>
              <w:t>于</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中必须提供所投产品满足本条技术要求的相关有效证明材料复印件，证明材料可以是国家认可的第三方检验（测）机构出具的合格有效的检验（测）报告或官网截图或功能截图或产品彩页】</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三、教学授课软件功能要求：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 xml:space="preserve">.无需导入平台，可直接在PPT中通过备课插件添加课堂互动游戏、思维导图、网站链接、网络画板等。课件编辑完成可一键同步至云端；如教师不想保存在云平台可直接以PPT格式保存在本地，不允许系统自动在云平台中更新教师的资源；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 xml:space="preserve">.试题能够根据课本章节、题型、难易程度进行筛选，并提供知识点试题，可按知识点筛选，支持收藏、查看试题答案、解析、关联知识点，支持对试题进行二次编辑，支持将试题一键加入备课；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.通过对纸质试题拍照，可将图片上传，将纸质文字变为电子版文字，便于老师优质试题的收集使用；（</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4</w:t>
            </w:r>
            <w:r>
              <w:rPr>
                <w:rFonts w:hint="eastAsia" w:ascii="宋体" w:hAnsi="宋体" w:eastAsia="宋体" w:cs="宋体"/>
                <w:i w:val="0"/>
                <w:iCs w:val="0"/>
                <w:color w:val="auto"/>
                <w:kern w:val="0"/>
                <w:sz w:val="20"/>
                <w:szCs w:val="20"/>
                <w:highlight w:val="none"/>
                <w:u w:val="none"/>
                <w:lang w:val="en-US" w:eastAsia="zh-CN" w:bidi="ar"/>
              </w:rPr>
              <w:t>.支持将音视频分成不同小节，支持自定义视频小节名称，播放时可通过点击小节名称快速定位关键教学内容。（</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内置多种随堂练习、趣味答题模板，适配课堂巩固。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6</w:t>
            </w:r>
            <w:r>
              <w:rPr>
                <w:rFonts w:hint="eastAsia" w:ascii="宋体" w:hAnsi="宋体" w:eastAsia="宋体" w:cs="宋体"/>
                <w:i w:val="0"/>
                <w:iCs w:val="0"/>
                <w:color w:val="auto"/>
                <w:kern w:val="0"/>
                <w:sz w:val="20"/>
                <w:szCs w:val="20"/>
                <w:highlight w:val="none"/>
                <w:u w:val="none"/>
                <w:lang w:val="en-US" w:eastAsia="zh-CN" w:bidi="ar"/>
              </w:rPr>
              <w:t>.为方便教师快速查找，所有备课资源均可按照系统自带教材章节进行存储，无需教师自建存储条目；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7</w:t>
            </w:r>
            <w:r>
              <w:rPr>
                <w:rFonts w:hint="eastAsia" w:ascii="宋体" w:hAnsi="宋体" w:eastAsia="宋体" w:cs="宋体"/>
                <w:i w:val="0"/>
                <w:iCs w:val="0"/>
                <w:color w:val="auto"/>
                <w:kern w:val="0"/>
                <w:sz w:val="20"/>
                <w:szCs w:val="20"/>
                <w:highlight w:val="none"/>
                <w:u w:val="none"/>
                <w:lang w:val="en-US" w:eastAsia="zh-CN" w:bidi="ar"/>
              </w:rPr>
              <w:t xml:space="preserve">.备课界面支持将教案、课件、学案、试题、练习、网络画板、虚拟实验、微课等教学资源分享给校内指定教师使用；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8</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白板教学：提供多种书写笔触、可调色彩，支持自定义常用配色。</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9</w:t>
            </w:r>
            <w:r>
              <w:rPr>
                <w:rFonts w:hint="eastAsia" w:ascii="宋体" w:hAnsi="宋体" w:eastAsia="宋体" w:cs="宋体"/>
                <w:i w:val="0"/>
                <w:iCs w:val="0"/>
                <w:color w:val="auto"/>
                <w:kern w:val="0"/>
                <w:sz w:val="20"/>
                <w:szCs w:val="20"/>
                <w:highlight w:val="none"/>
                <w:u w:val="none"/>
                <w:lang w:val="en-US" w:eastAsia="zh-CN" w:bidi="ar"/>
              </w:rPr>
              <w:t>.支持三个及以上学生同时进行书写或手势擦除操作，不同学生各自进行书写或擦除，互不影响；</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10</w:t>
            </w:r>
            <w:r>
              <w:rPr>
                <w:rFonts w:hint="eastAsia" w:ascii="宋体" w:hAnsi="宋体" w:eastAsia="宋体" w:cs="宋体"/>
                <w:i w:val="0"/>
                <w:iCs w:val="0"/>
                <w:color w:val="auto"/>
                <w:kern w:val="0"/>
                <w:sz w:val="20"/>
                <w:szCs w:val="20"/>
                <w:highlight w:val="none"/>
                <w:u w:val="none"/>
                <w:lang w:val="en-US" w:eastAsia="zh-CN" w:bidi="ar"/>
              </w:rPr>
              <w:t>.支持对白板页面中的元素进行隐藏、锁定、缩放、旋转、置顶等操作，被隐藏元素可以一键重新显示在白板上；</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C6C763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44D2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6389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B5A4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20000 </w:t>
            </w:r>
          </w:p>
        </w:tc>
      </w:tr>
      <w:tr w14:paraId="05632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A42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8EF1B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儿童5号篮球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DF025B">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一、产品基础规格</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规格型号：5 号幼儿专用篮球</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标称外径：220mm（22cm），成品尺寸公差 ±2mm；圆周约 69～71cm，适配 3～7 岁幼儿园幼儿手掌抓握、拍球训练。</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球体重量：320g～360g，重量均衡，幼儿轻松拍击不伤手腕。</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球面筋沟：标准深筋槽设计，筋沟宽度 4±0.5mm，深度 2.5±0.3mm，防滑易抓握。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二、材质要求（环保橡胶核心条款）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球面主体材质：</w:t>
            </w:r>
            <w:r>
              <w:rPr>
                <w:rFonts w:ascii="宋体" w:hAnsi="宋体" w:eastAsia="宋体" w:cs="宋体"/>
                <w:color w:val="auto"/>
                <w:sz w:val="20"/>
                <w:szCs w:val="20"/>
                <w:highlight w:val="none"/>
              </w:rPr>
              <w:t>全新环保橡胶混合料，可采用食品级天然橡胶搭配改性合成橡胶或其他同等环保全新橡胶配方；</w:t>
            </w:r>
            <w:r>
              <w:rPr>
                <w:rFonts w:hint="eastAsia" w:ascii="宋体" w:hAnsi="宋体" w:eastAsia="宋体" w:cs="宋体"/>
                <w:i w:val="0"/>
                <w:iCs w:val="0"/>
                <w:color w:val="auto"/>
                <w:kern w:val="0"/>
                <w:sz w:val="20"/>
                <w:szCs w:val="20"/>
                <w:highlight w:val="none"/>
                <w:u w:val="none"/>
                <w:lang w:val="en-US" w:eastAsia="zh-CN" w:bidi="ar"/>
              </w:rPr>
              <w:t>禁用再生废橡胶、回收劣质废旧胶皮，不含废旧轮胎碎料、工业废胶。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环保指标：无刺鼻异味，甲醛含量≤10mg/kg、重金属（铅、镉、汞、铬）符合 GB 6675 玩具安全国标，不含邻苯二甲酸酯（6P），满足幼儿园室内密闭环境使用。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内胆：丁基橡胶密闭内胆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气密性优异，常温常压充气后静置 72h 气压压降≤10%，不漏气、不易慢撒气；中胎为高弹橡胶中胎，缓冲减震，落地回弹高度：充气标准状态下落高 1.2m 自由落体，回弹 60～70cm。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缠纱：高强度尼龙纤维全缠纱</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整球全缠绕尼龙纱线，不变形、不起鼓，长期拍打球体不鼓包、不椭圆。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三、外观与工艺参数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球面纹路：凹凸颗粒防滑纹</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颗粒圆润无尖锐棱角，颗粒高度 0.8～1.2mm，避免划伤幼儿手掌；球面无毛边、毛刺、尖锐凸起，边角打磨圆润。</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配色：多色可选（红 / 黄 / 蓝 / 橙幼儿园常规配色）</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球面油墨采用环保水性油墨印刷，不掉色、不脱色，幼儿出汗触摸无掉色沾染皮肤，印刷图案附着力达标，反复摩擦不掉漆。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气嘴：内嵌式防吞安全气嘴</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气嘴凹陷内嵌设计，无外突硬质凸起，防止幼儿磕碰、抠咬误食，气嘴密封胶圈为环保硅胶材质。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四、执行国家标准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执行GB 6675.1~4-2014《玩具安全》国家强制性标准、GB/T 19851.11 中小学体育器材安全标准；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供货随附：第三方质检报告（甲醛、邻苯、重金属检测）、产品合格证、出厂检验单。</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五、验收验收标准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尺寸抽检：随机抽取 10% 货品卡尺实测直径，控制在 21.8～22.2cm；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气味验收：开箱无刺鼻化工臭味、塑胶异味；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充气验收：标准充气后静置 3 天不漏气，无变形鼓包；</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耐磨测试：常温地面连续拍打 500 次，球面无开裂、掉皮、大面积掉漆。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六、包装要求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单球 OPP 环保塑料袋独立封装，外箱瓦楞纸箱打包，标注品名、规格、执行标准、生产日期、厂家信息，便于幼儿园入库盘点。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A899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83A0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47A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D76D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1250 </w:t>
            </w:r>
          </w:p>
        </w:tc>
      </w:tr>
      <w:tr w14:paraId="2EA5A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1D0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48042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三轮车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CFCF87">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产品名称:儿童幼教三轮车产品材质:高碳钢车架 橡胶轮</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建议身高:90一125cm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产品尺寸:118*6</w:t>
            </w:r>
            <w:r>
              <w:rPr>
                <w:rFonts w:hint="eastAsia" w:ascii="宋体" w:hAnsi="宋体" w:eastAsia="宋体" w:cs="宋体"/>
                <w:i w:val="0"/>
                <w:iCs w:val="0"/>
                <w:color w:val="auto"/>
                <w:kern w:val="0"/>
                <w:sz w:val="20"/>
                <w:szCs w:val="20"/>
                <w:highlight w:val="none"/>
                <w:u w:val="none"/>
                <w:lang w:val="en-US" w:eastAsia="zh-CN" w:bidi="ar"/>
              </w:rPr>
              <w:t>5cm（允许±2cm误差）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产品净重:约15kg</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产品承重:约100kg</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参考适用年龄:2-9岁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9E2E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78DA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2208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EA7A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2160 </w:t>
            </w:r>
          </w:p>
        </w:tc>
      </w:tr>
      <w:tr w14:paraId="48B74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DCB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83F59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安吉攀爬游戏运动组合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CD56A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环保水性漆，原色积木经全自动油漆喷涂/滚涂生产线。 （参考尺寸+数量）</w:t>
            </w:r>
          </w:p>
          <w:p w14:paraId="771C6B91">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以下所有尺寸允许±</w:t>
            </w: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 xml:space="preserve">％合理生产及安装公差。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材质：</w:t>
            </w:r>
            <w:r>
              <w:rPr>
                <w:rFonts w:hint="eastAsia" w:ascii="宋体" w:hAnsi="宋体" w:cs="宋体"/>
                <w:i w:val="0"/>
                <w:iCs w:val="0"/>
                <w:color w:val="auto"/>
                <w:kern w:val="0"/>
                <w:sz w:val="20"/>
                <w:szCs w:val="20"/>
                <w:highlight w:val="none"/>
                <w:u w:val="none"/>
                <w:lang w:val="en-US" w:eastAsia="zh-CN" w:bidi="ar"/>
              </w:rPr>
              <w:t>采用优质实木（如松木、荷木等）</w:t>
            </w:r>
            <w:r>
              <w:rPr>
                <w:rFonts w:hint="eastAsia" w:ascii="宋体" w:hAnsi="宋体" w:eastAsia="宋体" w:cs="宋体"/>
                <w:i w:val="0"/>
                <w:iCs w:val="0"/>
                <w:color w:val="auto"/>
                <w:kern w:val="0"/>
                <w:sz w:val="20"/>
                <w:szCs w:val="20"/>
                <w:highlight w:val="none"/>
                <w:u w:val="none"/>
                <w:lang w:val="en-US" w:eastAsia="zh-CN" w:bidi="ar"/>
              </w:rPr>
              <w:t xml:space="preserve">。边缘抛圆处理，外表面和内表面以及儿童可触及的隐蔽处，均没有锐利的棱角、毛刺等露出的锐利尖锐。木材含水率和甲醛释放量符合GB6675-2014和GB/T22048-20经典版－名称 尺寸(cm) 数量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人字梯 60 1</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人字梯 120 1</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直梯 60 4</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直梯 120 4</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直梯 150 1</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平衡板 120*20*2.5 7</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平衡板 150*20*2.5 4</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攀爬箱 60*60*60 2</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攀爬箱 80*80*80 2</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  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4884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F435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套/40件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57E4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14890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D942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29780 </w:t>
            </w:r>
          </w:p>
        </w:tc>
      </w:tr>
      <w:tr w14:paraId="0317B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36B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45AE9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幼儿角色表演区服装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FC2FFB">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一、整体采购配置要求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职业类表演服：含 上衣+裤子/裙子+配套帽子+配套鞋子，每款各3套，尺码适配幼儿园小、中、大班幼儿。</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动物类表演服：连体全套服装（含头饰/头套），每款各2套，宽松版型适配全园幼儿。</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整体要求：面料柔软、透气、不褪色、不起球、无异味，符合幼儿皮肤接触安全标准，耐洗耐穿、不易变形。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二、通用面料材质标准（所有服装统一要求）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主体面料</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采用优质加厚亲肤聚酯纤维+棉混纺面料，高密度织布，克重≥180g/㎡；面料细腻平滑、透气不透光、亲肤不扎皮肤，适合幼儿长时间穿着表演。</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禁止使用薄透、粗糙、起球、廉价纱布料、回收二次面料。</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印花、贴花、装饰材质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采用环保水性胶印/烫画工艺，无刺鼻气味，不掉色、不开裂、不脱落；装饰边角全部包边锁边，无硬胶凸起，不磨皮肤。</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毛绒面料（动物服专用）</w:t>
            </w:r>
            <w:r>
              <w:rPr>
                <w:rFonts w:hint="eastAsia" w:ascii="宋体" w:hAnsi="宋体" w:eastAsia="宋体" w:cs="宋体"/>
                <w:i w:val="0"/>
                <w:iCs w:val="0"/>
                <w:color w:val="auto"/>
                <w:kern w:val="0"/>
                <w:sz w:val="20"/>
                <w:szCs w:val="20"/>
                <w:highlight w:val="none"/>
                <w:u w:val="none"/>
                <w:lang w:val="en-US" w:eastAsia="zh-CN" w:bidi="ar"/>
              </w:rPr>
              <w:br w:type="textWrapping"/>
            </w:r>
            <w:r>
              <w:rPr>
                <w:rFonts w:ascii="宋体" w:hAnsi="宋体" w:eastAsia="宋体" w:cs="宋体"/>
                <w:color w:val="auto"/>
                <w:sz w:val="20"/>
                <w:szCs w:val="20"/>
                <w:highlight w:val="none"/>
              </w:rPr>
              <w:t>采用高密短毛绒、南韩绒或同等不掉毛环保毛绒材质，毛面平整饱满，使用过程不飞絮、不粘身、无枯乱结块毛绒，杜绝毛绒吸入口鼻风险。</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三、职业表演服专用参数（全套：服装+帽子+鞋子 / 每款3套）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包含职业品类（常规幼儿园全套职业款）：医生、护士、警察、消防员、空姐、机长、厨师、工程师、环卫工人、军人、交警、理发师、店员、老师等常规职业套装。</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服装做工要求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整件服装双线锁边、全身包边工艺，线头清理干净，无跳线、无脱线、无开缝；版型宽松立体，不紧绷、不束缚幼儿肢体活动。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领口、袖口、下摆弹力适中，久穿不变形；腰部松紧带加宽加厚，不勒肚子、不卷边。</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配套帽子参数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同色系配套专用帽子，面料与衣服同款同质，版型挺括不软塌、不易变形；帽内加柔软吸汗内衬，不磨额头、不扎皮肤，松紧适配幼儿头围，佩戴稳固不易掉落。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配套表演鞋子参数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鞋面：环保柔软PU软皮材质，防水、耐擦、易清洗，无异味；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鞋底：加厚防滑软胶底，柔韧弯折不断底，静音防滑，保护幼儿脚踝；</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鞋内里：亲肤透气布，不闷脚、不磨脚，魔术贴开合，穿脱方便，适配全园幼儿脚码。</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四、动物表演服专用参数（每款2套，连体全套）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常规动物品类：小兔、小熊、老虎、狮子、小羊、小牛、小猪、小狗、小猫、青蛙、小鸟、小鸡等幼儿园常用动物款式。</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主体面料</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全身高密度短毛绒面料，毛面均匀、饱满、顺滑，不掉毛、不脱绒、不起静电，杜绝掉毛吸入幼儿口鼻，安全无害。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版型结构</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连体宽松版型，全身宽松不束缚，方便跑跳、做动作；腋下、裆部宽松加大，活动无压力；后背隐形拉链设计，穿脱方便，拉链包边不磨皮肤。</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头饰/头套要求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配套同系列立体动物头套/头饰，造型饱满可爱，无尖锐硬角，内部柔软透气，不压头、不闷汗，眼部透气开孔合理，不遮挡幼儿视线，安全表演。</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 细节工艺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五官刺绣/精工缝制，无粘贴硬塑料件，避免脱落、误食风险；所有拼接位置锁边加固，久穿不裂线、不变形。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五、安全环保标准（硬性验收条款）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色牢度达标：水洗、摩擦不褪色，不沾染幼儿皮肤。</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职业表演服：每一个职业款式 = 服装+帽子+鞋子 全套3套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 面料厚实、无薄透、无起球、无掉毛、无异味；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 帽子、鞋子、服装配套统一，版型标准、配色一致；</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每套独立OPP防尘袋包装，分类装箱，标识清晰；随货附带合格证、质检报告，可提供面料检测、安全环保检测资料。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45BD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3E99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EC4E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63D0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1500 </w:t>
            </w:r>
          </w:p>
        </w:tc>
      </w:tr>
      <w:tr w14:paraId="7C032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055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5B3F8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积木砖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CC3ABA">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（参考尺寸+数量）</w:t>
            </w:r>
          </w:p>
          <w:p w14:paraId="29B84AE6">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以下所有尺寸允许±2cm合理生产及安装公差。本产品 采用优质 HDPE材质  经国家检测 机构检测 内含5种规格组合，内容如下,  长方体：20*10*9cm，160件，  4分之一小半圆26.5*14*9cm 40件，长方体盖板：20*10*4.5cm 40件  弧形盖帽：20*10*12cm 40件 ,正方体：10*10*9cm 80件.合计360件，0.7方/60公斤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D94A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9D0E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360件/套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4F632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6710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1534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6710 </w:t>
            </w:r>
          </w:p>
        </w:tc>
      </w:tr>
      <w:tr w14:paraId="35BA9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993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183</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64BA0FD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幼儿科学区材料</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78913DA1">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幼儿专用实验色素、试管、量杯</w:t>
            </w:r>
          </w:p>
        </w:tc>
        <w:tc>
          <w:tcPr>
            <w:tcW w:w="0" w:type="auto"/>
            <w:tcBorders>
              <w:top w:val="nil"/>
              <w:left w:val="single" w:color="000000" w:sz="4" w:space="0"/>
              <w:bottom w:val="single" w:color="000000" w:sz="4" w:space="0"/>
              <w:right w:val="nil"/>
            </w:tcBorders>
            <w:shd w:val="clear" w:color="auto" w:fill="auto"/>
            <w:noWrap/>
            <w:vAlign w:val="center"/>
          </w:tcPr>
          <w:p w14:paraId="7126253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15</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3501FE6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00B085E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20</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7609E88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300 </w:t>
            </w:r>
          </w:p>
        </w:tc>
      </w:tr>
      <w:tr w14:paraId="10455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772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8A8BA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户外沙池设备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AB70DF">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小铲、小桶、管道</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3869DF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116B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4018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7D74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300 </w:t>
            </w:r>
          </w:p>
        </w:tc>
      </w:tr>
      <w:tr w14:paraId="08349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D8C3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185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8C1C00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军事体能训练障碍器材</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37229CA">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（参考尺寸+数量）</w:t>
            </w:r>
          </w:p>
          <w:p w14:paraId="129D7E44">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以下所有尺寸允许±2cm合理生产及安装公差。尺寸：平衡木1个：2.8m*35cm 墩子2个：55*30*50cm 圆木桩1个：180*30cm 穿洞1个：110*110cm 三角攀爬1个：110*90cm 垫子2个：160*98*9cm 高低台1个：70*70*80cm</w:t>
            </w:r>
          </w:p>
        </w:tc>
        <w:tc>
          <w:tcPr>
            <w:tcW w:w="0" w:type="auto"/>
            <w:tcBorders>
              <w:top w:val="single" w:color="000000" w:sz="4" w:space="0"/>
              <w:left w:val="single" w:color="000000" w:sz="4" w:space="0"/>
              <w:bottom w:val="nil"/>
              <w:right w:val="nil"/>
            </w:tcBorders>
            <w:shd w:val="clear" w:color="auto" w:fill="auto"/>
            <w:noWrap/>
            <w:vAlign w:val="center"/>
          </w:tcPr>
          <w:p w14:paraId="4CF322E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0B85748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58EE8DC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5000</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14B3CE6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5000 </w:t>
            </w:r>
          </w:p>
        </w:tc>
      </w:tr>
      <w:tr w14:paraId="23682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A85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186</w:t>
            </w: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1A86F133">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0E779913">
            <w:pPr>
              <w:keepNext w:val="0"/>
              <w:keepLines w:val="0"/>
              <w:widowControl/>
              <w:suppressLineNumbers w:val="0"/>
              <w:jc w:val="center"/>
              <w:textAlignment w:val="center"/>
              <w:rPr>
                <w:rFonts w:hint="eastAsia" w:ascii="宋体" w:hAnsi="宋体" w:eastAsia="宋体" w:cs="宋体"/>
                <w:b/>
                <w:bCs/>
                <w:i w:val="0"/>
                <w:iCs w:val="0"/>
                <w:color w:val="FF0000"/>
                <w:kern w:val="2"/>
                <w:sz w:val="20"/>
                <w:szCs w:val="20"/>
                <w:u w:val="none"/>
                <w:lang w:val="en-US" w:eastAsia="zh-CN" w:bidi="ar-SA"/>
              </w:rPr>
            </w:pPr>
            <w:r>
              <w:rPr>
                <w:rFonts w:hint="eastAsia" w:ascii="宋体" w:hAnsi="宋体" w:eastAsia="宋体" w:cs="宋体"/>
                <w:b/>
                <w:bCs/>
                <w:i w:val="0"/>
                <w:iCs w:val="0"/>
                <w:color w:val="FF0000"/>
                <w:kern w:val="0"/>
                <w:sz w:val="20"/>
                <w:szCs w:val="20"/>
                <w:u w:val="none"/>
                <w:lang w:val="en-US" w:eastAsia="zh-CN" w:bidi="ar"/>
              </w:rPr>
              <w:t>上林县白圩镇中心幼儿园</w:t>
            </w:r>
          </w:p>
        </w:tc>
        <w:tc>
          <w:tcPr>
            <w:tcW w:w="0" w:type="auto"/>
            <w:tcBorders>
              <w:top w:val="single" w:color="000000" w:sz="4" w:space="0"/>
              <w:left w:val="single" w:color="000000" w:sz="4" w:space="0"/>
              <w:bottom w:val="single" w:color="000000" w:sz="4" w:space="0"/>
              <w:right w:val="nil"/>
            </w:tcBorders>
            <w:shd w:val="clear" w:color="auto" w:fill="92D050"/>
            <w:noWrap/>
            <w:vAlign w:val="center"/>
          </w:tcPr>
          <w:p w14:paraId="7EE08071">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1CCB17EF">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2A8023E5">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3FA0B6E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100000 </w:t>
            </w:r>
          </w:p>
        </w:tc>
      </w:tr>
      <w:tr w14:paraId="6FE5D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486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6BCFE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教学一体机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F7452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一、整体设计</w:t>
            </w:r>
          </w:p>
          <w:p w14:paraId="201540F2">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1、整机采用一体设计，外部无任何可见内部功能模块连接线。</w:t>
            </w:r>
          </w:p>
          <w:p w14:paraId="22124B76">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2、整机采用全金属外壳设计，边角采用弧形设计，表面无尖锐边缘或凸起；整机屏幕边缘采用金属圆角包边防护，整机背板采用金属材质。</w:t>
            </w:r>
          </w:p>
          <w:p w14:paraId="0A6718F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3、整机屏幕采用65英寸液晶显示器。</w:t>
            </w:r>
          </w:p>
          <w:p w14:paraId="1FDC2599">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4、整机采用LED液晶A规屏，显示比例16:9。</w:t>
            </w:r>
          </w:p>
          <w:p w14:paraId="62C067EC">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二、整机硬件性能与接口</w:t>
            </w:r>
          </w:p>
          <w:p w14:paraId="0A796E0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1、双系统配置 整机搭载 电脑模块 + 嵌入式系统，系统版本不低于 当前最新版本；系统内存 RAM≥4G，存储 ROM≥32G；安卓端可独立实现白板书写、文档编辑、网页浏览等基础教学功能。（相关性能指标可提供厂商彩页、功能截图、第三方检测报告任意一种佐证，设备到货验收时提供完整 CMA/CNAS 检测报告备查）。</w:t>
            </w:r>
          </w:p>
          <w:p w14:paraId="4D508D0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2、整机配备前置外接接口，支持双系统共用读取 U 盘等存储设备；整机配备全功能 Type-C、HDMI、USB3.0 输入接口，侧置预留 HDMI、RS232、USB、音频输出、触控 USB 等拓展接口；整机外设拓展能力满足日常教学设备接驳需求，可通过拓展坞实现同等外接能力。前置接口配有防尘防护盖板，保护接口与外接 U 盘。</w:t>
            </w:r>
          </w:p>
          <w:p w14:paraId="2EE7F44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3、整机内置高品质扬声器，整机额定总输出功率≥60W，发声均匀，无杂音、破音，满足教室扩声需求。</w:t>
            </w:r>
          </w:p>
          <w:p w14:paraId="6D74D88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4、红外触控技术，最小识别触控物体≤3mm；整机支持双系统多点触控，触控流畅无断触。</w:t>
            </w:r>
          </w:p>
          <w:p w14:paraId="1C3F2B1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5、整机内置高清摄像头与阵列麦克风，无需外接线材；摄像头像素≥1600 万，广角设计，可完整覆盖教室区域，满足远程巡课、课堂录播；麦克风有效拾音距离≥10 米，多人发言清晰收录。设备自带摄像头工作指示灯，摄像状态直观提示。</w:t>
            </w:r>
          </w:p>
          <w:p w14:paraId="7976B5F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6、支持无线投屏功能，可通过 NFC、扫码、无线连接等任意一种方式实现手机、平板投屏，支持多台移动设备同时分屏展示。</w:t>
            </w:r>
          </w:p>
          <w:p w14:paraId="496E612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7、内置双频 WiFi（2.4G+5GHz）、蓝牙模块，蓝牙标准不低于 Bluetooth 5.2；整机可无线联网、发射无线热点，双系统共用一套无线网络配置，无需重复设置；蓝牙可稳定连接外设，无线传输距离满足教室使用。</w:t>
            </w:r>
          </w:p>
          <w:p w14:paraId="165770B1">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8、设备搭载护眼低蓝光背光方案，从硬件层面削减有害蓝光，显示画面无明显泛黄、色偏，符合校园护眼相关规范；屏幕 NTSC 色域覆盖率≥72%，安卓系统支持 4K 高清 UI 显示。</w:t>
            </w:r>
          </w:p>
          <w:p w14:paraId="4F658BE1">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9、OPS 电脑配置：运行内存≥8G，固态硬盘≥256G。</w:t>
            </w:r>
          </w:p>
          <w:p w14:paraId="57D6A19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p>
          <w:p w14:paraId="0170659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三、整机基础交互功能</w:t>
            </w:r>
          </w:p>
          <w:p w14:paraId="5F8EAA2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1、整机内置图像、音效调节模块，提供多种预设图像、音效模式，支持手动调节亮度、对比度、高低音、色温等参数，适配不同教学场景。</w:t>
            </w:r>
          </w:p>
          <w:p w14:paraId="61E367D1">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2、支持分屏、半屏显示功能，可一键切换全屏 / 半屏，画面完整无裁剪，触控操作正常；支持画面局部放大、聚光灯（区域高亮、其余区域暗化）教学工具。</w:t>
            </w:r>
          </w:p>
          <w:p w14:paraId="6A39E8F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3、系统悬浮快捷工具栏，可调取批注、截屏、计时、锁屏、硬件自检、聚光灯、学科工具等教学常用功能，工具栏支持自定义调整。</w:t>
            </w:r>
          </w:p>
          <w:p w14:paraId="54A0EA0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4、支持智能手势快捷操作，可通过手势触发熄屏、批注、分屏等自定义功能，手势识别灵敏稳定。</w:t>
            </w:r>
          </w:p>
          <w:p w14:paraId="111A505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5、全通道支持自由截屏，可框选任意区域保存截图；授课过程中可一键调取各类教学小工具：答题器、倒计时、节拍器、日历、随机抽选等。</w:t>
            </w:r>
          </w:p>
          <w:p w14:paraId="6BEFECC2">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6、双系统实现功能互通：一键切换系统、共享 USB 外设、共享网络、背光手势快捷控制。</w:t>
            </w:r>
          </w:p>
          <w:p w14:paraId="7F6B13D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7、内置互动白板，支持多笔同时书写、手掌智能擦除，笔迹自带笔锋；白板文件支持导出 PDF、SVG、IWB 等通用格式；内置充足平面、立体学科绘图工具，满足数理化教学绘图需求。</w:t>
            </w:r>
          </w:p>
          <w:p w14:paraId="2D277D2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四、配套教学软件功能</w:t>
            </w:r>
          </w:p>
          <w:p w14:paraId="6824569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1、教学资源分类管理：可按年级、学科、教材版本收纳课件、习题、阅读资料，支持云端存储、本地资源调取。</w:t>
            </w:r>
          </w:p>
          <w:p w14:paraId="603E8522">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2、白板教学模板丰富，支持田字格、五线谱、米字格、坐标纸等学科专用背景，支持原笔迹批注、拖拽、擦除。</w:t>
            </w:r>
          </w:p>
          <w:p w14:paraId="3FB44692">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3、支持 PPT 原生播放、手势翻页、多级放大，批注笔迹同步保存；支持一键将课件上传至个人云空间，授课时云端直接下载使用。</w:t>
            </w:r>
          </w:p>
          <w:p w14:paraId="657196BC">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4、支持集体备课、在线听评课功能：可自定义评课评分模板、评分细则，听课记录可保存、导出分享；支持教师扫码听课评价。</w:t>
            </w:r>
          </w:p>
          <w:p w14:paraId="41B04D0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5、课堂录播功能：授课全过程可录制，支持暂停、停止，可自定义录制音视频画质，录制窗口可隐藏不遮挡教学画面。</w:t>
            </w:r>
          </w:p>
          <w:p w14:paraId="3669A179">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6、支持手机远程控制大屏课件翻页；支持课堂互动答题，学生扫码答题，教师查看答题正确率、导出课堂学情报告；支持课堂弹幕、班级成员管理。</w:t>
            </w:r>
          </w:p>
          <w:p w14:paraId="65C6DA6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7、支持网页资源一键导入课件，可制作课堂互动小游戏并保存至个人云盘，随时调取复用。</w:t>
            </w:r>
          </w:p>
          <w:p w14:paraId="4ADFA521">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8、为每位教师提供免费教学云存储空间，支持本地个人资源同步至云端，授课随时调取。</w:t>
            </w:r>
          </w:p>
          <w:p w14:paraId="008DDE0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五、集控管理平台功能</w:t>
            </w:r>
          </w:p>
          <w:p w14:paraId="304DC18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 xml:space="preserve"> 1、平台可统一查看所有教学设备硬件信息：屏幕尺寸、系统版本、CPU、内存、硬盘、网络状态等；支持列表、缩略图两种设备查看模式，批量预览设备实时画面。</w:t>
            </w:r>
          </w:p>
          <w:p w14:paraId="34B337C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 xml:space="preserve"> 2、远程巡课督导：可实时查看设备屏幕画面与课堂摄像头画面；支持远程下发设备系统、集控软件升级包，设备空闲时段自动完成更新。</w:t>
            </w:r>
          </w:p>
          <w:p w14:paraId="79CB9CB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 xml:space="preserve"> 3、远程管理功能：支持批量设置定时锁屏 / 解锁，可按工作日、周末自定义循环策略；远程下发考场考试安排，设备按时展示考试信息。</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EDCBAB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37BC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F952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C6C4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10000 </w:t>
            </w:r>
          </w:p>
        </w:tc>
      </w:tr>
      <w:tr w14:paraId="33E95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F16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A96E6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移动一体机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A9BA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一、显示参数（整机≥75 寸，Windows+Android 双系统）</w:t>
            </w:r>
          </w:p>
          <w:p w14:paraId="6155F6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1.OPS 配置：可配套 OPS 电脑模块，OPS 厚度≥43mm，支持背部插入安装，同等规格通用 OPS 均可适配；</w:t>
            </w:r>
          </w:p>
          <w:p w14:paraId="08928E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2.图像模式：支持标准、动态、亮丽、用户等多种预设图像模式；侧边栏可调节亮度、对比度、饱和度、色温等参数；音效具备多套预设模式，支持高低音、平衡、环绕声开关调节；</w:t>
            </w:r>
          </w:p>
          <w:p w14:paraId="5F444B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3.背光类型：DLED 直下式背光；</w:t>
            </w:r>
          </w:p>
          <w:p w14:paraId="0E9014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4.屏幕规格：≥75 英寸，16:9 A 规液晶面板，物理分辨率 3840×2160 4K 超高清；</w:t>
            </w:r>
          </w:p>
          <w:p w14:paraId="1DB71F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5.屏幕基础性能：屏幕亮度≥380cd/㎡，静态对比度≥4000:1，灰阶响应时间≤6.5ms，NTSC 色域覆盖率≥72%；可视区域尺寸为参考值，同等 75 寸 4K 面板均可；</w:t>
            </w:r>
          </w:p>
          <w:p w14:paraId="6A41527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6.分屏功能：HDMI、安卓、Windows 全通道支持手势半屏显示，一键切换全屏，具备多类分屏适配模式即可，不强制固定数量。</w:t>
            </w:r>
          </w:p>
          <w:p w14:paraId="34B31E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二、系统参数</w:t>
            </w:r>
          </w:p>
          <w:p w14:paraId="312168B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1.嵌入式安卓系统版本不低于 Android</w:t>
            </w:r>
            <w:r>
              <w:rPr>
                <w:rFonts w:hint="eastAsia" w:ascii="宋体" w:hAnsi="宋体" w:cs="宋体"/>
                <w:color w:val="auto"/>
                <w:kern w:val="0"/>
                <w:sz w:val="20"/>
                <w:szCs w:val="20"/>
                <w:highlight w:val="none"/>
                <w:lang w:val="en-US" w:eastAsia="zh-CN" w:bidi="ar"/>
              </w:rPr>
              <w:t>11</w:t>
            </w:r>
            <w:r>
              <w:rPr>
                <w:rFonts w:hint="eastAsia" w:ascii="宋体" w:hAnsi="宋体" w:eastAsia="宋体" w:cs="宋体"/>
                <w:color w:val="auto"/>
                <w:kern w:val="0"/>
                <w:sz w:val="20"/>
                <w:szCs w:val="20"/>
                <w:highlight w:val="none"/>
                <w:lang w:val="en-US" w:eastAsia="zh-CN" w:bidi="ar"/>
              </w:rPr>
              <w:t>，运行内存≥4GB，本地存储≥32GB；</w:t>
            </w:r>
          </w:p>
          <w:p w14:paraId="0C338AD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2.安卓主控：8 核处理器，等效主频≥1.55GHz（Cortex A55 或同性能架构均可）。</w:t>
            </w:r>
          </w:p>
          <w:p w14:paraId="5A61D2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三、智能音视频与互联</w:t>
            </w:r>
          </w:p>
          <w:p w14:paraId="2A12E0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1.内置高清广角摄像头，像素≥1600 万，视场角≥130°，覆盖整间会议室巡课拍摄；支持人脸快速解锁识别；</w:t>
            </w:r>
          </w:p>
          <w:p w14:paraId="4E94BD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2.内置立体环绕音响，整机额定总功率≥60W，发声均匀无杂音；麦克风阵列拾音距离≥10 米，满足全室收音；不限喇叭腔体、出声结构；</w:t>
            </w:r>
          </w:p>
          <w:p w14:paraId="4278CF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3.内置蓝牙 5.2、2.4G/5G 双频 WiFi；双系统共用无线网络，无需重复配置；可发射 AP 热点，支持多终端无线接入，蓝牙稳定传输距离≥15 米；</w:t>
            </w:r>
          </w:p>
          <w:p w14:paraId="7239C8C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4.支持无线投屏，可通过 NFC、扫码、无线直连任意一种方式实现手机 / 平板投屏，支持多设备同时分屏；</w:t>
            </w:r>
          </w:p>
          <w:p w14:paraId="57BDE2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5.可选配环境温湿度监测模块，可对接管理平台查看教室环境数据，无强制硬性要求。</w:t>
            </w:r>
          </w:p>
          <w:p w14:paraId="44DDDE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四、红外触控参数</w:t>
            </w:r>
          </w:p>
          <w:p w14:paraId="58D18C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1.红外多点触控，AG 防眩光钢化玻璃，光线透过率≥88%；</w:t>
            </w:r>
          </w:p>
          <w:p w14:paraId="29A124E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2.支持≥50 点同步书写触控，触控响应速度≤5ms，最小识别触摸物体≤3mm，强光下书写触控无失效；</w:t>
            </w:r>
          </w:p>
          <w:p w14:paraId="6A98F6A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3.白板功能：无 PC 安卓端支持多笔同时书写、手掌智能擦除；可导出 PDF、SVG、IWB 等通用文档格式；内置充足数理化平面、立体绘图学科工具；差值分辨率满足 4K 高清书写精度即可，不强制固定数值。</w:t>
            </w:r>
          </w:p>
          <w:p w14:paraId="4CB3AC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五、整机接口（满足拓展需求，可配套拓展坞补充接口）</w:t>
            </w:r>
          </w:p>
          <w:p w14:paraId="739863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1.输入：前置 HDMI、全功能 Type-C、多组 USB3.0；后置预留 HDMI 输入、3.5mm 音频输入；</w:t>
            </w:r>
          </w:p>
          <w:p w14:paraId="4982C2F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2.输出：3.5mm 音频输出；</w:t>
            </w:r>
          </w:p>
          <w:p w14:paraId="3F48A1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3.网络：配备不少于 1 路千兆网口，双网口更佳；</w:t>
            </w:r>
          </w:p>
          <w:p w14:paraId="50EC89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0"/>
                <w:szCs w:val="20"/>
                <w:highlight w:val="none"/>
                <w:lang w:val="en-US" w:eastAsia="zh-CN" w:bidi="ar"/>
              </w:rPr>
              <w:t>4.板载内置 USB、触控 USB 等拓展接口，整机外设接驳能力满足会议电脑、U 盘、摄像头、麦克风等常规设备使用。</w:t>
            </w:r>
          </w:p>
          <w:p w14:paraId="12CF2868">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366A5F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43CD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AAA1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A62C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13000 </w:t>
            </w:r>
          </w:p>
        </w:tc>
      </w:tr>
      <w:tr w14:paraId="35363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AD4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22003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计算机</w:t>
            </w:r>
          </w:p>
        </w:tc>
        <w:tc>
          <w:tcPr>
            <w:tcW w:w="6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01EFE">
            <w:pPr>
              <w:keepNext w:val="0"/>
              <w:keepLines w:val="0"/>
              <w:widowControl/>
              <w:numPr>
                <w:ilvl w:val="0"/>
                <w:numId w:val="7"/>
              </w:numPr>
              <w:suppressLineNumbers w:val="0"/>
              <w:jc w:val="left"/>
              <w:textAlignment w:val="center"/>
              <w:rPr>
                <w:rFonts w:hint="eastAsia" w:ascii="宋体" w:hAnsi="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硬件技术参数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▲1、基本要求：国产自主品牌商用台式机，</w:t>
            </w:r>
            <w:r>
              <w:rPr>
                <w:rFonts w:hint="eastAsia" w:ascii="宋体" w:hAnsi="宋体" w:cs="宋体"/>
                <w:i w:val="0"/>
                <w:iCs w:val="0"/>
                <w:strike w:val="0"/>
                <w:dstrike w:val="0"/>
                <w:color w:val="auto"/>
                <w:kern w:val="0"/>
                <w:sz w:val="20"/>
                <w:szCs w:val="20"/>
                <w:highlight w:val="none"/>
                <w:u w:val="none"/>
                <w:lang w:val="en-US" w:eastAsia="zh-CN" w:bidi="ar"/>
              </w:rPr>
              <w:t>结构稳固，具备良好的散热性能。</w:t>
            </w:r>
          </w:p>
          <w:p w14:paraId="6B52224B">
            <w:pPr>
              <w:keepNext w:val="0"/>
              <w:keepLines w:val="0"/>
              <w:widowControl/>
              <w:numPr>
                <w:ilvl w:val="0"/>
                <w:numId w:val="0"/>
              </w:numPr>
              <w:suppressLineNumbers w:val="0"/>
              <w:jc w:val="left"/>
              <w:textAlignment w:val="center"/>
              <w:rPr>
                <w:rFonts w:hint="eastAsia" w:ascii="宋体" w:hAnsi="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2、处理器： 处理器采用国产处理器，八核，主频≥2.7GHz；</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3、内存：配置≥16GB DDR4 UDIMM内存，配置≥2个内存插槽；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4、显卡：≥2G独立显卡。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5、硬盘：≥512GB M.2接口NVME协议SSD；</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▲6、电源：电源功率≤180W，电源适配器电线组件应符合GB/T15934的要求；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7、网络：1个RJ45 10/100/1000自适应以太网口；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▲8、接口：前置USB3.0接口≥4个；后置USB3.0接口≥2个，USB2.0接口≥2个；音频接口：麦克风1个，耳机1个；后端3个Audio音频接口；PCIE插槽数量≥3个；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▲9、数据安全：BIOS级USB屏蔽及智能USB数据保护：USB支持BIOS下接口开关，针对存储设备支持USB接口切换禁止访问模式/只读模式。</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10、显示器：配置≥23.8寸LED显示器，IPS屏，分辨率≥1920*1080，刷新频率≥</w:t>
            </w:r>
            <w:r>
              <w:rPr>
                <w:rFonts w:hint="eastAsia" w:ascii="宋体" w:hAnsi="宋体" w:cs="宋体"/>
                <w:i w:val="0"/>
                <w:iCs w:val="0"/>
                <w:color w:val="auto"/>
                <w:kern w:val="0"/>
                <w:sz w:val="20"/>
                <w:szCs w:val="20"/>
                <w:highlight w:val="none"/>
                <w:u w:val="none"/>
                <w:lang w:val="en-US" w:eastAsia="zh-CN" w:bidi="ar"/>
              </w:rPr>
              <w:t>75</w:t>
            </w:r>
            <w:r>
              <w:rPr>
                <w:rFonts w:hint="eastAsia" w:ascii="宋体" w:hAnsi="宋体" w:eastAsia="宋体" w:cs="宋体"/>
                <w:i w:val="0"/>
                <w:iCs w:val="0"/>
                <w:color w:val="auto"/>
                <w:kern w:val="0"/>
                <w:sz w:val="20"/>
                <w:szCs w:val="20"/>
                <w:highlight w:val="none"/>
                <w:u w:val="none"/>
                <w:lang w:val="en-US" w:eastAsia="zh-CN" w:bidi="ar"/>
              </w:rPr>
              <w:t>Hz，对比度≥1000:1</w:t>
            </w:r>
            <w:r>
              <w:rPr>
                <w:rFonts w:hint="eastAsia" w:ascii="宋体" w:hAnsi="宋体" w:cs="宋体"/>
                <w:i w:val="0"/>
                <w:iCs w:val="0"/>
                <w:color w:val="auto"/>
                <w:kern w:val="0"/>
                <w:sz w:val="20"/>
                <w:szCs w:val="20"/>
                <w:highlight w:val="none"/>
                <w:u w:val="none"/>
                <w:lang w:val="en-US" w:eastAsia="zh-CN" w:bidi="ar"/>
              </w:rPr>
              <w:t>；</w:t>
            </w:r>
          </w:p>
          <w:p w14:paraId="5F8491DF">
            <w:pPr>
              <w:keepNext w:val="0"/>
              <w:keepLines w:val="0"/>
              <w:widowControl/>
              <w:numPr>
                <w:ilvl w:val="0"/>
                <w:numId w:val="0"/>
              </w:numPr>
              <w:suppressLineNumbers w:val="0"/>
              <w:ind w:left="0" w:leftChars="0" w:firstLine="0" w:firstLineChars="0"/>
              <w:jc w:val="left"/>
              <w:textAlignment w:val="center"/>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11、操作系统：预装符合桌面操作系统政府采购需求标准的正版操作系统；预装的操作系统符合《操作系统政府采购需求标准》中加*指标要求（财政部工业和信息化部关于印发《操作系统政府采购需求标准（2023年版）》的通知）。</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12、办公软件：预装带正版授权的办公软件</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（含三年服务）；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▲13、关键部件安全要求：CPU和操作系统等关键部件应当符合安全可靠测评要求。（提供通过安全可靠测评的证明书或作出承诺）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二、班级管理平台软件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1、后台采用 B/S 架构设计，能够支持不同角色在 web 上进行操作，支持微信和账号登录、支持学校自定义角色、教师角色切换。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2、支持上传多个备课文档、支持一屏稿件对比，支持查看该次集体备课数据统计及访问记录。集体备课终稿存到我的成果库。并支持查看集体备课数据报告；</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、支持区域、学校管理者发起在线收集资料的任务，老师按照在线任务要求上传资料，支持管理者将收集上来的资料分类归档管理【</w:t>
            </w:r>
            <w:r>
              <w:rPr>
                <w:rFonts w:hint="eastAsia" w:ascii="宋体" w:hAnsi="宋体" w:cs="宋体"/>
                <w:i w:val="0"/>
                <w:iCs w:val="0"/>
                <w:color w:val="auto"/>
                <w:kern w:val="0"/>
                <w:sz w:val="20"/>
                <w:szCs w:val="20"/>
                <w:highlight w:val="none"/>
                <w:u w:val="none"/>
                <w:lang w:val="en-US" w:eastAsia="zh-CN" w:bidi="ar"/>
              </w:rPr>
              <w:t>响应供应商</w:t>
            </w:r>
            <w:r>
              <w:rPr>
                <w:rFonts w:hint="eastAsia" w:ascii="宋体" w:hAnsi="宋体" w:eastAsia="宋体" w:cs="宋体"/>
                <w:i w:val="0"/>
                <w:iCs w:val="0"/>
                <w:color w:val="auto"/>
                <w:kern w:val="0"/>
                <w:sz w:val="20"/>
                <w:szCs w:val="20"/>
                <w:highlight w:val="none"/>
                <w:u w:val="none"/>
                <w:lang w:val="en-US" w:eastAsia="zh-CN" w:bidi="ar"/>
              </w:rPr>
              <w:t>于</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中必须提供所投产品满足本条技术要求的相关有效证明材料复印件，证明材料可以是国家认可的第三方检验（测）机构出具的合格有效的检验（测）报告或官网截图或功能截图或产品彩页】</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三、教学授课软件功能要求：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 xml:space="preserve">.无需导入平台，可直接在PPT中通过备课插件添加课堂互动游戏、思维导图、网站链接、网络画板等。课件编辑完成可一键同步至云端；如教师不想保存在云平台可直接以PPT格式保存在本地，不允许系统自动在云平台中更新教师的资源；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 xml:space="preserve">.试题能够根据课本章节、题型、难易程度进行筛选，并提供知识点试题，可按知识点筛选，支持收藏、查看试题答案、解析、关联知识点，支持对试题进行二次编辑，支持将试题一键加入备课；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.通过对纸质试题拍照，可将图片上传，将纸质文字变为电子版文字，便于老师优质试题的收集使用；（</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4</w:t>
            </w:r>
            <w:r>
              <w:rPr>
                <w:rFonts w:hint="eastAsia" w:ascii="宋体" w:hAnsi="宋体" w:eastAsia="宋体" w:cs="宋体"/>
                <w:i w:val="0"/>
                <w:iCs w:val="0"/>
                <w:color w:val="auto"/>
                <w:kern w:val="0"/>
                <w:sz w:val="20"/>
                <w:szCs w:val="20"/>
                <w:highlight w:val="none"/>
                <w:u w:val="none"/>
                <w:lang w:val="en-US" w:eastAsia="zh-CN" w:bidi="ar"/>
              </w:rPr>
              <w:t>.支持将音视频分成不同小节，支持自定义视频小节名称，播放时可通过点击小节名称快速定位关键教学内容。（</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内置多种随堂练习、趣味答题模板，适配课堂巩固。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6</w:t>
            </w:r>
            <w:r>
              <w:rPr>
                <w:rFonts w:hint="eastAsia" w:ascii="宋体" w:hAnsi="宋体" w:eastAsia="宋体" w:cs="宋体"/>
                <w:i w:val="0"/>
                <w:iCs w:val="0"/>
                <w:color w:val="auto"/>
                <w:kern w:val="0"/>
                <w:sz w:val="20"/>
                <w:szCs w:val="20"/>
                <w:highlight w:val="none"/>
                <w:u w:val="none"/>
                <w:lang w:val="en-US" w:eastAsia="zh-CN" w:bidi="ar"/>
              </w:rPr>
              <w:t>.为方便教师快速查找，所有备课资源均可按照系统自带教材章节进行存储，无需教师自建存储条目；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7</w:t>
            </w:r>
            <w:r>
              <w:rPr>
                <w:rFonts w:hint="eastAsia" w:ascii="宋体" w:hAnsi="宋体" w:eastAsia="宋体" w:cs="宋体"/>
                <w:i w:val="0"/>
                <w:iCs w:val="0"/>
                <w:color w:val="auto"/>
                <w:kern w:val="0"/>
                <w:sz w:val="20"/>
                <w:szCs w:val="20"/>
                <w:highlight w:val="none"/>
                <w:u w:val="none"/>
                <w:lang w:val="en-US" w:eastAsia="zh-CN" w:bidi="ar"/>
              </w:rPr>
              <w:t xml:space="preserve">.备课界面支持将教案、课件、学案、试题、练习、网络画板、虚拟实验、微课等教学资源分享给校内指定教师使用；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8</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白板教学：提供多种书写笔触、可调色彩，支持自定义常用配色。</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9</w:t>
            </w:r>
            <w:r>
              <w:rPr>
                <w:rFonts w:hint="eastAsia" w:ascii="宋体" w:hAnsi="宋体" w:eastAsia="宋体" w:cs="宋体"/>
                <w:i w:val="0"/>
                <w:iCs w:val="0"/>
                <w:color w:val="auto"/>
                <w:kern w:val="0"/>
                <w:sz w:val="20"/>
                <w:szCs w:val="20"/>
                <w:highlight w:val="none"/>
                <w:u w:val="none"/>
                <w:lang w:val="en-US" w:eastAsia="zh-CN" w:bidi="ar"/>
              </w:rPr>
              <w:t>.支持三个及以上学生同时进行书写或手势擦除操作，不同学生各自进行书写或擦除，互不影响；</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10</w:t>
            </w:r>
            <w:r>
              <w:rPr>
                <w:rFonts w:hint="eastAsia" w:ascii="宋体" w:hAnsi="宋体" w:eastAsia="宋体" w:cs="宋体"/>
                <w:i w:val="0"/>
                <w:iCs w:val="0"/>
                <w:color w:val="auto"/>
                <w:kern w:val="0"/>
                <w:sz w:val="20"/>
                <w:szCs w:val="20"/>
                <w:highlight w:val="none"/>
                <w:u w:val="none"/>
                <w:lang w:val="en-US" w:eastAsia="zh-CN" w:bidi="ar"/>
              </w:rPr>
              <w:t>.支持对白板页面中的元素进行隐藏、锁定、缩放、旋转、置顶等操作，被隐藏元素可以一键重新显示在白板上；</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1FA9C0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5ADA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0CBC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94C4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10000 </w:t>
            </w:r>
          </w:p>
        </w:tc>
      </w:tr>
      <w:tr w14:paraId="5DBA1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C99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DFC40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万能工匠组合</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top"/>
          </w:tcPr>
          <w:p w14:paraId="00458CF1">
            <w:pPr>
              <w:keepNext w:val="0"/>
              <w:keepLines w:val="0"/>
              <w:widowControl/>
              <w:suppressLineNumbers w:val="0"/>
              <w:jc w:val="left"/>
              <w:textAlignment w:val="top"/>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允许±</w:t>
            </w: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％合理生产及安装公差：参考规格：507*316*193cm,加厚</w:t>
            </w:r>
            <w:r>
              <w:rPr>
                <w:rFonts w:hint="eastAsia" w:ascii="宋体" w:hAnsi="宋体" w:cs="宋体"/>
                <w:i w:val="0"/>
                <w:iCs w:val="0"/>
                <w:color w:val="auto"/>
                <w:kern w:val="0"/>
                <w:sz w:val="20"/>
                <w:szCs w:val="20"/>
                <w:highlight w:val="none"/>
                <w:u w:val="none"/>
                <w:lang w:val="en-US" w:eastAsia="zh-CN" w:bidi="ar"/>
              </w:rPr>
              <w:t>,组件总数不少于</w:t>
            </w:r>
            <w:r>
              <w:rPr>
                <w:rFonts w:hint="eastAsia" w:ascii="宋体" w:hAnsi="宋体" w:eastAsia="宋体" w:cs="宋体"/>
                <w:i w:val="0"/>
                <w:iCs w:val="0"/>
                <w:color w:val="auto"/>
                <w:kern w:val="0"/>
                <w:sz w:val="20"/>
                <w:szCs w:val="20"/>
                <w:highlight w:val="none"/>
                <w:u w:val="none"/>
                <w:lang w:val="en-US" w:eastAsia="zh-CN" w:bidi="ar"/>
              </w:rPr>
              <w:t>258件(圆盘</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76个，轮胎</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8个，管子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174条)具体配置：圆盘</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76个，115.2cm管子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72根，76cm管子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66根，48.5cm管子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12根，15.2cm管子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8根，171cm管子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16根，轮胎</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8个</w:t>
            </w:r>
            <w:r>
              <w:rPr>
                <w:rFonts w:hint="eastAsia" w:ascii="宋体" w:hAnsi="宋体" w:cs="宋体"/>
                <w:i w:val="0"/>
                <w:iCs w:val="0"/>
                <w:color w:val="auto"/>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5805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CAF3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1DC4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0DEC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5800 </w:t>
            </w:r>
          </w:p>
        </w:tc>
      </w:tr>
      <w:tr w14:paraId="7F9C9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38E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DCDBA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户外玩具多功能防雨收纳柜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7815B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拼接连体柜，</w:t>
            </w:r>
            <w:r>
              <w:rPr>
                <w:rFonts w:ascii="宋体" w:hAnsi="宋体" w:eastAsia="宋体" w:cs="宋体"/>
                <w:sz w:val="20"/>
                <w:szCs w:val="20"/>
                <w:highlight w:val="none"/>
              </w:rPr>
              <w:t>柜体采用镀锌钢板，板材厚度≥1.2mm</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sz w:val="20"/>
                <w:szCs w:val="20"/>
                <w:highlight w:val="none"/>
              </w:rPr>
              <w:t>柜体内部层数≥2 层；整体由≥2 个单元拼接连体而成</w:t>
            </w:r>
            <w:r>
              <w:rPr>
                <w:rFonts w:hint="eastAsia" w:ascii="宋体" w:hAnsi="宋体" w:eastAsia="宋体" w:cs="宋体"/>
                <w:i w:val="0"/>
                <w:iCs w:val="0"/>
                <w:color w:val="auto"/>
                <w:kern w:val="0"/>
                <w:sz w:val="20"/>
                <w:szCs w:val="20"/>
                <w:highlight w:val="none"/>
                <w:u w:val="none"/>
                <w:lang w:val="en-US" w:eastAsia="zh-CN" w:bidi="ar"/>
              </w:rPr>
              <w:t>，无需安装，门数量双门、颜色浅蓝色、对开门、学校适用场景绿色设计环保标准防火功能高，</w:t>
            </w:r>
            <w:r>
              <w:rPr>
                <w:rFonts w:ascii="宋体" w:hAnsi="宋体" w:eastAsia="宋体" w:cs="宋体"/>
                <w:sz w:val="20"/>
                <w:szCs w:val="20"/>
                <w:highlight w:val="none"/>
              </w:rPr>
              <w:t>总长 288~292cm、宽度 68~72cm、高度 158~162cm</w:t>
            </w:r>
            <w:r>
              <w:rPr>
                <w:rFonts w:hint="eastAsia" w:ascii="宋体" w:hAnsi="宋体" w:eastAsia="宋体" w:cs="宋体"/>
                <w:i w:val="0"/>
                <w:iCs w:val="0"/>
                <w:color w:val="auto"/>
                <w:kern w:val="0"/>
                <w:sz w:val="20"/>
                <w:szCs w:val="20"/>
                <w:highlight w:val="none"/>
                <w:u w:val="none"/>
                <w:lang w:val="en-US" w:eastAsia="zh-CN" w:bidi="ar"/>
              </w:rPr>
              <w:t>，带门，带方向轮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35E5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9A97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A3E2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8DED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10800 </w:t>
            </w:r>
          </w:p>
        </w:tc>
      </w:tr>
      <w:tr w14:paraId="3B0E0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E02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1B90D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户外推拉雨棚</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A10D52">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ascii="宋体" w:hAnsi="宋体" w:eastAsia="宋体" w:cs="宋体"/>
                <w:sz w:val="20"/>
                <w:szCs w:val="20"/>
                <w:highlight w:val="none"/>
              </w:rPr>
              <w:t>总长 9.8~10.2m、宽度 5.8~6.2m、净高 2.45~2.55m</w:t>
            </w:r>
            <w:r>
              <w:rPr>
                <w:rFonts w:hint="eastAsia" w:ascii="宋体" w:hAnsi="宋体" w:eastAsia="宋体" w:cs="宋体"/>
                <w:i w:val="0"/>
                <w:iCs w:val="0"/>
                <w:color w:val="auto"/>
                <w:kern w:val="0"/>
                <w:sz w:val="20"/>
                <w:szCs w:val="20"/>
                <w:highlight w:val="none"/>
                <w:u w:val="none"/>
                <w:lang w:val="en-US" w:eastAsia="zh-CN" w:bidi="ar"/>
              </w:rPr>
              <w:t>绿（加粗加厚60镀锌管钢架满焊，抗风8-8级，升级双层夹网刀刮布）包含顶布、钢架、方向轮、可伸缩</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CA52E2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5F16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E2BE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9AD5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12000 </w:t>
            </w:r>
          </w:p>
        </w:tc>
      </w:tr>
      <w:tr w14:paraId="35C9E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59F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FE4D6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会议室音响</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A1AB0A9">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调音台套装（12寸专业音响4只+1拖4无线麦克风）支架，40米音箱线，一分二音频线，二分音频线，*2对音响；功效*2台，</w:t>
            </w:r>
            <w:r>
              <w:rPr>
                <w:rFonts w:ascii="宋体" w:hAnsi="宋体" w:eastAsia="宋体" w:cs="宋体"/>
                <w:sz w:val="20"/>
                <w:szCs w:val="20"/>
                <w:highlight w:val="none"/>
              </w:rPr>
              <w:t>一拖四无线话筒，包含 2 只手持动圈麦 + 2 只鹅颈会议麦，UHF 频段、抗干扰、可调频</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sz w:val="20"/>
                <w:szCs w:val="20"/>
                <w:highlight w:val="none"/>
              </w:rPr>
              <w:t>专业模拟调音台，满足会议室多路输入、带均衡、效果、USB / 蓝牙、多路音频输出，适配会议话筒、电脑音源</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sz w:val="20"/>
                <w:szCs w:val="20"/>
                <w:highlight w:val="none"/>
              </w:rPr>
              <w:t>10 路电源时序管理器</w:t>
            </w:r>
            <w:r>
              <w:rPr>
                <w:rFonts w:hint="eastAsia" w:ascii="宋体" w:hAnsi="宋体" w:eastAsia="宋体" w:cs="宋体"/>
                <w:sz w:val="20"/>
                <w:szCs w:val="20"/>
                <w:highlight w:val="none"/>
                <w:lang w:eastAsia="zh-CN"/>
              </w:rPr>
              <w:t>，</w:t>
            </w:r>
            <w:r>
              <w:rPr>
                <w:rFonts w:ascii="宋体" w:hAnsi="宋体" w:eastAsia="宋体" w:cs="宋体"/>
                <w:sz w:val="20"/>
                <w:szCs w:val="20"/>
                <w:highlight w:val="none"/>
              </w:rPr>
              <w:t>配置：总控空气开关、过流保护，8 路时序受控插座 + 2 路常通直通插座，每路带独立启停开关，支持机房音响顺序上电</w:t>
            </w:r>
            <w:r>
              <w:rPr>
                <w:rFonts w:hint="eastAsia" w:ascii="宋体" w:hAnsi="宋体" w:eastAsia="宋体" w:cs="宋体"/>
                <w:i w:val="0"/>
                <w:iCs w:val="0"/>
                <w:color w:val="auto"/>
                <w:kern w:val="0"/>
                <w:sz w:val="20"/>
                <w:szCs w:val="20"/>
                <w:highlight w:val="none"/>
                <w:u w:val="none"/>
                <w:lang w:val="en-US" w:eastAsia="zh-CN" w:bidi="ar"/>
              </w:rPr>
              <w:t>；音响机柜，20U加固机柜（带六层-带前透明门），</w:t>
            </w:r>
            <w:r>
              <w:rPr>
                <w:rFonts w:ascii="宋体" w:hAnsi="宋体" w:eastAsia="宋体" w:cs="宋体"/>
                <w:sz w:val="20"/>
                <w:szCs w:val="20"/>
                <w:highlight w:val="none"/>
              </w:rPr>
              <w:t>外形高度 101~105cm、宽度 50~54cm、深度 48~51cm</w:t>
            </w:r>
            <w:r>
              <w:rPr>
                <w:rFonts w:hint="eastAsia" w:ascii="宋体" w:hAnsi="宋体" w:eastAsia="宋体" w:cs="宋体"/>
                <w:i w:val="0"/>
                <w:iCs w:val="0"/>
                <w:color w:val="auto"/>
                <w:kern w:val="0"/>
                <w:sz w:val="20"/>
                <w:szCs w:val="20"/>
                <w:highlight w:val="none"/>
                <w:u w:val="none"/>
                <w:lang w:val="en-US" w:eastAsia="zh-CN" w:bidi="ar"/>
              </w:rPr>
              <w:t>,带刹车轮；</w:t>
            </w:r>
            <w:r>
              <w:rPr>
                <w:rFonts w:ascii="宋体" w:hAnsi="宋体" w:eastAsia="宋体" w:cs="宋体"/>
                <w:sz w:val="20"/>
                <w:szCs w:val="20"/>
                <w:highlight w:val="none"/>
              </w:rPr>
              <w:t>2 支专业心形指向鹅颈会议电容话筒，配套防震桌面底座；支持 48V 幻象供电，适合会议室拾音</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6A375C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443D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D309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469E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11000 </w:t>
            </w:r>
          </w:p>
        </w:tc>
      </w:tr>
      <w:tr w14:paraId="5EE88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8B7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D4910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户外玩具收纳架</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4939F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室外防雨置物组合拼接连体柜，</w:t>
            </w:r>
            <w:r>
              <w:rPr>
                <w:rFonts w:ascii="宋体" w:hAnsi="宋体" w:eastAsia="宋体" w:cs="宋体"/>
                <w:sz w:val="20"/>
                <w:szCs w:val="20"/>
                <w:highlight w:val="none"/>
              </w:rPr>
              <w:t>柜体镀锌钢板厚度≥1.2mm，户外加厚防锈，可按需选用 1.5mm 加厚款</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sz w:val="20"/>
                <w:szCs w:val="20"/>
                <w:highlight w:val="none"/>
              </w:rPr>
              <w:t>整体分层≥2 层；整体由≥5 个单元拼接组成，模块化连体拼接</w:t>
            </w:r>
            <w:r>
              <w:rPr>
                <w:rFonts w:hint="eastAsia" w:ascii="宋体" w:hAnsi="宋体" w:eastAsia="宋体" w:cs="宋体"/>
                <w:i w:val="0"/>
                <w:iCs w:val="0"/>
                <w:color w:val="auto"/>
                <w:kern w:val="0"/>
                <w:sz w:val="20"/>
                <w:szCs w:val="20"/>
                <w:highlight w:val="none"/>
                <w:u w:val="none"/>
                <w:lang w:val="en-US" w:eastAsia="zh-CN" w:bidi="ar"/>
              </w:rPr>
              <w:t>，无需安装，</w:t>
            </w:r>
            <w:r>
              <w:rPr>
                <w:rFonts w:ascii="宋体" w:hAnsi="宋体" w:eastAsia="宋体" w:cs="宋体"/>
                <w:sz w:val="20"/>
                <w:szCs w:val="20"/>
                <w:highlight w:val="none"/>
              </w:rPr>
              <w:t>整体外形尺寸长 640~660cm、深度 68~72cm、高度 133~137cm</w:t>
            </w:r>
            <w:r>
              <w:rPr>
                <w:rFonts w:hint="eastAsia" w:ascii="宋体" w:hAnsi="宋体" w:eastAsia="宋体" w:cs="宋体"/>
                <w:i w:val="0"/>
                <w:iCs w:val="0"/>
                <w:color w:val="auto"/>
                <w:kern w:val="0"/>
                <w:sz w:val="20"/>
                <w:szCs w:val="20"/>
                <w:highlight w:val="none"/>
                <w:u w:val="none"/>
                <w:lang w:val="en-US" w:eastAsia="zh-CN" w:bidi="ar"/>
              </w:rPr>
              <w:t>，门数量双门、颜色灰色、对开门、学校适用场景绿色设计环保标准防火功能高带门，带方向轮，门可供幼儿涂鸦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DF9A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46B9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8E4D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6DE4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17400 </w:t>
            </w:r>
          </w:p>
        </w:tc>
      </w:tr>
      <w:tr w14:paraId="188B3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D158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52A0E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幼儿绘本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C1D917">
            <w:pPr>
              <w:keepNext w:val="0"/>
              <w:keepLines w:val="0"/>
              <w:widowControl/>
              <w:suppressLineNumbers w:val="0"/>
              <w:jc w:val="left"/>
              <w:textAlignment w:val="center"/>
              <w:rPr>
                <w:rFonts w:hint="eastAsia" w:ascii="宋体" w:hAnsi="宋体" w:eastAsia="宋体" w:cs="宋体"/>
                <w:sz w:val="20"/>
                <w:szCs w:val="20"/>
                <w:highlight w:val="none"/>
              </w:rPr>
            </w:pPr>
            <w:r>
              <w:rPr>
                <w:rFonts w:hint="eastAsia" w:ascii="宋体" w:hAnsi="宋体" w:eastAsia="宋体" w:cs="宋体"/>
                <w:sz w:val="20"/>
                <w:szCs w:val="20"/>
                <w:highlight w:val="none"/>
              </w:rPr>
              <w:t>本次采购绘本涵盖</w:t>
            </w:r>
            <w:r>
              <w:rPr>
                <w:rFonts w:hint="eastAsia" w:ascii="宋体" w:hAnsi="宋体" w:eastAsia="宋体" w:cs="宋体"/>
                <w:sz w:val="20"/>
                <w:szCs w:val="20"/>
                <w:highlight w:val="none"/>
                <w:lang w:eastAsia="zh-CN"/>
              </w:rPr>
              <w:t>七</w:t>
            </w:r>
            <w:r>
              <w:rPr>
                <w:rFonts w:hint="eastAsia" w:ascii="宋体" w:hAnsi="宋体" w:eastAsia="宋体" w:cs="宋体"/>
                <w:sz w:val="20"/>
                <w:szCs w:val="20"/>
                <w:highlight w:val="none"/>
              </w:rPr>
              <w:t>大通用品类，所有参选书籍需适配幼儿园教学场景，贴合幼儿成长特点，具体品类及通用标准如下，供应商可在对应品类内提供合规等效书籍：</w:t>
            </w:r>
          </w:p>
          <w:p w14:paraId="5A6DC735">
            <w:pPr>
              <w:keepNext w:val="0"/>
              <w:keepLines w:val="0"/>
              <w:widowControl/>
              <w:suppressLineNumbers w:val="0"/>
              <w:jc w:val="left"/>
              <w:textAlignment w:val="center"/>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一、采购绘本品类</w:t>
            </w:r>
          </w:p>
          <w:p w14:paraId="1CE7975E">
            <w:pPr>
              <w:keepNext w:val="0"/>
              <w:keepLines w:val="0"/>
              <w:widowControl/>
              <w:suppressLineNumbers w:val="0"/>
              <w:jc w:val="left"/>
              <w:textAlignment w:val="center"/>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1.</w:t>
            </w:r>
            <w:r>
              <w:rPr>
                <w:rFonts w:hint="eastAsia" w:ascii="宋体" w:hAnsi="宋体" w:eastAsia="宋体" w:cs="宋体"/>
                <w:sz w:val="20"/>
                <w:szCs w:val="20"/>
                <w:highlight w:val="none"/>
              </w:rPr>
              <w:t>传统文化与经典故事类绘本</w:t>
            </w:r>
            <w:r>
              <w:rPr>
                <w:rFonts w:hint="eastAsia" w:ascii="宋体" w:hAnsi="宋体" w:eastAsia="宋体" w:cs="宋体"/>
                <w:sz w:val="20"/>
                <w:szCs w:val="20"/>
                <w:highlight w:val="none"/>
                <w:lang w:eastAsia="zh-CN"/>
              </w:rPr>
              <w:t>：</w:t>
            </w:r>
            <w:r>
              <w:rPr>
                <w:rFonts w:hint="eastAsia" w:ascii="宋体" w:hAnsi="宋体" w:eastAsia="宋体" w:cs="宋体"/>
                <w:sz w:val="20"/>
                <w:szCs w:val="20"/>
                <w:highlight w:val="none"/>
              </w:rPr>
              <w:t>涵盖中华优秀传统文化、传统节日、民间故事、成语典故、神话传说、经典名著节选等主题，如春节、端午、中秋等节日绘本，神农尝百草、精卫填海、司马光砸缸等经典故事绘本，融入壮族等少数民族文化元素，传承中华优秀传统文化，内容积极健康、适配幼儿认知水平。</w:t>
            </w:r>
          </w:p>
          <w:p w14:paraId="7DB9097F">
            <w:pPr>
              <w:keepNext w:val="0"/>
              <w:keepLines w:val="0"/>
              <w:widowControl/>
              <w:suppressLineNumbers w:val="0"/>
              <w:jc w:val="left"/>
              <w:textAlignment w:val="center"/>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2.</w:t>
            </w:r>
            <w:r>
              <w:rPr>
                <w:rFonts w:hint="eastAsia" w:ascii="宋体" w:hAnsi="宋体" w:eastAsia="宋体" w:cs="宋体"/>
                <w:sz w:val="20"/>
                <w:szCs w:val="20"/>
                <w:highlight w:val="none"/>
              </w:rPr>
              <w:t>科普认知类绘本</w:t>
            </w:r>
            <w:r>
              <w:rPr>
                <w:rFonts w:hint="eastAsia" w:ascii="宋体" w:hAnsi="宋体" w:eastAsia="宋体" w:cs="宋体"/>
                <w:sz w:val="20"/>
                <w:szCs w:val="20"/>
                <w:highlight w:val="none"/>
                <w:lang w:eastAsia="zh-CN"/>
              </w:rPr>
              <w:t>：</w:t>
            </w:r>
            <w:r>
              <w:rPr>
                <w:rFonts w:hint="eastAsia" w:ascii="宋体" w:hAnsi="宋体" w:eastAsia="宋体" w:cs="宋体"/>
                <w:sz w:val="20"/>
                <w:szCs w:val="20"/>
                <w:highlight w:val="none"/>
              </w:rPr>
              <w:t>包含自然科学、地理常识、昆虫科普、军事科普、数学启蒙、科学启蒙、健康科普等内容，如天气认知、昆虫习性、太空探索、数学逻辑、物理常识、口腔健康、人体奥秘等主题，以趣味化、具象化的方式传递科普知识，激发幼儿探索欲，培养科学认知。</w:t>
            </w:r>
          </w:p>
          <w:p w14:paraId="5FD8B3D4">
            <w:pPr>
              <w:keepNext w:val="0"/>
              <w:keepLines w:val="0"/>
              <w:widowControl/>
              <w:suppressLineNumbers w:val="0"/>
              <w:jc w:val="left"/>
              <w:textAlignment w:val="center"/>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3.</w:t>
            </w:r>
            <w:r>
              <w:rPr>
                <w:rFonts w:hint="eastAsia" w:ascii="宋体" w:hAnsi="宋体" w:eastAsia="宋体" w:cs="宋体"/>
                <w:sz w:val="20"/>
                <w:szCs w:val="20"/>
                <w:highlight w:val="none"/>
              </w:rPr>
              <w:t>习惯养成与品格培养类绘本</w:t>
            </w:r>
            <w:r>
              <w:rPr>
                <w:rFonts w:hint="eastAsia" w:ascii="宋体" w:hAnsi="宋体" w:eastAsia="宋体" w:cs="宋体"/>
                <w:sz w:val="20"/>
                <w:szCs w:val="20"/>
                <w:highlight w:val="none"/>
                <w:lang w:eastAsia="zh-CN"/>
              </w:rPr>
              <w:t>：</w:t>
            </w:r>
            <w:r>
              <w:rPr>
                <w:rFonts w:hint="eastAsia" w:ascii="宋体" w:hAnsi="宋体" w:eastAsia="宋体" w:cs="宋体"/>
                <w:sz w:val="20"/>
                <w:szCs w:val="20"/>
                <w:highlight w:val="none"/>
              </w:rPr>
              <w:t>涵盖生活习惯、安全防护、情绪管理、社交能力、逆商培养、财商启蒙、时间管理等主题，如交通安全、防拐骗、防霸凌、情绪疏导、学会分享、勇于面对困难、合理规划时间、认识金钱等内容，助力幼儿养成良好习惯、塑造健全品格。</w:t>
            </w:r>
          </w:p>
          <w:p w14:paraId="60153670">
            <w:pPr>
              <w:keepNext w:val="0"/>
              <w:keepLines w:val="0"/>
              <w:widowControl/>
              <w:suppressLineNumbers w:val="0"/>
              <w:jc w:val="left"/>
              <w:textAlignment w:val="center"/>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4.</w:t>
            </w:r>
            <w:r>
              <w:rPr>
                <w:rFonts w:hint="eastAsia" w:ascii="宋体" w:hAnsi="宋体" w:eastAsia="宋体" w:cs="宋体"/>
                <w:sz w:val="20"/>
                <w:szCs w:val="20"/>
                <w:highlight w:val="none"/>
              </w:rPr>
              <w:t>情感与亲情类绘本</w:t>
            </w:r>
            <w:r>
              <w:rPr>
                <w:rFonts w:hint="eastAsia" w:ascii="宋体" w:hAnsi="宋体" w:eastAsia="宋体" w:cs="宋体"/>
                <w:sz w:val="20"/>
                <w:szCs w:val="20"/>
                <w:highlight w:val="none"/>
                <w:lang w:eastAsia="zh-CN"/>
              </w:rPr>
              <w:t>：</w:t>
            </w:r>
            <w:r>
              <w:rPr>
                <w:rFonts w:hint="eastAsia" w:ascii="宋体" w:hAnsi="宋体" w:eastAsia="宋体" w:cs="宋体"/>
                <w:sz w:val="20"/>
                <w:szCs w:val="20"/>
                <w:highlight w:val="none"/>
              </w:rPr>
              <w:t>包含亲情、友情、感恩、陪伴等情感主题，如亲子陪伴、朋友相处、感恩父母、感恩他人等内容，传递温暖、包容、友爱的情感，培养幼儿的共情能力和情感表达能力，营造温馨的情感氛围。</w:t>
            </w:r>
          </w:p>
          <w:p w14:paraId="208F9749">
            <w:pPr>
              <w:keepNext w:val="0"/>
              <w:keepLines w:val="0"/>
              <w:widowControl/>
              <w:suppressLineNumbers w:val="0"/>
              <w:jc w:val="left"/>
              <w:textAlignment w:val="center"/>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5.</w:t>
            </w:r>
            <w:r>
              <w:rPr>
                <w:rFonts w:hint="eastAsia" w:ascii="宋体" w:hAnsi="宋体" w:eastAsia="宋体" w:cs="宋体"/>
                <w:sz w:val="20"/>
                <w:szCs w:val="20"/>
                <w:highlight w:val="none"/>
              </w:rPr>
              <w:t>红色教育与励志类绘本</w:t>
            </w:r>
            <w:r>
              <w:rPr>
                <w:rFonts w:hint="eastAsia" w:ascii="宋体" w:hAnsi="宋体" w:eastAsia="宋体" w:cs="宋体"/>
                <w:sz w:val="20"/>
                <w:szCs w:val="20"/>
                <w:highlight w:val="none"/>
                <w:lang w:eastAsia="zh-CN"/>
              </w:rPr>
              <w:t>：</w:t>
            </w:r>
            <w:r>
              <w:rPr>
                <w:rFonts w:hint="eastAsia" w:ascii="宋体" w:hAnsi="宋体" w:eastAsia="宋体" w:cs="宋体"/>
                <w:sz w:val="20"/>
                <w:szCs w:val="20"/>
                <w:highlight w:val="none"/>
              </w:rPr>
              <w:t>涵盖红色经典故事、革命先烈事迹、科学家故事、励志成长等主题，如抗日英雄、革命圣地故事、院士科研故事、勇敢坚持、乐观向上等内容，培养幼儿的爱国情怀和坚韧不拔的品质。</w:t>
            </w:r>
          </w:p>
          <w:p w14:paraId="43D888D3">
            <w:pPr>
              <w:keepNext w:val="0"/>
              <w:keepLines w:val="0"/>
              <w:widowControl/>
              <w:suppressLineNumbers w:val="0"/>
              <w:jc w:val="left"/>
              <w:textAlignment w:val="center"/>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6.</w:t>
            </w:r>
            <w:r>
              <w:rPr>
                <w:rFonts w:hint="eastAsia" w:ascii="宋体" w:hAnsi="宋体" w:eastAsia="宋体" w:cs="宋体"/>
                <w:sz w:val="20"/>
                <w:szCs w:val="20"/>
                <w:highlight w:val="none"/>
              </w:rPr>
              <w:t>民族与地域文化类绘本</w:t>
            </w:r>
            <w:r>
              <w:rPr>
                <w:rFonts w:hint="eastAsia" w:ascii="宋体" w:hAnsi="宋体" w:eastAsia="宋体" w:cs="宋体"/>
                <w:sz w:val="20"/>
                <w:szCs w:val="20"/>
                <w:highlight w:val="none"/>
                <w:lang w:eastAsia="zh-CN"/>
              </w:rPr>
              <w:t>：</w:t>
            </w:r>
            <w:r>
              <w:rPr>
                <w:rFonts w:hint="eastAsia" w:ascii="宋体" w:hAnsi="宋体" w:eastAsia="宋体" w:cs="宋体"/>
                <w:sz w:val="20"/>
                <w:szCs w:val="20"/>
                <w:highlight w:val="none"/>
              </w:rPr>
              <w:t>重点包含广西少数民族（壮族等）文化主题绘本，如民族服饰、民族节日、民间传说、民族工艺等，展现地域文化特色，增强幼儿的文化认同感和自豪感。</w:t>
            </w:r>
          </w:p>
          <w:p w14:paraId="70F73A0B">
            <w:pPr>
              <w:keepNext w:val="0"/>
              <w:keepLines w:val="0"/>
              <w:widowControl/>
              <w:suppressLineNumbers w:val="0"/>
              <w:jc w:val="left"/>
              <w:textAlignment w:val="center"/>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7.</w:t>
            </w:r>
            <w:r>
              <w:rPr>
                <w:rFonts w:hint="eastAsia" w:ascii="宋体" w:hAnsi="宋体" w:eastAsia="宋体" w:cs="宋体"/>
                <w:sz w:val="20"/>
                <w:szCs w:val="20"/>
                <w:highlight w:val="none"/>
              </w:rPr>
              <w:t>艺术与启蒙类绘本</w:t>
            </w:r>
            <w:r>
              <w:rPr>
                <w:rFonts w:hint="eastAsia" w:ascii="宋体" w:hAnsi="宋体" w:eastAsia="宋体" w:cs="宋体"/>
                <w:sz w:val="20"/>
                <w:szCs w:val="20"/>
                <w:highlight w:val="none"/>
                <w:lang w:eastAsia="zh-CN"/>
              </w:rPr>
              <w:t>：</w:t>
            </w:r>
            <w:r>
              <w:rPr>
                <w:rFonts w:hint="eastAsia" w:ascii="宋体" w:hAnsi="宋体" w:eastAsia="宋体" w:cs="宋体"/>
                <w:sz w:val="20"/>
                <w:szCs w:val="20"/>
                <w:highlight w:val="none"/>
              </w:rPr>
              <w:t>包含音乐启蒙、美术启蒙、哲学启蒙、双语启蒙等主题，如音乐故事、美术创作、简单哲学思考、双语互动等内容，丰富幼儿的艺术体验，启发幼儿多元思维。</w:t>
            </w:r>
          </w:p>
          <w:p w14:paraId="2A359DEC">
            <w:pPr>
              <w:keepNext w:val="0"/>
              <w:keepLines w:val="0"/>
              <w:widowControl/>
              <w:suppressLineNumbers w:val="0"/>
              <w:jc w:val="left"/>
              <w:textAlignment w:val="center"/>
              <w:rPr>
                <w:rFonts w:hint="eastAsia" w:ascii="宋体" w:hAnsi="宋体" w:eastAsia="宋体" w:cs="宋体"/>
                <w:sz w:val="20"/>
                <w:szCs w:val="20"/>
                <w:highlight w:val="none"/>
              </w:rPr>
            </w:pPr>
            <w:r>
              <w:rPr>
                <w:rFonts w:hint="eastAsia" w:ascii="宋体" w:hAnsi="宋体" w:eastAsia="宋体" w:cs="宋体"/>
                <w:sz w:val="20"/>
                <w:szCs w:val="20"/>
                <w:highlight w:val="none"/>
                <w:lang w:eastAsia="zh-CN"/>
              </w:rPr>
              <w:t>二</w:t>
            </w:r>
            <w:r>
              <w:rPr>
                <w:rFonts w:hint="eastAsia" w:ascii="宋体" w:hAnsi="宋体" w:eastAsia="宋体" w:cs="宋体"/>
                <w:sz w:val="20"/>
                <w:szCs w:val="20"/>
                <w:highlight w:val="none"/>
              </w:rPr>
              <w:t>、</w:t>
            </w:r>
            <w:r>
              <w:rPr>
                <w:rFonts w:hint="eastAsia" w:ascii="宋体" w:hAnsi="宋体" w:eastAsia="宋体" w:cs="宋体"/>
                <w:sz w:val="20"/>
                <w:szCs w:val="20"/>
                <w:highlight w:val="none"/>
                <w:lang w:eastAsia="zh-CN"/>
              </w:rPr>
              <w:t>采购绘本</w:t>
            </w:r>
            <w:r>
              <w:rPr>
                <w:rFonts w:hint="eastAsia" w:ascii="宋体" w:hAnsi="宋体" w:eastAsia="宋体" w:cs="宋体"/>
                <w:sz w:val="20"/>
                <w:szCs w:val="20"/>
                <w:highlight w:val="none"/>
              </w:rPr>
              <w:t>质量标准</w:t>
            </w:r>
          </w:p>
          <w:p w14:paraId="6B291153">
            <w:pPr>
              <w:keepNext w:val="0"/>
              <w:keepLines w:val="0"/>
              <w:widowControl/>
              <w:suppressLineNumbers w:val="0"/>
              <w:jc w:val="left"/>
              <w:textAlignment w:val="center"/>
              <w:rPr>
                <w:rFonts w:hint="eastAsia" w:ascii="宋体" w:hAnsi="宋体" w:eastAsia="宋体" w:cs="宋体"/>
                <w:sz w:val="20"/>
                <w:szCs w:val="20"/>
                <w:highlight w:val="none"/>
              </w:rPr>
            </w:pPr>
            <w:r>
              <w:rPr>
                <w:rFonts w:hint="eastAsia" w:ascii="宋体" w:hAnsi="宋体" w:eastAsia="宋体" w:cs="宋体"/>
                <w:sz w:val="20"/>
                <w:szCs w:val="20"/>
                <w:highlight w:val="none"/>
              </w:rPr>
              <w:t>1. 合规性标准：所有绘本为正规出版、公开发行的合法出版物，具备图书出版资质、ISBN书号，无盗版、无删减、无违规内容，符合国家出版物出版规范。</w:t>
            </w:r>
          </w:p>
          <w:p w14:paraId="0C1E4D45">
            <w:pPr>
              <w:keepNext w:val="0"/>
              <w:keepLines w:val="0"/>
              <w:widowControl/>
              <w:suppressLineNumbers w:val="0"/>
              <w:jc w:val="left"/>
              <w:textAlignment w:val="center"/>
              <w:rPr>
                <w:rFonts w:hint="eastAsia" w:ascii="宋体" w:hAnsi="宋体" w:eastAsia="宋体" w:cs="宋体"/>
                <w:sz w:val="20"/>
                <w:szCs w:val="20"/>
                <w:highlight w:val="none"/>
              </w:rPr>
            </w:pPr>
            <w:r>
              <w:rPr>
                <w:rFonts w:hint="eastAsia" w:ascii="宋体" w:hAnsi="宋体" w:eastAsia="宋体" w:cs="宋体"/>
                <w:sz w:val="20"/>
                <w:szCs w:val="20"/>
                <w:highlight w:val="none"/>
              </w:rPr>
              <w:t>2. 适龄安全标准：适配3-6岁幼儿阅读，内容积极健康、三观正向，无暴力、低俗、恐怖、不良导向内容；纸张厚实、边缘圆角打磨、无毛刺、无刺鼻异味，油墨环保无毒，符合幼儿读物安全标准。</w:t>
            </w:r>
          </w:p>
          <w:p w14:paraId="1262180D">
            <w:pPr>
              <w:keepNext w:val="0"/>
              <w:keepLines w:val="0"/>
              <w:widowControl/>
              <w:suppressLineNumbers w:val="0"/>
              <w:jc w:val="left"/>
              <w:textAlignment w:val="center"/>
              <w:rPr>
                <w:rFonts w:hint="eastAsia" w:ascii="宋体" w:hAnsi="宋体" w:eastAsia="宋体" w:cs="宋体"/>
                <w:sz w:val="20"/>
                <w:szCs w:val="20"/>
                <w:highlight w:val="none"/>
              </w:rPr>
            </w:pPr>
            <w:r>
              <w:rPr>
                <w:rFonts w:hint="eastAsia" w:ascii="宋体" w:hAnsi="宋体" w:eastAsia="宋体" w:cs="宋体"/>
                <w:sz w:val="20"/>
                <w:szCs w:val="20"/>
                <w:highlight w:val="none"/>
              </w:rPr>
              <w:t>3. 装帧品质标准：平装、精装均可，书页平整、印刷清晰、色彩均匀，无模糊、重影、漏印、脱页、破损问题，装订牢固，适合幼儿反复翻阅使用。</w:t>
            </w:r>
          </w:p>
          <w:p w14:paraId="70C75CC0">
            <w:pPr>
              <w:keepNext w:val="0"/>
              <w:keepLines w:val="0"/>
              <w:widowControl/>
              <w:suppressLineNumbers w:val="0"/>
              <w:jc w:val="left"/>
              <w:textAlignment w:val="center"/>
              <w:rPr>
                <w:rFonts w:hint="eastAsia" w:ascii="宋体" w:hAnsi="宋体" w:eastAsia="宋体" w:cs="宋体"/>
                <w:sz w:val="20"/>
                <w:szCs w:val="20"/>
                <w:highlight w:val="none"/>
              </w:rPr>
            </w:pPr>
            <w:r>
              <w:rPr>
                <w:rFonts w:hint="eastAsia" w:ascii="宋体" w:hAnsi="宋体" w:eastAsia="宋体" w:cs="宋体"/>
                <w:sz w:val="20"/>
                <w:szCs w:val="20"/>
                <w:highlight w:val="none"/>
              </w:rPr>
              <w:t>4. 内容适配标准：文字简洁易懂、配图精美、故事完整，贴合幼儿园教学大纲及幼儿认知规律，具备对应的教育启蒙价值，可满足幼儿园日常阅读、课堂教学、区域活动使用需求。</w:t>
            </w:r>
          </w:p>
          <w:p w14:paraId="370E97C2">
            <w:pPr>
              <w:keepNext w:val="0"/>
              <w:keepLines w:val="0"/>
              <w:widowControl/>
              <w:suppressLineNumbers w:val="0"/>
              <w:jc w:val="left"/>
              <w:textAlignment w:val="center"/>
              <w:rPr>
                <w:rFonts w:hint="eastAsia" w:ascii="宋体" w:hAnsi="宋体" w:eastAsia="宋体" w:cs="宋体"/>
                <w:sz w:val="20"/>
                <w:szCs w:val="20"/>
                <w:highlight w:val="none"/>
              </w:rPr>
            </w:pPr>
            <w:r>
              <w:rPr>
                <w:rFonts w:hint="eastAsia" w:ascii="宋体" w:hAnsi="宋体" w:eastAsia="宋体" w:cs="宋体"/>
                <w:sz w:val="20"/>
                <w:szCs w:val="20"/>
                <w:highlight w:val="none"/>
                <w:lang w:eastAsia="zh-CN"/>
              </w:rPr>
              <w:t>三、其他要求：</w:t>
            </w:r>
            <w:r>
              <w:rPr>
                <w:rFonts w:hint="eastAsia" w:ascii="宋体" w:hAnsi="宋体" w:cs="宋体"/>
                <w:sz w:val="20"/>
                <w:szCs w:val="20"/>
                <w:highlight w:val="none"/>
                <w:lang w:eastAsia="zh-CN"/>
              </w:rPr>
              <w:t>成交</w:t>
            </w:r>
            <w:r>
              <w:rPr>
                <w:rFonts w:hint="eastAsia" w:ascii="宋体" w:hAnsi="宋体" w:eastAsia="宋体" w:cs="宋体"/>
                <w:sz w:val="20"/>
                <w:szCs w:val="20"/>
                <w:highlight w:val="none"/>
              </w:rPr>
              <w:t>后，供应商须提交拟供货书目清单给幼儿园审核确认，采购人有权对不适合书目进行合理调换，总册数不变。</w:t>
            </w:r>
          </w:p>
          <w:p w14:paraId="3DCB93F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nil"/>
            </w:tcBorders>
            <w:shd w:val="clear" w:color="auto" w:fill="FFFFFF"/>
            <w:noWrap/>
            <w:vAlign w:val="center"/>
          </w:tcPr>
          <w:p w14:paraId="620AF7F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E4BE6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79FD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1EFD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10000 </w:t>
            </w:r>
          </w:p>
        </w:tc>
      </w:tr>
      <w:tr w14:paraId="10C39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0A3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196</w:t>
            </w: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545505D2">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74502CFF">
            <w:pPr>
              <w:keepNext w:val="0"/>
              <w:keepLines w:val="0"/>
              <w:widowControl/>
              <w:suppressLineNumbers w:val="0"/>
              <w:jc w:val="center"/>
              <w:textAlignment w:val="center"/>
              <w:rPr>
                <w:rFonts w:hint="eastAsia" w:ascii="宋体" w:hAnsi="宋体" w:eastAsia="宋体" w:cs="宋体"/>
                <w:b/>
                <w:bCs/>
                <w:i w:val="0"/>
                <w:iCs w:val="0"/>
                <w:color w:val="FF0000"/>
                <w:kern w:val="2"/>
                <w:sz w:val="20"/>
                <w:szCs w:val="20"/>
                <w:u w:val="none"/>
                <w:lang w:val="en-US" w:eastAsia="zh-CN" w:bidi="ar-SA"/>
              </w:rPr>
            </w:pPr>
            <w:r>
              <w:rPr>
                <w:rFonts w:hint="eastAsia" w:ascii="宋体" w:hAnsi="宋体" w:eastAsia="宋体" w:cs="宋体"/>
                <w:b/>
                <w:bCs/>
                <w:i w:val="0"/>
                <w:iCs w:val="0"/>
                <w:color w:val="FF0000"/>
                <w:kern w:val="0"/>
                <w:sz w:val="20"/>
                <w:szCs w:val="20"/>
                <w:u w:val="none"/>
                <w:lang w:val="en-US" w:eastAsia="zh-CN" w:bidi="ar"/>
              </w:rPr>
              <w:t>上林县澄泰乡中心幼儿园</w:t>
            </w: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0587C1B5">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2D11ACC4">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6FF98CB8">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2205FA9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100000 </w:t>
            </w:r>
          </w:p>
        </w:tc>
      </w:tr>
      <w:tr w14:paraId="132A3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B24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5EDAB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教学一体机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F7F84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一、整体设计</w:t>
            </w:r>
          </w:p>
          <w:p w14:paraId="619BA4C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1、整机采用一体设计，外部无任何可见内部功能模块连接线。</w:t>
            </w:r>
          </w:p>
          <w:p w14:paraId="0EB1D981">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2、整机采用全金属外壳设计，边角采用弧形设计，表面无尖锐边缘或凸起；整机屏幕边缘采用金属圆角包边防护，整机背板采用金属材质。</w:t>
            </w:r>
          </w:p>
          <w:p w14:paraId="6FC2CF0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3、整机屏幕采用65英寸液晶显示器。</w:t>
            </w:r>
          </w:p>
          <w:p w14:paraId="74DE1479">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4、整机采用LED液晶A规屏，显示比例16:9。</w:t>
            </w:r>
          </w:p>
          <w:p w14:paraId="01B6E1E6">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二、整机硬件性能与接口</w:t>
            </w:r>
          </w:p>
          <w:p w14:paraId="5F1A8B3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1、双系统配置 整机搭载 电脑模块 + 嵌入式系统，系统版本不低于 当前最新版本；系统内存 RAM≥4G，存储 ROM≥32G；安卓端可独立实现白板书写、文档编辑、网页浏览等基础教学功能。（相关性能指标可提供厂商彩页、功能截图、第三方检测报告任意一种佐证，设备到货验收时提供完整 CMA/CNAS 检测报告备查）。</w:t>
            </w:r>
          </w:p>
          <w:p w14:paraId="2C9DE4B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2、整机配备前置外接接口，支持双系统共用读取 U 盘等存储设备；整机配备全功能 Type-C、HDMI、USB3.0 输入接口，侧置预留 HDMI、RS232、USB、音频输出、触控 USB 等拓展接口；整机外设拓展能力满足日常教学设备接驳需求，可通过拓展坞实现同等外接能力。前置接口配有防尘防护盖板，保护接口与外接 U 盘。</w:t>
            </w:r>
          </w:p>
          <w:p w14:paraId="59CA662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3、整机内置高品质扬声器，整机额定总输出功率≥60W，发声均匀，无杂音、破音，满足教室扩声需求。</w:t>
            </w:r>
          </w:p>
          <w:p w14:paraId="79228299">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4、红外触控技术，最小识别触控物体≤3mm；整机支持双系统多点触控，触控流畅无断触。</w:t>
            </w:r>
          </w:p>
          <w:p w14:paraId="471D058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5、整机内置高清摄像头与阵列麦克风，无需外接线材；摄像头像素≥1600 万，广角设计，可完整覆盖教室区域，满足远程巡课、课堂录播；麦克风有效拾音距离≥10 米，多人发言清晰收录。设备自带摄像头工作指示灯，摄像状态直观提示。</w:t>
            </w:r>
          </w:p>
          <w:p w14:paraId="6138A01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6、支持无线投屏功能，可通过 NFC、扫码、无线连接等任意一种方式实现手机、平板投屏，支持多台移动设备同时分屏展示。</w:t>
            </w:r>
          </w:p>
          <w:p w14:paraId="58F4BB1C">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7、内置双频 WiFi（2.4G+5GHz）、蓝牙模块，蓝牙标准不低于 Bluetooth 5.2；整机可无线联网、发射无线热点，双系统共用一套无线网络配置，无需重复设置；蓝牙可稳定连接外设，无线传输距离满足教室使用。</w:t>
            </w:r>
          </w:p>
          <w:p w14:paraId="10737C64">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8、设备搭载护眼低蓝光背光方案，从硬件层面削减有害蓝光，显示画面无明显泛黄、色偏，符合校园护眼相关规范；屏幕 NTSC 色域覆盖率≥72%，安卓系统支持 4K 高清 UI 显示。</w:t>
            </w:r>
          </w:p>
          <w:p w14:paraId="2036B12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9、OPS 电脑配置：运行内存≥8G，固态硬盘≥256G。</w:t>
            </w:r>
          </w:p>
          <w:p w14:paraId="544EE99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p>
          <w:p w14:paraId="7BCD32E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三、整机基础交互功能</w:t>
            </w:r>
          </w:p>
          <w:p w14:paraId="0277384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1、整机内置图像、音效调节模块，提供多种预设图像、音效模式，支持手动调节亮度、对比度、高低音、色温等参数，适配不同教学场景。</w:t>
            </w:r>
          </w:p>
          <w:p w14:paraId="71D71C2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2、支持分屏、半屏显示功能，可一键切换全屏 / 半屏，画面完整无裁剪，触控操作正常；支持画面局部放大、聚光灯（区域高亮、其余区域暗化）教学工具。</w:t>
            </w:r>
          </w:p>
          <w:p w14:paraId="26DDCE1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3、系统悬浮快捷工具栏，可调取批注、截屏、计时、锁屏、硬件自检、聚光灯、学科工具等教学常用功能，工具栏支持自定义调整。</w:t>
            </w:r>
          </w:p>
          <w:p w14:paraId="15582799">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4、支持智能手势快捷操作，可通过手势触发熄屏、批注、分屏等自定义功能，手势识别灵敏稳定。</w:t>
            </w:r>
          </w:p>
          <w:p w14:paraId="7E2A957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5、全通道支持自由截屏，可框选任意区域保存截图；授课过程中可一键调取各类教学小工具：答题器、倒计时、节拍器、日历、随机抽选等。</w:t>
            </w:r>
          </w:p>
          <w:p w14:paraId="7863417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6、双系统实现功能互通：一键切换系统、共享 USB 外设、共享网络、背光手势快捷控制。</w:t>
            </w:r>
          </w:p>
          <w:p w14:paraId="54B2A9A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7、内置互动白板，支持多笔同时书写、手掌智能擦除，笔迹自带笔锋；白板文件支持导出 PDF、SVG、IWB 等通用格式；内置充足平面、立体学科绘图工具，满足数理化教学绘图需求。</w:t>
            </w:r>
          </w:p>
          <w:p w14:paraId="17A947F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四、配套教学软件功能</w:t>
            </w:r>
          </w:p>
          <w:p w14:paraId="25D9E1B2">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1、教学资源分类管理：可按年级、学科、教材版本收纳课件、习题、阅读资料，支持云端存储、本地资源调取。</w:t>
            </w:r>
          </w:p>
          <w:p w14:paraId="2186599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2、白板教学模板丰富，支持田字格、五线谱、米字格、坐标纸等学科专用背景，支持原笔迹批注、拖拽、擦除。</w:t>
            </w:r>
          </w:p>
          <w:p w14:paraId="67355E7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3、支持 PPT 原生播放、手势翻页、多级放大，批注笔迹同步保存；支持一键将课件上传至个人云空间，授课时云端直接下载使用。</w:t>
            </w:r>
          </w:p>
          <w:p w14:paraId="45070E0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4、支持集体备课、在线听评课功能：可自定义评课评分模板、评分细则，听课记录可保存、导出分享；支持教师扫码听课评价。</w:t>
            </w:r>
          </w:p>
          <w:p w14:paraId="5C11FDD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5、课堂录播功能：授课全过程可录制，支持暂停、停止，可自定义录制音视频画质，录制窗口可隐藏不遮挡教学画面。</w:t>
            </w:r>
          </w:p>
          <w:p w14:paraId="0C942032">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6、支持手机远程控制大屏课件翻页；支持课堂互动答题，学生扫码答题，教师查看答题正确率、导出课堂学情报告；支持课堂弹幕、班级成员管理。</w:t>
            </w:r>
          </w:p>
          <w:p w14:paraId="62CFC42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7、支持网页资源一键导入课件，可制作课堂互动小游戏并保存至个人云盘，随时调取复用。</w:t>
            </w:r>
          </w:p>
          <w:p w14:paraId="3365766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8、为每位教师提供免费教学云存储空间，支持本地个人资源同步至云端，授课随时调取。</w:t>
            </w:r>
          </w:p>
          <w:p w14:paraId="2D6A66E9">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五、集控管理平台功能</w:t>
            </w:r>
          </w:p>
          <w:p w14:paraId="7876A7C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 xml:space="preserve"> 1、平台可统一查看所有教学设备硬件信息：屏幕尺寸、系统版本、CPU、内存、硬盘、网络状态等；支持列表、缩略图两种设备查看模式，批量预览设备实时画面。</w:t>
            </w:r>
          </w:p>
          <w:p w14:paraId="1F2233F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 xml:space="preserve"> 2、远程巡课督导：可实时查看设备屏幕画面与课堂摄像头画面；支持远程下发设备系统、集控软件升级包，设备空闲时段自动完成更新。</w:t>
            </w:r>
          </w:p>
          <w:p w14:paraId="6B81063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 xml:space="preserve"> 3、远程管理功能：支持批量设置定时锁屏 / 解锁，可按工作日、周末自定义循环策略；远程下发考场考试安排，设备按时展示考试信息。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EC51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EA84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F617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BA9C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10000 </w:t>
            </w:r>
          </w:p>
        </w:tc>
      </w:tr>
      <w:tr w14:paraId="2F5D8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457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7C7A0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移动一体机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2936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一、显示参数（整机≥75 寸，Windows+Android 双系统）</w:t>
            </w:r>
          </w:p>
          <w:p w14:paraId="506BDD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1.OPS 配置：可配套 OPS 电脑模块，OPS 厚度≥43mm，支持背部插入安装，同等规格通用 OPS 均可适配；</w:t>
            </w:r>
          </w:p>
          <w:p w14:paraId="2DF7A8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2.图像模式：支持标准、动态、亮丽、用户等多种预设图像模式；侧边栏可调节亮度、对比度、饱和度、色温等参数；音效具备多套预设模式，支持高低音、平衡、环绕声开关调节；</w:t>
            </w:r>
          </w:p>
          <w:p w14:paraId="61BBCB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3.背光类型：DLED 直下式背光；</w:t>
            </w:r>
          </w:p>
          <w:p w14:paraId="19C62F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4.屏幕规格：≥75 英寸，16:9 A 规液晶面板，物理分辨率 3840×2160 4K 超高清；</w:t>
            </w:r>
          </w:p>
          <w:p w14:paraId="7F2D24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5.屏幕基础性能：屏幕亮度≥380cd/㎡，静态对比度≥4000:1，灰阶响应时间≤6.5ms，NTSC 色域覆盖率≥72%；可视区域尺寸为参考值，同等 75 寸 4K 面板均可；</w:t>
            </w:r>
          </w:p>
          <w:p w14:paraId="4ACE14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6.分屏功能：HDMI、安卓、Windows 全通道支持手势半屏显示，一键切换全屏，具备多类分屏适配模式即可，不强制固定数量。</w:t>
            </w:r>
          </w:p>
          <w:p w14:paraId="5A5DF1F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二、系统参数</w:t>
            </w:r>
          </w:p>
          <w:p w14:paraId="3651E6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cyan"/>
                <w:lang w:val="en-US" w:eastAsia="zh-CN" w:bidi="ar"/>
              </w:rPr>
            </w:pPr>
            <w:r>
              <w:rPr>
                <w:rFonts w:hint="eastAsia" w:ascii="宋体" w:hAnsi="宋体" w:eastAsia="宋体" w:cs="宋体"/>
                <w:color w:val="auto"/>
                <w:kern w:val="0"/>
                <w:sz w:val="20"/>
                <w:szCs w:val="20"/>
                <w:highlight w:val="none"/>
                <w:lang w:val="en-US" w:eastAsia="zh-CN" w:bidi="ar"/>
              </w:rPr>
              <w:t xml:space="preserve">1.嵌入式安卓系统版本不低于 Android </w:t>
            </w:r>
            <w:r>
              <w:rPr>
                <w:rFonts w:hint="eastAsia" w:ascii="宋体" w:hAnsi="宋体" w:cs="宋体"/>
                <w:color w:val="auto"/>
                <w:kern w:val="0"/>
                <w:sz w:val="20"/>
                <w:szCs w:val="20"/>
                <w:highlight w:val="none"/>
                <w:lang w:val="en-US" w:eastAsia="zh-CN" w:bidi="ar"/>
              </w:rPr>
              <w:t>11</w:t>
            </w:r>
            <w:r>
              <w:rPr>
                <w:rFonts w:hint="eastAsia" w:ascii="宋体" w:hAnsi="宋体" w:eastAsia="宋体" w:cs="宋体"/>
                <w:color w:val="auto"/>
                <w:kern w:val="0"/>
                <w:sz w:val="20"/>
                <w:szCs w:val="20"/>
                <w:highlight w:val="none"/>
                <w:lang w:val="en-US" w:eastAsia="zh-CN" w:bidi="ar"/>
              </w:rPr>
              <w:t>，运行内存≥4GB，本地存储≥32GB；</w:t>
            </w:r>
          </w:p>
          <w:p w14:paraId="038B645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2.安卓主控：8 核处理器，等效主频≥1.55GHz（Cortex A55 或同性能架构均可）。</w:t>
            </w:r>
          </w:p>
          <w:p w14:paraId="391FB6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三、智能音视频与互联</w:t>
            </w:r>
          </w:p>
          <w:p w14:paraId="10BFB2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1.内置高清广角摄像头，像素≥1600 万，视场角≥130°，覆盖整间会议室巡课拍摄；支持人脸快速解锁识别；</w:t>
            </w:r>
          </w:p>
          <w:p w14:paraId="33B8DAF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2.内置立体环绕音响，整机额定总功率≥60W，发声均匀无杂音；麦克风阵列拾音距离≥10 米，满足全室收音；不限喇叭腔体、出声结构；</w:t>
            </w:r>
          </w:p>
          <w:p w14:paraId="520A09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3.内置蓝牙 5.2、2.4G/5G 双频 WiFi；双系统共用无线网络，无需重复配置；可发射 AP 热点，支持多终端无线接入，蓝牙稳定传输距离≥15 米；</w:t>
            </w:r>
          </w:p>
          <w:p w14:paraId="6FD4D3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4.支持无线投屏，可通过 NFC、扫码、无线直连任意一种方式实现手机 / 平板投屏，支持多设备同时分屏；</w:t>
            </w:r>
          </w:p>
          <w:p w14:paraId="0DDF3C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5.可选配环境温湿度监测模块，可对接管理平台查看教室环境数据，无强制硬性要求。</w:t>
            </w:r>
          </w:p>
          <w:p w14:paraId="54BEF8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四、红外触控参数</w:t>
            </w:r>
          </w:p>
          <w:p w14:paraId="7B8902D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1.红外多点触控，AG 防眩光钢化玻璃，光线透过率≥88%；</w:t>
            </w:r>
          </w:p>
          <w:p w14:paraId="5C5B0D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2.支持≥50 点同步书写触控，触控响应速度≤5ms，最小识别触摸物体≤3mm，强光下书写触控无失效；</w:t>
            </w:r>
          </w:p>
          <w:p w14:paraId="57B031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3.白板功能：无 PC 安卓端支持多笔同时书写、手掌智能擦除；可导出 PDF、SVG、IWB 等通用文档格式；内置充足数理化平面、立体绘图学科工具；差值分辨率满足 4K 高清书写精度即可，不强制固定数值。</w:t>
            </w:r>
          </w:p>
          <w:p w14:paraId="2A0823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五、整机接口（满足拓展需求，可配套拓展坞补充接口）</w:t>
            </w:r>
          </w:p>
          <w:p w14:paraId="6B7437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1.输入：前置 HDMI、全功能 Type-C、多组 USB3.0；后置预留 HDMI 输入、3.5mm 音频输入；</w:t>
            </w:r>
          </w:p>
          <w:p w14:paraId="0DAB47B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2.输出：3.5mm 音频输出；</w:t>
            </w:r>
          </w:p>
          <w:p w14:paraId="27F6C8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3.网络：配备不少于 1 路千兆网口，双网口更佳；</w:t>
            </w:r>
          </w:p>
          <w:p w14:paraId="198AA4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0"/>
                <w:szCs w:val="20"/>
                <w:highlight w:val="none"/>
                <w:lang w:val="en-US" w:eastAsia="zh-CN" w:bidi="ar"/>
              </w:rPr>
              <w:t>4.板载内置 USB、触控 USB 等拓展接口，整机外设接驳能力满足会议电脑、U 盘、摄像头、麦克风等常规设备使用。</w:t>
            </w:r>
          </w:p>
          <w:p w14:paraId="23C087DB">
            <w:pPr>
              <w:keepNext w:val="0"/>
              <w:keepLines w:val="0"/>
              <w:widowControl/>
              <w:suppressLineNumbers w:val="0"/>
              <w:jc w:val="left"/>
              <w:textAlignment w:val="center"/>
              <w:rPr>
                <w:rFonts w:hint="default" w:ascii="宋体" w:hAnsi="宋体" w:eastAsia="宋体" w:cs="宋体"/>
                <w:i w:val="0"/>
                <w:iCs w:val="0"/>
                <w:color w:val="auto"/>
                <w:kern w:val="2"/>
                <w:sz w:val="20"/>
                <w:szCs w:val="20"/>
                <w:highlight w:val="none"/>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C110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AB11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EAC8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CC55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13000 </w:t>
            </w:r>
          </w:p>
        </w:tc>
      </w:tr>
      <w:tr w14:paraId="42852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C20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7A7F6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计算机</w:t>
            </w:r>
          </w:p>
        </w:tc>
        <w:tc>
          <w:tcPr>
            <w:tcW w:w="6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649C1">
            <w:pPr>
              <w:keepNext w:val="0"/>
              <w:keepLines w:val="0"/>
              <w:widowControl/>
              <w:numPr>
                <w:ilvl w:val="0"/>
                <w:numId w:val="7"/>
              </w:numPr>
              <w:suppressLineNumbers w:val="0"/>
              <w:jc w:val="left"/>
              <w:textAlignment w:val="center"/>
              <w:rPr>
                <w:rFonts w:hint="eastAsia" w:ascii="宋体" w:hAnsi="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硬件技术参数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▲1、基本要求：国产自主品牌商用台式机，</w:t>
            </w:r>
            <w:r>
              <w:rPr>
                <w:rFonts w:hint="eastAsia" w:ascii="宋体" w:hAnsi="宋体" w:cs="宋体"/>
                <w:i w:val="0"/>
                <w:iCs w:val="0"/>
                <w:strike w:val="0"/>
                <w:dstrike w:val="0"/>
                <w:color w:val="auto"/>
                <w:kern w:val="0"/>
                <w:sz w:val="20"/>
                <w:szCs w:val="20"/>
                <w:highlight w:val="none"/>
                <w:u w:val="none"/>
                <w:lang w:val="en-US" w:eastAsia="zh-CN" w:bidi="ar"/>
              </w:rPr>
              <w:t>结构稳固，具备良好的散热性能。</w:t>
            </w:r>
          </w:p>
          <w:p w14:paraId="10387FA7">
            <w:pPr>
              <w:keepNext w:val="0"/>
              <w:keepLines w:val="0"/>
              <w:widowControl/>
              <w:numPr>
                <w:ilvl w:val="0"/>
                <w:numId w:val="0"/>
              </w:numPr>
              <w:suppressLineNumbers w:val="0"/>
              <w:jc w:val="left"/>
              <w:textAlignment w:val="center"/>
              <w:rPr>
                <w:rFonts w:hint="eastAsia" w:ascii="宋体" w:hAnsi="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2、处理器： 处理器采用国产处理器，八核，主频≥2.7GHz；</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3、内存：配置≥16GB DDR4 UDIMM内存，配置≥2个内存插槽；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4、显卡：≥2G独立显卡。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5、硬盘：≥512GB M.2接口NVME协议SSD；</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▲6、电源：电源功率≤180W，电源适配器电线组件应符合GB/T15934的要求；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7、网络：1个RJ45 10/100/1000自适应以太网口；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▲8、接口：前置USB3.0接口≥4个；后置USB3.0接口≥2个，USB2.0接口≥2个；音频接口：麦克风1个，耳机1个；后端3个Audio音频接口；PCIE插槽数量≥3个；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▲9、数据安全：BIOS级USB屏蔽及智能USB数据保护：USB支持BIOS下接口开关，针对存储设备支持USB接口切换禁止访问模式/只读模式。</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10、显示器：配置≥23.8寸LED显示器，IPS屏，分辨率≥1920*1080，刷新频率≥</w:t>
            </w:r>
            <w:r>
              <w:rPr>
                <w:rFonts w:hint="eastAsia" w:ascii="宋体" w:hAnsi="宋体" w:cs="宋体"/>
                <w:i w:val="0"/>
                <w:iCs w:val="0"/>
                <w:color w:val="auto"/>
                <w:kern w:val="0"/>
                <w:sz w:val="20"/>
                <w:szCs w:val="20"/>
                <w:highlight w:val="none"/>
                <w:u w:val="none"/>
                <w:lang w:val="en-US" w:eastAsia="zh-CN" w:bidi="ar"/>
              </w:rPr>
              <w:t>75</w:t>
            </w:r>
            <w:r>
              <w:rPr>
                <w:rFonts w:hint="eastAsia" w:ascii="宋体" w:hAnsi="宋体" w:eastAsia="宋体" w:cs="宋体"/>
                <w:i w:val="0"/>
                <w:iCs w:val="0"/>
                <w:color w:val="auto"/>
                <w:kern w:val="0"/>
                <w:sz w:val="20"/>
                <w:szCs w:val="20"/>
                <w:highlight w:val="none"/>
                <w:u w:val="none"/>
                <w:lang w:val="en-US" w:eastAsia="zh-CN" w:bidi="ar"/>
              </w:rPr>
              <w:t>Hz，对比度≥1000:1</w:t>
            </w:r>
            <w:r>
              <w:rPr>
                <w:rFonts w:hint="eastAsia" w:ascii="宋体" w:hAnsi="宋体" w:cs="宋体"/>
                <w:i w:val="0"/>
                <w:iCs w:val="0"/>
                <w:color w:val="auto"/>
                <w:kern w:val="0"/>
                <w:sz w:val="20"/>
                <w:szCs w:val="20"/>
                <w:highlight w:val="none"/>
                <w:u w:val="none"/>
                <w:lang w:val="en-US" w:eastAsia="zh-CN" w:bidi="ar"/>
              </w:rPr>
              <w:t>；</w:t>
            </w:r>
          </w:p>
          <w:p w14:paraId="5D915E95">
            <w:pPr>
              <w:keepNext w:val="0"/>
              <w:keepLines w:val="0"/>
              <w:widowControl/>
              <w:numPr>
                <w:ilvl w:val="0"/>
                <w:numId w:val="0"/>
              </w:numPr>
              <w:suppressLineNumbers w:val="0"/>
              <w:ind w:left="0" w:leftChars="0" w:firstLine="0" w:firstLineChars="0"/>
              <w:jc w:val="left"/>
              <w:textAlignment w:val="center"/>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11、操作系统：预装符合桌面操作系统政府采购需求标准的正版操作系统；预装的操作系统符合《操作系统政府采购需求标准》中加*指标要求（财政部工业和信息化部关于印发《操作系统政府采购需求标准（2023年版）》的通知）。</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12、办公软件：预装带正版授权的办公软件</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（含三年服务）；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▲13、关键部件安全要求：CPU和操作系统等关键部件应当符合安全可靠测评要求。（提供通过安全可靠测评的证明书或作出承诺）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二、班级管理平台软件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1、后台采用 B/S 架构设计，能够支持不同角色在 web 上进行操作，支持微信和账号登录、支持学校自定义角色、教师角色切换。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2、支持上传多个备课文档、支持一屏稿件对比，支持查看该次集体备课数据统计及访问记录。集体备课终稿存到我的成果库。并支持查看集体备课数据报告；</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、支持区域、学校管理者发起在线收集资料的任务，老师按照在线任务要求上传资料，支持管理者将收集上来的资料分类归档管理【</w:t>
            </w:r>
            <w:r>
              <w:rPr>
                <w:rFonts w:hint="eastAsia" w:ascii="宋体" w:hAnsi="宋体" w:cs="宋体"/>
                <w:i w:val="0"/>
                <w:iCs w:val="0"/>
                <w:color w:val="auto"/>
                <w:kern w:val="0"/>
                <w:sz w:val="20"/>
                <w:szCs w:val="20"/>
                <w:highlight w:val="none"/>
                <w:u w:val="none"/>
                <w:lang w:val="en-US" w:eastAsia="zh-CN" w:bidi="ar"/>
              </w:rPr>
              <w:t>响应供应商</w:t>
            </w:r>
            <w:r>
              <w:rPr>
                <w:rFonts w:hint="eastAsia" w:ascii="宋体" w:hAnsi="宋体" w:eastAsia="宋体" w:cs="宋体"/>
                <w:i w:val="0"/>
                <w:iCs w:val="0"/>
                <w:color w:val="auto"/>
                <w:kern w:val="0"/>
                <w:sz w:val="20"/>
                <w:szCs w:val="20"/>
                <w:highlight w:val="none"/>
                <w:u w:val="none"/>
                <w:lang w:val="en-US" w:eastAsia="zh-CN" w:bidi="ar"/>
              </w:rPr>
              <w:t>于</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中必须提供所投产品满足本条技术要求的相关有效证明材料复印件，证明材料可以是国家认可的第三方检验（测）机构出具的合格有效的检验（测）报告或官网截图或功能截图或产品彩页】</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三、教学授课软件功能要求：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 xml:space="preserve">.无需导入平台，可直接在PPT中通过备课插件添加课堂互动游戏、思维导图、网站链接、网络画板等。课件编辑完成可一键同步至云端；如教师不想保存在云平台可直接以PPT格式保存在本地，不允许系统自动在云平台中更新教师的资源；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 xml:space="preserve">.试题能够根据课本章节、题型、难易程度进行筛选，并提供知识点试题，可按知识点筛选，支持收藏、查看试题答案、解析、关联知识点，支持对试题进行二次编辑，支持将试题一键加入备课；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.通过对纸质试题拍照，可将图片上传，将纸质文字变为电子版文字，便于老师优质试题的收集使用；（</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4</w:t>
            </w:r>
            <w:r>
              <w:rPr>
                <w:rFonts w:hint="eastAsia" w:ascii="宋体" w:hAnsi="宋体" w:eastAsia="宋体" w:cs="宋体"/>
                <w:i w:val="0"/>
                <w:iCs w:val="0"/>
                <w:color w:val="auto"/>
                <w:kern w:val="0"/>
                <w:sz w:val="20"/>
                <w:szCs w:val="20"/>
                <w:highlight w:val="none"/>
                <w:u w:val="none"/>
                <w:lang w:val="en-US" w:eastAsia="zh-CN" w:bidi="ar"/>
              </w:rPr>
              <w:t>.支持将音视频分成不同小节，支持自定义视频小节名称，播放时可通过点击小节名称快速定位关键教学内容。（</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内置多种随堂练习、趣味答题模板，适配课堂巩固。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6</w:t>
            </w:r>
            <w:r>
              <w:rPr>
                <w:rFonts w:hint="eastAsia" w:ascii="宋体" w:hAnsi="宋体" w:eastAsia="宋体" w:cs="宋体"/>
                <w:i w:val="0"/>
                <w:iCs w:val="0"/>
                <w:color w:val="auto"/>
                <w:kern w:val="0"/>
                <w:sz w:val="20"/>
                <w:szCs w:val="20"/>
                <w:highlight w:val="none"/>
                <w:u w:val="none"/>
                <w:lang w:val="en-US" w:eastAsia="zh-CN" w:bidi="ar"/>
              </w:rPr>
              <w:t>.为方便教师快速查找，所有备课资源均可按照系统自带教材章节进行存储，无需教师自建存储条目；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7</w:t>
            </w:r>
            <w:r>
              <w:rPr>
                <w:rFonts w:hint="eastAsia" w:ascii="宋体" w:hAnsi="宋体" w:eastAsia="宋体" w:cs="宋体"/>
                <w:i w:val="0"/>
                <w:iCs w:val="0"/>
                <w:color w:val="auto"/>
                <w:kern w:val="0"/>
                <w:sz w:val="20"/>
                <w:szCs w:val="20"/>
                <w:highlight w:val="none"/>
                <w:u w:val="none"/>
                <w:lang w:val="en-US" w:eastAsia="zh-CN" w:bidi="ar"/>
              </w:rPr>
              <w:t xml:space="preserve">.备课界面支持将教案、课件、学案、试题、练习、网络画板、虚拟实验、微课等教学资源分享给校内指定教师使用；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8</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白板教学：提供多种书写笔触、可调色彩，支持自定义常用配色。</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9</w:t>
            </w:r>
            <w:r>
              <w:rPr>
                <w:rFonts w:hint="eastAsia" w:ascii="宋体" w:hAnsi="宋体" w:eastAsia="宋体" w:cs="宋体"/>
                <w:i w:val="0"/>
                <w:iCs w:val="0"/>
                <w:color w:val="auto"/>
                <w:kern w:val="0"/>
                <w:sz w:val="20"/>
                <w:szCs w:val="20"/>
                <w:highlight w:val="none"/>
                <w:u w:val="none"/>
                <w:lang w:val="en-US" w:eastAsia="zh-CN" w:bidi="ar"/>
              </w:rPr>
              <w:t>.支持三个及以上学生同时进行书写或手势擦除操作，不同学生各自进行书写或擦除，互不影响；</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10</w:t>
            </w:r>
            <w:r>
              <w:rPr>
                <w:rFonts w:hint="eastAsia" w:ascii="宋体" w:hAnsi="宋体" w:eastAsia="宋体" w:cs="宋体"/>
                <w:i w:val="0"/>
                <w:iCs w:val="0"/>
                <w:color w:val="auto"/>
                <w:kern w:val="0"/>
                <w:sz w:val="20"/>
                <w:szCs w:val="20"/>
                <w:highlight w:val="none"/>
                <w:u w:val="none"/>
                <w:lang w:val="en-US" w:eastAsia="zh-CN" w:bidi="ar"/>
              </w:rPr>
              <w:t>.支持对白板页面中的元素进行隐藏、锁定、缩放、旋转、置顶等操作，被隐藏元素可以一键重新显示在白板上；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1BE5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DD88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C20E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AE46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5000 </w:t>
            </w:r>
          </w:p>
        </w:tc>
      </w:tr>
      <w:tr w14:paraId="543A4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3AE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5F642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办公椅折叠椅简易会议椅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DF83A4">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1、材质：碳素钢管，网布/PU面，高回弹海绵  。  黑色</w:t>
            </w:r>
          </w:p>
          <w:p w14:paraId="76FAB4CE">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p>
          <w:p w14:paraId="0625DA1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 尺寸（允许±2cm误差）：约45×50×88cm，座面40×42cm</w:t>
            </w:r>
          </w:p>
          <w:p w14:paraId="628909F4">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p>
          <w:p w14:paraId="32765E5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3、承重≥150kg，免安装、可折叠收纳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A725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AC44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665D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1FFF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4650 </w:t>
            </w:r>
          </w:p>
        </w:tc>
      </w:tr>
      <w:tr w14:paraId="6CD0A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3D23D3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w:t>
            </w:r>
          </w:p>
        </w:tc>
        <w:tc>
          <w:tcPr>
            <w:tcW w:w="0" w:type="auto"/>
            <w:tcBorders>
              <w:top w:val="single" w:color="000000" w:sz="4" w:space="0"/>
              <w:left w:val="single" w:color="000000" w:sz="4" w:space="0"/>
              <w:bottom w:val="single" w:color="auto" w:sz="4" w:space="0"/>
              <w:right w:val="single" w:color="000000" w:sz="4" w:space="0"/>
            </w:tcBorders>
            <w:shd w:val="clear" w:color="auto" w:fill="auto"/>
            <w:vAlign w:val="center"/>
          </w:tcPr>
          <w:p w14:paraId="3FBFB5E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移动会议桌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78BA1D">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1、桌面：迷彩PVC防水外皮 + EPE珍珠棉+高密度海绵内芯</w:t>
            </w:r>
          </w:p>
          <w:p w14:paraId="13BEFE4C">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2、框架：镀锌钢管（管径约25mm、壁厚1.0–1.2mm）</w:t>
            </w:r>
          </w:p>
          <w:p w14:paraId="75C2A84B">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 xml:space="preserve">3、功能：折叠+移动（带万向轮）、可拼接 </w:t>
            </w:r>
          </w:p>
          <w:p w14:paraId="6A3072FD">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4、重量：约11–13kg，承重≥100k</w:t>
            </w:r>
          </w:p>
          <w:p w14:paraId="6B27AE6E">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5、尺寸：≥1200*600*750mm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B7727">
            <w:pPr>
              <w:keepNext w:val="0"/>
              <w:keepLines w:val="0"/>
              <w:widowControl/>
              <w:suppressLineNumbers w:val="0"/>
              <w:jc w:val="center"/>
              <w:textAlignment w:val="center"/>
              <w:rPr>
                <w:rFonts w:hint="eastAsia" w:ascii="宋体" w:hAnsi="宋体" w:eastAsia="宋体" w:cs="宋体"/>
                <w:i w:val="0"/>
                <w:iCs w:val="0"/>
                <w:color w:val="auto"/>
                <w:sz w:val="20"/>
                <w:szCs w:val="20"/>
                <w:u w:val="none"/>
                <w:lang w:val="en-US" w:eastAsia="zh-CN"/>
              </w:rPr>
            </w:pPr>
            <w:r>
              <w:rPr>
                <w:rFonts w:hint="eastAsia" w:ascii="宋体" w:hAnsi="宋体" w:eastAsia="宋体" w:cs="宋体"/>
                <w:i w:val="0"/>
                <w:iCs w:val="0"/>
                <w:color w:val="auto"/>
                <w:sz w:val="20"/>
                <w:szCs w:val="20"/>
                <w:u w:val="none"/>
                <w:lang w:val="en-US" w:eastAsia="zh-CN"/>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CE2A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0C7C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B25E2">
            <w:pPr>
              <w:keepNext w:val="0"/>
              <w:keepLines w:val="0"/>
              <w:widowControl/>
              <w:suppressLineNumbers w:val="0"/>
              <w:jc w:val="center"/>
              <w:textAlignment w:val="center"/>
              <w:rPr>
                <w:rFonts w:hint="default" w:ascii="宋体" w:hAnsi="宋体" w:eastAsia="宋体" w:cs="宋体"/>
                <w:i w:val="0"/>
                <w:iCs w:val="0"/>
                <w:color w:val="auto"/>
                <w:sz w:val="20"/>
                <w:szCs w:val="20"/>
                <w:u w:val="none"/>
                <w:lang w:val="en-US" w:eastAsia="zh-CN"/>
              </w:rPr>
            </w:pPr>
            <w:r>
              <w:rPr>
                <w:rFonts w:hint="eastAsia" w:ascii="宋体" w:hAnsi="宋体" w:eastAsia="宋体" w:cs="宋体"/>
                <w:i w:val="0"/>
                <w:iCs w:val="0"/>
                <w:color w:val="auto"/>
                <w:sz w:val="20"/>
                <w:szCs w:val="20"/>
                <w:u w:val="none"/>
                <w:lang w:val="en-US" w:eastAsia="zh-CN"/>
              </w:rPr>
              <w:t>5220</w:t>
            </w:r>
          </w:p>
        </w:tc>
      </w:tr>
      <w:tr w14:paraId="1AE36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CB6E3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F69488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沙水玩具组合</w:t>
            </w:r>
          </w:p>
        </w:tc>
        <w:tc>
          <w:tcPr>
            <w:tcW w:w="0" w:type="auto"/>
            <w:tcBorders>
              <w:top w:val="single" w:color="000000" w:sz="4" w:space="0"/>
              <w:left w:val="single" w:color="auto" w:sz="4" w:space="0"/>
              <w:bottom w:val="single" w:color="000000" w:sz="4" w:space="0"/>
              <w:right w:val="single" w:color="000000" w:sz="4" w:space="0"/>
            </w:tcBorders>
            <w:shd w:val="clear" w:color="auto" w:fill="auto"/>
            <w:vAlign w:val="center"/>
          </w:tcPr>
          <w:p w14:paraId="423F4732">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（参考尺寸+数量）</w:t>
            </w:r>
          </w:p>
          <w:p w14:paraId="74B1619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以下所有尺寸允许±2cm合理生产及安装公差。1、沙水组合套装148件。2、材质：芬兰木和PP）        户外沙水游戏采用芬兰松防腐木，倒角，光滑无毛刺。3、尺寸分别为水车，96*46*48.5，66*46*48.5， 每个尺寸1个共2个；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立板1：尺寸：370*300*15mm，4个；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立板2：尺寸:524*300*15mm，4个；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立板3：尺寸：677*300*15mm，4个；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立板4：尺寸：831*300*15mm，4个；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鱼板：尺寸394*150*15mm，16个；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挡水板：尺寸：500*407*15mm，，4个；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水泵：尺寸：dn48，4个；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剖面管1：尺寸：直径105mm,长1000mm，10个；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剖面管2：尺寸：直径105mm,长1500mm，5个；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剖面管3:尺寸：直径105mm,长2000mm，2个；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高透明管道1：尺寸：直径110mm,壁厚2mm,长1000mm，5个；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高透明管道2：尺寸：直径110mm,壁厚2mm,1500mm5个；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水龙头连接器：尺寸：4分，5个；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软管：尺寸25.250cm，4个；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硅胶软管：4分/35000,30米；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弯头：尺寸：175*175*120mm，2个；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三通：尺寸：215*18*120mm，2个；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塞子：尺寸：110*110*75mm   ，2个；管堵：尺寸120*120*80mm，4个；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铲子小：尺寸：360*90mm，12个；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铲子中:尺寸：500*120，5个；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铲子大：尺寸：68*150mm，3个；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筛网（小）：尺寸：直径150，20个；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筛网（中）：尺寸：直径200，10个；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筛网（中）：尺寸：直径280，5个；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沙桶：尺寸：尺寸：直径260，5个；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B349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E3B7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9329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36F7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5500 </w:t>
            </w:r>
          </w:p>
        </w:tc>
      </w:tr>
      <w:tr w14:paraId="18F15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7E9165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204</w:t>
            </w:r>
          </w:p>
        </w:tc>
        <w:tc>
          <w:tcPr>
            <w:tcW w:w="0" w:type="auto"/>
            <w:tcBorders>
              <w:top w:val="single" w:color="auto" w:sz="4" w:space="0"/>
              <w:left w:val="single" w:color="000000" w:sz="4" w:space="0"/>
              <w:bottom w:val="single" w:color="000000" w:sz="4" w:space="0"/>
              <w:right w:val="single" w:color="000000" w:sz="4" w:space="0"/>
            </w:tcBorders>
            <w:shd w:val="clear" w:color="auto" w:fill="auto"/>
            <w:vAlign w:val="center"/>
          </w:tcPr>
          <w:p w14:paraId="2E16D64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万能工匠组合</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top"/>
          </w:tcPr>
          <w:p w14:paraId="70B930EA">
            <w:pPr>
              <w:keepNext w:val="0"/>
              <w:keepLines w:val="0"/>
              <w:widowControl/>
              <w:suppressLineNumbers w:val="0"/>
              <w:jc w:val="left"/>
              <w:textAlignment w:val="top"/>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允许±</w:t>
            </w: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％合理生产及安装公差：参考规格：507*316*193cm,加厚</w:t>
            </w:r>
            <w:r>
              <w:rPr>
                <w:rFonts w:hint="eastAsia" w:ascii="宋体" w:hAnsi="宋体" w:cs="宋体"/>
                <w:i w:val="0"/>
                <w:iCs w:val="0"/>
                <w:color w:val="auto"/>
                <w:kern w:val="0"/>
                <w:sz w:val="20"/>
                <w:szCs w:val="20"/>
                <w:highlight w:val="none"/>
                <w:u w:val="none"/>
                <w:lang w:val="en-US" w:eastAsia="zh-CN" w:bidi="ar"/>
              </w:rPr>
              <w:t>,组件总数不少于</w:t>
            </w:r>
            <w:r>
              <w:rPr>
                <w:rFonts w:hint="eastAsia" w:ascii="宋体" w:hAnsi="宋体" w:eastAsia="宋体" w:cs="宋体"/>
                <w:i w:val="0"/>
                <w:iCs w:val="0"/>
                <w:color w:val="auto"/>
                <w:kern w:val="0"/>
                <w:sz w:val="20"/>
                <w:szCs w:val="20"/>
                <w:highlight w:val="none"/>
                <w:u w:val="none"/>
                <w:lang w:val="en-US" w:eastAsia="zh-CN" w:bidi="ar"/>
              </w:rPr>
              <w:t>258件(圆盘</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76个，轮胎</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8个，管子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174条)具体配置：圆盘</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76个，115.2cm管子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72根，76cm管子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66根，48.5cm管子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12根，15.2cm管子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8根，171cm管子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16根，轮胎</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8个</w:t>
            </w:r>
            <w:r>
              <w:rPr>
                <w:rFonts w:hint="eastAsia" w:ascii="宋体" w:hAnsi="宋体" w:cs="宋体"/>
                <w:i w:val="0"/>
                <w:iCs w:val="0"/>
                <w:color w:val="auto"/>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F426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CB6A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AEEF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0935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5800 </w:t>
            </w:r>
          </w:p>
        </w:tc>
      </w:tr>
      <w:tr w14:paraId="7565E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D0C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D2BA0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双人幼儿脚踏三轮车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BA6D21">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材质：高碳钢，尺寸（允许±2cm误差）：90×50×95cm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B74C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F936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061D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63A2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8040 </w:t>
            </w:r>
          </w:p>
        </w:tc>
      </w:tr>
      <w:tr w14:paraId="7D1AB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3D5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0845E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平衡踩踏车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5B7612">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材质：塑料，尺寸（允许±2cm误差）：40×37×61cm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1B59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2DCA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3D65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C6E8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500 </w:t>
            </w:r>
          </w:p>
        </w:tc>
      </w:tr>
      <w:tr w14:paraId="5C3D9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C06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E8FAA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小推车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AF4D9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材质：高碳钢，尺寸（允许±2cm误差）：90×40×40cm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0957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D746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5DDC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F015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650 </w:t>
            </w:r>
          </w:p>
        </w:tc>
      </w:tr>
      <w:tr w14:paraId="58053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304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9231C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幼儿脚踏车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D5007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材质：高碳钢，尺寸（允许±2cm误差）：82×52×60cm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BE2E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E927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6C64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EBB0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2350 </w:t>
            </w:r>
          </w:p>
        </w:tc>
      </w:tr>
      <w:tr w14:paraId="4422E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BEC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2426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安吉滚筒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4438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材质：加厚PE塑料，尺寸（允许±2cm误差）：120×50cm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72E7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6F17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2D36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4E63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2920 </w:t>
            </w:r>
          </w:p>
        </w:tc>
      </w:tr>
      <w:tr w14:paraId="083C5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3B4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8C5AF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户外玩具多功能防雨收纳柜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4C3C5F">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材质：加厚PE工程塑料，尺寸：≧120×55×90cm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8C4E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8E45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89A9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B3E2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10800 </w:t>
            </w:r>
          </w:p>
        </w:tc>
      </w:tr>
      <w:tr w14:paraId="0A716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69B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A8B33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户外玩具收纳架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78407D">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材质：加厚镀锌钢管环保塑料隔板，尺寸：≧120×55×90cm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0CBB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232C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BF8D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DB5C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6100 </w:t>
            </w:r>
          </w:p>
        </w:tc>
      </w:tr>
      <w:tr w14:paraId="7D970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AEC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D31AA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网洞钻洞组合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9DAD62">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材质：食品级环保PP塑料，尺寸：约150×50×120cm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C524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BCFD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99C2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F75B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4000 </w:t>
            </w:r>
          </w:p>
        </w:tc>
      </w:tr>
      <w:tr w14:paraId="06531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DF6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264EC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篮球架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035F8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材质：加厚镀锌钢管钢化玻璃篮球板，尺寸（允许±2cm误差）：底座110×80cm、架高210cm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7FB2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E30E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6945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CC3D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2250 </w:t>
            </w:r>
          </w:p>
        </w:tc>
      </w:tr>
      <w:tr w14:paraId="735B5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111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DFE64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攀爬架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18137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（参考尺寸+数量）</w:t>
            </w:r>
          </w:p>
          <w:p w14:paraId="61956B5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以下所有尺寸允许±2cm合理生产及安装公差。1.主体框架：材质高碳钢（Q235加厚钢管），表面静电喷塑防锈； 2.吊环/圆盘配件：HDPE改性工程塑料； 3.悬挂绳索：钢丝芯尼龙绳； 4.秋千坐板：EVA软胶+塑料基材 ，   尺寸：340×113×230cm ，彩色梯2条、葫芦吊环4条、大小圆盘4条、斜坡绳2条、小圆盘2条、EVA秋千1条、弯板秋千1条，户外感统攀爬秋千组合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64C0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F640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5780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3AC7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7800 </w:t>
            </w:r>
          </w:p>
        </w:tc>
      </w:tr>
      <w:tr w14:paraId="7FE35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68C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BB4DA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迷彩跑酷组合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FDB5F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1.障碍软包件：外层迷彩加厚PVC防水面料，内部高密度EPE珍珠棉填充； 2.支架钢架：Q235高碳钢圆管，镀锌+户外喷塑防腐； 3.攀爬网：钢丝芯尼龙编织绳 ，420×210×110cm（允许±2cm合理生产及安装公差），约21件套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05D2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5BF0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385E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5420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EF040">
            <w:pPr>
              <w:keepNext w:val="0"/>
              <w:keepLines w:val="0"/>
              <w:widowControl/>
              <w:suppressLineNumbers w:val="0"/>
              <w:jc w:val="center"/>
              <w:textAlignment w:val="center"/>
              <w:rPr>
                <w:rFonts w:hint="default" w:ascii="宋体" w:hAnsi="宋体" w:eastAsia="宋体" w:cs="宋体"/>
                <w:i w:val="0"/>
                <w:iCs w:val="0"/>
                <w:color w:val="auto"/>
                <w:sz w:val="20"/>
                <w:szCs w:val="20"/>
                <w:u w:val="none"/>
                <w:lang w:val="en-US"/>
              </w:rPr>
            </w:pPr>
            <w:r>
              <w:rPr>
                <w:rFonts w:hint="eastAsia" w:ascii="宋体" w:hAnsi="宋体" w:eastAsia="宋体" w:cs="宋体"/>
                <w:i w:val="0"/>
                <w:iCs w:val="0"/>
                <w:color w:val="auto"/>
                <w:kern w:val="0"/>
                <w:sz w:val="20"/>
                <w:szCs w:val="20"/>
                <w:u w:val="none"/>
                <w:lang w:val="en-US" w:eastAsia="zh-CN" w:bidi="ar"/>
              </w:rPr>
              <w:t>5420</w:t>
            </w:r>
          </w:p>
        </w:tc>
      </w:tr>
      <w:tr w14:paraId="6A156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53C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w:t>
            </w: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2B0190BF">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4C306EE0">
            <w:pPr>
              <w:keepNext w:val="0"/>
              <w:keepLines w:val="0"/>
              <w:widowControl/>
              <w:suppressLineNumbers w:val="0"/>
              <w:jc w:val="center"/>
              <w:textAlignment w:val="center"/>
              <w:rPr>
                <w:rFonts w:hint="eastAsia" w:ascii="宋体" w:hAnsi="宋体" w:eastAsia="宋体" w:cs="宋体"/>
                <w:b/>
                <w:bCs/>
                <w:i w:val="0"/>
                <w:iCs w:val="0"/>
                <w:color w:val="FF0000"/>
                <w:kern w:val="2"/>
                <w:sz w:val="20"/>
                <w:szCs w:val="20"/>
                <w:u w:val="none"/>
                <w:lang w:val="en-US" w:eastAsia="zh-CN" w:bidi="ar-SA"/>
              </w:rPr>
            </w:pPr>
            <w:r>
              <w:rPr>
                <w:rFonts w:hint="eastAsia" w:ascii="宋体" w:hAnsi="宋体" w:eastAsia="宋体" w:cs="宋体"/>
                <w:b/>
                <w:bCs/>
                <w:i w:val="0"/>
                <w:iCs w:val="0"/>
                <w:color w:val="FF0000"/>
                <w:kern w:val="0"/>
                <w:sz w:val="20"/>
                <w:szCs w:val="20"/>
                <w:u w:val="none"/>
                <w:lang w:val="en-US" w:eastAsia="zh-CN" w:bidi="ar"/>
              </w:rPr>
              <w:t>上林县象山幼儿园</w:t>
            </w: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75D27CE0">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78419602">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4AC30A11">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4CE37B4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100000 </w:t>
            </w:r>
          </w:p>
        </w:tc>
      </w:tr>
      <w:tr w14:paraId="707F6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D27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0C484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计算机</w:t>
            </w:r>
          </w:p>
        </w:tc>
        <w:tc>
          <w:tcPr>
            <w:tcW w:w="6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12BC7">
            <w:pPr>
              <w:keepNext w:val="0"/>
              <w:keepLines w:val="0"/>
              <w:widowControl/>
              <w:numPr>
                <w:ilvl w:val="0"/>
                <w:numId w:val="7"/>
              </w:numPr>
              <w:suppressLineNumbers w:val="0"/>
              <w:jc w:val="left"/>
              <w:textAlignment w:val="center"/>
              <w:rPr>
                <w:rFonts w:hint="eastAsia" w:ascii="宋体" w:hAnsi="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硬件技术参数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▲1、基本要求：国产自主品牌商用台式机，</w:t>
            </w:r>
            <w:r>
              <w:rPr>
                <w:rFonts w:hint="eastAsia" w:ascii="宋体" w:hAnsi="宋体" w:cs="宋体"/>
                <w:i w:val="0"/>
                <w:iCs w:val="0"/>
                <w:strike w:val="0"/>
                <w:dstrike w:val="0"/>
                <w:color w:val="auto"/>
                <w:kern w:val="0"/>
                <w:sz w:val="20"/>
                <w:szCs w:val="20"/>
                <w:highlight w:val="none"/>
                <w:u w:val="none"/>
                <w:lang w:val="en-US" w:eastAsia="zh-CN" w:bidi="ar"/>
              </w:rPr>
              <w:t>结构稳固，具备良好的散热性能。</w:t>
            </w:r>
          </w:p>
          <w:p w14:paraId="66CA733E">
            <w:pPr>
              <w:keepNext w:val="0"/>
              <w:keepLines w:val="0"/>
              <w:widowControl/>
              <w:numPr>
                <w:ilvl w:val="0"/>
                <w:numId w:val="0"/>
              </w:numPr>
              <w:suppressLineNumbers w:val="0"/>
              <w:jc w:val="left"/>
              <w:textAlignment w:val="center"/>
              <w:rPr>
                <w:rFonts w:hint="eastAsia" w:ascii="宋体" w:hAnsi="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2、处理器： 处理器采用国产处理器，八核，主频≥2.7GHz；</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3、内存：配置≥16GB DDR4 UDIMM内存，配置≥2个内存插槽；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4、显卡：≥2G独立显卡。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5、硬盘：≥512GB M.2接口NVME协议SSD；</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▲6、电源：电源功率≤180W，电源适配器电线组件应符合GB/T15934的要求；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7、网络：1个RJ45 10/100/1000自适应以太网口；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▲8、接口：前置USB3.0接口≥4个；后置USB3.0接口≥2个，USB2.0接口≥2个；音频接口：麦克风1个，耳机1个；后端3个Audio音频接口；PCIE插槽数量≥3个；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▲9、数据安全：BIOS级USB屏蔽及智能USB数据保护：USB支持BIOS下接口开关，针对存储设备支持USB接口切换禁止访问模式/只读模式。</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10、显示器：配置≥23.8寸LED显示器，IPS屏，分辨率≥1920*1080，刷新频率≥</w:t>
            </w:r>
            <w:r>
              <w:rPr>
                <w:rFonts w:hint="eastAsia" w:ascii="宋体" w:hAnsi="宋体" w:cs="宋体"/>
                <w:i w:val="0"/>
                <w:iCs w:val="0"/>
                <w:color w:val="auto"/>
                <w:kern w:val="0"/>
                <w:sz w:val="20"/>
                <w:szCs w:val="20"/>
                <w:highlight w:val="none"/>
                <w:u w:val="none"/>
                <w:lang w:val="en-US" w:eastAsia="zh-CN" w:bidi="ar"/>
              </w:rPr>
              <w:t>75</w:t>
            </w:r>
            <w:r>
              <w:rPr>
                <w:rFonts w:hint="eastAsia" w:ascii="宋体" w:hAnsi="宋体" w:eastAsia="宋体" w:cs="宋体"/>
                <w:i w:val="0"/>
                <w:iCs w:val="0"/>
                <w:color w:val="auto"/>
                <w:kern w:val="0"/>
                <w:sz w:val="20"/>
                <w:szCs w:val="20"/>
                <w:highlight w:val="none"/>
                <w:u w:val="none"/>
                <w:lang w:val="en-US" w:eastAsia="zh-CN" w:bidi="ar"/>
              </w:rPr>
              <w:t>Hz，对比度≥1000:1</w:t>
            </w:r>
            <w:r>
              <w:rPr>
                <w:rFonts w:hint="eastAsia" w:ascii="宋体" w:hAnsi="宋体" w:cs="宋体"/>
                <w:i w:val="0"/>
                <w:iCs w:val="0"/>
                <w:color w:val="auto"/>
                <w:kern w:val="0"/>
                <w:sz w:val="20"/>
                <w:szCs w:val="20"/>
                <w:highlight w:val="none"/>
                <w:u w:val="none"/>
                <w:lang w:val="en-US" w:eastAsia="zh-CN" w:bidi="ar"/>
              </w:rPr>
              <w:t>；</w:t>
            </w:r>
          </w:p>
          <w:p w14:paraId="628C0BF7">
            <w:pPr>
              <w:keepNext w:val="0"/>
              <w:keepLines w:val="0"/>
              <w:widowControl/>
              <w:numPr>
                <w:ilvl w:val="0"/>
                <w:numId w:val="0"/>
              </w:numPr>
              <w:suppressLineNumbers w:val="0"/>
              <w:ind w:left="0" w:leftChars="0" w:firstLine="0" w:firstLineChars="0"/>
              <w:jc w:val="left"/>
              <w:textAlignment w:val="center"/>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11、操作系统：预装符合桌面操作系统政府采购需求标准的正版操作系统；预装的操作系统符合《操作系统政府采购需求标准》中加*指标要求（财政部工业和信息化部关于印发《操作系统政府采购需求标准（2023年版）》的通知）。</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12、办公软件：预装带正版授权的办公软件</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（含三年服务）；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▲13、关键部件安全要求：CPU和操作系统等关键部件应当符合安全可靠测评要求。（提供通过安全可靠测评的证明书或作出承诺）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二、班级管理平台软件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1、后台采用 B/S 架构设计，能够支持不同角色在 web 上进行操作，支持微信和账号登录、支持学校自定义角色、教师角色切换。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2、支持上传多个备课文档、支持一屏稿件对比，支持查看该次集体备课数据统计及访问记录。集体备课终稿存到我的成果库。并支持查看集体备课数据报告；</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、支持区域、学校管理者发起在线收集资料的任务，老师按照在线任务要求上传资料，支持管理者将收集上来的资料分类归档管理【</w:t>
            </w:r>
            <w:r>
              <w:rPr>
                <w:rFonts w:hint="eastAsia" w:ascii="宋体" w:hAnsi="宋体" w:cs="宋体"/>
                <w:i w:val="0"/>
                <w:iCs w:val="0"/>
                <w:color w:val="auto"/>
                <w:kern w:val="0"/>
                <w:sz w:val="20"/>
                <w:szCs w:val="20"/>
                <w:highlight w:val="none"/>
                <w:u w:val="none"/>
                <w:lang w:val="en-US" w:eastAsia="zh-CN" w:bidi="ar"/>
              </w:rPr>
              <w:t>响应供应商</w:t>
            </w:r>
            <w:r>
              <w:rPr>
                <w:rFonts w:hint="eastAsia" w:ascii="宋体" w:hAnsi="宋体" w:eastAsia="宋体" w:cs="宋体"/>
                <w:i w:val="0"/>
                <w:iCs w:val="0"/>
                <w:color w:val="auto"/>
                <w:kern w:val="0"/>
                <w:sz w:val="20"/>
                <w:szCs w:val="20"/>
                <w:highlight w:val="none"/>
                <w:u w:val="none"/>
                <w:lang w:val="en-US" w:eastAsia="zh-CN" w:bidi="ar"/>
              </w:rPr>
              <w:t>于</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中必须提供所投产品满足本条技术要求的相关有效证明材料复印件，证明材料可以是国家认可的第三方检验（测）机构出具的合格有效的检验（测）报告或官网截图或功能截图或产品彩页】</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三、教学授课软件功能要求：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 xml:space="preserve">.无需导入平台，可直接在PPT中通过备课插件添加课堂互动游戏、思维导图、网站链接、网络画板等。课件编辑完成可一键同步至云端；如教师不想保存在云平台可直接以PPT格式保存在本地，不允许系统自动在云平台中更新教师的资源；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 xml:space="preserve">.试题能够根据课本章节、题型、难易程度进行筛选，并提供知识点试题，可按知识点筛选，支持收藏、查看试题答案、解析、关联知识点，支持对试题进行二次编辑，支持将试题一键加入备课；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.通过对纸质试题拍照，可将图片上传，将纸质文字变为电子版文字，便于老师优质试题的收集使用；（</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4</w:t>
            </w:r>
            <w:r>
              <w:rPr>
                <w:rFonts w:hint="eastAsia" w:ascii="宋体" w:hAnsi="宋体" w:eastAsia="宋体" w:cs="宋体"/>
                <w:i w:val="0"/>
                <w:iCs w:val="0"/>
                <w:color w:val="auto"/>
                <w:kern w:val="0"/>
                <w:sz w:val="20"/>
                <w:szCs w:val="20"/>
                <w:highlight w:val="none"/>
                <w:u w:val="none"/>
                <w:lang w:val="en-US" w:eastAsia="zh-CN" w:bidi="ar"/>
              </w:rPr>
              <w:t>.支持将音视频分成不同小节，支持自定义视频小节名称，播放时可通过点击小节名称快速定位关键教学内容。（</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内置多种随堂练习、趣味答题模板，适配课堂巩固。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6</w:t>
            </w:r>
            <w:r>
              <w:rPr>
                <w:rFonts w:hint="eastAsia" w:ascii="宋体" w:hAnsi="宋体" w:eastAsia="宋体" w:cs="宋体"/>
                <w:i w:val="0"/>
                <w:iCs w:val="0"/>
                <w:color w:val="auto"/>
                <w:kern w:val="0"/>
                <w:sz w:val="20"/>
                <w:szCs w:val="20"/>
                <w:highlight w:val="none"/>
                <w:u w:val="none"/>
                <w:lang w:val="en-US" w:eastAsia="zh-CN" w:bidi="ar"/>
              </w:rPr>
              <w:t>.为方便教师快速查找，所有备课资源均可按照系统自带教材章节进行存储，无需教师自建存储条目；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7</w:t>
            </w:r>
            <w:r>
              <w:rPr>
                <w:rFonts w:hint="eastAsia" w:ascii="宋体" w:hAnsi="宋体" w:eastAsia="宋体" w:cs="宋体"/>
                <w:i w:val="0"/>
                <w:iCs w:val="0"/>
                <w:color w:val="auto"/>
                <w:kern w:val="0"/>
                <w:sz w:val="20"/>
                <w:szCs w:val="20"/>
                <w:highlight w:val="none"/>
                <w:u w:val="none"/>
                <w:lang w:val="en-US" w:eastAsia="zh-CN" w:bidi="ar"/>
              </w:rPr>
              <w:t xml:space="preserve">.备课界面支持将教案、课件、学案、试题、练习、网络画板、虚拟实验、微课等教学资源分享给校内指定教师使用；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8</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白板教学：提供多种书写笔触、可调色彩，支持自定义常用配色。</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9</w:t>
            </w:r>
            <w:r>
              <w:rPr>
                <w:rFonts w:hint="eastAsia" w:ascii="宋体" w:hAnsi="宋体" w:eastAsia="宋体" w:cs="宋体"/>
                <w:i w:val="0"/>
                <w:iCs w:val="0"/>
                <w:color w:val="auto"/>
                <w:kern w:val="0"/>
                <w:sz w:val="20"/>
                <w:szCs w:val="20"/>
                <w:highlight w:val="none"/>
                <w:u w:val="none"/>
                <w:lang w:val="en-US" w:eastAsia="zh-CN" w:bidi="ar"/>
              </w:rPr>
              <w:t>.支持三个及以上学生同时进行书写或手势擦除操作，不同学生各自进行书写或擦除，互不影响；</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10</w:t>
            </w:r>
            <w:r>
              <w:rPr>
                <w:rFonts w:hint="eastAsia" w:ascii="宋体" w:hAnsi="宋体" w:eastAsia="宋体" w:cs="宋体"/>
                <w:i w:val="0"/>
                <w:iCs w:val="0"/>
                <w:color w:val="auto"/>
                <w:kern w:val="0"/>
                <w:sz w:val="20"/>
                <w:szCs w:val="20"/>
                <w:highlight w:val="none"/>
                <w:u w:val="none"/>
                <w:lang w:val="en-US" w:eastAsia="zh-CN" w:bidi="ar"/>
              </w:rPr>
              <w:t>.支持对白板页面中的元素进行隐藏、锁定、缩放、旋转、置顶等操作，被隐藏元素可以一键重新显示在白板上；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3A98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85B0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3FC2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5DC2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5000 </w:t>
            </w:r>
          </w:p>
        </w:tc>
      </w:tr>
      <w:tr w14:paraId="79802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80D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3E493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彩色打印机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C929F4">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1、打印速度：≥单面33页/分钟黑白彩色同速输出；</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2、内存及双面：标配≥1G内存、支持无线网络、支持自动双面打印、远程管理；</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3、打印分辨率：≥120</w:t>
            </w:r>
            <w:r>
              <w:rPr>
                <w:rFonts w:hint="eastAsia" w:ascii="宋体" w:hAnsi="宋体" w:eastAsia="宋体" w:cs="宋体"/>
                <w:i w:val="0"/>
                <w:iCs w:val="0"/>
                <w:color w:val="auto"/>
                <w:kern w:val="0"/>
                <w:sz w:val="20"/>
                <w:szCs w:val="20"/>
                <w:highlight w:val="none"/>
                <w:u w:val="none"/>
                <w:lang w:val="en-US" w:eastAsia="zh-CN" w:bidi="ar"/>
              </w:rPr>
              <w:t>0*1200 dpi,首页打印</w:t>
            </w:r>
            <w:r>
              <w:rPr>
                <w:rFonts w:ascii="宋体" w:hAnsi="宋体" w:eastAsia="宋体" w:cs="宋体"/>
                <w:sz w:val="20"/>
                <w:szCs w:val="20"/>
                <w:highlight w:val="none"/>
              </w:rPr>
              <w:t>均≤9 秒</w:t>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4、纸盒≥250页、多功能进纸托盘≥</w:t>
            </w:r>
            <w:r>
              <w:rPr>
                <w:rFonts w:hint="eastAsia" w:ascii="宋体" w:hAnsi="宋体" w:eastAsia="宋体" w:cs="宋体"/>
                <w:i w:val="0"/>
                <w:iCs w:val="0"/>
                <w:strike/>
                <w:dstrike w:val="0"/>
                <w:color w:val="auto"/>
                <w:kern w:val="0"/>
                <w:sz w:val="20"/>
                <w:szCs w:val="20"/>
                <w:highlight w:val="none"/>
                <w:u w:val="none"/>
                <w:lang w:val="en-US" w:eastAsia="zh-CN" w:bidi="ar"/>
              </w:rPr>
              <w:t>50</w:t>
            </w:r>
            <w:r>
              <w:rPr>
                <w:rFonts w:hint="eastAsia" w:ascii="宋体" w:hAnsi="宋体" w:eastAsia="宋体" w:cs="宋体"/>
                <w:i w:val="0"/>
                <w:iCs w:val="0"/>
                <w:color w:val="auto"/>
                <w:kern w:val="0"/>
                <w:sz w:val="20"/>
                <w:szCs w:val="20"/>
                <w:highlight w:val="none"/>
                <w:u w:val="none"/>
                <w:lang w:val="en-US" w:eastAsia="zh-CN" w:bidi="ar"/>
              </w:rPr>
              <w:t>45页；</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5、U盘直接打印：支持</w:t>
            </w:r>
            <w:r>
              <w:rPr>
                <w:rFonts w:ascii="宋体" w:hAnsi="宋体" w:eastAsia="宋体" w:cs="宋体"/>
                <w:sz w:val="20"/>
                <w:szCs w:val="20"/>
                <w:highlight w:val="none"/>
              </w:rPr>
              <w:t>主流图片、文档格式：PDF、JPG、TIFF</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A851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613D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B653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7377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7500 </w:t>
            </w:r>
          </w:p>
        </w:tc>
      </w:tr>
      <w:tr w14:paraId="536A1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645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5C82D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教学一体机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CD61E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一、整体设计</w:t>
            </w:r>
          </w:p>
          <w:p w14:paraId="41C1969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1、整机采用一体设计，外部无任何可见内部功能模块连接线。</w:t>
            </w:r>
          </w:p>
          <w:p w14:paraId="02FF1D8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2、整机采用全金属外壳设计，边角采用弧形设计，表面无尖锐边缘或凸起；整机屏幕边缘采用金属圆角包边防护，整机背板采用金属材质。</w:t>
            </w:r>
          </w:p>
          <w:p w14:paraId="454F56D6">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3、整机屏幕采用65英寸液晶显示器。</w:t>
            </w:r>
          </w:p>
          <w:p w14:paraId="6BECF97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4、整机采用LED液晶A规屏，显示比例16:9。</w:t>
            </w:r>
          </w:p>
          <w:p w14:paraId="70AC0F8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二、整机硬件性能与接口</w:t>
            </w:r>
          </w:p>
          <w:p w14:paraId="40355FB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1、双系统配置 整机搭载 电脑模块 + 嵌入式系统，系统版本不低于 当前最新版本；系统内存 RAM≥4G，存储 ROM≥32G；安卓端可独立实现白板书写、文档编辑、网页浏览等基础教学功能。（相关性能指标可提供厂商彩页、功能截图、第三方检测报告任意一种佐证，设备到货验收时提供完整 CMA/CNAS 检测报告备查）。</w:t>
            </w:r>
          </w:p>
          <w:p w14:paraId="0A85738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2、整机配备前置外接接口，支持双系统共用读取 U 盘等存储设备；整机配备全功能 Type-C、HDMI、USB3.0 输入接口，侧置预留 HDMI、RS232、USB、音频输出、触控 USB 等拓展接口；整机外设拓展能力满足日常教学设备接驳需求，可通过拓展坞实现同等外接能力。前置接口配有防尘防护盖板，保护接口与外接 U 盘。</w:t>
            </w:r>
          </w:p>
          <w:p w14:paraId="760223C9">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3、整机内置高品质扬声器，整机额定总输出功率≥60W，发声均匀，无杂音、破音，满足教室扩声需求。</w:t>
            </w:r>
          </w:p>
          <w:p w14:paraId="61E68291">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4、红外触控技术，最小识别触控物体≤3mm；整机支持双系统多点触控，触控流畅无断触。</w:t>
            </w:r>
          </w:p>
          <w:p w14:paraId="34C27F7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5、整机内置高清摄像头与阵列麦克风，无需外接线材；摄像头像素≥1600 万，广角设计，可完整覆盖教室区域，满足远程巡课、课堂录播；麦克风有效拾音距离≥10 米，多人发言清晰收录。设备自带摄像头工作指示灯，摄像状态直观提示。</w:t>
            </w:r>
          </w:p>
          <w:p w14:paraId="2D8A731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6、支持无线投屏功能，可通过 NFC、扫码、无线连接等任意一种方式实现手机、平板投屏，支持多台移动设备同时分屏展示。</w:t>
            </w:r>
          </w:p>
          <w:p w14:paraId="19FA647C">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7、内置双频 WiFi（2.4G+5GHz）、蓝牙模块，蓝牙标准不低于 Bluetooth 5.2；整机可无线联网、发射无线热点，双系统共用一套无线网络配置，无需重复设置；蓝牙可稳定连接外设，无线传输距离满足教室使用。</w:t>
            </w:r>
          </w:p>
          <w:p w14:paraId="3BE499BC">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8、设备搭载护眼低蓝光背光方案，从硬件层面削减有害蓝光，显示画面无明显泛黄、色偏，符合校园护眼相关规范；屏幕 NTSC 色域覆盖率≥72%，安卓系统支持 4K 高清 UI 显示。</w:t>
            </w:r>
          </w:p>
          <w:p w14:paraId="3E06FAB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9、OPS 电脑配置：运行内存≥8G，固态硬盘≥256G。</w:t>
            </w:r>
          </w:p>
          <w:p w14:paraId="69CC6D54">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p>
          <w:p w14:paraId="780FDD3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三、整机基础交互功能</w:t>
            </w:r>
          </w:p>
          <w:p w14:paraId="6AB380C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1、整机内置图像、音效调节模块，提供多种预设图像、音效模式，支持手动调节亮度、对比度、高低音、色温等参数，适配不同教学场景。</w:t>
            </w:r>
          </w:p>
          <w:p w14:paraId="0BE3D159">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2、支持分屏、半屏显示功能，可一键切换全屏 / 半屏，画面完整无裁剪，触控操作正常；支持画面局部放大、聚光灯（区域高亮、其余区域暗化）教学工具。</w:t>
            </w:r>
          </w:p>
          <w:p w14:paraId="5C634E71">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3、系统悬浮快捷工具栏，可调取批注、截屏、计时、锁屏、硬件自检、聚光灯、学科工具等教学常用功能，工具栏支持自定义调整。</w:t>
            </w:r>
          </w:p>
          <w:p w14:paraId="01BEAAF1">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4、支持智能手势快捷操作，可通过手势触发熄屏、批注、分屏等自定义功能，手势识别灵敏稳定。</w:t>
            </w:r>
          </w:p>
          <w:p w14:paraId="1552687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5、全通道支持自由截屏，可框选任意区域保存截图；授课过程中可一键调取各类教学小工具：答题器、倒计时、节拍器、日历、随机抽选等。</w:t>
            </w:r>
          </w:p>
          <w:p w14:paraId="282C347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6、双系统实现功能互通：一键切换系统、共享 USB 外设、共享网络、背光手势快捷控制。</w:t>
            </w:r>
          </w:p>
          <w:p w14:paraId="31438E54">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7、内置互动白板，支持多笔同时书写、手掌智能擦除，笔迹自带笔锋；白板文件支持导出 PDF、SVG、IWB 等通用格式；内置充足平面、立体学科绘图工具，满足数理化教学绘图需求。</w:t>
            </w:r>
          </w:p>
          <w:p w14:paraId="3367D194">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四、配套教学软件功能</w:t>
            </w:r>
          </w:p>
          <w:p w14:paraId="7DB6C28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1、教学资源分类管理：可按年级、学科、教材版本收纳课件、习题、阅读资料，支持云端存储、本地资源调取。</w:t>
            </w:r>
          </w:p>
          <w:p w14:paraId="63D7A71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2、白板教学模板丰富，支持田字格、五线谱、米字格、坐标纸等学科专用背景，支持原笔迹批注、拖拽、擦除。</w:t>
            </w:r>
          </w:p>
          <w:p w14:paraId="0E0286B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3、支持 PPT 原生播放、手势翻页、多级放大，批注笔迹同步保存；支持一键将课件上传至个人云空间，授课时云端直接下载使用。</w:t>
            </w:r>
          </w:p>
          <w:p w14:paraId="3A73A416">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4、支持集体备课、在线听评课功能：可自定义评课评分模板、评分细则，听课记录可保存、导出分享；支持教师扫码听课评价。</w:t>
            </w:r>
          </w:p>
          <w:p w14:paraId="233EBA8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5、课堂录播功能：授课全过程可录制，支持暂停、停止，可自定义录制音视频画质，录制窗口可隐藏不遮挡教学画面。</w:t>
            </w:r>
          </w:p>
          <w:p w14:paraId="2014ECF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6、支持手机远程控制大屏课件翻页；支持课堂互动答题，学生扫码答题，教师查看答题正确率、导出课堂学情报告；支持课堂弹幕、班级成员管理。</w:t>
            </w:r>
          </w:p>
          <w:p w14:paraId="5802533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7、支持网页资源一键导入课件，可制作课堂互动小游戏并保存至个人云盘，随时调取复用。</w:t>
            </w:r>
          </w:p>
          <w:p w14:paraId="384070C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8、为每位教师提供免费教学云存储空间，支持本地个人资源同步至云端，授课随时调取。</w:t>
            </w:r>
          </w:p>
          <w:p w14:paraId="6AFBC131">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五、集控管理平台功能</w:t>
            </w:r>
          </w:p>
          <w:p w14:paraId="2EE8C184">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 xml:space="preserve"> 1、平台可统一查看所有教学设备硬件信息：屏幕尺寸、系统版本、CPU、内存、硬盘、网络状态等；支持列表、缩略图两种设备查看模式，批量预览设备实时画面。</w:t>
            </w:r>
          </w:p>
          <w:p w14:paraId="3BB445F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 xml:space="preserve"> 2、远程巡课督导：可实时查看设备屏幕画面与课堂摄像头画面；支持远程下发设备系统、集控软件升级包，设备空闲时段自动完成更新。</w:t>
            </w:r>
          </w:p>
          <w:p w14:paraId="25EBDF59">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 xml:space="preserve"> 3、远程管理功能：支持批量设置定时锁屏 / 解锁，可按工作日、周末自定义循环策略；远程下发考场考试安排，设备按时展示考试信息。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AB8F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3A8A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A900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1C50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40000 </w:t>
            </w:r>
          </w:p>
        </w:tc>
      </w:tr>
      <w:tr w14:paraId="747D3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635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A6687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滑滑梯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1A3F1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1、规格尺寸：1650*350*400cm（参考尺寸+数量）</w:t>
            </w:r>
          </w:p>
          <w:p w14:paraId="618327A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功能：让孩子全面感受钻、爬、跳、荡、滑的乐趣，体验探险、挑战的刺激，锻炼协调、平衡、力量、耐力等素质，培养敢于尝试、勇于探险的品质。项目内容有：景观平台、网筒、爬网、攀岩、城堡、荡桥、攀爬、吊环等。</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3、材质:实木，木质部分经专业技师加工成型打磨批灰后，外涂三层户外环保家具漆，表面油漆干后为止，起到防晒、防蛀、防裂，防腐、防水。</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4、镀锌管子表面经除锈、磷化，表面再经过静电粉末喷涂，流水线高温固化表面光滑。</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5、采用高强度缆绳(变色绳)，直径不小于12mm，中芯不少于1股钢丝绳。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6、塑料:采用食品级有色塑料、线型低密度聚乙稀树脂(LLDPE)无毒无味，添加抗紫外线、光稳定剂及抗静电剂、高级颜料粉，大型正反转流水线滚塑机一次成型，韧性好、高强度、两面光滑、不破裂、不褪色经久耐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7、五金零件:不锈钢半圆头，T型平头螺丝;表面处理:机械抛光。</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8、紧固件:不锈钢材质;种类:采用半圆头内六角安全螺丝与T型平头内六角螺丝。螺丝要求一般工具无法松动，可预防任意调整功能。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9、铝合金扣件抗拉强度≥520Mpa，断后伸长率≥36.5%，下屈服强度≥360Mpa，附着力≥1级，厚度大于等于1.5mm，中性烟雾测试1500小时图层耐腐蚀级别不低于10级。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B8B8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9C96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19FC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422E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15000 </w:t>
            </w:r>
          </w:p>
        </w:tc>
      </w:tr>
      <w:tr w14:paraId="78C1E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685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BDAB4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平衡木组合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BF838C">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1、指标要求：（参考尺寸+数量）</w:t>
            </w:r>
          </w:p>
          <w:p w14:paraId="5D64DCE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w:t>
            </w:r>
          </w:p>
          <w:p w14:paraId="5945420D">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2、材质外皮：迷彩PVC防水耐磨，内芯：EPE珍珠棉+高密度海绵，框架：镀锌钢管/实木，承重：≥80kg/点</w:t>
            </w:r>
          </w:p>
          <w:p w14:paraId="536935CD">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3、规格尺寸：</w:t>
            </w:r>
          </w:p>
          <w:p w14:paraId="08C8A8B2">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1.标准平衡木：145×30×30cm ×2条</w:t>
            </w:r>
          </w:p>
          <w:p w14:paraId="500891BB">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2.高低平衡木：80×30×30cm(矮)×1；80×30×45cm(高)×1</w:t>
            </w:r>
          </w:p>
          <w:p w14:paraId="44A9BEB3">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3.S形平衡木组：31×11×10cm ×12件</w:t>
            </w:r>
          </w:p>
          <w:p w14:paraId="5E6A5222">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4.梅花桩/过河石：φ20–40cm ×6件</w:t>
            </w:r>
          </w:p>
          <w:p w14:paraId="356017C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5.障碍墩：31×20×42cm ×6件</w:t>
            </w:r>
          </w:p>
          <w:p w14:paraId="08613781">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6.障碍圈洞：110×20×85cm ×1</w:t>
            </w:r>
          </w:p>
          <w:p w14:paraId="5D342CE3">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7.障碍方洞：110×20×85cm ×1</w:t>
            </w:r>
          </w:p>
          <w:p w14:paraId="54786D76">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8.迷彩防护地垫：100×70×5cm ×15张</w:t>
            </w:r>
            <w:r>
              <w:rPr>
                <w:rFonts w:hint="eastAsia" w:ascii="宋体" w:hAnsi="宋体" w:eastAsia="宋体" w:cs="宋体"/>
                <w:i w:val="0"/>
                <w:iCs w:val="0"/>
                <w:color w:val="auto"/>
                <w:kern w:val="0"/>
                <w:sz w:val="20"/>
                <w:szCs w:val="20"/>
                <w:highlight w:val="none"/>
                <w:u w:val="none"/>
                <w:lang w:val="en-US" w:eastAsia="zh-CN" w:bidi="ar"/>
              </w:rPr>
              <w:br w:type="textWrapping"/>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4BF1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EC25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0D36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FD7D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15000 </w:t>
            </w:r>
          </w:p>
        </w:tc>
      </w:tr>
      <w:tr w14:paraId="5AB46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2EB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CEEC2D">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投影仪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9EE7E7">
            <w:pPr>
              <w:keepNext w:val="0"/>
              <w:keepLines w:val="0"/>
              <w:widowControl/>
              <w:numPr>
                <w:ilvl w:val="0"/>
                <w:numId w:val="11"/>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投影尺寸:30-300英寸 投影技术:3LCD 屏幕比例:16:10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亮度</w:t>
            </w:r>
            <w:r>
              <w:rPr>
                <w:rFonts w:ascii="宋体" w:hAnsi="宋体" w:eastAsia="宋体" w:cs="宋体"/>
                <w:sz w:val="20"/>
                <w:szCs w:val="20"/>
                <w:highlight w:val="none"/>
              </w:rPr>
              <w:t>≥</w:t>
            </w:r>
            <w:r>
              <w:rPr>
                <w:rFonts w:hint="eastAsia" w:ascii="宋体" w:hAnsi="宋体" w:eastAsia="宋体" w:cs="宋体"/>
                <w:i w:val="0"/>
                <w:iCs w:val="0"/>
                <w:color w:val="auto"/>
                <w:kern w:val="0"/>
                <w:sz w:val="20"/>
                <w:szCs w:val="20"/>
                <w:highlight w:val="none"/>
                <w:u w:val="none"/>
                <w:lang w:val="en-US" w:eastAsia="zh-CN" w:bidi="ar"/>
              </w:rPr>
              <w:t>5000流明 标准分辨率</w:t>
            </w:r>
            <w:r>
              <w:rPr>
                <w:rFonts w:ascii="宋体" w:hAnsi="宋体" w:eastAsia="宋体" w:cs="宋体"/>
                <w:sz w:val="20"/>
                <w:szCs w:val="20"/>
                <w:highlight w:val="none"/>
              </w:rPr>
              <w:t>≥</w:t>
            </w:r>
            <w:r>
              <w:rPr>
                <w:rFonts w:hint="eastAsia" w:ascii="宋体" w:hAnsi="宋体" w:eastAsia="宋体" w:cs="宋体"/>
                <w:i w:val="0"/>
                <w:iCs w:val="0"/>
                <w:color w:val="auto"/>
                <w:kern w:val="0"/>
                <w:sz w:val="20"/>
                <w:szCs w:val="20"/>
                <w:highlight w:val="none"/>
                <w:u w:val="none"/>
                <w:lang w:val="en-US" w:eastAsia="zh-CN" w:bidi="ar"/>
              </w:rPr>
              <w:t xml:space="preserve">WUXGA(1920*1200)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3.对比度</w:t>
            </w:r>
            <w:r>
              <w:rPr>
                <w:rFonts w:ascii="宋体" w:hAnsi="宋体" w:eastAsia="宋体" w:cs="宋体"/>
                <w:sz w:val="20"/>
                <w:szCs w:val="20"/>
                <w:highlight w:val="none"/>
              </w:rPr>
              <w:t>≥</w:t>
            </w:r>
            <w:r>
              <w:rPr>
                <w:rFonts w:hint="eastAsia" w:ascii="宋体" w:hAnsi="宋体" w:eastAsia="宋体" w:cs="宋体"/>
                <w:i w:val="0"/>
                <w:iCs w:val="0"/>
                <w:color w:val="auto"/>
                <w:kern w:val="0"/>
                <w:sz w:val="20"/>
                <w:szCs w:val="20"/>
                <w:highlight w:val="none"/>
                <w:u w:val="none"/>
                <w:lang w:val="en-US" w:eastAsia="zh-CN" w:bidi="ar"/>
              </w:rPr>
              <w:t xml:space="preserve">16000:1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4.光源类型 </w:t>
            </w:r>
            <w:r>
              <w:rPr>
                <w:rFonts w:ascii="宋体" w:hAnsi="宋体" w:eastAsia="宋体" w:cs="宋体"/>
                <w:sz w:val="20"/>
                <w:szCs w:val="20"/>
                <w:highlight w:val="none"/>
              </w:rPr>
              <w:t>支持超高压汞灯 / 激光均可；灯泡机型光源功率 270~290W，激光无功率限制。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5.变焦方式 </w:t>
            </w:r>
            <w:r>
              <w:rPr>
                <w:rFonts w:hint="eastAsia" w:ascii="宋体" w:hAnsi="宋体" w:eastAsia="宋体" w:cs="宋体"/>
                <w:i w:val="0"/>
                <w:iCs w:val="0"/>
                <w:strike/>
                <w:dstrike w:val="0"/>
                <w:color w:val="auto"/>
                <w:kern w:val="0"/>
                <w:sz w:val="20"/>
                <w:szCs w:val="20"/>
                <w:highlight w:val="none"/>
                <w:u w:val="none"/>
                <w:lang w:val="en-US" w:eastAsia="zh-CN" w:bidi="ar"/>
              </w:rPr>
              <w:br w:type="textWrapping"/>
            </w:r>
            <w:r>
              <w:rPr>
                <w:rFonts w:ascii="宋体" w:hAnsi="宋体" w:eastAsia="宋体" w:cs="宋体"/>
                <w:sz w:val="20"/>
                <w:szCs w:val="20"/>
                <w:highlight w:val="none"/>
              </w:rPr>
              <w:t>变焦比≥1.6 倍；投射比区间</w:t>
            </w:r>
            <w:r>
              <w:rPr>
                <w:rStyle w:val="12"/>
                <w:rFonts w:ascii="宋体" w:hAnsi="宋体" w:eastAsia="宋体" w:cs="宋体"/>
                <w:sz w:val="20"/>
                <w:szCs w:val="20"/>
                <w:highlight w:val="none"/>
              </w:rPr>
              <w:t>1.05</w:t>
            </w:r>
            <w:r>
              <w:rPr>
                <w:rFonts w:ascii="宋体" w:hAnsi="宋体" w:eastAsia="宋体" w:cs="宋体"/>
                <w:sz w:val="20"/>
                <w:szCs w:val="20"/>
                <w:highlight w:val="none"/>
              </w:rPr>
              <w:t>~</w:t>
            </w:r>
            <w:r>
              <w:rPr>
                <w:rStyle w:val="12"/>
                <w:rFonts w:ascii="宋体" w:hAnsi="宋体" w:eastAsia="宋体" w:cs="宋体"/>
                <w:sz w:val="20"/>
                <w:szCs w:val="20"/>
                <w:highlight w:val="none"/>
              </w:rPr>
              <w:t>1.80:1</w:t>
            </w:r>
            <w:r>
              <w:rPr>
                <w:rFonts w:ascii="宋体" w:hAnsi="宋体" w:eastAsia="宋体" w:cs="宋体"/>
                <w:sz w:val="20"/>
                <w:szCs w:val="20"/>
                <w:highlight w:val="none"/>
              </w:rPr>
              <w:t>；手动变焦即可。</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6.投射比 1.09-1.77:1。</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7.产品噪音 </w:t>
            </w:r>
            <w:r>
              <w:rPr>
                <w:rFonts w:ascii="宋体" w:hAnsi="宋体" w:eastAsia="宋体" w:cs="宋体"/>
                <w:sz w:val="20"/>
                <w:szCs w:val="20"/>
                <w:highlight w:val="none"/>
              </w:rPr>
              <w:t>正常模式≤40dB，节能模式最低噪音≤32dB，允许误差 ±3dB。</w:t>
            </w:r>
          </w:p>
          <w:p w14:paraId="536F809E">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电动幕布：</w:t>
            </w:r>
          </w:p>
          <w:p w14:paraId="1A8F9378">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1.电动投影幕布材质：pvc</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2.长461cm*宽276cm（允许误差±3 ）</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3.壁挂投墙遥控升降4K高清180-200寸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50E8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BF23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A7E8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8FB7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10000 </w:t>
            </w:r>
          </w:p>
        </w:tc>
      </w:tr>
      <w:tr w14:paraId="27804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72E2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223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593A3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幼儿绘本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473BEA">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本次采购绘本涵盖十大通用品类，所有参选书籍需适配幼儿园教学场景，贴合幼儿成长特点，具体品类及通用标准如下，供应商可在对应品类内提供合规等效书籍：</w:t>
            </w:r>
          </w:p>
          <w:p w14:paraId="5F022B65">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一、采购绘本品类</w:t>
            </w:r>
          </w:p>
          <w:p w14:paraId="3BB58614">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1.中外经典童话绘本：白雪公主、灰姑娘、青蛙王子、小红帽等世界经典童话、寓言故事、民间故事绘本。</w:t>
            </w:r>
          </w:p>
          <w:p w14:paraId="48E1A12E">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2.中华传统文化与节日绘本：传统节日、二十四节气、国学启蒙、古典名著幼儿改编绘本、民间寓言、壮族本土文化绘本（如百鸟衣等少数民族传说绘本优先）。</w:t>
            </w:r>
          </w:p>
          <w:p w14:paraId="03338E7E">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3.红色教育与爱国主义绘本：爱国故事、革命小故事、红色主题、榜样教育、中华人文历史绘本。</w:t>
            </w:r>
          </w:p>
          <w:p w14:paraId="6406EF5F">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4.幼儿习惯与生活自理绘本：自主吃饭、穿衣、洗漱、如厕、作息、卫生习惯、珍惜粮食、物品整理等生活能力培养。</w:t>
            </w:r>
          </w:p>
          <w:p w14:paraId="0A45C4EF">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5.情绪管理、情商、社交与逆商绘本：情绪识别、克服恐惧、分离焦虑、学会分享、友好交往、拒绝冲突、接纳自我、正确面对挫折、懂得感恩。</w:t>
            </w:r>
          </w:p>
          <w:p w14:paraId="2F9C2E68">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6.幼儿安全与自我保护绘本：防拐骗、交通安全、防溺水、居家用电防火、防烫伤、拒绝霸凌、身体边界教育、户外安全、饮食安全。</w:t>
            </w:r>
          </w:p>
          <w:p w14:paraId="49C443A1">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7.科普启蒙绘本：自然动植物、四季、太空、物理简单现象、数学思维启蒙、数字生活、生态环境、健康人体认知。</w:t>
            </w:r>
          </w:p>
          <w:p w14:paraId="36C0C7AD">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8.财商、生命教育绘本：认识钱币、劳动、储蓄、爱心捐赠；生命成长、性别认知、学会告别、接纳差异。</w:t>
            </w:r>
          </w:p>
          <w:p w14:paraId="1DDF66ED">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9.艺术、亲子亲情、游戏创意绘本：亲子情感、音乐、创意互动绘本、低幼亲子游戏绘本。</w:t>
            </w:r>
          </w:p>
          <w:p w14:paraId="43B351DD">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10.优质 IP 获奖绘本：国际大师绘本、绘本花园、铃木绘本、暖房子等知名系列正向卡通 IP 绘本（迪士尼、超级飞侠等）。</w:t>
            </w:r>
          </w:p>
          <w:p w14:paraId="5F3A809D">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二、采购绘本质量标准</w:t>
            </w:r>
          </w:p>
          <w:p w14:paraId="64F61CF6">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 合规性标准：所有绘本为正规出版、公开发行的合法出版物，具备图书出版资质、ISBN书号，无盗版、无删减、无违规内容，符合国家出版物出版规范。</w:t>
            </w:r>
          </w:p>
          <w:p w14:paraId="04CEA845">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 适龄安全标准：适配3-6岁幼儿阅读，内容积极健康、三观正向，无暴力、低俗、恐怖、不良导向内容；纸张厚实、边缘圆角打磨、无毛刺、无刺鼻异味，油墨环保无毒，符合幼儿读物安全标准。</w:t>
            </w:r>
          </w:p>
          <w:p w14:paraId="592977DF">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3. 装帧品质标准：平装、精装均可，书页平整、印刷清晰、色彩均匀，无模糊、重影、漏印、脱页、破损问题，装订牢固，适合幼儿反复翻阅使用。</w:t>
            </w:r>
          </w:p>
          <w:p w14:paraId="7E33B2F6">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4. 内容适配标准：文字简洁易懂、配图精美、故事完整，贴合幼儿园教学大纲及幼儿认知规律，具备对应的教育启蒙价值，可满足幼儿园日常阅读、课堂教学、区域活动使用需求。</w:t>
            </w:r>
          </w:p>
          <w:p w14:paraId="284D3907">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color w:val="auto"/>
                <w:sz w:val="32"/>
                <w:szCs w:val="32"/>
                <w:lang w:eastAsia="zh-CN"/>
              </w:rPr>
            </w:pPr>
            <w:r>
              <w:rPr>
                <w:rFonts w:hint="eastAsia" w:ascii="宋体" w:hAnsi="宋体" w:eastAsia="宋体" w:cs="宋体"/>
                <w:i w:val="0"/>
                <w:iCs w:val="0"/>
                <w:color w:val="auto"/>
                <w:kern w:val="0"/>
                <w:sz w:val="20"/>
                <w:szCs w:val="20"/>
                <w:u w:val="none"/>
                <w:lang w:val="en-US" w:eastAsia="zh-CN" w:bidi="ar"/>
              </w:rPr>
              <w:t>三、其他要求：</w:t>
            </w:r>
            <w:r>
              <w:rPr>
                <w:rFonts w:hint="eastAsia" w:ascii="宋体" w:hAnsi="宋体" w:cs="宋体"/>
                <w:i w:val="0"/>
                <w:iCs w:val="0"/>
                <w:color w:val="auto"/>
                <w:kern w:val="0"/>
                <w:sz w:val="20"/>
                <w:szCs w:val="20"/>
                <w:u w:val="none"/>
                <w:lang w:val="en-US" w:eastAsia="zh-CN" w:bidi="ar"/>
              </w:rPr>
              <w:t>成交</w:t>
            </w:r>
            <w:r>
              <w:rPr>
                <w:rFonts w:hint="eastAsia" w:ascii="宋体" w:hAnsi="宋体" w:eastAsia="宋体" w:cs="宋体"/>
                <w:i w:val="0"/>
                <w:iCs w:val="0"/>
                <w:color w:val="auto"/>
                <w:kern w:val="0"/>
                <w:sz w:val="20"/>
                <w:szCs w:val="20"/>
                <w:u w:val="none"/>
                <w:lang w:val="en-US" w:eastAsia="zh-CN" w:bidi="ar"/>
              </w:rPr>
              <w:t>后，供应商须提交拟供货书目清单给幼儿园审核确认，采购人有权对不适合书目进行合理调换，总册数不变。</w:t>
            </w:r>
          </w:p>
          <w:p w14:paraId="26D57B5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6BF1B9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E04B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1D94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5ED2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7500 </w:t>
            </w:r>
          </w:p>
        </w:tc>
      </w:tr>
      <w:tr w14:paraId="0E9ED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6BE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224</w:t>
            </w: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6618359E">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137F966E">
            <w:pPr>
              <w:keepNext w:val="0"/>
              <w:keepLines w:val="0"/>
              <w:widowControl/>
              <w:suppressLineNumbers w:val="0"/>
              <w:jc w:val="center"/>
              <w:textAlignment w:val="center"/>
              <w:rPr>
                <w:rFonts w:hint="eastAsia" w:ascii="宋体" w:hAnsi="宋体" w:eastAsia="宋体" w:cs="宋体"/>
                <w:b/>
                <w:bCs/>
                <w:i w:val="0"/>
                <w:iCs w:val="0"/>
                <w:color w:val="FF0000"/>
                <w:kern w:val="2"/>
                <w:sz w:val="20"/>
                <w:szCs w:val="20"/>
                <w:u w:val="none"/>
                <w:lang w:val="en-US" w:eastAsia="zh-CN" w:bidi="ar-SA"/>
              </w:rPr>
            </w:pPr>
            <w:r>
              <w:rPr>
                <w:rFonts w:hint="eastAsia" w:ascii="宋体" w:hAnsi="宋体" w:eastAsia="宋体" w:cs="宋体"/>
                <w:b/>
                <w:bCs/>
                <w:i w:val="0"/>
                <w:iCs w:val="0"/>
                <w:color w:val="FF0000"/>
                <w:kern w:val="0"/>
                <w:sz w:val="20"/>
                <w:szCs w:val="20"/>
                <w:u w:val="none"/>
                <w:lang w:val="en-US" w:eastAsia="zh-CN" w:bidi="ar"/>
              </w:rPr>
              <w:t>上林县三里镇中心幼儿园</w:t>
            </w: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1750AEBB">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060C1143">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1F4F57AE">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6F1024E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100000 </w:t>
            </w:r>
          </w:p>
        </w:tc>
      </w:tr>
      <w:tr w14:paraId="03E3D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C6C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3CB9E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教学一体机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24A081">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一、整体设计</w:t>
            </w:r>
          </w:p>
          <w:p w14:paraId="396D3AD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1、整机采用一体设计，外部无任何可见内部功能模块连接线。</w:t>
            </w:r>
          </w:p>
          <w:p w14:paraId="6474017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2、整机采用全金属外壳设计，边角采用弧形设计，表面无尖锐边缘或凸起；整机屏幕边缘采用金属圆角包边防护，整机背板采用金属材质。</w:t>
            </w:r>
          </w:p>
          <w:p w14:paraId="77FD82F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3、整机屏幕采用65英寸液晶显示器。</w:t>
            </w:r>
          </w:p>
          <w:p w14:paraId="03ADC70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4、整机采用LED液晶A规屏，显示比例16:9。</w:t>
            </w:r>
          </w:p>
          <w:p w14:paraId="27E4226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二、整机硬件性能与接口</w:t>
            </w:r>
          </w:p>
          <w:p w14:paraId="74059C21">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1、双系统配置 整机搭载 电脑模块 + 嵌入式系统，系统版本不低于 当前最新版本；系统内存 RAM≥4G，存储 ROM≥32G；安卓端可独立实现白板书写、文档编辑、网页浏览等基础教学功能。（相关性能指标可提供厂商彩页、功能截图、第三方检测报告任意一种佐证，设备到货验收时提供完整 CMA/CNAS 检测报告备查）。</w:t>
            </w:r>
          </w:p>
          <w:p w14:paraId="2ED24459">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2、整机配备前置外接接口，支持双系统共用读取 U 盘等存储设备；整机配备全功能 Type-C、HDMI、USB3.0 输入接口，侧置预留 HDMI、RS232、USB、音频输出、触控 USB 等拓展接口；整机外设拓展能力满足日常教学设备接驳需求，可通过拓展坞实现同等外接能力。前置接口配有防尘防护盖板，保护接口与外接 U 盘。</w:t>
            </w:r>
          </w:p>
          <w:p w14:paraId="5F67CE5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3、整机内置高品质扬声器，整机额定总输出功率≥60W，发声均匀，无杂音、破音，满足教室扩声需求。</w:t>
            </w:r>
          </w:p>
          <w:p w14:paraId="7398D574">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4、红外触控技术，最小识别触控物体≤3mm；整机支持双系统多点触控，触控流畅无断触。</w:t>
            </w:r>
          </w:p>
          <w:p w14:paraId="1F8AC151">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5、整机内置高清摄像头与阵列麦克风，无需外接线材；摄像头像素≥1600 万，广角设计，可完整覆盖教室区域，满足远程巡课、课堂录播；麦克风有效拾音距离≥10 米，多人发言清晰收录。设备自带摄像头工作指示灯，摄像状态直观提示。</w:t>
            </w:r>
          </w:p>
          <w:p w14:paraId="340A3F01">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6、支持无线投屏功能，可通过 NFC、扫码、无线连接等任意一种方式实现手机、平板投屏，支持多台移动设备同时分屏展示。</w:t>
            </w:r>
          </w:p>
          <w:p w14:paraId="0EE170B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7、内置双频 WiFi（2.4G+5GHz）、蓝牙模块，蓝牙标准不低于 Bluetooth 5.2；整机可无线联网、发射无线热点，双系统共用一套无线网络配置，无需重复设置；蓝牙可稳定连接外设，无线传输距离满足教室使用。</w:t>
            </w:r>
          </w:p>
          <w:p w14:paraId="19D09179">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8、设备搭载护眼低蓝光背光方案，从硬件层面削减有害蓝光，显示画面无明显泛黄、色偏，符合校园护眼相关规范；屏幕 NTSC 色域覆盖率≥72%，安卓系统支持 4K 高清 UI 显示。</w:t>
            </w:r>
          </w:p>
          <w:p w14:paraId="777FF80C">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9、OPS 电脑配置：运行内存≥8G，固态硬盘≥256G。</w:t>
            </w:r>
          </w:p>
          <w:p w14:paraId="21F3E61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p>
          <w:p w14:paraId="465B10E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三、整机基础交互功能</w:t>
            </w:r>
          </w:p>
          <w:p w14:paraId="71A42DF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1、整机内置图像、音效调节模块，提供多种预设图像、音效模式，支持手动调节亮度、对比度、高低音、色温等参数，适配不同教学场景。</w:t>
            </w:r>
          </w:p>
          <w:p w14:paraId="7AE273D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2、支持分屏、半屏显示功能，可一键切换全屏 / 半屏，画面完整无裁剪，触控操作正常；支持画面局部放大、聚光灯（区域高亮、其余区域暗化）教学工具。</w:t>
            </w:r>
          </w:p>
          <w:p w14:paraId="6A5861D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3、系统悬浮快捷工具栏，可调取批注、截屏、计时、锁屏、硬件自检、聚光灯、学科工具等教学常用功能，工具栏支持自定义调整。</w:t>
            </w:r>
          </w:p>
          <w:p w14:paraId="537E2B4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4、支持智能手势快捷操作，可通过手势触发熄屏、批注、分屏等自定义功能，手势识别灵敏稳定。</w:t>
            </w:r>
          </w:p>
          <w:p w14:paraId="5FA0CB36">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5、全通道支持自由截屏，可框选任意区域保存截图；授课过程中可一键调取各类教学小工具：答题器、倒计时、节拍器、日历、随机抽选等。</w:t>
            </w:r>
          </w:p>
          <w:p w14:paraId="542502AC">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6、双系统实现功能互通：一键切换系统、共享 USB 外设、共享网络、背光手势快捷控制。</w:t>
            </w:r>
          </w:p>
          <w:p w14:paraId="2953D272">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7、内置互动白板，支持多笔同时书写、手掌智能擦除，笔迹自带笔锋；白板文件支持导出 PDF、SVG、IWB 等通用格式；内置充足平面、立体学科绘图工具，满足数理化教学绘图需求。</w:t>
            </w:r>
          </w:p>
          <w:p w14:paraId="6DC9CF9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四、配套教学软件功能</w:t>
            </w:r>
          </w:p>
          <w:p w14:paraId="3241F4E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1、教学资源分类管理：可按年级、学科、教材版本收纳课件、习题、阅读资料，支持云端存储、本地资源调取。</w:t>
            </w:r>
          </w:p>
          <w:p w14:paraId="5C6D6AC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2、白板教学模板丰富，支持田字格、五线谱、米字格、坐标纸等学科专用背景，支持原笔迹批注、拖拽、擦除。</w:t>
            </w:r>
          </w:p>
          <w:p w14:paraId="6094AEF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3、支持 PPT 原生播放、手势翻页、多级放大，批注笔迹同步保存；支持一键将课件上传至个人云空间，授课时云端直接下载使用。</w:t>
            </w:r>
          </w:p>
          <w:p w14:paraId="1A7E4C8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4、支持集体备课、在线听评课功能：可自定义评课评分模板、评分细则，听课记录可保存、导出分享；支持教师扫码听课评价。</w:t>
            </w:r>
          </w:p>
          <w:p w14:paraId="5DD49FC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5、课堂录播功能：授课全过程可录制，支持暂停、停止，可自定义录制音视频画质，录制窗口可隐藏不遮挡教学画面。</w:t>
            </w:r>
          </w:p>
          <w:p w14:paraId="7BDE7D4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6、支持手机远程控制大屏课件翻页；支持课堂互动答题，学生扫码答题，教师查看答题正确率、导出课堂学情报告；支持课堂弹幕、班级成员管理。</w:t>
            </w:r>
          </w:p>
          <w:p w14:paraId="06E62DE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7、支持网页资源一键导入课件，可制作课堂互动小游戏并保存至个人云盘，随时调取复用。</w:t>
            </w:r>
          </w:p>
          <w:p w14:paraId="41323B42">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8、为每位教师提供免费教学云存储空间，支持本地个人资源同步至云端，授课随时调取。</w:t>
            </w:r>
          </w:p>
          <w:p w14:paraId="46FE2B5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五、集控管理平台功能</w:t>
            </w:r>
          </w:p>
          <w:p w14:paraId="4AF9AD3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 xml:space="preserve"> 1、平台可统一查看所有教学设备硬件信息：屏幕尺寸、系统版本、CPU、内存、硬盘、网络状态等；支持列表、缩略图两种设备查看模式，批量预览设备实时画面。</w:t>
            </w:r>
          </w:p>
          <w:p w14:paraId="125DE819">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 xml:space="preserve"> 2、远程巡课督导：可实时查看设备屏幕画面与课堂摄像头画面；支持远程下发设备系统、集控软件升级包，设备空闲时段自动完成更新。</w:t>
            </w:r>
          </w:p>
          <w:p w14:paraId="725DFDD2">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 xml:space="preserve"> 3、远程管理功能：支持批量设置定时锁屏 / 解锁，可按工作日、周末自定义循环策略；远程下发考场考试安排，设备按时展示考试信息。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439C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6825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189E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A4A5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20000 </w:t>
            </w:r>
          </w:p>
        </w:tc>
      </w:tr>
      <w:tr w14:paraId="4FA0C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BD8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729C6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移动一体机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50005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一、显示参数（整机≥75 寸，Windows+Android 双系统）</w:t>
            </w:r>
          </w:p>
          <w:p w14:paraId="51EC2E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1.OPS 配置：可配套 OPS 电脑模块，OPS 厚度≥43mm，支持背部插入安装，同等规格通用 OPS 均可适配；</w:t>
            </w:r>
          </w:p>
          <w:p w14:paraId="30D2C9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2.图像模式：支持标准、动态、亮丽、用户等多种预设图像模式；侧边栏可调节亮度、对比度、饱和度、色温等参数；音效具备多套预设模式，支持高低音、平衡、环绕声开关调节；</w:t>
            </w:r>
          </w:p>
          <w:p w14:paraId="07FDDA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3.背光类型：DLED 直下式背光；</w:t>
            </w:r>
          </w:p>
          <w:p w14:paraId="278A44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4.屏幕规格：≥75 英寸，16:9 A 规液晶面板，物理分辨率 3840×2160 4K 超高清；</w:t>
            </w:r>
          </w:p>
          <w:p w14:paraId="628ED8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5.屏幕基础性能：屏幕亮度≥380cd/㎡，静态对比度≥4000:1，灰阶响应时间≤6.5ms，NTSC 色域覆盖率≥72%；可视区域尺寸为参考值，同等 75 寸 4K 面板均可；</w:t>
            </w:r>
          </w:p>
          <w:p w14:paraId="5DC4B7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6.分屏功能：HDMI、安卓、Windows 全通道支持手势半屏显示，一键切换全屏，具备多类分屏适配模式即可，不强制固定数量。</w:t>
            </w:r>
          </w:p>
          <w:p w14:paraId="6AB137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二、系统参数</w:t>
            </w:r>
          </w:p>
          <w:p w14:paraId="26F19C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cyan"/>
                <w:lang w:val="en-US" w:eastAsia="zh-CN" w:bidi="ar"/>
              </w:rPr>
            </w:pPr>
            <w:r>
              <w:rPr>
                <w:rFonts w:hint="eastAsia" w:ascii="宋体" w:hAnsi="宋体" w:eastAsia="宋体" w:cs="宋体"/>
                <w:color w:val="auto"/>
                <w:kern w:val="0"/>
                <w:sz w:val="20"/>
                <w:szCs w:val="20"/>
                <w:highlight w:val="none"/>
                <w:lang w:val="en-US" w:eastAsia="zh-CN" w:bidi="ar"/>
              </w:rPr>
              <w:t xml:space="preserve">1.嵌入式安卓系统版本不低于 Android </w:t>
            </w:r>
            <w:r>
              <w:rPr>
                <w:rFonts w:hint="eastAsia" w:ascii="宋体" w:hAnsi="宋体" w:cs="宋体"/>
                <w:color w:val="auto"/>
                <w:kern w:val="0"/>
                <w:sz w:val="20"/>
                <w:szCs w:val="20"/>
                <w:highlight w:val="none"/>
                <w:lang w:val="en-US" w:eastAsia="zh-CN" w:bidi="ar"/>
              </w:rPr>
              <w:t>11</w:t>
            </w:r>
            <w:r>
              <w:rPr>
                <w:rFonts w:hint="eastAsia" w:ascii="宋体" w:hAnsi="宋体" w:eastAsia="宋体" w:cs="宋体"/>
                <w:color w:val="auto"/>
                <w:kern w:val="0"/>
                <w:sz w:val="20"/>
                <w:szCs w:val="20"/>
                <w:highlight w:val="none"/>
                <w:lang w:val="en-US" w:eastAsia="zh-CN" w:bidi="ar"/>
              </w:rPr>
              <w:t>，运行内存≥4GB，本地存储≥32GB；</w:t>
            </w:r>
          </w:p>
          <w:p w14:paraId="69B15A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2.安卓主控：8 核处理器，等效主频≥1.55GHz（Cortex A55 或同性能架构均可）。</w:t>
            </w:r>
          </w:p>
          <w:p w14:paraId="200C5F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三、智能音视频与互联</w:t>
            </w:r>
          </w:p>
          <w:p w14:paraId="756A48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1.内置高清广角摄像头，像素≥1600 万，视场角≥130°，覆盖整间会议室巡课拍摄；支持人脸快速解锁识别；</w:t>
            </w:r>
          </w:p>
          <w:p w14:paraId="2CAE21C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2.内置立体环绕音响，整机额定总功率≥60W，发声均匀无杂音；麦克风阵列拾音距离≥10 米，满足全室收音；不限喇叭腔体、出声结构；</w:t>
            </w:r>
          </w:p>
          <w:p w14:paraId="10D153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3.内置蓝牙 5.2、2.4G/5G 双频 WiFi；双系统共用无线网络，无需重复配置；可发射 AP 热点，支持多终端无线接入，蓝牙稳定传输距离≥15 米；</w:t>
            </w:r>
          </w:p>
          <w:p w14:paraId="0D47ABF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4.支持无线投屏，可通过 NFC、扫码、无线直连任意一种方式实现手机 / 平板投屏，支持多设备同时分屏；</w:t>
            </w:r>
          </w:p>
          <w:p w14:paraId="5696A05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5.可选配环境温湿度监测模块，可对接管理平台查看教室环境数据，无强制硬性要求。</w:t>
            </w:r>
          </w:p>
          <w:p w14:paraId="31936D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四、红外触控参数</w:t>
            </w:r>
          </w:p>
          <w:p w14:paraId="3997BFF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1.红外多点触控，AG 防眩光钢化玻璃，光线透过率≥88%；</w:t>
            </w:r>
          </w:p>
          <w:p w14:paraId="47D811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2.支持≥50 点同步书写触控，触控响应速度≤5ms，最小识别触摸物体≤3mm，强光下书写触控无失效；</w:t>
            </w:r>
          </w:p>
          <w:p w14:paraId="5A51FDC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3.白板功能：无 PC 安卓端支持多笔同时书写、手掌智能擦除；可导出 PDF、SVG、IWB 等通用文档格式；内置充足数理化平面、立体绘图学科工具；差值分辨率满足 4K 高清书写精度即可，不强制固定数值。</w:t>
            </w:r>
          </w:p>
          <w:p w14:paraId="4F55FC8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五、整机接口（满足拓展需求，可配套拓展坞补充接口）</w:t>
            </w:r>
          </w:p>
          <w:p w14:paraId="5564BF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1.输入：前置 HDMI、全功能 Type-C、多组 USB3.0；后置预留 HDMI 输入、3.5mm 音频输入；</w:t>
            </w:r>
          </w:p>
          <w:p w14:paraId="136317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2.输出：3.5mm 音频输出；</w:t>
            </w:r>
          </w:p>
          <w:p w14:paraId="1D398B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3.网络：配备不少于 1 路千兆网口，双网口更佳；</w:t>
            </w:r>
          </w:p>
          <w:p w14:paraId="120966E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0"/>
                <w:szCs w:val="20"/>
                <w:highlight w:val="none"/>
                <w:lang w:val="en-US" w:eastAsia="zh-CN" w:bidi="ar"/>
              </w:rPr>
              <w:t>4.板载内置 USB、触控 USB 等拓展接口，整机外设接驳能力满足会议电脑、U 盘、摄像头、麦克风等常规设备使用。</w:t>
            </w:r>
          </w:p>
          <w:p w14:paraId="0C315BB8">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E0AA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D64E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FF02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1CA7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13000 </w:t>
            </w:r>
          </w:p>
        </w:tc>
      </w:tr>
      <w:tr w14:paraId="6F165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F66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1AB00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计算机</w:t>
            </w:r>
          </w:p>
        </w:tc>
        <w:tc>
          <w:tcPr>
            <w:tcW w:w="6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45F36">
            <w:pPr>
              <w:keepNext w:val="0"/>
              <w:keepLines w:val="0"/>
              <w:widowControl/>
              <w:numPr>
                <w:ilvl w:val="0"/>
                <w:numId w:val="7"/>
              </w:numPr>
              <w:suppressLineNumbers w:val="0"/>
              <w:jc w:val="left"/>
              <w:textAlignment w:val="center"/>
              <w:rPr>
                <w:rFonts w:hint="eastAsia" w:ascii="宋体" w:hAnsi="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硬件技术参数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▲1、基本要求：国产自主品牌商用台式机，</w:t>
            </w:r>
            <w:r>
              <w:rPr>
                <w:rFonts w:hint="eastAsia" w:ascii="宋体" w:hAnsi="宋体" w:cs="宋体"/>
                <w:i w:val="0"/>
                <w:iCs w:val="0"/>
                <w:strike w:val="0"/>
                <w:dstrike w:val="0"/>
                <w:color w:val="auto"/>
                <w:kern w:val="0"/>
                <w:sz w:val="20"/>
                <w:szCs w:val="20"/>
                <w:highlight w:val="none"/>
                <w:u w:val="none"/>
                <w:lang w:val="en-US" w:eastAsia="zh-CN" w:bidi="ar"/>
              </w:rPr>
              <w:t>结构稳固，具备良好的散热性能。</w:t>
            </w:r>
          </w:p>
          <w:p w14:paraId="6DCF379F">
            <w:pPr>
              <w:keepNext w:val="0"/>
              <w:keepLines w:val="0"/>
              <w:widowControl/>
              <w:numPr>
                <w:ilvl w:val="0"/>
                <w:numId w:val="0"/>
              </w:numPr>
              <w:suppressLineNumbers w:val="0"/>
              <w:jc w:val="left"/>
              <w:textAlignment w:val="center"/>
              <w:rPr>
                <w:rFonts w:hint="eastAsia" w:ascii="宋体" w:hAnsi="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2、处理器： 处理器采用国产处理器，八核，主频≥2.7GHz；</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3、内存：配置≥16GB DDR4 UDIMM内存，配置≥2个内存插槽；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4、显卡：≥2G独立显卡。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5、硬盘：≥512GB M.2接口NVME协议SSD；</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▲6、电源：电源功率≤180W，电源适配器电线组件应符合GB/T15934的要求；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7、网络：1个RJ45 10/100/1000自适应以太网口；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▲8、接口：前置USB3.0接口≥4个；后置USB3.0接口≥2个，USB2.0接口≥2个；音频接口：麦克风1个，耳机1个；后端3个Audio音频接口；PCIE插槽数量≥3个；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▲9、数据安全：BIOS级USB屏蔽及智能USB数据保护：USB支持BIOS下接口开关，针对存储设备支持USB接口切换禁止访问模式/只读模式。</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10、显示器：配置≥23.8寸LED显示器，IPS屏，分辨率≥1920*1080，刷新频率≥</w:t>
            </w:r>
            <w:r>
              <w:rPr>
                <w:rFonts w:hint="eastAsia" w:ascii="宋体" w:hAnsi="宋体" w:cs="宋体"/>
                <w:i w:val="0"/>
                <w:iCs w:val="0"/>
                <w:color w:val="auto"/>
                <w:kern w:val="0"/>
                <w:sz w:val="20"/>
                <w:szCs w:val="20"/>
                <w:highlight w:val="none"/>
                <w:u w:val="none"/>
                <w:lang w:val="en-US" w:eastAsia="zh-CN" w:bidi="ar"/>
              </w:rPr>
              <w:t>75</w:t>
            </w:r>
            <w:r>
              <w:rPr>
                <w:rFonts w:hint="eastAsia" w:ascii="宋体" w:hAnsi="宋体" w:eastAsia="宋体" w:cs="宋体"/>
                <w:i w:val="0"/>
                <w:iCs w:val="0"/>
                <w:color w:val="auto"/>
                <w:kern w:val="0"/>
                <w:sz w:val="20"/>
                <w:szCs w:val="20"/>
                <w:highlight w:val="none"/>
                <w:u w:val="none"/>
                <w:lang w:val="en-US" w:eastAsia="zh-CN" w:bidi="ar"/>
              </w:rPr>
              <w:t>Hz，对比度≥1000:1</w:t>
            </w:r>
            <w:r>
              <w:rPr>
                <w:rFonts w:hint="eastAsia" w:ascii="宋体" w:hAnsi="宋体" w:cs="宋体"/>
                <w:i w:val="0"/>
                <w:iCs w:val="0"/>
                <w:color w:val="auto"/>
                <w:kern w:val="0"/>
                <w:sz w:val="20"/>
                <w:szCs w:val="20"/>
                <w:highlight w:val="none"/>
                <w:u w:val="none"/>
                <w:lang w:val="en-US" w:eastAsia="zh-CN" w:bidi="ar"/>
              </w:rPr>
              <w:t>；</w:t>
            </w:r>
          </w:p>
          <w:p w14:paraId="7C88A74B">
            <w:pPr>
              <w:keepNext w:val="0"/>
              <w:keepLines w:val="0"/>
              <w:widowControl/>
              <w:numPr>
                <w:ilvl w:val="0"/>
                <w:numId w:val="0"/>
              </w:numPr>
              <w:suppressLineNumbers w:val="0"/>
              <w:ind w:left="0" w:leftChars="0" w:firstLine="0" w:firstLineChars="0"/>
              <w:jc w:val="left"/>
              <w:textAlignment w:val="center"/>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11、操作系统：预装符合桌面操作系统政府采购需求标准的正版操作系统；预装的操作系统符合《操作系统政府采购需求标准》中加*指标要求（财政部工业和信息化部关于印发《操作系统政府采购需求标准（2023年版）》的通知）。</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12、办公软件：预装带正版授权的办公软件</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（含三年服务）；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▲13、关键部件安全要求：CPU和操作系统等关键部件应当符合安全可靠测评要求。（提供通过安全可靠测评的证明书或作出承诺）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二、班级管理平台软件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1、后台采用 B/S 架构设计，能够支持不同角色在 web 上进行操作，支持微信和账号登录、支持学校自定义角色、教师角色切换。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2、支持上传多个备课文档、支持一屏稿件对比，支持查看该次集体备课数据统计及访问记录。集体备课终稿存到我的成果库。并支持查看集体备课数据报告；</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、支持区域、学校管理者发起在线收集资料的任务，老师按照在线任务要求上传资料，支持管理者将收集上来的资料分类归档管理【</w:t>
            </w:r>
            <w:r>
              <w:rPr>
                <w:rFonts w:hint="eastAsia" w:ascii="宋体" w:hAnsi="宋体" w:cs="宋体"/>
                <w:i w:val="0"/>
                <w:iCs w:val="0"/>
                <w:color w:val="auto"/>
                <w:kern w:val="0"/>
                <w:sz w:val="20"/>
                <w:szCs w:val="20"/>
                <w:highlight w:val="none"/>
                <w:u w:val="none"/>
                <w:lang w:val="en-US" w:eastAsia="zh-CN" w:bidi="ar"/>
              </w:rPr>
              <w:t>响应供应商</w:t>
            </w:r>
            <w:r>
              <w:rPr>
                <w:rFonts w:hint="eastAsia" w:ascii="宋体" w:hAnsi="宋体" w:eastAsia="宋体" w:cs="宋体"/>
                <w:i w:val="0"/>
                <w:iCs w:val="0"/>
                <w:color w:val="auto"/>
                <w:kern w:val="0"/>
                <w:sz w:val="20"/>
                <w:szCs w:val="20"/>
                <w:highlight w:val="none"/>
                <w:u w:val="none"/>
                <w:lang w:val="en-US" w:eastAsia="zh-CN" w:bidi="ar"/>
              </w:rPr>
              <w:t>于</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中必须提供所投产品满足本条技术要求的相关有效证明材料复印件，证明材料可以是国家认可的第三方检验（测）机构出具的合格有效的检验（测）报告或官网截图或功能截图或产品彩页】</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三、教学授课软件功能要求：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 xml:space="preserve">.无需导入平台，可直接在PPT中通过备课插件添加课堂互动游戏、思维导图、网站链接、网络画板等。课件编辑完成可一键同步至云端；如教师不想保存在云平台可直接以PPT格式保存在本地，不允许系统自动在云平台中更新教师的资源；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 xml:space="preserve">.试题能够根据课本章节、题型、难易程度进行筛选，并提供知识点试题，可按知识点筛选，支持收藏、查看试题答案、解析、关联知识点，支持对试题进行二次编辑，支持将试题一键加入备课；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.通过对纸质试题拍照，可将图片上传，将纸质文字变为电子版文字，便于老师优质试题的收集使用；（</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4</w:t>
            </w:r>
            <w:r>
              <w:rPr>
                <w:rFonts w:hint="eastAsia" w:ascii="宋体" w:hAnsi="宋体" w:eastAsia="宋体" w:cs="宋体"/>
                <w:i w:val="0"/>
                <w:iCs w:val="0"/>
                <w:color w:val="auto"/>
                <w:kern w:val="0"/>
                <w:sz w:val="20"/>
                <w:szCs w:val="20"/>
                <w:highlight w:val="none"/>
                <w:u w:val="none"/>
                <w:lang w:val="en-US" w:eastAsia="zh-CN" w:bidi="ar"/>
              </w:rPr>
              <w:t>.支持将音视频分成不同小节，支持自定义视频小节名称，播放时可通过点击小节名称快速定位关键教学内容。（</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内置多种随堂练习、趣味答题模板，适配课堂巩固。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6</w:t>
            </w:r>
            <w:r>
              <w:rPr>
                <w:rFonts w:hint="eastAsia" w:ascii="宋体" w:hAnsi="宋体" w:eastAsia="宋体" w:cs="宋体"/>
                <w:i w:val="0"/>
                <w:iCs w:val="0"/>
                <w:color w:val="auto"/>
                <w:kern w:val="0"/>
                <w:sz w:val="20"/>
                <w:szCs w:val="20"/>
                <w:highlight w:val="none"/>
                <w:u w:val="none"/>
                <w:lang w:val="en-US" w:eastAsia="zh-CN" w:bidi="ar"/>
              </w:rPr>
              <w:t>.为方便教师快速查找，所有备课资源均可按照系统自带教材章节进行存储，无需教师自建存储条目；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7</w:t>
            </w:r>
            <w:r>
              <w:rPr>
                <w:rFonts w:hint="eastAsia" w:ascii="宋体" w:hAnsi="宋体" w:eastAsia="宋体" w:cs="宋体"/>
                <w:i w:val="0"/>
                <w:iCs w:val="0"/>
                <w:color w:val="auto"/>
                <w:kern w:val="0"/>
                <w:sz w:val="20"/>
                <w:szCs w:val="20"/>
                <w:highlight w:val="none"/>
                <w:u w:val="none"/>
                <w:lang w:val="en-US" w:eastAsia="zh-CN" w:bidi="ar"/>
              </w:rPr>
              <w:t xml:space="preserve">.备课界面支持将教案、课件、学案、试题、练习、网络画板、虚拟实验、微课等教学资源分享给校内指定教师使用；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8</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白板教学：提供多种书写笔触、可调色彩，支持自定义常用配色。</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9</w:t>
            </w:r>
            <w:r>
              <w:rPr>
                <w:rFonts w:hint="eastAsia" w:ascii="宋体" w:hAnsi="宋体" w:eastAsia="宋体" w:cs="宋体"/>
                <w:i w:val="0"/>
                <w:iCs w:val="0"/>
                <w:color w:val="auto"/>
                <w:kern w:val="0"/>
                <w:sz w:val="20"/>
                <w:szCs w:val="20"/>
                <w:highlight w:val="none"/>
                <w:u w:val="none"/>
                <w:lang w:val="en-US" w:eastAsia="zh-CN" w:bidi="ar"/>
              </w:rPr>
              <w:t>.支持三个及以上学生同时进行书写或手势擦除操作，不同学生各自进行书写或擦除，互不影响；</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10</w:t>
            </w:r>
            <w:r>
              <w:rPr>
                <w:rFonts w:hint="eastAsia" w:ascii="宋体" w:hAnsi="宋体" w:eastAsia="宋体" w:cs="宋体"/>
                <w:i w:val="0"/>
                <w:iCs w:val="0"/>
                <w:color w:val="auto"/>
                <w:kern w:val="0"/>
                <w:sz w:val="20"/>
                <w:szCs w:val="20"/>
                <w:highlight w:val="none"/>
                <w:u w:val="none"/>
                <w:lang w:val="en-US" w:eastAsia="zh-CN" w:bidi="ar"/>
              </w:rPr>
              <w:t>.支持对白板页面中的元素进行隐藏、锁定、缩放、旋转、置顶等操作，被隐藏元素可以一键重新显示在白板上；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8331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7F34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FBCE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E893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10000 </w:t>
            </w:r>
          </w:p>
        </w:tc>
      </w:tr>
      <w:tr w14:paraId="6DF7D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C3E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78AAE0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软体五层跳马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DF54EA">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材质：木质+PU多色拼接软体马鞍                      尺寸：五档马鞍、约75*40*82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2DAB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3A83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2ECB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879B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1170 </w:t>
            </w:r>
          </w:p>
        </w:tc>
      </w:tr>
      <w:tr w14:paraId="08ACC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64B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141A0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幼儿单人三轮脚踏车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F230CB">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材质：红色高碳钢车架     型号：5167红色橡胶轮     尺寸：约82*58*63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13B3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63B6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200F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B570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1000 </w:t>
            </w:r>
          </w:p>
        </w:tc>
      </w:tr>
      <w:tr w14:paraId="0596F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19C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62044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幼儿侧双人三轮车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2C7CAA">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材质：红色高碳钢车架汽车烤漆                                    型号：5119红色橡胶轮           尺寸：约105*68*65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509F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9B66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85F3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8198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1850 </w:t>
            </w:r>
          </w:p>
        </w:tc>
      </w:tr>
      <w:tr w14:paraId="29313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404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DB605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幼儿三轮货运车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60607F">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材质：高碳钢车架        型号：5198红色pvc轮      尺寸：约118*58*65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EF29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EADF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BB85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B1FE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1250 </w:t>
            </w:r>
          </w:p>
        </w:tc>
      </w:tr>
      <w:tr w14:paraId="62FAF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FC7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DA972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军事体能训练障碍器材（拓展训练21件/9件套）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4E79D7">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（参考尺寸+数量）</w:t>
            </w:r>
          </w:p>
          <w:p w14:paraId="0545185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以下所有尺寸允许±2cm合理生产及安装公差。尺寸：平衡木1个：2.8m*35cm 墩子2个：55*30*50cm 圆木桩1个：180*30cm 穿洞1个：110*110cm 三角攀爬1个：110*90cm 垫子2个：160*98*9cm 高低台1个：70*70*80cm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3145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E8A6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695C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8C65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4500 </w:t>
            </w:r>
          </w:p>
        </w:tc>
      </w:tr>
      <w:tr w14:paraId="2FE22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09A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233</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3D89DD1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百变管道攀爬钻网组合</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828476B">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材质：pvc进口塑料       规格尺寸：≧105*55*55cm</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39A47EF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05CE776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组</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55888CC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3960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1300 </w:t>
            </w:r>
          </w:p>
        </w:tc>
      </w:tr>
      <w:tr w14:paraId="1EE63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032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0A7B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篮球架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3635A9">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（参考尺寸+数量）</w:t>
            </w:r>
          </w:p>
          <w:p w14:paraId="483C16D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以下所有尺寸允许±2cm合理生产及安装公差。篮板尺寸：110*75   篮板材质：高强度PE边框+PC透明板  升降高度“1.35-3.05  篮圈直径45cm  底座尺寸：90*60*17 底座可装沙水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074C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38EB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0350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1B10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1000 </w:t>
            </w:r>
          </w:p>
        </w:tc>
      </w:tr>
      <w:tr w14:paraId="3E08E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190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11A16E">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幼儿园多功能球框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0DEA4E">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材质：镀锌钢管   尺寸：≧138*88*155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D088C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0A401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AC6FB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283F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1200 </w:t>
            </w:r>
          </w:p>
        </w:tc>
      </w:tr>
      <w:tr w14:paraId="64A73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BEB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8ADBD7">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折叠珍珠棉垫（体操垫）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BFF465">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外套材质：有机硅帆布  内胆材质：高弹珍珠棉   尺寸：≧120*60*10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0B54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ABA5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9B9D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30CF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600 </w:t>
            </w:r>
          </w:p>
        </w:tc>
      </w:tr>
      <w:tr w14:paraId="7B513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09F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BF5BB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交通标志牌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C7335C">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20个圆形黄色底座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46950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8FF6A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F978A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3382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490 </w:t>
            </w:r>
          </w:p>
        </w:tc>
      </w:tr>
      <w:tr w14:paraId="0F13D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AF1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D6C0A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迷彩酷跑儿童户外攀爬体能训练器组合安吉玩具感统训练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454066D">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（参考尺寸+数量）</w:t>
            </w:r>
          </w:p>
          <w:p w14:paraId="6FBB3684">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w:t>
            </w:r>
          </w:p>
          <w:p w14:paraId="6A55DA6C">
            <w:pPr>
              <w:keepNext w:val="0"/>
              <w:keepLines w:val="0"/>
              <w:widowControl/>
              <w:numPr>
                <w:ilvl w:val="0"/>
                <w:numId w:val="12"/>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尺寸：三角攀爬网168*105*87  方箱60*60    攀岩组合：平台80*75*150  滑梯240*68*18           矩形箱100*30*25    酷跑墙上60*80*77  下80*80*75     跑酷三角蹬75*50*35   平梯159*30*7         三脚架66*36    升降猫挂90*70*90-160cm   五步梯164cm    大号质梯形箱90*30*66                         大质梯形箱90*30*66    长方形爬网153*88*75    镂空梯200*38*7   </w:t>
            </w:r>
          </w:p>
          <w:p w14:paraId="2C771558">
            <w:pPr>
              <w:keepNext w:val="0"/>
              <w:keepLines w:val="0"/>
              <w:widowControl/>
              <w:numPr>
                <w:ilvl w:val="0"/>
                <w:numId w:val="12"/>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材质要求</w:t>
            </w:r>
          </w:p>
          <w:p w14:paraId="4885B41B">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表层：迷彩PVC防水耐磨外皮</w:t>
            </w:r>
          </w:p>
          <w:p w14:paraId="29BF8044">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内芯：EPE珍珠棉+高密度回弹海绵</w:t>
            </w:r>
          </w:p>
          <w:p w14:paraId="518FF47A">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框架：镀锌钢管/实木</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F293CD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3198F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F683F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62BC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30640 </w:t>
            </w:r>
          </w:p>
        </w:tc>
      </w:tr>
      <w:tr w14:paraId="2781A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61E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09350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跑酷组合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75971B">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一、整套器材明细（参考尺寸+数量）</w:t>
            </w:r>
          </w:p>
          <w:p w14:paraId="6BF51AB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w:t>
            </w:r>
          </w:p>
          <w:p w14:paraId="72C89CD9">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1、单面弧形跑酷箱体：参考尺寸175cm×75cm×175cm，共2个；弧形过渡流畅，适配幼儿翻越、跳跃训练，箱体稳固、抗压不变形。</w:t>
            </w:r>
          </w:p>
          <w:p w14:paraId="3804124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2、猫挂三角架：参考尺寸120cm×80cm×90cm，共2个；三角稳定结构，支撑牢固，适配幼儿悬挂、攀爬、平衡训练。</w:t>
            </w:r>
          </w:p>
          <w:p w14:paraId="051990B1">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3、渐进式跳箱：参考尺寸76cm×65cm×130cm，共1个；分层渐进结构，适配幼儿阶梯式跳跃体能训练。</w:t>
            </w:r>
          </w:p>
          <w:p w14:paraId="32A2E035">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4、跑酷跳箱一：参考尺寸90cm×45cm×48cm，共1个；箱体方正稳固，海绵填充饱满，跳跃缓冲性佳。</w:t>
            </w:r>
          </w:p>
          <w:p w14:paraId="300EEE47">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5、跑酷跳箱二：参考尺寸90cm×70cm×75cm，共1个；加厚箱体设计，承重抗压，适配幼儿跳跃、跨越训练。</w:t>
            </w:r>
          </w:p>
          <w:p w14:paraId="0235170C">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6、跑酷跳箱三：参考尺寸90cm×68cm×60cm，共1个；尺寸适配低龄幼儿训练，缓冲安全、稳定性强。</w:t>
            </w:r>
          </w:p>
          <w:p w14:paraId="61BB4A73">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7、跑酷跳箱四：参考尺寸90cm×70cm×95cm，共1个；高箱体设计，满足进阶跑酷跳跃训练需求。</w:t>
            </w:r>
          </w:p>
          <w:p w14:paraId="11D713B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8、升降三角架：参考尺寸100cm×100cm×170cm，共2个；可适配不同高度训练需求，三角稳固结构，抗撞击、不易倾倒。</w:t>
            </w:r>
          </w:p>
          <w:p w14:paraId="1312A3FB">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9、三角蹬：参考尺寸78cm×50cm×45cm，共8个；小巧轻便、堆叠组合灵活，适配合梯、跨越、踩踏平衡训练。</w:t>
            </w:r>
          </w:p>
          <w:p w14:paraId="5720150B">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10、双折训练体操垫：参考尺寸120cm×60cm×5cm，共5个；双折设计，收纳便捷；高密度海绵缓冲，表层防滑耐磨皮革，防护性佳，适配跑酷训练防护铺垫。</w:t>
            </w:r>
          </w:p>
          <w:p w14:paraId="3367597B">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二、材质与安全工艺要求</w:t>
            </w:r>
          </w:p>
          <w:p w14:paraId="5D6F6482">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1、主体箱体、支架结构稳固，板材厚实抗压，整体不易变形、开裂，适配幼儿园高频体能跑酷训练使用。</w:t>
            </w:r>
          </w:p>
          <w:p w14:paraId="3A8F881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2、所有器材外露边角、棱边全部采用全方位大圆弧倒角钝化处理，无尖角、毛刺、锐利切口，杜绝磕碰划伤风险，符合GB 6675儿童玩具安全标准。</w:t>
            </w:r>
          </w:p>
          <w:p w14:paraId="106DEE8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3、软体部件采用高密度回弹海绵，外层包裹耐磨防水环保皮革，缝合工整紧密，不易开线、脱层、塌陷，表面光滑易清洁、可日常消毒擦拭。</w:t>
            </w:r>
          </w:p>
          <w:p w14:paraId="606F0469">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4、硬质支架采用加厚管材，焊接牢固、打磨平整，表面防锈防腐喷涂处理，结构承重稳定，训练过程无晃动、无松动异响。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F019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D93D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B991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9C33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12000 </w:t>
            </w:r>
          </w:p>
        </w:tc>
      </w:tr>
      <w:tr w14:paraId="75820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CDF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240</w:t>
            </w: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5724EB9D">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149C790B">
            <w:pPr>
              <w:keepNext w:val="0"/>
              <w:keepLines w:val="0"/>
              <w:widowControl/>
              <w:suppressLineNumbers w:val="0"/>
              <w:jc w:val="center"/>
              <w:textAlignment w:val="center"/>
              <w:rPr>
                <w:rFonts w:hint="eastAsia" w:ascii="宋体" w:hAnsi="宋体" w:eastAsia="宋体" w:cs="宋体"/>
                <w:b/>
                <w:bCs/>
                <w:i w:val="0"/>
                <w:iCs w:val="0"/>
                <w:color w:val="FF0000"/>
                <w:kern w:val="2"/>
                <w:sz w:val="20"/>
                <w:szCs w:val="20"/>
                <w:u w:val="none"/>
                <w:lang w:val="en-US" w:eastAsia="zh-CN" w:bidi="ar-SA"/>
              </w:rPr>
            </w:pPr>
            <w:r>
              <w:rPr>
                <w:rFonts w:hint="eastAsia" w:ascii="宋体" w:hAnsi="宋体" w:eastAsia="宋体" w:cs="宋体"/>
                <w:b/>
                <w:bCs/>
                <w:i w:val="0"/>
                <w:iCs w:val="0"/>
                <w:color w:val="FF0000"/>
                <w:kern w:val="0"/>
                <w:sz w:val="20"/>
                <w:szCs w:val="20"/>
                <w:u w:val="none"/>
                <w:lang w:val="en-US" w:eastAsia="zh-CN" w:bidi="ar"/>
              </w:rPr>
              <w:t>上林县乔贤镇中心幼儿园</w:t>
            </w: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605AFFB2">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57A7D9B6">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68A00FD8">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4E83BB2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80000 </w:t>
            </w:r>
          </w:p>
        </w:tc>
      </w:tr>
      <w:tr w14:paraId="21A40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3AD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81F47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教学一体机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23964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一、整体设计</w:t>
            </w:r>
          </w:p>
          <w:p w14:paraId="1FFF111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1、整机采用一体设计，外部无任何可见内部功能模块连接线。</w:t>
            </w:r>
          </w:p>
          <w:p w14:paraId="296D2D71">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2、整机采用全金属外壳设计，边角采用弧形设计，表面无尖锐边缘或凸起；整机屏幕边缘采用金属圆角包边防护，整机背板采用金属材质。</w:t>
            </w:r>
          </w:p>
          <w:p w14:paraId="5734701C">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3、整机屏幕采用65英寸液晶显示器。</w:t>
            </w:r>
          </w:p>
          <w:p w14:paraId="5296FF6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4、整机采用LED液晶A规屏，显示比例16:9。</w:t>
            </w:r>
          </w:p>
          <w:p w14:paraId="03640006">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二、整机硬件性能与接口</w:t>
            </w:r>
          </w:p>
          <w:p w14:paraId="4C3F95B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1、双系统配置 整机搭载 电脑模块 + 嵌入式系统，系统版本不低于 当前最新版本；系统内存 RAM≥4G，存储 ROM≥32G；安卓端可独立实现白板书写、文档编辑、网页浏览等基础教学功能。（相关性能指标可提供厂商彩页、功能截图、第三方检测报告任意一种佐证，设备到货验收时提供完整 CMA/CNAS 检测报告备查）。</w:t>
            </w:r>
          </w:p>
          <w:p w14:paraId="45F8A35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2、整机配备前置外接接口，支持双系统共用读取 U 盘等存储设备；整机配备全功能 Type-C、HDMI、USB3.0 输入接口，侧置预留 HDMI、RS232、USB、音频输出、触控 USB 等拓展接口；整机外设拓展能力满足日常教学设备接驳需求，可通过拓展坞实现同等外接能力。前置接口配有防尘防护盖板，保护接口与外接 U 盘。</w:t>
            </w:r>
          </w:p>
          <w:p w14:paraId="436726B1">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3、整机内置高品质扬声器，整机额定总输出功率≥60W，发声均匀，无杂音、破音，满足教室扩声需求。</w:t>
            </w:r>
          </w:p>
          <w:p w14:paraId="61C262B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4、红外触控技术，最小识别触控物体≤3mm；整机支持双系统多点触控，触控流畅无断触。</w:t>
            </w:r>
          </w:p>
          <w:p w14:paraId="0F01FAC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5、整机内置高清摄像头与阵列麦克风，无需外接线材；摄像头像素≥1600 万，广角设计，可完整覆盖教室区域，满足远程巡课、课堂录播；麦克风有效拾音距离≥10 米，多人发言清晰收录。设备自带摄像头工作指示灯，摄像状态直观提示。</w:t>
            </w:r>
          </w:p>
          <w:p w14:paraId="5C014A96">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6、支持无线投屏功能，可通过 NFC、扫码、无线连接等任意一种方式实现手机、平板投屏，支持多台移动设备同时分屏展示。</w:t>
            </w:r>
          </w:p>
          <w:p w14:paraId="02C215A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7、内置双频 WiFi（2.4G+5GHz）、蓝牙模块，蓝牙标准不低于 Bluetooth 5.2；整机可无线联网、发射无线热点，双系统共用一套无线网络配置，无需重复设置；蓝牙可稳定连接外设，无线传输距离满足教室使用。</w:t>
            </w:r>
          </w:p>
          <w:p w14:paraId="1E21987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8、设备搭载护眼低蓝光背光方案，从硬件层面削减有害蓝光，显示画面无明显泛黄、色偏，符合校园护眼相关规范；屏幕 NTSC 色域覆盖率≥72%，安卓系统支持 4K 高清 UI 显示。</w:t>
            </w:r>
          </w:p>
          <w:p w14:paraId="3B349A16">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9、OPS 电脑配置：运行内存≥8G，固态硬盘≥256G。</w:t>
            </w:r>
          </w:p>
          <w:p w14:paraId="0D424EFC">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p>
          <w:p w14:paraId="57B0B46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三、整机基础交互功能</w:t>
            </w:r>
          </w:p>
          <w:p w14:paraId="148A125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1、整机内置图像、音效调节模块，提供多种预设图像、音效模式，支持手动调节亮度、对比度、高低音、色温等参数，适配不同教学场景。</w:t>
            </w:r>
          </w:p>
          <w:p w14:paraId="50F1540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2、支持分屏、半屏显示功能，可一键切换全屏 / 半屏，画面完整无裁剪，触控操作正常；支持画面局部放大、聚光灯（区域高亮、其余区域暗化）教学工具。</w:t>
            </w:r>
          </w:p>
          <w:p w14:paraId="43FE0F3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3、系统悬浮快捷工具栏，可调取批注、截屏、计时、锁屏、硬件自检、聚光灯、学科工具等教学常用功能，工具栏支持自定义调整。</w:t>
            </w:r>
          </w:p>
          <w:p w14:paraId="07E5F226">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4、支持智能手势快捷操作，可通过手势触发熄屏、批注、分屏等自定义功能，手势识别灵敏稳定。</w:t>
            </w:r>
          </w:p>
          <w:p w14:paraId="1BCAF44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5、全通道支持自由截屏，可框选任意区域保存截图；授课过程中可一键调取各类教学小工具：答题器、倒计时、节拍器、日历、随机抽选等。</w:t>
            </w:r>
          </w:p>
          <w:p w14:paraId="03ED9F3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6、双系统实现功能互通：一键切换系统、共享 USB 外设、共享网络、背光手势快捷控制。</w:t>
            </w:r>
          </w:p>
          <w:p w14:paraId="0E6CC9E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7、内置互动白板，支持多笔同时书写、手掌智能擦除，笔迹自带笔锋；白板文件支持导出 PDF、SVG、IWB 等通用格式；内置充足平面、立体学科绘图工具，满足数理化教学绘图需求。</w:t>
            </w:r>
          </w:p>
          <w:p w14:paraId="6AE96454">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四、配套教学软件功能</w:t>
            </w:r>
          </w:p>
          <w:p w14:paraId="5E79B30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1、教学资源分类管理：可按年级、学科、教材版本收纳课件、习题、阅读资料，支持云端存储、本地资源调取。</w:t>
            </w:r>
          </w:p>
          <w:p w14:paraId="255AE86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2、白板教学模板丰富，支持田字格、五线谱、米字格、坐标纸等学科专用背景，支持原笔迹批注、拖拽、擦除。</w:t>
            </w:r>
          </w:p>
          <w:p w14:paraId="5357543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3、支持 PPT 原生播放、手势翻页、多级放大，批注笔迹同步保存；支持一键将课件上传至个人云空间，授课时云端直接下载使用。</w:t>
            </w:r>
          </w:p>
          <w:p w14:paraId="0701092C">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4、支持集体备课、在线听评课功能：可自定义评课评分模板、评分细则，听课记录可保存、导出分享；支持教师扫码听课评价。</w:t>
            </w:r>
          </w:p>
          <w:p w14:paraId="0A671534">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5、课堂录播功能：授课全过程可录制，支持暂停、停止，可自定义录制音视频画质，录制窗口可隐藏不遮挡教学画面。</w:t>
            </w:r>
          </w:p>
          <w:p w14:paraId="09D13DAC">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6、支持手机远程控制大屏课件翻页；支持课堂互动答题，学生扫码答题，教师查看答题正确率、导出课堂学情报告；支持课堂弹幕、班级成员管理。</w:t>
            </w:r>
          </w:p>
          <w:p w14:paraId="3B6315D2">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7、支持网页资源一键导入课件，可制作课堂互动小游戏并保存至个人云盘，随时调取复用。</w:t>
            </w:r>
          </w:p>
          <w:p w14:paraId="24BBB05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8、为每位教师提供免费教学云存储空间，支持本地个人资源同步至云端，授课随时调取。</w:t>
            </w:r>
          </w:p>
          <w:p w14:paraId="02396B3C">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五、集控管理平台功能</w:t>
            </w:r>
          </w:p>
          <w:p w14:paraId="2E11C2A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 xml:space="preserve"> 1、平台可统一查看所有教学设备硬件信息：屏幕尺寸、系统版本、CPU、内存、硬盘、网络状态等；支持列表、缩略图两种设备查看模式，批量预览设备实时画面。</w:t>
            </w:r>
          </w:p>
          <w:p w14:paraId="699E697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 xml:space="preserve"> 2、远程巡课督导：可实时查看设备屏幕画面与课堂摄像头画面；支持远程下发设备系统、集控软件升级包，设备空闲时段自动完成更新。</w:t>
            </w:r>
          </w:p>
          <w:p w14:paraId="09A8B93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 xml:space="preserve"> 3、远程管理功能：支持批量设置定时锁屏 / 解锁，可按工作日、周末自定义循环策略；远程下发考场考试安排，设备按时展示考试信息。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9D66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3E06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7FB2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A3E6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50000 </w:t>
            </w:r>
          </w:p>
        </w:tc>
      </w:tr>
      <w:tr w14:paraId="67B97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F5B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46057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计算机</w:t>
            </w:r>
          </w:p>
        </w:tc>
        <w:tc>
          <w:tcPr>
            <w:tcW w:w="6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56B77">
            <w:pPr>
              <w:keepNext w:val="0"/>
              <w:keepLines w:val="0"/>
              <w:widowControl/>
              <w:numPr>
                <w:ilvl w:val="0"/>
                <w:numId w:val="7"/>
              </w:numPr>
              <w:suppressLineNumbers w:val="0"/>
              <w:jc w:val="left"/>
              <w:textAlignment w:val="center"/>
              <w:rPr>
                <w:rFonts w:hint="eastAsia" w:ascii="宋体" w:hAnsi="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硬件技术参数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▲1、基本要求：国产自主品牌商用台式机，</w:t>
            </w:r>
            <w:r>
              <w:rPr>
                <w:rFonts w:hint="eastAsia" w:ascii="宋体" w:hAnsi="宋体" w:cs="宋体"/>
                <w:i w:val="0"/>
                <w:iCs w:val="0"/>
                <w:strike w:val="0"/>
                <w:dstrike w:val="0"/>
                <w:color w:val="auto"/>
                <w:kern w:val="0"/>
                <w:sz w:val="20"/>
                <w:szCs w:val="20"/>
                <w:highlight w:val="none"/>
                <w:u w:val="none"/>
                <w:lang w:val="en-US" w:eastAsia="zh-CN" w:bidi="ar"/>
              </w:rPr>
              <w:t>结构稳固，具备良好的散热性能。</w:t>
            </w:r>
          </w:p>
          <w:p w14:paraId="23497792">
            <w:pPr>
              <w:keepNext w:val="0"/>
              <w:keepLines w:val="0"/>
              <w:widowControl/>
              <w:numPr>
                <w:ilvl w:val="0"/>
                <w:numId w:val="0"/>
              </w:numPr>
              <w:suppressLineNumbers w:val="0"/>
              <w:jc w:val="left"/>
              <w:textAlignment w:val="center"/>
              <w:rPr>
                <w:rFonts w:hint="eastAsia" w:ascii="宋体" w:hAnsi="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2、处理器： 处理器采用国产处理器，八核，主频≥2.7GHz；</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3、内存：配置≥16GB DDR4 UDIMM内存，配置≥2个内存插槽；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4、显卡：≥2G独立显卡。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5、硬盘：≥512GB M.2接口NVME协议SSD；</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▲6、电源：电源功率≤180W，电源适配器电线组件应符合GB/T15934的要求；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7、网络：1个RJ45 10/100/1000自适应以太网口；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▲8、接口：前置USB3.0接口≥4个；后置USB3.0接口≥2个，USB2.0接口≥2个；音频接口：麦克风1个，耳机1个；后端3个Audio音频接口；PCIE插槽数量≥3个；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▲9、数据安全：BIOS级USB屏蔽及智能USB数据保护：USB支持BIOS下接口开关，针对存储设备支持USB接口切换禁止访问模式/只读模式。</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10、显示器：配置≥23.8寸LED显示器，IPS屏，分辨率≥1920*1080，刷新频率≥</w:t>
            </w:r>
            <w:r>
              <w:rPr>
                <w:rFonts w:hint="eastAsia" w:ascii="宋体" w:hAnsi="宋体" w:cs="宋体"/>
                <w:i w:val="0"/>
                <w:iCs w:val="0"/>
                <w:color w:val="auto"/>
                <w:kern w:val="0"/>
                <w:sz w:val="20"/>
                <w:szCs w:val="20"/>
                <w:highlight w:val="none"/>
                <w:u w:val="none"/>
                <w:lang w:val="en-US" w:eastAsia="zh-CN" w:bidi="ar"/>
              </w:rPr>
              <w:t>75</w:t>
            </w:r>
            <w:r>
              <w:rPr>
                <w:rFonts w:hint="eastAsia" w:ascii="宋体" w:hAnsi="宋体" w:eastAsia="宋体" w:cs="宋体"/>
                <w:i w:val="0"/>
                <w:iCs w:val="0"/>
                <w:color w:val="auto"/>
                <w:kern w:val="0"/>
                <w:sz w:val="20"/>
                <w:szCs w:val="20"/>
                <w:highlight w:val="none"/>
                <w:u w:val="none"/>
                <w:lang w:val="en-US" w:eastAsia="zh-CN" w:bidi="ar"/>
              </w:rPr>
              <w:t>Hz，对比度≥1000:1</w:t>
            </w:r>
            <w:r>
              <w:rPr>
                <w:rFonts w:hint="eastAsia" w:ascii="宋体" w:hAnsi="宋体" w:cs="宋体"/>
                <w:i w:val="0"/>
                <w:iCs w:val="0"/>
                <w:color w:val="auto"/>
                <w:kern w:val="0"/>
                <w:sz w:val="20"/>
                <w:szCs w:val="20"/>
                <w:highlight w:val="none"/>
                <w:u w:val="none"/>
                <w:lang w:val="en-US" w:eastAsia="zh-CN" w:bidi="ar"/>
              </w:rPr>
              <w:t>；</w:t>
            </w:r>
          </w:p>
          <w:p w14:paraId="46B7D797">
            <w:pPr>
              <w:keepNext w:val="0"/>
              <w:keepLines w:val="0"/>
              <w:widowControl/>
              <w:numPr>
                <w:ilvl w:val="0"/>
                <w:numId w:val="0"/>
              </w:numPr>
              <w:suppressLineNumbers w:val="0"/>
              <w:ind w:left="0" w:leftChars="0" w:firstLine="0" w:firstLineChars="0"/>
              <w:jc w:val="left"/>
              <w:textAlignment w:val="center"/>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11、操作系统：预装符合桌面操作系统政府采购需求标准的正版操作系统；预装的操作系统符合《操作系统政府采购需求标准》中加*指标要求（财政部工业和信息化部关于印发《操作系统政府采购需求标准（2023年版）》的通知）。</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12、办公软件：预装带正版授权的办公软件</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（含三年服务）；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▲13、关键部件安全要求：CPU和操作系统等关键部件应当符合安全可靠测评要求。（提供通过安全可靠测评的证明书或作出承诺）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二、班级管理平台软件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1、后台采用 B/S 架构设计，能够支持不同角色在 web 上进行操作，支持微信和账号登录、支持学校自定义角色、教师角色切换。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2、支持上传多个备课文档、支持一屏稿件对比，支持查看该次集体备课数据统计及访问记录。集体备课终稿存到我的成果库。并支持查看集体备课数据报告；</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、支持区域、学校管理者发起在线收集资料的任务，老师按照在线任务要求上传资料，支持管理者将收集上来的资料分类归档管理【</w:t>
            </w:r>
            <w:r>
              <w:rPr>
                <w:rFonts w:hint="eastAsia" w:ascii="宋体" w:hAnsi="宋体" w:cs="宋体"/>
                <w:i w:val="0"/>
                <w:iCs w:val="0"/>
                <w:color w:val="auto"/>
                <w:kern w:val="0"/>
                <w:sz w:val="20"/>
                <w:szCs w:val="20"/>
                <w:highlight w:val="none"/>
                <w:u w:val="none"/>
                <w:lang w:val="en-US" w:eastAsia="zh-CN" w:bidi="ar"/>
              </w:rPr>
              <w:t>响应供应商</w:t>
            </w:r>
            <w:r>
              <w:rPr>
                <w:rFonts w:hint="eastAsia" w:ascii="宋体" w:hAnsi="宋体" w:eastAsia="宋体" w:cs="宋体"/>
                <w:i w:val="0"/>
                <w:iCs w:val="0"/>
                <w:color w:val="auto"/>
                <w:kern w:val="0"/>
                <w:sz w:val="20"/>
                <w:szCs w:val="20"/>
                <w:highlight w:val="none"/>
                <w:u w:val="none"/>
                <w:lang w:val="en-US" w:eastAsia="zh-CN" w:bidi="ar"/>
              </w:rPr>
              <w:t>于</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中必须提供所投产品满足本条技术要求的相关有效证明材料复印件，证明材料可以是国家认可的第三方检验（测）机构出具的合格有效的检验（测）报告或官网截图或功能截图或产品彩页】</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三、教学授课软件功能要求：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 xml:space="preserve">.无需导入平台，可直接在PPT中通过备课插件添加课堂互动游戏、思维导图、网站链接、网络画板等。课件编辑完成可一键同步至云端；如教师不想保存在云平台可直接以PPT格式保存在本地，不允许系统自动在云平台中更新教师的资源；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 xml:space="preserve">.试题能够根据课本章节、题型、难易程度进行筛选，并提供知识点试题，可按知识点筛选，支持收藏、查看试题答案、解析、关联知识点，支持对试题进行二次编辑，支持将试题一键加入备课；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.通过对纸质试题拍照，可将图片上传，将纸质文字变为电子版文字，便于老师优质试题的收集使用；（</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4</w:t>
            </w:r>
            <w:r>
              <w:rPr>
                <w:rFonts w:hint="eastAsia" w:ascii="宋体" w:hAnsi="宋体" w:eastAsia="宋体" w:cs="宋体"/>
                <w:i w:val="0"/>
                <w:iCs w:val="0"/>
                <w:color w:val="auto"/>
                <w:kern w:val="0"/>
                <w:sz w:val="20"/>
                <w:szCs w:val="20"/>
                <w:highlight w:val="none"/>
                <w:u w:val="none"/>
                <w:lang w:val="en-US" w:eastAsia="zh-CN" w:bidi="ar"/>
              </w:rPr>
              <w:t>.支持将音视频分成不同小节，支持自定义视频小节名称，播放时可通过点击小节名称快速定位关键教学内容。（</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内置多种随堂练习、趣味答题模板，适配课堂巩固。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6</w:t>
            </w:r>
            <w:r>
              <w:rPr>
                <w:rFonts w:hint="eastAsia" w:ascii="宋体" w:hAnsi="宋体" w:eastAsia="宋体" w:cs="宋体"/>
                <w:i w:val="0"/>
                <w:iCs w:val="0"/>
                <w:color w:val="auto"/>
                <w:kern w:val="0"/>
                <w:sz w:val="20"/>
                <w:szCs w:val="20"/>
                <w:highlight w:val="none"/>
                <w:u w:val="none"/>
                <w:lang w:val="en-US" w:eastAsia="zh-CN" w:bidi="ar"/>
              </w:rPr>
              <w:t>.为方便教师快速查找，所有备课资源均可按照系统自带教材章节进行存储，无需教师自建存储条目；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7</w:t>
            </w:r>
            <w:r>
              <w:rPr>
                <w:rFonts w:hint="eastAsia" w:ascii="宋体" w:hAnsi="宋体" w:eastAsia="宋体" w:cs="宋体"/>
                <w:i w:val="0"/>
                <w:iCs w:val="0"/>
                <w:color w:val="auto"/>
                <w:kern w:val="0"/>
                <w:sz w:val="20"/>
                <w:szCs w:val="20"/>
                <w:highlight w:val="none"/>
                <w:u w:val="none"/>
                <w:lang w:val="en-US" w:eastAsia="zh-CN" w:bidi="ar"/>
              </w:rPr>
              <w:t xml:space="preserve">.备课界面支持将教案、课件、学案、试题、练习、网络画板、虚拟实验、微课等教学资源分享给校内指定教师使用；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8</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白板教学：提供多种书写笔触、可调色彩，支持自定义常用配色。</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9</w:t>
            </w:r>
            <w:r>
              <w:rPr>
                <w:rFonts w:hint="eastAsia" w:ascii="宋体" w:hAnsi="宋体" w:eastAsia="宋体" w:cs="宋体"/>
                <w:i w:val="0"/>
                <w:iCs w:val="0"/>
                <w:color w:val="auto"/>
                <w:kern w:val="0"/>
                <w:sz w:val="20"/>
                <w:szCs w:val="20"/>
                <w:highlight w:val="none"/>
                <w:u w:val="none"/>
                <w:lang w:val="en-US" w:eastAsia="zh-CN" w:bidi="ar"/>
              </w:rPr>
              <w:t>.支持三个及以上学生同时进行书写或手势擦除操作，不同学生各自进行书写或擦除，互不影响；</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10</w:t>
            </w:r>
            <w:r>
              <w:rPr>
                <w:rFonts w:hint="eastAsia" w:ascii="宋体" w:hAnsi="宋体" w:eastAsia="宋体" w:cs="宋体"/>
                <w:i w:val="0"/>
                <w:iCs w:val="0"/>
                <w:color w:val="auto"/>
                <w:kern w:val="0"/>
                <w:sz w:val="20"/>
                <w:szCs w:val="20"/>
                <w:highlight w:val="none"/>
                <w:u w:val="none"/>
                <w:lang w:val="en-US" w:eastAsia="zh-CN" w:bidi="ar"/>
              </w:rPr>
              <w:t>.支持对白板页面中的元素进行隐藏、锁定、缩放、旋转、置顶等操作，被隐藏元素可以一键重新显示在白板上；</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257412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D7D7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C0E6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C3E3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10000 </w:t>
            </w:r>
          </w:p>
        </w:tc>
      </w:tr>
      <w:tr w14:paraId="3FD08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9ED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C600F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万能工匠组合</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top"/>
          </w:tcPr>
          <w:p w14:paraId="6D3CFED6">
            <w:pPr>
              <w:keepNext w:val="0"/>
              <w:keepLines w:val="0"/>
              <w:widowControl/>
              <w:suppressLineNumbers w:val="0"/>
              <w:jc w:val="left"/>
              <w:textAlignment w:val="top"/>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允许±</w:t>
            </w: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％合理生产及安装公差：参考规格：507*316*193cm,加厚</w:t>
            </w:r>
            <w:r>
              <w:rPr>
                <w:rFonts w:hint="eastAsia" w:ascii="宋体" w:hAnsi="宋体" w:cs="宋体"/>
                <w:i w:val="0"/>
                <w:iCs w:val="0"/>
                <w:color w:val="auto"/>
                <w:kern w:val="0"/>
                <w:sz w:val="20"/>
                <w:szCs w:val="20"/>
                <w:highlight w:val="none"/>
                <w:u w:val="none"/>
                <w:lang w:val="en-US" w:eastAsia="zh-CN" w:bidi="ar"/>
              </w:rPr>
              <w:t>,组件总数不少于</w:t>
            </w:r>
            <w:r>
              <w:rPr>
                <w:rFonts w:hint="eastAsia" w:ascii="宋体" w:hAnsi="宋体" w:eastAsia="宋体" w:cs="宋体"/>
                <w:i w:val="0"/>
                <w:iCs w:val="0"/>
                <w:color w:val="auto"/>
                <w:kern w:val="0"/>
                <w:sz w:val="20"/>
                <w:szCs w:val="20"/>
                <w:highlight w:val="none"/>
                <w:u w:val="none"/>
                <w:lang w:val="en-US" w:eastAsia="zh-CN" w:bidi="ar"/>
              </w:rPr>
              <w:t>258件(圆盘</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76个，轮胎</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8个，管子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174条)具体配置：圆盘</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76个，115.2cm管子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72根，76cm管子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66根，48.5cm管子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12根，15.2cm管子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8根，171cm管子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16根，轮胎</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8个</w:t>
            </w:r>
            <w:r>
              <w:rPr>
                <w:rFonts w:hint="eastAsia" w:ascii="宋体" w:hAnsi="宋体" w:cs="宋体"/>
                <w:i w:val="0"/>
                <w:iCs w:val="0"/>
                <w:color w:val="auto"/>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31B7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E42A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0D36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83F3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5800 </w:t>
            </w:r>
          </w:p>
        </w:tc>
      </w:tr>
      <w:tr w14:paraId="448E2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92D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4578E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跑酷组合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B735E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一、整套器材明细（参考尺寸+数量）</w:t>
            </w:r>
          </w:p>
          <w:p w14:paraId="68F5282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w:t>
            </w:r>
          </w:p>
          <w:p w14:paraId="096B5415">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1、单面弧形跑酷箱体：参考尺寸175cm×75cm×175cm，共2个；弧形过渡流畅，适配幼儿翻越、跳跃训练，箱体稳固、抗压不变形。</w:t>
            </w:r>
          </w:p>
          <w:p w14:paraId="2B18A344">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2、猫挂三角架：参考尺寸120cm×80cm×90cm，共2个；三角稳定结构，支撑牢固，适配幼儿悬挂、攀爬、平衡训练。</w:t>
            </w:r>
          </w:p>
          <w:p w14:paraId="3B7CBDB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3、渐进式跳箱：参考尺寸76cm×65cm×130cm，共1个；分层渐进结构，适配幼儿阶梯式跳跃体能训练。</w:t>
            </w:r>
          </w:p>
          <w:p w14:paraId="07401542">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4、跑酷跳箱一：参考尺寸90cm×45cm×48cm，共1个；箱体方正稳固，海绵填充饱满，跳跃缓冲性佳。</w:t>
            </w:r>
          </w:p>
          <w:p w14:paraId="1E322C6A">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5、跑酷跳箱二：参考尺寸90cm×70cm×75cm，共1个；加厚箱体设计，承重抗压，适配幼儿跳跃、跨越训练。</w:t>
            </w:r>
          </w:p>
          <w:p w14:paraId="7B78523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6、跑酷跳箱三：参考尺寸90cm×68cm×60cm，共1个；尺寸适配低龄幼儿训练，缓冲安全、稳定性强。</w:t>
            </w:r>
          </w:p>
          <w:p w14:paraId="3FAFD94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7、跑酷跳箱四：参考尺寸90cm×70cm×95cm，共1个；高箱体设计，满足进阶跑酷跳跃训练需求。</w:t>
            </w:r>
          </w:p>
          <w:p w14:paraId="0E64C93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8、升降三角架：参考尺寸100cm×100cm×170cm，共2个；可适配不同高度训练需求，三角稳固结构，抗撞击、不易倾倒。</w:t>
            </w:r>
          </w:p>
          <w:p w14:paraId="3855697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9、三角蹬：参考尺寸78cm×50cm×45cm，共8个；小巧轻便、堆叠组合灵活，适配合梯、跨越、踩踏平衡训练。</w:t>
            </w:r>
          </w:p>
          <w:p w14:paraId="1E440C2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10、双折训练体操垫：参考尺寸120cm×60cm×5cm，共5个；双折设计，收纳便捷；高密度海绵缓冲，表层防滑耐磨皮革，防护性佳，适配跑酷训练防护铺垫。</w:t>
            </w:r>
          </w:p>
          <w:p w14:paraId="7D873ECA">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二、材质与安全工艺要求</w:t>
            </w:r>
          </w:p>
          <w:p w14:paraId="6D3DF81C">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1、主体箱体、支架结构稳固，板材厚实抗压，整体不易变形、开裂，适配幼儿园高频体能跑酷训练使用。</w:t>
            </w:r>
          </w:p>
          <w:p w14:paraId="691A55EE">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2、所有器材外露边角、棱边全部采用全方位大圆弧倒角钝化处理，无尖角、毛刺、锐利切口，杜绝磕碰划伤风险，符合GB 6675儿童玩具安全标准。</w:t>
            </w:r>
          </w:p>
          <w:p w14:paraId="5E118757">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3、软体部件采用高密度回弹海绵，外层包裹耐磨防水环保皮革，缝合工整紧密，不易开线、脱层、塌陷，表面光滑易清洁、可日常消毒擦拭。</w:t>
            </w:r>
          </w:p>
          <w:p w14:paraId="03E5F7CE">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4、硬质支架采用加厚管材，焊接牢固、打磨平整，表面防锈防腐喷涂处理，结构承重稳定，训练过程无晃动、无松动异响。</w:t>
            </w:r>
          </w:p>
          <w:p w14:paraId="641D021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182E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51BE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F5FA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2F60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12000 </w:t>
            </w:r>
          </w:p>
        </w:tc>
      </w:tr>
      <w:tr w14:paraId="64EDB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D6E8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245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08960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幼儿绘本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7144BA">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本次采购绘本涵盖六大通用品类，所有参选书籍需适配幼儿园教学场景，贴合幼儿成长特点，具体品类及通用标准如下，供应商可在对应品类内提供合规等效书籍：</w:t>
            </w:r>
          </w:p>
          <w:p w14:paraId="6857FD45">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一、采购绘本品类</w:t>
            </w:r>
          </w:p>
          <w:p w14:paraId="41583C0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益智互动磁力贴绘本类。适配3-6岁幼儿，含动手、认知、情景互动功能，以生活认知、美食、购物、角色扮演为主题，画面色彩鲜艳、图案简洁，支持幼儿动手磁力拼接，锻炼专注力与动手能力，无尖锐边角、环保印刷。</w:t>
            </w:r>
          </w:p>
          <w:p w14:paraId="4D32C02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幼儿安全与自我保护绘本类。围绕幼儿园安全教育核心内容，涵盖阳台安全、防火安全、防溺水、交通安全、防烫伤、用电安全、防陌生人、户外安全、居家安全等主题。内容通俗易懂、案例贴合幼儿生活，能够引导幼儿建立安全防范意识、掌握自我保护方法，无恐怖、惊悚画面，符合幼儿心理认知特点。</w:t>
            </w:r>
          </w:p>
          <w:p w14:paraId="3F7C20C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二十四节气传统文化绘本类。完整涵盖春夏秋冬二十四节气，结合节气民俗、农耕文化、地域特色、传统美食、民俗活动等内容，图文结合科普节气知识，传播中华传统民俗文化，适配幼儿园传统文化启蒙教学，画面唯美、文字简洁易懂。</w:t>
            </w:r>
          </w:p>
          <w:p w14:paraId="6F707C92">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中华传统故事与民族文化绘本类。包含经典成语故事、神话传说、传统民俗节日、少数民族文化（壮族文化）、家国文化、经典民间故事等品类。涵盖寓言成语、上古神话、传统节日、壮族特色传说、红色及家国启蒙内容，助力幼儿了解中华优秀传统文化、地域民族文化，树立文化自信。</w:t>
            </w:r>
          </w:p>
          <w:p w14:paraId="0FC8C94C">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好习惯与健康科普绘本类。聚焦幼儿身心健康、行为习惯养成，涵盖牙齿健康、饮食健康、卫生习惯、身体科普、珍惜粮食、生活好习惯等主题。以趣味故事形式科普健康知识，帮助幼儿养成刷牙、讲卫生、不挑食、爱护身体的良好生活习惯。</w:t>
            </w:r>
          </w:p>
          <w:p w14:paraId="2AD39702">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幼儿成长启蒙经典绘本类。涵盖情商培养、社交能力、动物认知、亲子情感、勇气成长、想象力启蒙、经典童话等主题。包含精装、平装优质幼儿绘本，画面精美、故事积极正向，能够培养幼儿人际交往、情绪管理、独立自信等优良品质，适配幼儿园日常阅读、课堂互动、睡前共读场景。</w:t>
            </w:r>
          </w:p>
          <w:p w14:paraId="2829ED7D">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二、采购绘本质量标准</w:t>
            </w:r>
          </w:p>
          <w:p w14:paraId="143B1E03">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 合规性标准：所有绘本为正规出版、公开发行的合法出版物，具备图书出版资质、ISBN书号，无盗版、无删减、无违规内容，符合国家出版物出版规范。</w:t>
            </w:r>
          </w:p>
          <w:p w14:paraId="51C1E843">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 适龄安全标准：适配3-6岁幼儿阅读，内容积极健康、三观正向，无暴力、低俗、恐怖、不良导向内容；纸张厚实、边缘圆角打磨、无毛刺、无刺鼻异味，油墨环保无毒，符合幼儿读物安全标准。</w:t>
            </w:r>
          </w:p>
          <w:p w14:paraId="6DFE50C6">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 装帧品质标准：平装、精装均可，书页平整、印刷清晰、色彩均匀，无模糊、重影、漏印、脱页、破损问题，装订牢固，适合幼儿反复翻阅使用。</w:t>
            </w:r>
          </w:p>
          <w:p w14:paraId="7A4CDE74">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 内容适配标准：文字简洁易懂、配图精美、故事完整，贴合幼儿园教学大纲及幼儿认知规律，具备对应的教育启蒙价值，可满足幼儿园日常阅读、课堂教学、区域活动使用需求。</w:t>
            </w:r>
          </w:p>
          <w:p w14:paraId="46D2E789">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三、其他要求：</w:t>
            </w:r>
            <w:r>
              <w:rPr>
                <w:rFonts w:hint="eastAsia" w:ascii="宋体" w:hAnsi="宋体" w:cs="宋体"/>
                <w:i w:val="0"/>
                <w:iCs w:val="0"/>
                <w:color w:val="auto"/>
                <w:kern w:val="0"/>
                <w:sz w:val="20"/>
                <w:szCs w:val="20"/>
                <w:highlight w:val="none"/>
                <w:u w:val="none"/>
                <w:lang w:val="en-US" w:eastAsia="zh-CN" w:bidi="ar"/>
              </w:rPr>
              <w:t>成交</w:t>
            </w:r>
            <w:r>
              <w:rPr>
                <w:rFonts w:hint="eastAsia" w:ascii="宋体" w:hAnsi="宋体" w:eastAsia="宋体" w:cs="宋体"/>
                <w:i w:val="0"/>
                <w:iCs w:val="0"/>
                <w:color w:val="auto"/>
                <w:kern w:val="0"/>
                <w:sz w:val="20"/>
                <w:szCs w:val="20"/>
                <w:highlight w:val="none"/>
                <w:u w:val="none"/>
                <w:lang w:val="en-US" w:eastAsia="zh-CN" w:bidi="ar"/>
              </w:rPr>
              <w:t>后，供应商须提交拟供货书目清单给幼儿园审核确认，采购人有权对不适合书目进行合理调换，总册数不变。</w:t>
            </w:r>
          </w:p>
          <w:p w14:paraId="660AE62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24D96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45A15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3017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1FED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2200 </w:t>
            </w:r>
          </w:p>
        </w:tc>
      </w:tr>
      <w:tr w14:paraId="69231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B63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246</w:t>
            </w: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58623F88">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08C6DBF1">
            <w:pPr>
              <w:keepNext w:val="0"/>
              <w:keepLines w:val="0"/>
              <w:widowControl/>
              <w:suppressLineNumbers w:val="0"/>
              <w:jc w:val="center"/>
              <w:textAlignment w:val="center"/>
              <w:rPr>
                <w:rFonts w:hint="eastAsia" w:ascii="宋体" w:hAnsi="宋体" w:eastAsia="宋体" w:cs="宋体"/>
                <w:b/>
                <w:bCs/>
                <w:i w:val="0"/>
                <w:iCs w:val="0"/>
                <w:color w:val="FF0000"/>
                <w:kern w:val="2"/>
                <w:sz w:val="20"/>
                <w:szCs w:val="20"/>
                <w:u w:val="none"/>
                <w:lang w:val="en-US" w:eastAsia="zh-CN" w:bidi="ar-SA"/>
              </w:rPr>
            </w:pPr>
            <w:r>
              <w:rPr>
                <w:rFonts w:hint="eastAsia" w:ascii="宋体" w:hAnsi="宋体" w:eastAsia="宋体" w:cs="宋体"/>
                <w:b/>
                <w:bCs/>
                <w:i w:val="0"/>
                <w:iCs w:val="0"/>
                <w:color w:val="FF0000"/>
                <w:kern w:val="0"/>
                <w:sz w:val="20"/>
                <w:szCs w:val="20"/>
                <w:u w:val="none"/>
                <w:lang w:val="en-US" w:eastAsia="zh-CN" w:bidi="ar"/>
              </w:rPr>
              <w:t>上林县镇圩瑶族乡中心幼儿园</w:t>
            </w: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398F0D67">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2ACA45B3">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70A22820">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276C961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60000 </w:t>
            </w:r>
          </w:p>
        </w:tc>
      </w:tr>
      <w:tr w14:paraId="1605A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8E3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B5FAF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计算机</w:t>
            </w:r>
          </w:p>
        </w:tc>
        <w:tc>
          <w:tcPr>
            <w:tcW w:w="6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92441">
            <w:pPr>
              <w:keepNext w:val="0"/>
              <w:keepLines w:val="0"/>
              <w:widowControl/>
              <w:numPr>
                <w:ilvl w:val="0"/>
                <w:numId w:val="7"/>
              </w:numPr>
              <w:suppressLineNumbers w:val="0"/>
              <w:jc w:val="left"/>
              <w:textAlignment w:val="center"/>
              <w:rPr>
                <w:rFonts w:hint="eastAsia" w:ascii="宋体" w:hAnsi="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硬件技术参数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▲1、基本要求：国产自主品牌商用台式机，</w:t>
            </w:r>
            <w:r>
              <w:rPr>
                <w:rFonts w:hint="eastAsia" w:ascii="宋体" w:hAnsi="宋体" w:cs="宋体"/>
                <w:i w:val="0"/>
                <w:iCs w:val="0"/>
                <w:strike w:val="0"/>
                <w:dstrike w:val="0"/>
                <w:color w:val="auto"/>
                <w:kern w:val="0"/>
                <w:sz w:val="20"/>
                <w:szCs w:val="20"/>
                <w:highlight w:val="none"/>
                <w:u w:val="none"/>
                <w:lang w:val="en-US" w:eastAsia="zh-CN" w:bidi="ar"/>
              </w:rPr>
              <w:t>结构稳固，具备良好的散热性能。</w:t>
            </w:r>
          </w:p>
          <w:p w14:paraId="23CEF56C">
            <w:pPr>
              <w:keepNext w:val="0"/>
              <w:keepLines w:val="0"/>
              <w:widowControl/>
              <w:numPr>
                <w:ilvl w:val="0"/>
                <w:numId w:val="0"/>
              </w:numPr>
              <w:suppressLineNumbers w:val="0"/>
              <w:jc w:val="left"/>
              <w:textAlignment w:val="center"/>
              <w:rPr>
                <w:rFonts w:hint="eastAsia" w:ascii="宋体" w:hAnsi="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2、处理器： 处理器采用国产处理器，八核，主频≥2.7GHz；</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3、内存：配置≥16GB DDR4 UDIMM内存，配置≥2个内存插槽；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4、显卡：≥2G独立显卡。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5、硬盘：≥512GB M.2接口NVME协议SSD；</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▲6、电源：电源功率≤180W，电源适配器电线组件应符合GB/T15934的要求；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7、网络：1个RJ45 10/100/1000自适应以太网口；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▲8、接口：前置USB3.0接口≥4个；后置USB3.0接口≥2个，USB2.0接口≥2个；音频接口：麦克风1个，耳机1个；后端3个Audio音频接口；PCIE插槽数量≥3个；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▲9、数据安全：BIOS级USB屏蔽及智能USB数据保护：USB支持BIOS下接口开关，针对存储设备支持USB接口切换禁止访问模式/只读模式。</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10、显示器：配置≥23.8寸LED显示器，IPS屏，分辨率≥1920*1080，刷新频率≥</w:t>
            </w:r>
            <w:r>
              <w:rPr>
                <w:rFonts w:hint="eastAsia" w:ascii="宋体" w:hAnsi="宋体" w:cs="宋体"/>
                <w:i w:val="0"/>
                <w:iCs w:val="0"/>
                <w:color w:val="auto"/>
                <w:kern w:val="0"/>
                <w:sz w:val="20"/>
                <w:szCs w:val="20"/>
                <w:highlight w:val="none"/>
                <w:u w:val="none"/>
                <w:lang w:val="en-US" w:eastAsia="zh-CN" w:bidi="ar"/>
              </w:rPr>
              <w:t>75</w:t>
            </w:r>
            <w:r>
              <w:rPr>
                <w:rFonts w:hint="eastAsia" w:ascii="宋体" w:hAnsi="宋体" w:eastAsia="宋体" w:cs="宋体"/>
                <w:i w:val="0"/>
                <w:iCs w:val="0"/>
                <w:color w:val="auto"/>
                <w:kern w:val="0"/>
                <w:sz w:val="20"/>
                <w:szCs w:val="20"/>
                <w:highlight w:val="none"/>
                <w:u w:val="none"/>
                <w:lang w:val="en-US" w:eastAsia="zh-CN" w:bidi="ar"/>
              </w:rPr>
              <w:t>Hz，对比度≥1000:1</w:t>
            </w:r>
            <w:r>
              <w:rPr>
                <w:rFonts w:hint="eastAsia" w:ascii="宋体" w:hAnsi="宋体" w:cs="宋体"/>
                <w:i w:val="0"/>
                <w:iCs w:val="0"/>
                <w:color w:val="auto"/>
                <w:kern w:val="0"/>
                <w:sz w:val="20"/>
                <w:szCs w:val="20"/>
                <w:highlight w:val="none"/>
                <w:u w:val="none"/>
                <w:lang w:val="en-US" w:eastAsia="zh-CN" w:bidi="ar"/>
              </w:rPr>
              <w:t>；</w:t>
            </w:r>
          </w:p>
          <w:p w14:paraId="6CC75856">
            <w:pPr>
              <w:keepNext w:val="0"/>
              <w:keepLines w:val="0"/>
              <w:widowControl/>
              <w:numPr>
                <w:ilvl w:val="0"/>
                <w:numId w:val="0"/>
              </w:numPr>
              <w:suppressLineNumbers w:val="0"/>
              <w:ind w:left="0" w:leftChars="0" w:firstLine="0" w:firstLineChars="0"/>
              <w:jc w:val="left"/>
              <w:textAlignment w:val="center"/>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11、操作系统：预装符合桌面操作系统政府采购需求标准的正版操作系统；预装的操作系统符合《操作系统政府采购需求标准》中加*指标要求（财政部工业和信息化部关于印发《操作系统政府采购需求标准（2023年版）》的通知）。</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12、办公软件：预装带正版授权的办公软件</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（含三年服务）；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▲13、关键部件安全要求：CPU和操作系统等关键部件应当符合安全可靠测评要求。（提供通过安全可靠测评的证明书或作出承诺）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二、班级管理平台软件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1、后台采用 B/S 架构设计，能够支持不同角色在 web 上进行操作，支持微信和账号登录、支持学校自定义角色、教师角色切换。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2、支持上传多个备课文档、支持一屏稿件对比，支持查看该次集体备课数据统计及访问记录。集体备课终稿存到我的成果库。并支持查看集体备课数据报告；</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、支持区域、学校管理者发起在线收集资料的任务，老师按照在线任务要求上传资料，支持管理者将收集上来的资料分类归档管理【</w:t>
            </w:r>
            <w:r>
              <w:rPr>
                <w:rFonts w:hint="eastAsia" w:ascii="宋体" w:hAnsi="宋体" w:cs="宋体"/>
                <w:i w:val="0"/>
                <w:iCs w:val="0"/>
                <w:color w:val="auto"/>
                <w:kern w:val="0"/>
                <w:sz w:val="20"/>
                <w:szCs w:val="20"/>
                <w:highlight w:val="none"/>
                <w:u w:val="none"/>
                <w:lang w:val="en-US" w:eastAsia="zh-CN" w:bidi="ar"/>
              </w:rPr>
              <w:t>响应供应商</w:t>
            </w:r>
            <w:r>
              <w:rPr>
                <w:rFonts w:hint="eastAsia" w:ascii="宋体" w:hAnsi="宋体" w:eastAsia="宋体" w:cs="宋体"/>
                <w:i w:val="0"/>
                <w:iCs w:val="0"/>
                <w:color w:val="auto"/>
                <w:kern w:val="0"/>
                <w:sz w:val="20"/>
                <w:szCs w:val="20"/>
                <w:highlight w:val="none"/>
                <w:u w:val="none"/>
                <w:lang w:val="en-US" w:eastAsia="zh-CN" w:bidi="ar"/>
              </w:rPr>
              <w:t>于</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中必须提供所投产品满足本条技术要求的相关有效证明材料复印件，证明材料可以是国家认可的第三方检验（测）机构出具的合格有效的检验（测）报告或官网截图或功能截图或产品彩页】</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三、教学授课软件功能要求：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 xml:space="preserve">.无需导入平台，可直接在PPT中通过备课插件添加课堂互动游戏、思维导图、网站链接、网络画板等。课件编辑完成可一键同步至云端；如教师不想保存在云平台可直接以PPT格式保存在本地，不允许系统自动在云平台中更新教师的资源；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 xml:space="preserve">.试题能够根据课本章节、题型、难易程度进行筛选，并提供知识点试题，可按知识点筛选，支持收藏、查看试题答案、解析、关联知识点，支持对试题进行二次编辑，支持将试题一键加入备课；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.通过对纸质试题拍照，可将图片上传，将纸质文字变为电子版文字，便于老师优质试题的收集使用；（</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4</w:t>
            </w:r>
            <w:r>
              <w:rPr>
                <w:rFonts w:hint="eastAsia" w:ascii="宋体" w:hAnsi="宋体" w:eastAsia="宋体" w:cs="宋体"/>
                <w:i w:val="0"/>
                <w:iCs w:val="0"/>
                <w:color w:val="auto"/>
                <w:kern w:val="0"/>
                <w:sz w:val="20"/>
                <w:szCs w:val="20"/>
                <w:highlight w:val="none"/>
                <w:u w:val="none"/>
                <w:lang w:val="en-US" w:eastAsia="zh-CN" w:bidi="ar"/>
              </w:rPr>
              <w:t>.支持将音视频分成不同小节，支持自定义视频小节名称，播放时可通过点击小节名称快速定位关键教学内容。（</w:t>
            </w:r>
            <w:r>
              <w:rPr>
                <w:rFonts w:hint="eastAsia" w:ascii="宋体" w:hAnsi="宋体" w:cs="宋体"/>
                <w:i w:val="0"/>
                <w:iCs w:val="0"/>
                <w:color w:val="auto"/>
                <w:kern w:val="0"/>
                <w:sz w:val="20"/>
                <w:szCs w:val="20"/>
                <w:highlight w:val="none"/>
                <w:u w:val="none"/>
                <w:lang w:val="en-US" w:eastAsia="zh-CN" w:bidi="ar"/>
              </w:rPr>
              <w:t>响应文件</w:t>
            </w:r>
            <w:r>
              <w:rPr>
                <w:rFonts w:hint="eastAsia" w:ascii="宋体" w:hAnsi="宋体" w:eastAsia="宋体" w:cs="宋体"/>
                <w:i w:val="0"/>
                <w:iCs w:val="0"/>
                <w:color w:val="auto"/>
                <w:kern w:val="0"/>
                <w:sz w:val="20"/>
                <w:szCs w:val="20"/>
                <w:highlight w:val="none"/>
                <w:u w:val="none"/>
                <w:lang w:val="en-US" w:eastAsia="zh-CN" w:bidi="ar"/>
              </w:rPr>
              <w:t>中必须提供此项功能的软件界面截图）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内置多种随堂练习、趣味答题模板，适配课堂巩固。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6</w:t>
            </w:r>
            <w:r>
              <w:rPr>
                <w:rFonts w:hint="eastAsia" w:ascii="宋体" w:hAnsi="宋体" w:eastAsia="宋体" w:cs="宋体"/>
                <w:i w:val="0"/>
                <w:iCs w:val="0"/>
                <w:color w:val="auto"/>
                <w:kern w:val="0"/>
                <w:sz w:val="20"/>
                <w:szCs w:val="20"/>
                <w:highlight w:val="none"/>
                <w:u w:val="none"/>
                <w:lang w:val="en-US" w:eastAsia="zh-CN" w:bidi="ar"/>
              </w:rPr>
              <w:t>.为方便教师快速查找，所有备课资源均可按照系统自带教材章节进行存储，无需教师自建存储条目；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7</w:t>
            </w:r>
            <w:r>
              <w:rPr>
                <w:rFonts w:hint="eastAsia" w:ascii="宋体" w:hAnsi="宋体" w:eastAsia="宋体" w:cs="宋体"/>
                <w:i w:val="0"/>
                <w:iCs w:val="0"/>
                <w:color w:val="auto"/>
                <w:kern w:val="0"/>
                <w:sz w:val="20"/>
                <w:szCs w:val="20"/>
                <w:highlight w:val="none"/>
                <w:u w:val="none"/>
                <w:lang w:val="en-US" w:eastAsia="zh-CN" w:bidi="ar"/>
              </w:rPr>
              <w:t xml:space="preserve">.备课界面支持将教案、课件、学案、试题、练习、网络画板、虚拟实验、微课等教学资源分享给校内指定教师使用；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8</w:t>
            </w:r>
            <w:r>
              <w:rPr>
                <w:rFonts w:hint="eastAsia" w:ascii="宋体" w:hAnsi="宋体" w:eastAsia="宋体" w:cs="宋体"/>
                <w:i w:val="0"/>
                <w:iCs w:val="0"/>
                <w:color w:val="auto"/>
                <w:kern w:val="0"/>
                <w:sz w:val="20"/>
                <w:szCs w:val="20"/>
                <w:highlight w:val="none"/>
                <w:u w:val="none"/>
                <w:lang w:val="en-US" w:eastAsia="zh-CN" w:bidi="ar"/>
              </w:rPr>
              <w:t>.</w:t>
            </w:r>
            <w:r>
              <w:rPr>
                <w:rFonts w:ascii="宋体" w:hAnsi="宋体" w:eastAsia="宋体" w:cs="宋体"/>
                <w:color w:val="auto"/>
                <w:kern w:val="0"/>
                <w:sz w:val="20"/>
                <w:szCs w:val="20"/>
                <w:highlight w:val="none"/>
                <w:lang w:val="en-US" w:eastAsia="zh-CN" w:bidi="ar"/>
              </w:rPr>
              <w:t>白板教学：提供多种书写笔触、可调色彩，支持自定义常用配色。</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cs="宋体"/>
                <w:i w:val="0"/>
                <w:iCs w:val="0"/>
                <w:color w:val="auto"/>
                <w:kern w:val="0"/>
                <w:sz w:val="20"/>
                <w:szCs w:val="20"/>
                <w:highlight w:val="none"/>
                <w:u w:val="none"/>
                <w:lang w:val="en-US" w:eastAsia="zh-CN" w:bidi="ar"/>
              </w:rPr>
              <w:t>9</w:t>
            </w:r>
            <w:r>
              <w:rPr>
                <w:rFonts w:hint="eastAsia" w:ascii="宋体" w:hAnsi="宋体" w:eastAsia="宋体" w:cs="宋体"/>
                <w:i w:val="0"/>
                <w:iCs w:val="0"/>
                <w:color w:val="auto"/>
                <w:kern w:val="0"/>
                <w:sz w:val="20"/>
                <w:szCs w:val="20"/>
                <w:highlight w:val="none"/>
                <w:u w:val="none"/>
                <w:lang w:val="en-US" w:eastAsia="zh-CN" w:bidi="ar"/>
              </w:rPr>
              <w:t>.支持三个及以上学生同时进行书写或手势擦除操作，不同学生各自进行书写或擦除，互不影响；</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10</w:t>
            </w:r>
            <w:r>
              <w:rPr>
                <w:rFonts w:hint="eastAsia" w:ascii="宋体" w:hAnsi="宋体" w:eastAsia="宋体" w:cs="宋体"/>
                <w:i w:val="0"/>
                <w:iCs w:val="0"/>
                <w:color w:val="auto"/>
                <w:kern w:val="0"/>
                <w:sz w:val="20"/>
                <w:szCs w:val="20"/>
                <w:highlight w:val="none"/>
                <w:u w:val="none"/>
                <w:lang w:val="en-US" w:eastAsia="zh-CN" w:bidi="ar"/>
              </w:rPr>
              <w:t>.支持对白板页面中的元素进行隐藏、锁定、缩放、旋转、置顶等操作，被隐藏元素可以一键重新显示在白板上；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6BFE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4C38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E67D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6245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35000 </w:t>
            </w:r>
          </w:p>
        </w:tc>
      </w:tr>
      <w:tr w14:paraId="7E9CB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4C8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3E4B8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双面打印机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CAA00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1.黑白彩色同速输出，打印速度≥33 页 / 分钟；标配内存≥1GB；</w:t>
            </w:r>
          </w:p>
          <w:p w14:paraId="0DB366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2.标配自动双面打印单元，支持无线 WiFi 网络、有线网络、USB 直连打印，支持 U 盘脱机打印；支持设备远程管理后台；</w:t>
            </w:r>
          </w:p>
          <w:p w14:paraId="5B4206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3.打印分辨率≥1200×1200dpi，具备多种色彩优化再现模式，打印色彩均匀饱满；</w:t>
            </w:r>
          </w:p>
          <w:p w14:paraId="1935057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4.耗材配置要求：支持标准容量、大容量两种四色碳粉盒，标准黑盒标称印量≥2200 页，彩色单盒≥1900 页；高容黑盒≥7600 页，彩色单盒≥5500 页；新机原装耗材黑色≥2300 页，彩色单盒≥1200 页（5% 覆盖率 ISO 标准），耗材兼容通用大容量粉盒，整机单页打印成本低廉；</w:t>
            </w:r>
          </w:p>
          <w:p w14:paraId="03DFC7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5.首页出纸时间≤8.3 秒；主纸盒容量≥250 页，多功能手动进纸托盘≥50 页；支持有线网口、USB 数据接口，具备同等拓展能力即可，老式并行接口不作强制要求；</w:t>
            </w:r>
          </w:p>
          <w:p w14:paraId="7D2078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6.丰富打印功能：支持缩放打印、多合一拼版、分套分组、海报放大、水印、省墨、画面旋转、组合复合打印等多种办公打印模式；</w:t>
            </w:r>
          </w:p>
          <w:p w14:paraId="400F90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7.月最大打印负荷≥50000 页；整机节能省电，低待机功耗；</w:t>
            </w:r>
          </w:p>
          <w:p w14:paraId="543772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8.操作面板：配备中英文液晶显示屏，带数字操作按键，便捷设置打印参数；</w:t>
            </w:r>
          </w:p>
          <w:p w14:paraId="65635B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color w:val="auto"/>
                <w:sz w:val="20"/>
                <w:szCs w:val="20"/>
                <w:highlight w:val="none"/>
                <w:lang w:val="en-US" w:eastAsia="zh-CN"/>
              </w:rPr>
            </w:pPr>
            <w:r>
              <w:rPr>
                <w:rFonts w:hint="eastAsia"/>
                <w:color w:val="auto"/>
                <w:sz w:val="20"/>
                <w:szCs w:val="20"/>
                <w:highlight w:val="none"/>
                <w:lang w:val="en-US" w:eastAsia="zh-CN"/>
              </w:rPr>
              <w:t>9.整机具备低噪节能设计，长期连续打印稳定，卡纸率低。</w:t>
            </w:r>
          </w:p>
          <w:p w14:paraId="7583608B">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D2ADE9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5E29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A380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963F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4500 </w:t>
            </w:r>
          </w:p>
        </w:tc>
      </w:tr>
      <w:tr w14:paraId="28C60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9C0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7780F5">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彩色打印机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5EF680">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打印性能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打印速度：黑白/彩色同速，</w:t>
            </w:r>
            <w:r>
              <w:rPr>
                <w:rFonts w:ascii="宋体" w:hAnsi="宋体" w:eastAsia="宋体" w:cs="宋体"/>
                <w:sz w:val="20"/>
                <w:szCs w:val="20"/>
                <w:highlight w:val="none"/>
              </w:rPr>
              <w:t>单面彩色 / 黑白≥20ppm，双面≥12ppm；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分辨率：1200×1200dpi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首页输出：黑白≤</w:t>
            </w:r>
            <w:r>
              <w:rPr>
                <w:rFonts w:ascii="宋体" w:hAnsi="宋体" w:eastAsia="宋体" w:cs="宋体"/>
                <w:sz w:val="20"/>
                <w:szCs w:val="20"/>
                <w:highlight w:val="none"/>
              </w:rPr>
              <w:t>11 秒</w:t>
            </w:r>
            <w:r>
              <w:rPr>
                <w:rFonts w:hint="eastAsia" w:ascii="宋体" w:hAnsi="宋体" w:eastAsia="宋体" w:cs="宋体"/>
                <w:i w:val="0"/>
                <w:iCs w:val="0"/>
                <w:color w:val="auto"/>
                <w:kern w:val="0"/>
                <w:sz w:val="20"/>
                <w:szCs w:val="20"/>
                <w:highlight w:val="none"/>
                <w:u w:val="none"/>
                <w:lang w:val="en-US" w:eastAsia="zh-CN" w:bidi="ar"/>
              </w:rPr>
              <w:t>，彩色≤</w:t>
            </w:r>
            <w:r>
              <w:rPr>
                <w:rFonts w:ascii="宋体" w:hAnsi="宋体" w:eastAsia="宋体" w:cs="宋体"/>
                <w:sz w:val="20"/>
                <w:szCs w:val="20"/>
                <w:highlight w:val="none"/>
              </w:rPr>
              <w:t>11 秒</w:t>
            </w:r>
            <w:r>
              <w:rPr>
                <w:rFonts w:hint="eastAsia" w:ascii="宋体" w:hAnsi="宋体" w:eastAsia="宋体" w:cs="宋体"/>
                <w:i w:val="0"/>
                <w:iCs w:val="0"/>
                <w:color w:val="auto"/>
                <w:kern w:val="0"/>
                <w:sz w:val="20"/>
                <w:szCs w:val="20"/>
                <w:highlight w:val="none"/>
                <w:u w:val="none"/>
                <w:lang w:val="en-US" w:eastAsia="zh-CN" w:bidi="ar"/>
              </w:rPr>
              <w:t xml:space="preserve"> </w:t>
            </w:r>
          </w:p>
          <w:p w14:paraId="5E266864">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月负荷：30,000页；推荐月印量：150–800页</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内存：1GB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纸张处理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输入：纸盒 250页，多功能托盘 1页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输出：100页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介质：支持普通纸、厚纸、铜版纸、标签、信封等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连接与功能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接口：USB 2.0、有线网络（千兆）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功能：自动双面打印、5行中文显示屏、</w:t>
            </w:r>
            <w:r>
              <w:rPr>
                <w:rFonts w:ascii="宋体" w:hAnsi="宋体" w:eastAsia="宋体" w:cs="宋体"/>
                <w:sz w:val="20"/>
                <w:szCs w:val="20"/>
                <w:highlight w:val="none"/>
              </w:rPr>
              <w:t>支持 PDF、图片通用格式</w:t>
            </w:r>
            <w:r>
              <w:rPr>
                <w:rFonts w:hint="eastAsia" w:ascii="宋体" w:hAnsi="宋体" w:eastAsia="宋体" w:cs="宋体"/>
                <w:i w:val="0"/>
                <w:iCs w:val="0"/>
                <w:color w:val="auto"/>
                <w:kern w:val="0"/>
                <w:sz w:val="20"/>
                <w:szCs w:val="20"/>
                <w:highlight w:val="none"/>
                <w:u w:val="none"/>
                <w:lang w:val="en-US" w:eastAsia="zh-CN" w:bidi="ar"/>
              </w:rPr>
              <w:t xml:space="preserve">、支持AirPrint、Mopria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物理与耗材</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尺寸/重量：</w:t>
            </w:r>
            <w:r>
              <w:rPr>
                <w:rFonts w:ascii="宋体" w:hAnsi="宋体" w:eastAsia="宋体" w:cs="宋体"/>
                <w:sz w:val="20"/>
                <w:szCs w:val="20"/>
                <w:highlight w:val="none"/>
              </w:rPr>
              <w:t>≤440×420×290mm</w:t>
            </w:r>
            <w:r>
              <w:rPr>
                <w:rFonts w:hint="eastAsia" w:ascii="宋体" w:hAnsi="宋体" w:eastAsia="宋体" w:cs="宋体"/>
                <w:i w:val="0"/>
                <w:iCs w:val="0"/>
                <w:color w:val="auto"/>
                <w:kern w:val="0"/>
                <w:sz w:val="20"/>
                <w:szCs w:val="20"/>
                <w:highlight w:val="none"/>
                <w:u w:val="none"/>
                <w:lang w:val="en-US" w:eastAsia="zh-CN" w:bidi="ar"/>
              </w:rPr>
              <w:t xml:space="preserve">，约16kg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耗材：支持鼓粉一体彩色硒鼓</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strike w:val="0"/>
                <w:dstrike w:val="0"/>
                <w:color w:val="auto"/>
                <w:kern w:val="0"/>
                <w:sz w:val="20"/>
                <w:szCs w:val="20"/>
                <w:highlight w:val="none"/>
                <w:u w:val="none"/>
                <w:lang w:val="en-US" w:eastAsia="zh-CN" w:bidi="ar"/>
              </w:rPr>
              <w:t>标准：黑1500页/彩1200页</w:t>
            </w:r>
            <w:r>
              <w:rPr>
                <w:rFonts w:hint="eastAsia" w:ascii="宋体" w:hAnsi="宋体" w:eastAsia="宋体" w:cs="宋体"/>
                <w:i w:val="0"/>
                <w:iCs w:val="0"/>
                <w:color w:val="auto"/>
                <w:kern w:val="0"/>
                <w:sz w:val="20"/>
                <w:szCs w:val="20"/>
                <w:highlight w:val="none"/>
                <w:u w:val="none"/>
                <w:lang w:val="en-US" w:eastAsia="zh-CN" w:bidi="ar"/>
              </w:rPr>
              <w:t>；高容：黑3100页/彩2300页</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640D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B371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94DA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3CDA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2500 </w:t>
            </w:r>
          </w:p>
        </w:tc>
      </w:tr>
      <w:tr w14:paraId="1CD4A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7EF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58FA2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跑酷攀爬组合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C4D655">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（参考尺寸+数量）</w:t>
            </w:r>
          </w:p>
          <w:p w14:paraId="10FDD496">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以下所有尺寸允许±2cm合理生产及安装公差。初级九件套：梯形跳箱尺寸：:90*45*22*48cm/1个、 梯形跳箱尺寸：:90*70*30*75cm/1个 、 梯形跳箱尺寸：:90*68*30*60cm/1个、 升降三角：100*100*100*170cm/1个 、 攀爬架尺寸：120*80*90cm/1个 、 三角蹬尺寸：78*50*30*45cm/4个</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092DCA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A193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67D43E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C474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5500 </w:t>
            </w:r>
          </w:p>
        </w:tc>
      </w:tr>
      <w:tr w14:paraId="3051B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BCB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D3FD7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儿童自行车（运货车）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771E8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小黄运货车，尺寸：车身长约118cm，高约58cm，材质：PVC轮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CE20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544A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辆</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D047AB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8212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2000 </w:t>
            </w:r>
          </w:p>
        </w:tc>
      </w:tr>
      <w:tr w14:paraId="0CF4C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E9D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3F8537">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路锥跨栏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DDC969">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孔方底高度约520mm，1组10个筒+5根杆，杆长约1000mm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BDE2A">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92FCC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组</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D9EB2C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190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85B4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190 </w:t>
            </w:r>
          </w:p>
        </w:tc>
      </w:tr>
      <w:tr w14:paraId="05AF6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5D2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B84D5C">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雪糕筒跨栏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AEEF2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雪糕筒跨栏，1组8个筒+4根杆，杆长约1000mm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DCFF9">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8ECE4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组</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2544C4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135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EBD2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270 </w:t>
            </w:r>
          </w:p>
        </w:tc>
      </w:tr>
      <w:tr w14:paraId="66C2A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669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174D1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滚筒协力车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267A2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多彩滚筒协力车-5筒（尺寸约215*71*67cm）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8B78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448B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46BD00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3792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3000 </w:t>
            </w:r>
          </w:p>
        </w:tc>
      </w:tr>
      <w:tr w14:paraId="7F81C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CF6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0D119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户外骑行区玩具材料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2F0E0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材质：防腐木加油站（尺寸约60*50*110cm）、交通标志牌13件套高80cm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635B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A8E9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2712C5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77AF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1000 </w:t>
            </w:r>
          </w:p>
        </w:tc>
      </w:tr>
      <w:tr w14:paraId="15E52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1A8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358CC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彩色泡沫积木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4B7284">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ZB-E013,10cm厚，多种形状，每包60块。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385F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09DE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E221CB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2C93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360 </w:t>
            </w:r>
          </w:p>
        </w:tc>
      </w:tr>
      <w:tr w14:paraId="3433B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029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58211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创意竹筷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F3EBA9">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模板卡*20；筷子*600（5种不同长度）；六种链接件*300.包装</w:t>
            </w:r>
            <w:r>
              <w:rPr>
                <w:rFonts w:hint="eastAsia" w:ascii="宋体" w:hAnsi="宋体" w:eastAsia="宋体" w:cs="宋体"/>
                <w:i w:val="0"/>
                <w:iCs w:val="0"/>
                <w:color w:val="auto"/>
                <w:kern w:val="0"/>
                <w:sz w:val="20"/>
                <w:szCs w:val="20"/>
                <w:highlight w:val="none"/>
                <w:u w:val="none"/>
                <w:lang w:val="en-US" w:eastAsia="zh-CN" w:bidi="ar"/>
              </w:rPr>
              <w:t>尺寸约</w:t>
            </w:r>
            <w:r>
              <w:rPr>
                <w:rFonts w:hint="eastAsia" w:ascii="宋体" w:hAnsi="宋体" w:eastAsia="宋体" w:cs="宋体"/>
                <w:i w:val="0"/>
                <w:iCs w:val="0"/>
                <w:color w:val="auto"/>
                <w:kern w:val="0"/>
                <w:sz w:val="20"/>
                <w:szCs w:val="20"/>
                <w:u w:val="none"/>
                <w:lang w:val="en-US" w:eastAsia="zh-CN" w:bidi="ar"/>
              </w:rPr>
              <w:t>39*19.5*27.5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0984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8C5A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74E34D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63D1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200 </w:t>
            </w:r>
          </w:p>
        </w:tc>
      </w:tr>
      <w:tr w14:paraId="67A4C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8AA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FFD28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建构3D拼搭木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739556">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球*48，弯棒*38，短棒*38，中棒*48，长棒*28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6131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9998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48B4BD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1FEA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480 </w:t>
            </w:r>
          </w:p>
        </w:tc>
      </w:tr>
      <w:tr w14:paraId="1E8CB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B956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259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B961D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幼儿绘本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FB8E34">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本次采购绘本涵盖八大通用品类，所有参选书籍需适配幼儿园教学场景，贴合幼儿成长特点，具体品类及通用标准如下，供应商可在对应品类内提供合规等效书籍：</w:t>
            </w:r>
          </w:p>
          <w:p w14:paraId="78145C81">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一、采购绘本品类</w:t>
            </w:r>
          </w:p>
          <w:p w14:paraId="1BADDBF5">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1.本土民族文化类：优先纳入广西壮族特色绘本（壮汉双语优先），涵盖壮族服饰、神话传说、民俗文化等，助力本土文化传承；</w:t>
            </w:r>
          </w:p>
          <w:p w14:paraId="53CF3CF1">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2.传统文化与节日类：包含中华传统节日、二十四节气、国学启蒙、传统寓言故事等，贴合幼儿认知特点，图文并茂；</w:t>
            </w:r>
          </w:p>
          <w:p w14:paraId="49317667">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3.红色教育与榜样类：爱国主义教育绘本、革命故事、科学家榜样（如屠呦呦、钱学森等）、雷锋精神等正向引导类书目；</w:t>
            </w:r>
          </w:p>
          <w:p w14:paraId="29D26C73">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4.情绪管理与社交成长类：涵盖逆商培养、情绪疏导、社交能力、感恩教育、抗挫折等主题，适配幼儿心理发展需求；</w:t>
            </w:r>
          </w:p>
          <w:p w14:paraId="7F5B6CE1">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5.我保护与健康类：包含防拐骗、反霸凌、安全常识、幼儿健康（饮食、用眼、运动等）、科学性教育（适龄、画面适宜）等书目；</w:t>
            </w:r>
          </w:p>
          <w:p w14:paraId="352BA8A3">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6.科普启蒙类：自然科学、地理、数学、动物、航天、环保等科普绘本，兼顾趣味性与知识性，适配幼儿理解能力；</w:t>
            </w:r>
          </w:p>
          <w:p w14:paraId="6EB6766C">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7.经典童话与优质绘本类：国内外经典绘本、获奖绘本、卡通IP优质绘本（如迪士尼、经典幼儿绘本系列等），注重画面精美、内容正向；</w:t>
            </w:r>
          </w:p>
          <w:p w14:paraId="50F71F9C">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8.艺术与音乐启蒙类：音乐绘本、美术启蒙、创意互动类绘本，丰富幼儿艺术感知。</w:t>
            </w:r>
          </w:p>
          <w:p w14:paraId="40804951">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二、采购绘本质量标准</w:t>
            </w:r>
          </w:p>
          <w:p w14:paraId="5FD0FAE3">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 合规性标准：所有绘本为正规出版、公开发行的合法出版物，具备图书出版资质、ISBN书号，无盗版、无删减、无违规内容，符合国家出版物出版规范。</w:t>
            </w:r>
          </w:p>
          <w:p w14:paraId="316DB3DD">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 适龄安全标准：适配3-6岁幼儿阅读，内容积极健康、三观正向，无暴力、低俗、恐怖、不良导向内容；纸张厚实、边缘圆角打磨、无毛刺、无刺鼻异味，油墨环保无毒，符合幼儿读物安全标准。</w:t>
            </w:r>
          </w:p>
          <w:p w14:paraId="187BFF75">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3. 装帧品质标准：平装、精装均可，书页平整、印刷清晰、色彩均匀，无模糊、重影、漏印、脱页、破损问题，装订牢固，适合幼儿反复翻阅使用。</w:t>
            </w:r>
          </w:p>
          <w:p w14:paraId="125B5A7C">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4. 内容适配标准：文字简洁易懂、配图精美、故事完整，贴合幼儿园教学大纲及幼儿认知规律，具备对应的教育启蒙价值，可满足幼儿园日常阅读、课堂教学、区域活动使用需求。</w:t>
            </w:r>
          </w:p>
          <w:p w14:paraId="53C74146">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三、其他要求：</w:t>
            </w:r>
            <w:r>
              <w:rPr>
                <w:rFonts w:hint="eastAsia" w:ascii="宋体" w:hAnsi="宋体" w:cs="宋体"/>
                <w:i w:val="0"/>
                <w:iCs w:val="0"/>
                <w:color w:val="auto"/>
                <w:kern w:val="0"/>
                <w:sz w:val="20"/>
                <w:szCs w:val="20"/>
                <w:u w:val="none"/>
                <w:lang w:val="en-US" w:eastAsia="zh-CN" w:bidi="ar"/>
              </w:rPr>
              <w:t>成交</w:t>
            </w:r>
            <w:r>
              <w:rPr>
                <w:rFonts w:hint="eastAsia" w:ascii="宋体" w:hAnsi="宋体" w:eastAsia="宋体" w:cs="宋体"/>
                <w:i w:val="0"/>
                <w:iCs w:val="0"/>
                <w:color w:val="auto"/>
                <w:kern w:val="0"/>
                <w:sz w:val="20"/>
                <w:szCs w:val="20"/>
                <w:u w:val="none"/>
                <w:lang w:val="en-US" w:eastAsia="zh-CN" w:bidi="ar"/>
              </w:rPr>
              <w:t>后，供应商须提交拟供货书目清单给幼儿园审核确认，采购人有权对不适合书目进行合理调换，总册数不变。</w:t>
            </w:r>
          </w:p>
          <w:p w14:paraId="717314A7">
            <w:pPr>
              <w:pStyle w:val="2"/>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45CA8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E1B84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CA48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3B47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5000 </w:t>
            </w:r>
          </w:p>
        </w:tc>
      </w:tr>
      <w:tr w14:paraId="4B4A0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A1B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260</w:t>
            </w: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0B9A7E7B">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vAlign w:val="center"/>
          </w:tcPr>
          <w:p w14:paraId="7B1CC5C3">
            <w:pPr>
              <w:keepNext w:val="0"/>
              <w:keepLines w:val="0"/>
              <w:widowControl/>
              <w:suppressLineNumbers w:val="0"/>
              <w:jc w:val="center"/>
              <w:textAlignment w:val="center"/>
              <w:rPr>
                <w:rFonts w:hint="eastAsia" w:ascii="宋体" w:hAnsi="宋体" w:eastAsia="宋体" w:cs="宋体"/>
                <w:b/>
                <w:bCs/>
                <w:i w:val="0"/>
                <w:iCs w:val="0"/>
                <w:color w:val="FF0000"/>
                <w:kern w:val="2"/>
                <w:sz w:val="20"/>
                <w:szCs w:val="20"/>
                <w:u w:val="none"/>
                <w:lang w:val="en-US" w:eastAsia="zh-CN" w:bidi="ar-SA"/>
              </w:rPr>
            </w:pPr>
            <w:r>
              <w:rPr>
                <w:rFonts w:hint="eastAsia" w:ascii="宋体" w:hAnsi="宋体" w:eastAsia="宋体" w:cs="宋体"/>
                <w:b/>
                <w:bCs/>
                <w:i w:val="0"/>
                <w:iCs w:val="0"/>
                <w:color w:val="FF0000"/>
                <w:kern w:val="0"/>
                <w:sz w:val="20"/>
                <w:szCs w:val="20"/>
                <w:u w:val="none"/>
                <w:lang w:val="en-US" w:eastAsia="zh-CN" w:bidi="ar"/>
              </w:rPr>
              <w:t>上林县西燕镇中心幼儿园</w:t>
            </w:r>
          </w:p>
        </w:tc>
        <w:tc>
          <w:tcPr>
            <w:tcW w:w="0" w:type="auto"/>
            <w:tcBorders>
              <w:top w:val="single" w:color="000000" w:sz="4" w:space="0"/>
              <w:left w:val="single" w:color="000000" w:sz="4" w:space="0"/>
              <w:bottom w:val="single" w:color="000000" w:sz="4" w:space="0"/>
              <w:right w:val="nil"/>
            </w:tcBorders>
            <w:shd w:val="clear" w:color="auto" w:fill="92D050"/>
            <w:noWrap/>
            <w:vAlign w:val="center"/>
          </w:tcPr>
          <w:p w14:paraId="3F8E8973">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590FD875">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4E228063">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0EF7FE2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100000 </w:t>
            </w:r>
          </w:p>
        </w:tc>
      </w:tr>
      <w:tr w14:paraId="2EE43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E7E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CEAC5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教学一体机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78EBB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一、整体设计</w:t>
            </w:r>
          </w:p>
          <w:p w14:paraId="34525F5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1、整机采用一体设计，外部无任何可见内部功能模块连接线。</w:t>
            </w:r>
          </w:p>
          <w:p w14:paraId="7ECD27B1">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2、整机采用全金属外壳设计，边角采用弧形设计，表面无尖锐边缘或凸起；整机屏幕边缘采用金属圆角包边防护，整机背板采用金属材质。</w:t>
            </w:r>
          </w:p>
          <w:p w14:paraId="1850EDD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3、整机屏幕采用65英寸液晶显示器。</w:t>
            </w:r>
          </w:p>
          <w:p w14:paraId="61B9A38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4、整机采用LED液晶A规屏，显示比例16:9。</w:t>
            </w:r>
          </w:p>
          <w:p w14:paraId="44F6C74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二、整机硬件性能与接口</w:t>
            </w:r>
          </w:p>
          <w:p w14:paraId="7EDF838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1、双系统配置 整机搭载 电脑模块 + 嵌入式系统，系统版本不低于 当前最新版本；系统内存 RAM≥4G，存储 ROM≥32G；安卓端可独立实现白板书写、文档编辑、网页浏览等基础教学功能。（相关性能指标可提供厂商彩页、功能截图、第三方检测报告任意一种佐证，设备到货验收时提供完整 CMA/CNAS 检测报告备查）。</w:t>
            </w:r>
          </w:p>
          <w:p w14:paraId="44F93F1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2、整机配备前置外接接口，支持双系统共用读取 U 盘等存储设备；整机配备全功能 Type-C、HDMI、USB3.0 输入接口，侧置预留 HDMI、RS232、USB、音频输出、触控 USB 等拓展接口；整机外设拓展能力满足日常教学设备接驳需求，可通过拓展坞实现同等外接能力。前置接口配有防尘防护盖板，保护接口与外接 U 盘。</w:t>
            </w:r>
          </w:p>
          <w:p w14:paraId="14BE02A6">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3、整机内置高品质扬声器，整机额定总输出功率≥60W，发声均匀，无杂音、破音，满足教室扩声需求。</w:t>
            </w:r>
          </w:p>
          <w:p w14:paraId="76F4467C">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4、红外触控技术，最小识别触控物体≤3mm；整机支持双系统多点触控，触控流畅无断触。</w:t>
            </w:r>
          </w:p>
          <w:p w14:paraId="12DC481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5、整机内置高清摄像头与阵列麦克风，无需外接线材；摄像头像素≥1600 万，广角设计，可完整覆盖教室区域，满足远程巡课、课堂录播；麦克风有效拾音距离≥10 米，多人发言清晰收录。设备自带摄像头工作指示灯，摄像状态直观提示。</w:t>
            </w:r>
          </w:p>
          <w:p w14:paraId="623A7D4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6、支持无线投屏功能，可通过 NFC、扫码、无线连接等任意一种方式实现手机、平板投屏，支持多台移动设备同时分屏展示。</w:t>
            </w:r>
          </w:p>
          <w:p w14:paraId="4CE2D51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7、内置双频 WiFi（2.4G+5GHz）、蓝牙模块，蓝牙标准不低于 Bluetooth 5.2；整机可无线联网、发射无线热点，双系统共用一套无线网络配置，无需重复设置；蓝牙可稳定连接外设，无线传输距离满足教室使用。</w:t>
            </w:r>
          </w:p>
          <w:p w14:paraId="294D82E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8、设备搭载护眼低蓝光背光方案，从硬件层面削减有害蓝光，显示画面无明显泛黄、色偏，符合校园护眼相关规范；屏幕 NTSC 色域覆盖率≥72%，安卓系统支持 4K 高清 UI 显示。</w:t>
            </w:r>
          </w:p>
          <w:p w14:paraId="52C151D6">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9、OPS 电脑配置：运行内存≥8G，固态硬盘≥256G。</w:t>
            </w:r>
          </w:p>
          <w:p w14:paraId="4576A929">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p>
          <w:p w14:paraId="16E733A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三、整机基础交互功能</w:t>
            </w:r>
          </w:p>
          <w:p w14:paraId="2275A1D2">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1、整机内置图像、音效调节模块，提供多种预设图像、音效模式，支持手动调节亮度、对比度、高低音、色温等参数，适配不同教学场景。</w:t>
            </w:r>
          </w:p>
          <w:p w14:paraId="2DB5B9A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2、支持分屏、半屏显示功能，可一键切换全屏 / 半屏，画面完整无裁剪，触控操作正常；支持画面局部放大、聚光灯（区域高亮、其余区域暗化）教学工具。</w:t>
            </w:r>
          </w:p>
          <w:p w14:paraId="2B03376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3、系统悬浮快捷工具栏，可调取批注、截屏、计时、锁屏、硬件自检、聚光灯、学科工具等教学常用功能，工具栏支持自定义调整。</w:t>
            </w:r>
          </w:p>
          <w:p w14:paraId="77A33ED4">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4、支持智能手势快捷操作，可通过手势触发熄屏、批注、分屏等自定义功能，手势识别灵敏稳定。</w:t>
            </w:r>
          </w:p>
          <w:p w14:paraId="100283F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5、全通道支持自由截屏，可框选任意区域保存截图；授课过程中可一键调取各类教学小工具：答题器、倒计时、节拍器、日历、随机抽选等。</w:t>
            </w:r>
          </w:p>
          <w:p w14:paraId="5821AAF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6、双系统实现功能互通：一键切换系统、共享 USB 外设、共享网络、背光手势快捷控制。</w:t>
            </w:r>
          </w:p>
          <w:p w14:paraId="089FEFF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7、内置互动白板，支持多笔同时书写、手掌智能擦除，笔迹自带笔锋；白板文件支持导出 PDF、SVG、IWB 等通用格式；内置充足平面、立体学科绘图工具，满足数理化教学绘图需求。</w:t>
            </w:r>
          </w:p>
          <w:p w14:paraId="2E1DC35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四、配套教学软件功能</w:t>
            </w:r>
          </w:p>
          <w:p w14:paraId="49D6553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1、教学资源分类管理：可按年级、学科、教材版本收纳课件、习题、阅读资料，支持云端存储、本地资源调取。</w:t>
            </w:r>
          </w:p>
          <w:p w14:paraId="4DD8152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2、白板教学模板丰富，支持田字格、五线谱、米字格、坐标纸等学科专用背景，支持原笔迹批注、拖拽、擦除。</w:t>
            </w:r>
          </w:p>
          <w:p w14:paraId="3BFC622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3、支持 PPT 原生播放、手势翻页、多级放大，批注笔迹同步保存；支持一键将课件上传至个人云空间，授课时云端直接下载使用。</w:t>
            </w:r>
          </w:p>
          <w:p w14:paraId="0C174EA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4、支持集体备课、在线听评课功能：可自定义评课评分模板、评分细则，听课记录可保存、导出分享；支持教师扫码听课评价。</w:t>
            </w:r>
          </w:p>
          <w:p w14:paraId="2EBC1549">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5、课堂录播功能：授课全过程可录制，支持暂停、停止，可自定义录制音视频画质，录制窗口可隐藏不遮挡教学画面。</w:t>
            </w:r>
          </w:p>
          <w:p w14:paraId="7D242BA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6、支持手机远程控制大屏课件翻页；支持课堂互动答题，学生扫码答题，教师查看答题正确率、导出课堂学情报告；支持课堂弹幕、班级成员管理。</w:t>
            </w:r>
          </w:p>
          <w:p w14:paraId="42527C9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7、支持网页资源一键导入课件，可制作课堂互动小游戏并保存至个人云盘，随时调取复用。</w:t>
            </w:r>
          </w:p>
          <w:p w14:paraId="2D86E43C">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8、为每位教师提供免费教学云存储空间，支持本地个人资源同步至云端，授课随时调取。</w:t>
            </w:r>
          </w:p>
          <w:p w14:paraId="32D467A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五、集控管理平台功能</w:t>
            </w:r>
          </w:p>
          <w:p w14:paraId="2C59A05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 xml:space="preserve"> 1、平台可统一查看所有教学设备硬件信息：屏幕尺寸、系统版本、CPU、内存、硬盘、网络状态等；支持列表、缩略图两种设备查看模式，批量预览设备实时画面。</w:t>
            </w:r>
          </w:p>
          <w:p w14:paraId="33D792A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 xml:space="preserve"> 2、远程巡课督导：可实时查看设备屏幕画面与课堂摄像头画面；支持远程下发设备系统、集控软件升级包，设备空闲时段自动完成更新。</w:t>
            </w:r>
          </w:p>
          <w:p w14:paraId="22C8BEB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 xml:space="preserve"> 3、远程管理功能：支持批量设置定时锁屏 / 解锁，可按工作日、周末自定义循环策略；远程下发考场考试安排，设备按时展示考试信息。</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CFCC23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684E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C8D0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D389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20000 </w:t>
            </w:r>
          </w:p>
        </w:tc>
      </w:tr>
      <w:tr w14:paraId="4CF83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A62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DA5B5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大型积木（塑料）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DFEBB2">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大城堡积木组合/娱乐宫积木组合（拼插积木）产品尺寸：约60 × 40 × 70 cm，材质：ABS塑料、3C认证 ，配件：灯光、庄园拓展包、公仔</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ACBD46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9A75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74E9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BA35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3500 </w:t>
            </w:r>
          </w:p>
        </w:tc>
      </w:tr>
      <w:tr w14:paraId="7F47D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7B4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BC34B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滑板车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22D69A">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 PE材质  抗冻耐低温，底部加厚耐磨带防滑纹路    尺寸：约86*40*15厘米</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F76EAF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C355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271F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B616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200 </w:t>
            </w:r>
          </w:p>
        </w:tc>
      </w:tr>
      <w:tr w14:paraId="3B7A7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8B5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09567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交通标识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F04585">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产品材质：塑料</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配套：14个交通标志造型款雪糕筒</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尺寸：约31.5*30*98cm（单个）</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场景：交通规则、骑行安全、认识标志</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B7FAF1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AC33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FE34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ED3F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250 </w:t>
            </w:r>
          </w:p>
        </w:tc>
      </w:tr>
      <w:tr w14:paraId="7A20E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5DA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638923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幼儿三轮货运车</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EC70D5F">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产品名称:儿童幼教三轮车产品材质:高碳钢车架 橡胶轮</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建议身高:90一125cm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产品尺寸:约118*65cm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产品净重:约15kg</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产品承重:约100kg</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参考适用年龄:2-9岁</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5AB4638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4C5E51B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辆</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4D6C027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69CF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1750 </w:t>
            </w:r>
          </w:p>
        </w:tc>
      </w:tr>
      <w:tr w14:paraId="30A00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EDC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1DDF6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平衡车</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E0A61A8">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14寸氩弧焊车架，一字车把铝制V字把立，山地组件，20H滚珠花鼓，铝车圈钢车条，2.2加粗外胎，高弹车座。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3E74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BDA1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8DD9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3EE4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950 </w:t>
            </w:r>
          </w:p>
        </w:tc>
      </w:tr>
      <w:tr w14:paraId="4838D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67B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9DB73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百变磁力贴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CA9A6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产品数量：约662件。配置：以下所有尺寸允许±2cm合理生产及安装公差。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软软长棍蓝色（66x1500mm)5根、软软长棍橙色（66x1500mm）5根、软软中棍蓝色（66x1000mm）5根、软软中棍橙色（66x1000mm）5根、软软短棍蓝色（66x600mm)10根、软软短棍橙色（66x600mm）10根、软软骰子（150x150x150mm）2个、磁力片正方形（360x360x60mm）40片、思华彩（1360x360x24mm）40片、磁力片空心梯形（690x310x24mm)10片、磁力片梯形（690x310x24mm)10片、软软圆盘蓝色（240x240x70mm）10个、软软圆盘橙色（240x240x70mm)10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软软带孔圆盘蓝色（240x240x65mm）10个、软软带孔圆盘橙色（240x240x65mm)10个、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软软带孔立方形蓝色（240x240x65mm)10个、软软带孔立方形橙色（240x240x65mm)10个、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软软立方形蓝色（240*240*240mm)6个、软软立方形绿色（240*240*240mm)6个、软软连接件（75*120mm)24个、平板车（310x310x160mm）8辆、平板车连接件（110x36x32mm)16个、拖车长绳（长1350mm)8条、拖车短绳（长350mm)4条、圆环（350mm)60个</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2048D7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EF6C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0A83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949E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30000 </w:t>
            </w:r>
          </w:p>
        </w:tc>
      </w:tr>
      <w:tr w14:paraId="1F4E0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146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12D22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沙水区玩具套组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55A84A">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（参考尺寸+数量）</w:t>
            </w:r>
          </w:p>
          <w:p w14:paraId="7BC2780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以下所有尺寸允许±2cm合理生产及安装公差。1、沙水组合套装148件。2、材质：芬兰木和PP）        户外沙水游戏采用芬兰松防腐木，倒角，光滑无毛刺。3、尺寸分别为水车，96*46*48.5，66*46*48.5， 每个尺寸1个共2个；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立板1：尺寸：370*300*15mm，4个；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立板2：尺寸:524*300*15mm，4个；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立板3：尺寸：677*300*15mm，4个；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立板4：尺寸：831*300*15mm，4个；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鱼板：尺寸394*150*15mm，16个；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挡水板：尺寸：500*407*15mm，，4个；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水泵：尺寸：dn48，4个；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剖面管1：尺寸：直径105mm,长1000mm，10个；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剖面管2：尺寸：直径105mm,长1500mm，5个；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剖面管3:尺寸：直径105mm,长2000mm，2个；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高透明管道1：尺寸：直径110mm,壁厚2mm,长1000mm，5个；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高透明管道2：尺寸：直径110mm,壁厚2mm,1500mm5个；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水龙头连接器：尺寸：4分，5个；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软管：尺寸25.250cm，4个；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硅胶软管：4分/35000,30米；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弯头：尺寸：175*175*120mm，2个；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三通：尺寸：215*18*120mm，2个；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塞子：尺寸：110*110*75mm   ，2个；管堵：尺寸120*120*80mm，4个；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铲子小：尺寸：360*90mm，12个；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铲子中:尺寸：500*120，5个；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铲子大：尺寸：68*150mm，3个；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筛网（小）：尺寸：直径150，20个；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筛网（中）：尺寸：直径200，10个；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筛网（中）：尺寸：直径280，5个；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沙桶：尺寸：尺寸：直径260，5个；</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679AB0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5E7A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7D66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17D8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5500 </w:t>
            </w:r>
          </w:p>
        </w:tc>
      </w:tr>
      <w:tr w14:paraId="32D7F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49A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269</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22C8088A">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三角吊环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4E3940">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三角吊环一对+链扣2个，吊环宽度约16cm</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7685FD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97B2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00A1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FADD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165 </w:t>
            </w:r>
          </w:p>
        </w:tc>
      </w:tr>
      <w:tr w14:paraId="166A8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961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270</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79EC77F1">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木棒吊环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4D24DF">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木棒+吊环+挂钩+连接带，10mm塑料绳，绳长尺寸1-1.8米，可以调节，木棒尺寸约3.2cm直径，长约40cm</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937710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C91A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89D2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3F6D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180 </w:t>
            </w:r>
          </w:p>
        </w:tc>
      </w:tr>
      <w:tr w14:paraId="1BFE1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9D7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271</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196DCEE2">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软板秋千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0FD188">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软板秋千+连接扣2个，尺寸：总长≧2米（可调节），软板长度≧66cm，宽≧14cm</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CC6DF2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0474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A4B3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AAEC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120 </w:t>
            </w:r>
          </w:p>
        </w:tc>
      </w:tr>
      <w:tr w14:paraId="39904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5D9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272</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56441722">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弯板秋千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3A99DF">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弯板秋千+连接扣2个，尺寸：总长≧2米（可调节），弯板长≧42cm, 宽≧17cm</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8F4719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486F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3F28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E765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120 </w:t>
            </w:r>
          </w:p>
        </w:tc>
      </w:tr>
      <w:tr w14:paraId="55931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D71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273</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26F867C8">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圆形秋千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E1C1D4">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60cm彩色+吊绳+树带+扣，尺寸：总长≧1.8米，圆直径≧60cm</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71C097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99EE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3A2F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7613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260 </w:t>
            </w:r>
          </w:p>
        </w:tc>
      </w:tr>
      <w:tr w14:paraId="2EBD8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BD5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274</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3515B7FE">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3米实木彩梯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E6F41F">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实木彩梯+连接扣2个，木棍尺寸:长度≧40cm，木棍直径≧35mm</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517930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898F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550A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E387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435 </w:t>
            </w:r>
          </w:p>
        </w:tc>
      </w:tr>
      <w:tr w14:paraId="1D1BF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A3D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275</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197D8C60">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6档塑料梯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C50676">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六档双头塑料梯+连接扣2个，爬梯总长≧2米</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624225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CF8B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E44E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ED22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450 </w:t>
            </w:r>
          </w:p>
        </w:tc>
      </w:tr>
      <w:tr w14:paraId="42F4D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1F4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276</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20636A95">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糖葫芦串爬绳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DA21D7">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圆环≧4个，爬绳总长≧2米</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E17021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C39F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3B7F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CA2D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280 </w:t>
            </w:r>
          </w:p>
        </w:tc>
      </w:tr>
      <w:tr w14:paraId="4DF87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1EE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277</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2C697875">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坦克圈海绵爬行垫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0BE3B9">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尺寸：≧周长300cm,≧宽度50cm</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EFE8BF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8479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F10D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760D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405 </w:t>
            </w:r>
          </w:p>
        </w:tc>
      </w:tr>
      <w:tr w14:paraId="41D86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51A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278</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70E36A3A">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大滚球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894BC3">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尺寸：直径≧63cm，材质：工程塑料，≧5个1组</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F27B22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1ADB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6C99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9643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1200 </w:t>
            </w:r>
          </w:p>
        </w:tc>
      </w:tr>
      <w:tr w14:paraId="0B517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312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279</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183718A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儿童5号篮球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63A902">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一、产品基础规格</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规格型号：5 号幼儿专用篮球</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标称外径：220mm（22cm），成品尺寸公差 ±2mm；圆周约 69～71cm，适配 3～7 岁幼儿园幼儿手掌抓握、拍球训练。</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球体重量：320g～360g，重量均衡，幼儿轻松拍击不伤手腕。</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球面筋沟：标准深筋槽设计，筋沟宽度 4±0.5mm，深度 2.5±0.3mm，防滑易抓握。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二、材质要求（环保橡胶核心条款）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球面主体材质：</w:t>
            </w:r>
            <w:r>
              <w:rPr>
                <w:rFonts w:ascii="宋体" w:hAnsi="宋体" w:eastAsia="宋体" w:cs="宋体"/>
                <w:color w:val="auto"/>
                <w:sz w:val="20"/>
                <w:szCs w:val="20"/>
                <w:highlight w:val="none"/>
              </w:rPr>
              <w:t>全新环保橡胶混合料，可采用食品级天然橡胶搭配改性合成橡胶或其他同等环保全新橡胶配方；</w:t>
            </w:r>
            <w:r>
              <w:rPr>
                <w:rFonts w:hint="eastAsia" w:ascii="宋体" w:hAnsi="宋体" w:eastAsia="宋体" w:cs="宋体"/>
                <w:i w:val="0"/>
                <w:iCs w:val="0"/>
                <w:color w:val="auto"/>
                <w:kern w:val="0"/>
                <w:sz w:val="20"/>
                <w:szCs w:val="20"/>
                <w:highlight w:val="none"/>
                <w:u w:val="none"/>
                <w:lang w:val="en-US" w:eastAsia="zh-CN" w:bidi="ar"/>
              </w:rPr>
              <w:t>禁用再生废橡胶、回收劣质废旧胶皮，不含废旧轮胎碎料、工业废胶。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环保指标：无刺鼻异味，甲醛含量≤10mg/kg、重金属（铅、镉、汞、铬）符合 GB 6675 玩具安全国标，不含邻苯二甲酸酯（6P），满足幼儿园室内密闭环境使用。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内胆：丁基橡胶密闭内胆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气密性优异，常温常压充气后静置 72h 气压压降≤10%，不漏气、不易慢撒气；中胎为高弹橡胶中胎，缓冲减震，落地回弹高度：充气标准状态下落高 1.2m 自由落体，回弹 60～70cm。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缠纱：高强度尼龙纤维全缠纱</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整球全缠绕尼龙纱线，不变形、不起鼓，长期拍打球体不鼓包、不椭圆。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三、外观与工艺参数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球面纹路：凹凸颗粒防滑纹</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颗粒圆润无尖锐棱角，颗粒高度 0.8～1.2mm，避免划伤幼儿手掌；球面无毛边、毛刺、尖锐凸起，边角打磨圆润。</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配色：多色可选（红 / 黄 / 蓝 / 橙幼儿园常规配色）</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球面油墨采用环保水性油墨印刷，不掉色、不脱色，幼儿出汗触摸无掉色沾染皮肤，印刷图案附着力达标，反复摩擦不掉漆。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气嘴：内嵌式防吞安全气嘴</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气嘴凹陷内嵌设计，无外突硬质凸起，防止幼儿磕碰、抠咬误食，气嘴密封胶圈为环保硅胶材质。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四、执行国家标准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执行GB 6675.1~4-2014《玩具安全》国家强制性标准、GB/T 19851.11 中小学体育器材安全标准；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供货随附：第三方质检报告（甲醛、邻苯、重金属检测）、产品合格证、出厂检验单。</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五、验收验收标准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尺寸抽检：随机抽取 10% 货品卡尺实测直径，控制在 21.8～22.2cm；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气味验收：开箱无刺鼻化工臭味、塑胶异味；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充气验收：标准充气后静置 3 天不漏气，无变形鼓包；</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耐磨测试：常温地面连续拍打 500 次，球面无开裂、掉皮、大面积掉漆。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六、包装要求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单球 OPP 环保塑料袋独立封装，外箱瓦楞纸箱打包，标注品名、规格、执行标准、生产日期、厂家信息，便于幼儿园入库盘点。</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2654E3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F5F8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7C00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6F8C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2500 </w:t>
            </w:r>
          </w:p>
        </w:tc>
      </w:tr>
      <w:tr w14:paraId="44D56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F12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280</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15FBF5F2">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脚踏自行车1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062EC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材质：高碳钢，车架尺寸14寸，车身长度105cm,车轮直径35cm，座椅高度53-64cm，龙头高度67-75cm</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6810A8B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BB3E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595BE">
            <w:pPr>
              <w:keepNext w:val="0"/>
              <w:keepLines w:val="0"/>
              <w:widowControl/>
              <w:suppressLineNumbers w:val="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B6DAF">
            <w:pPr>
              <w:keepNext w:val="0"/>
              <w:keepLines w:val="0"/>
              <w:widowControl/>
              <w:suppressLineNumbers w:val="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1000</w:t>
            </w:r>
          </w:p>
        </w:tc>
      </w:tr>
      <w:tr w14:paraId="292EF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B2A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281</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2122E2CD">
            <w:pPr>
              <w:keepNext w:val="0"/>
              <w:keepLines w:val="0"/>
              <w:widowControl/>
              <w:suppressLineNumbers w:val="0"/>
              <w:jc w:val="left"/>
              <w:textAlignment w:val="center"/>
              <w:rPr>
                <w:rFonts w:hint="default" w:ascii="宋体" w:hAnsi="宋体" w:eastAsia="宋体" w:cs="宋体"/>
                <w:i w:val="0"/>
                <w:iCs w:val="0"/>
                <w:color w:val="auto"/>
                <w:sz w:val="20"/>
                <w:szCs w:val="20"/>
                <w:u w:val="none"/>
                <w:lang w:val="en-US"/>
              </w:rPr>
            </w:pPr>
            <w:r>
              <w:rPr>
                <w:rFonts w:hint="eastAsia" w:ascii="宋体" w:hAnsi="宋体" w:eastAsia="宋体" w:cs="宋体"/>
                <w:i w:val="0"/>
                <w:iCs w:val="0"/>
                <w:color w:val="auto"/>
                <w:kern w:val="0"/>
                <w:sz w:val="20"/>
                <w:szCs w:val="20"/>
                <w:u w:val="none"/>
                <w:lang w:val="en-US" w:eastAsia="zh-CN" w:bidi="ar"/>
              </w:rPr>
              <w:t>脚踏自行车2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FADAD3">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sz w:val="20"/>
                <w:szCs w:val="20"/>
                <w:u w:val="none"/>
              </w:rPr>
              <w:t>材质：高碳钢，车架尺寸16寸，车身长度115cm,车轮直径40cm，座椅高度58-69cm，龙头高度72-80cm</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B76A0C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A9DB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89E1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12BA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1100 </w:t>
            </w:r>
          </w:p>
        </w:tc>
      </w:tr>
      <w:tr w14:paraId="1C527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BFA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ABAFE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万能工匠组合</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top"/>
          </w:tcPr>
          <w:p w14:paraId="094B30FD">
            <w:pPr>
              <w:keepNext w:val="0"/>
              <w:keepLines w:val="0"/>
              <w:widowControl/>
              <w:suppressLineNumbers w:val="0"/>
              <w:jc w:val="left"/>
              <w:textAlignment w:val="top"/>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允许±</w:t>
            </w: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％合理生产及安装公差：参考规格：507*316*193cm,加厚</w:t>
            </w:r>
            <w:r>
              <w:rPr>
                <w:rFonts w:hint="eastAsia" w:ascii="宋体" w:hAnsi="宋体" w:cs="宋体"/>
                <w:i w:val="0"/>
                <w:iCs w:val="0"/>
                <w:color w:val="auto"/>
                <w:kern w:val="0"/>
                <w:sz w:val="20"/>
                <w:szCs w:val="20"/>
                <w:highlight w:val="none"/>
                <w:u w:val="none"/>
                <w:lang w:val="en-US" w:eastAsia="zh-CN" w:bidi="ar"/>
              </w:rPr>
              <w:t>,组件总数不少于</w:t>
            </w:r>
            <w:r>
              <w:rPr>
                <w:rFonts w:hint="eastAsia" w:ascii="宋体" w:hAnsi="宋体" w:eastAsia="宋体" w:cs="宋体"/>
                <w:i w:val="0"/>
                <w:iCs w:val="0"/>
                <w:color w:val="auto"/>
                <w:kern w:val="0"/>
                <w:sz w:val="20"/>
                <w:szCs w:val="20"/>
                <w:highlight w:val="none"/>
                <w:u w:val="none"/>
                <w:lang w:val="en-US" w:eastAsia="zh-CN" w:bidi="ar"/>
              </w:rPr>
              <w:t>258件(圆盘</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76个，轮胎</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8个，管子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174条)具体配置：圆盘</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76个，115.2cm管子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72根，76cm管子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66根，48.5cm管子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12根，15.2cm管子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8根，171cm管子</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16根，轮胎</w:t>
            </w:r>
            <w:r>
              <w:rPr>
                <w:rFonts w:hint="eastAsia" w:ascii="宋体" w:hAnsi="宋体" w:cs="宋体"/>
                <w:i w:val="0"/>
                <w:iCs w:val="0"/>
                <w:color w:val="auto"/>
                <w:kern w:val="0"/>
                <w:sz w:val="20"/>
                <w:szCs w:val="20"/>
                <w:highlight w:val="none"/>
                <w:u w:val="none"/>
                <w:lang w:val="en-US" w:eastAsia="zh-CN" w:bidi="ar"/>
              </w:rPr>
              <w:t>不少于</w:t>
            </w:r>
            <w:r>
              <w:rPr>
                <w:rFonts w:hint="eastAsia" w:ascii="宋体" w:hAnsi="宋体" w:eastAsia="宋体" w:cs="宋体"/>
                <w:i w:val="0"/>
                <w:iCs w:val="0"/>
                <w:color w:val="auto"/>
                <w:kern w:val="0"/>
                <w:sz w:val="20"/>
                <w:szCs w:val="20"/>
                <w:highlight w:val="none"/>
                <w:u w:val="none"/>
                <w:lang w:val="en-US" w:eastAsia="zh-CN" w:bidi="ar"/>
              </w:rPr>
              <w:t>8个</w:t>
            </w:r>
            <w:r>
              <w:rPr>
                <w:rFonts w:hint="eastAsia" w:ascii="宋体" w:hAnsi="宋体" w:cs="宋体"/>
                <w:i w:val="0"/>
                <w:iCs w:val="0"/>
                <w:color w:val="auto"/>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2B19C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75A6C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76285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15D2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5800 </w:t>
            </w:r>
          </w:p>
        </w:tc>
      </w:tr>
      <w:tr w14:paraId="0FF31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06A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1E71F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炭烧积木</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FF60FE">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加厚款，≧508件套碳化积木（5-10CM厚度），碳化推车1个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EFBD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6D8B7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045C3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59B7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5315 </w:t>
            </w:r>
          </w:p>
        </w:tc>
      </w:tr>
      <w:tr w14:paraId="58746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FF1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62FF7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滚筒协力车</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8D0F1A">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球面主体材质：食品级环保天然橡胶 + 改性合成橡胶混合料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B146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42E6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辆</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F56F4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AD7E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1500 </w:t>
            </w:r>
          </w:p>
        </w:tc>
      </w:tr>
      <w:tr w14:paraId="7D51D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E02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EF0A1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沙水区玩具套组</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7A3F43C">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（参考尺寸+数量）</w:t>
            </w:r>
          </w:p>
          <w:p w14:paraId="4E05890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以下所有尺寸允许±2cm合理生产及安装公差。1、沙水组合套装148件。2、材质：芬兰木和PP）        户外沙水游戏采用芬兰松防腐木，倒角，光滑无毛刺。3、尺寸分别为水车，96*46*48.5，66*46*48.5， 每个尺寸1个共2个；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立板1：尺寸：370*300*15mm，4个；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立板2：尺寸:524*300*15mm，4个；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立板3：尺寸：677*300*15mm，4个；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立板4：尺寸：831*300*15mm，4个；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鱼板：尺寸394*150*15mm，16个；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挡水板：尺寸：500*407*15mm，，4个；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水泵：尺寸：dn48，4个；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剖面管1：尺寸：直径105mm,长1000mm，10个；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剖面管2：尺寸：直径105mm,长1500mm，5个；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剖面管3:尺寸：直径105mm,长2000mm，2个；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高透明管道1：尺寸：直径110mm,壁厚2mm,长1000mm，5个；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高透明管道2：尺寸：直径110mm,壁厚2mm,1500mm5个；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水龙头连接器：尺寸：4分，5个；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软管：尺寸25.250cm，4个；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硅胶软管：4分/35000,30米；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弯头：尺寸：175*175*120mm，2个；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三通：尺寸：215*18*120mm，2个；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塞子：尺寸：110*110*75mm   ，2个；管堵：尺寸120*120*80mm，4个；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铲子小：尺寸：360*90mm，12个；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铲子中:尺寸：500*120，5个；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铲子大：尺寸：68*150mm，3个；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筛网（小）：尺寸：直径150，20个；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筛网（中）：尺寸：直径200，10个；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筛网（中）：尺寸：直径280，5个；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沙桶：尺寸：尺寸：直径260，5个；</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4C74464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F297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9074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4AA9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5500 </w:t>
            </w:r>
          </w:p>
        </w:tc>
      </w:tr>
      <w:tr w14:paraId="383D4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F9D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708BF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户外涂鸦板</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718AAC9">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（参考尺寸+数量）</w:t>
            </w:r>
          </w:p>
          <w:p w14:paraId="23BBDC5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以下所有尺寸允许±2cm合理生产及安装公差。整体尺寸2000×1200×150mm，有效绘画区1600×1000mm；框架1.2mm热镀锌钢管喷塑防腐，面板户外哑光搪瓷板面，防水防晒防眩光，可反复擦写；背板防水海洋板，全圆角安全处理，配套地埋固定配件；户外耐候设计，适合校园室外长期使用环保指标：无刺鼻异味，甲醛含量≤10mg/kg、重金属（铅、镉、汞、铬）符合 GB 6675 玩具安全国标，不含邻苯二甲酸酯（6P），满足幼儿园室内密闭环境使用。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0A7E7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724C1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D3D94A">
            <w:pPr>
              <w:keepNext w:val="0"/>
              <w:keepLines w:val="0"/>
              <w:widowControl/>
              <w:suppressLineNumbers w:val="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2020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516C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2020 </w:t>
            </w:r>
          </w:p>
        </w:tc>
      </w:tr>
      <w:tr w14:paraId="06801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F3E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2E747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体能训练组合</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54104F">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配置：模块化软体障碍套件+充气弹跳踏板+防护垫</w:t>
            </w:r>
          </w:p>
          <w:p w14:paraId="5E92DE63">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核心材质：软体外层加厚PVC防水皮革，内芯高密度EPE；弹跳踏板丁基橡胶内胆；支架热镀锌钢管。工艺：全件圆角软包，充气内胆气密性强，持久保压，钢架防腐处理</w:t>
            </w:r>
          </w:p>
          <w:p w14:paraId="294DB0F1">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执行标准：GB/T 39222</w:t>
            </w:r>
          </w:p>
          <w:p w14:paraId="73012514">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功能：青少年障碍跑酷、弹跳、平衡、综合体能训练，模块自由拼装</w:t>
            </w:r>
          </w:p>
        </w:tc>
        <w:tc>
          <w:tcPr>
            <w:tcW w:w="0" w:type="auto"/>
            <w:tcBorders>
              <w:top w:val="single" w:color="000000" w:sz="4" w:space="0"/>
              <w:left w:val="single" w:color="000000" w:sz="4" w:space="0"/>
              <w:bottom w:val="single" w:color="000000" w:sz="4" w:space="0"/>
              <w:right w:val="nil"/>
            </w:tcBorders>
            <w:shd w:val="clear" w:color="auto" w:fill="FFFFFF"/>
            <w:noWrap/>
            <w:vAlign w:val="center"/>
          </w:tcPr>
          <w:p w14:paraId="4AD9607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54475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D0AA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354C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5500 </w:t>
            </w:r>
          </w:p>
        </w:tc>
      </w:tr>
      <w:tr w14:paraId="326CF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871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D9820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安吉游戏户外碳化攀爬架组合</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FC3D17">
            <w:pPr>
              <w:keepNext w:val="0"/>
              <w:keepLines w:val="0"/>
              <w:widowControl/>
              <w:numPr>
                <w:ilvl w:val="0"/>
                <w:numId w:val="13"/>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材质：新西兰松木、高温碳化防腐、全圆角打磨、户外环保水性漆。</w:t>
            </w:r>
          </w:p>
          <w:p w14:paraId="61B0C8FB">
            <w:pPr>
              <w:keepNext w:val="0"/>
              <w:keepLines w:val="0"/>
              <w:widowControl/>
              <w:numPr>
                <w:ilvl w:val="0"/>
                <w:numId w:val="13"/>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配置（允许±2cm合理生产及安装公差）：：低架4个、中架2个、直梯4个、平衡板6个。</w:t>
            </w:r>
          </w:p>
          <w:p w14:paraId="2EB1BDE5">
            <w:pPr>
              <w:keepNext w:val="0"/>
              <w:keepLines w:val="0"/>
              <w:widowControl/>
              <w:numPr>
                <w:ilvl w:val="0"/>
                <w:numId w:val="13"/>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规格（允许±2cm合理生产及安装公差）：低架：60×55×80 cm、中架：60×55×100 cm、直梯：150×40×9 cm、平衡板：180×20×4 cm。</w:t>
            </w:r>
          </w:p>
          <w:p w14:paraId="77554DDD">
            <w:pPr>
              <w:keepNext w:val="0"/>
              <w:keepLines w:val="0"/>
              <w:widowControl/>
              <w:numPr>
                <w:ilvl w:val="0"/>
                <w:numId w:val="13"/>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安全标准：GB 28007-2024，承重≥100kg ，</w:t>
            </w:r>
          </w:p>
          <w:p w14:paraId="05D23720">
            <w:pPr>
              <w:keepNext w:val="0"/>
              <w:keepLines w:val="0"/>
              <w:widowControl/>
              <w:numPr>
                <w:ilvl w:val="0"/>
                <w:numId w:val="13"/>
              </w:numPr>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用途：适合幼儿户外攀爬、平衡感统、自由拼搭游戏。</w:t>
            </w:r>
          </w:p>
        </w:tc>
        <w:tc>
          <w:tcPr>
            <w:tcW w:w="0" w:type="auto"/>
            <w:tcBorders>
              <w:top w:val="single" w:color="000000" w:sz="4" w:space="0"/>
              <w:left w:val="single" w:color="000000" w:sz="4" w:space="0"/>
              <w:bottom w:val="single" w:color="000000" w:sz="4" w:space="0"/>
              <w:right w:val="nil"/>
            </w:tcBorders>
            <w:shd w:val="clear" w:color="auto" w:fill="FFFFFF"/>
            <w:noWrap/>
            <w:vAlign w:val="center"/>
          </w:tcPr>
          <w:p w14:paraId="2FB5DE0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E6E98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5F09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E2B9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4000 </w:t>
            </w:r>
          </w:p>
        </w:tc>
      </w:tr>
      <w:tr w14:paraId="2403B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6BB5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b/>
                <w:bCs/>
                <w:i w:val="0"/>
                <w:iCs w:val="0"/>
                <w:color w:val="000000"/>
                <w:kern w:val="0"/>
                <w:sz w:val="20"/>
                <w:szCs w:val="20"/>
                <w:u w:val="none"/>
                <w:lang w:val="en-US" w:eastAsia="zh-CN" w:bidi="ar"/>
              </w:rPr>
              <w:t>商务条款</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097EC7">
            <w:pPr>
              <w:widowControl/>
              <w:shd w:val="clear" w:color="auto" w:fill="FFFFFF"/>
              <w:spacing w:line="360" w:lineRule="auto"/>
              <w:jc w:val="both"/>
              <w:rPr>
                <w:rFonts w:hint="eastAsia" w:ascii="宋体" w:hAnsi="宋体"/>
                <w:szCs w:val="21"/>
              </w:rPr>
            </w:pPr>
            <w:r>
              <w:rPr>
                <w:rFonts w:hint="eastAsia" w:ascii="宋体" w:hAnsi="宋体" w:cs="宋体"/>
                <w:szCs w:val="21"/>
              </w:rPr>
              <w:t>▲</w:t>
            </w:r>
            <w:r>
              <w:rPr>
                <w:rFonts w:hint="eastAsia" w:ascii="宋体" w:hAnsi="宋体"/>
                <w:szCs w:val="21"/>
              </w:rPr>
              <w:t>一、合同签订期：自</w:t>
            </w:r>
            <w:r>
              <w:rPr>
                <w:rFonts w:hint="eastAsia" w:ascii="宋体" w:hAnsi="宋体"/>
                <w:szCs w:val="21"/>
                <w:lang w:eastAsia="zh-CN"/>
              </w:rPr>
              <w:t>成交</w:t>
            </w:r>
            <w:r>
              <w:rPr>
                <w:rFonts w:hint="eastAsia" w:ascii="宋体" w:hAnsi="宋体"/>
                <w:szCs w:val="21"/>
              </w:rPr>
              <w:t>通知书发出之日起10日内</w:t>
            </w:r>
          </w:p>
          <w:p w14:paraId="71D1C12B">
            <w:pPr>
              <w:widowControl/>
              <w:shd w:val="clear" w:color="auto" w:fill="FFFFFF"/>
              <w:spacing w:line="360" w:lineRule="auto"/>
              <w:jc w:val="both"/>
              <w:rPr>
                <w:rFonts w:ascii="宋体" w:hAnsi="宋体"/>
                <w:szCs w:val="21"/>
              </w:rPr>
            </w:pPr>
            <w:r>
              <w:rPr>
                <w:rFonts w:hint="eastAsia" w:ascii="宋体" w:hAnsi="宋体"/>
                <w:b/>
                <w:bCs/>
                <w:szCs w:val="21"/>
              </w:rPr>
              <w:t>▲</w:t>
            </w:r>
            <w:r>
              <w:rPr>
                <w:rFonts w:hint="eastAsia" w:ascii="宋体" w:hAnsi="宋体"/>
                <w:szCs w:val="21"/>
              </w:rPr>
              <w:t>二、</w:t>
            </w:r>
            <w:r>
              <w:rPr>
                <w:rFonts w:hint="eastAsia" w:ascii="宋体" w:hAnsi="宋体"/>
                <w:bCs/>
                <w:szCs w:val="21"/>
              </w:rPr>
              <w:t>货物期限（含交货安装）：自合同签订之日起</w:t>
            </w:r>
            <w:r>
              <w:rPr>
                <w:rFonts w:hint="eastAsia" w:ascii="宋体" w:hAnsi="宋体"/>
                <w:bCs/>
                <w:szCs w:val="21"/>
                <w:lang w:val="en-US" w:eastAsia="zh-CN"/>
              </w:rPr>
              <w:t>20</w:t>
            </w:r>
            <w:r>
              <w:rPr>
                <w:rFonts w:hint="eastAsia" w:ascii="宋体" w:hAnsi="宋体"/>
                <w:bCs/>
                <w:szCs w:val="21"/>
              </w:rPr>
              <w:t>日内交货并安装调试完毕。</w:t>
            </w:r>
          </w:p>
          <w:p w14:paraId="7FAD3CAC">
            <w:pPr>
              <w:widowControl/>
              <w:shd w:val="clear" w:color="auto" w:fill="FFFFFF"/>
              <w:spacing w:line="360" w:lineRule="auto"/>
              <w:jc w:val="both"/>
              <w:rPr>
                <w:rFonts w:hint="eastAsia" w:ascii="宋体" w:hAnsi="宋体" w:eastAsia="宋体"/>
                <w:bCs/>
                <w:szCs w:val="21"/>
                <w:u w:val="single"/>
                <w:lang w:eastAsia="zh-CN"/>
              </w:rPr>
            </w:pPr>
            <w:r>
              <w:rPr>
                <w:rFonts w:hint="eastAsia" w:ascii="宋体" w:hAnsi="宋体"/>
                <w:szCs w:val="21"/>
              </w:rPr>
              <w:t>三、货物地点：</w:t>
            </w:r>
            <w:r>
              <w:rPr>
                <w:rFonts w:hint="eastAsia" w:ascii="宋体" w:hAnsi="宋体" w:eastAsia="宋体" w:cs="宋体"/>
                <w:szCs w:val="21"/>
                <w:lang w:eastAsia="zh-CN" w:bidi="ar"/>
              </w:rPr>
              <w:t>采购人指定地点的现场交货</w:t>
            </w:r>
          </w:p>
          <w:p w14:paraId="30EAC4CE">
            <w:pPr>
              <w:spacing w:line="400" w:lineRule="exact"/>
              <w:rPr>
                <w:rFonts w:ascii="宋体" w:hAnsi="宋体"/>
                <w:szCs w:val="21"/>
              </w:rPr>
            </w:pPr>
            <w:r>
              <w:rPr>
                <w:rFonts w:hint="eastAsia" w:ascii="宋体" w:hAnsi="宋体"/>
                <w:szCs w:val="21"/>
              </w:rPr>
              <w:t>▲</w:t>
            </w:r>
            <w:r>
              <w:rPr>
                <w:rFonts w:hint="eastAsia" w:ascii="Calibri" w:hAnsi="Calibri"/>
                <w:szCs w:val="21"/>
              </w:rPr>
              <w:t>四</w:t>
            </w:r>
            <w:r>
              <w:rPr>
                <w:rFonts w:hint="eastAsia" w:ascii="宋体" w:hAnsi="宋体"/>
                <w:szCs w:val="21"/>
              </w:rPr>
              <w:t>、验收标准、规范：</w:t>
            </w:r>
          </w:p>
          <w:p w14:paraId="1CE1A71A">
            <w:pPr>
              <w:spacing w:line="400" w:lineRule="exact"/>
              <w:rPr>
                <w:rFonts w:hint="eastAsia" w:ascii="宋体" w:hAnsi="宋体"/>
                <w:szCs w:val="21"/>
              </w:rPr>
            </w:pPr>
            <w:r>
              <w:rPr>
                <w:rFonts w:hint="eastAsia" w:ascii="宋体" w:hAnsi="宋体"/>
                <w:szCs w:val="21"/>
              </w:rPr>
              <w:t>1.采购标的须严格执行国家、行业、地方及现行相关标准规范。</w:t>
            </w:r>
          </w:p>
          <w:p w14:paraId="7B879654">
            <w:pPr>
              <w:spacing w:line="400" w:lineRule="exact"/>
              <w:rPr>
                <w:rFonts w:hint="eastAsia" w:ascii="宋体" w:hAnsi="宋体"/>
                <w:szCs w:val="21"/>
              </w:rPr>
            </w:pPr>
            <w:r>
              <w:rPr>
                <w:rFonts w:hint="eastAsia" w:ascii="宋体" w:hAnsi="宋体"/>
                <w:szCs w:val="21"/>
              </w:rPr>
              <w:t>2.采购人依据采购文件技术规格、国家现行相关质量标准开展现场初步验收。产品外观、数量、型号、参数、说明书等均符合采购文件技术要求及</w:t>
            </w:r>
            <w:r>
              <w:rPr>
                <w:rFonts w:hint="eastAsia" w:ascii="宋体" w:hAnsi="宋体"/>
                <w:szCs w:val="21"/>
                <w:lang w:eastAsia="zh-CN"/>
              </w:rPr>
              <w:t>响应</w:t>
            </w:r>
            <w:r>
              <w:rPr>
                <w:rFonts w:hint="eastAsia" w:ascii="宋体" w:hAnsi="宋体"/>
                <w:szCs w:val="21"/>
              </w:rPr>
              <w:t>承诺的，予以签收；初步验收不合格的，不予签收。若所供产品与</w:t>
            </w:r>
            <w:r>
              <w:rPr>
                <w:rFonts w:hint="eastAsia" w:ascii="宋体" w:hAnsi="宋体"/>
                <w:szCs w:val="21"/>
                <w:lang w:eastAsia="zh-CN"/>
              </w:rPr>
              <w:t>响应</w:t>
            </w:r>
            <w:r>
              <w:rPr>
                <w:rFonts w:hint="eastAsia" w:ascii="宋体" w:hAnsi="宋体"/>
                <w:szCs w:val="21"/>
              </w:rPr>
              <w:t>承诺不符或存在虚假承诺情形的，采购人有权按规定作退货及违约处理，由此产生的一切责任、费用及损失均由</w:t>
            </w:r>
            <w:r>
              <w:rPr>
                <w:rFonts w:hint="eastAsia" w:ascii="宋体" w:hAnsi="宋体"/>
                <w:szCs w:val="21"/>
                <w:lang w:eastAsia="zh-CN"/>
              </w:rPr>
              <w:t>成交</w:t>
            </w:r>
            <w:r>
              <w:rPr>
                <w:rFonts w:hint="eastAsia" w:ascii="宋体" w:hAnsi="宋体"/>
                <w:szCs w:val="21"/>
              </w:rPr>
              <w:t>供应商承担，采购人保留进一步追究相关责任的权利。</w:t>
            </w:r>
          </w:p>
          <w:p w14:paraId="6C0D4B74">
            <w:pPr>
              <w:widowControl/>
              <w:shd w:val="clear" w:color="auto" w:fill="FFFFFF"/>
              <w:spacing w:line="400" w:lineRule="exact"/>
              <w:rPr>
                <w:rFonts w:hint="eastAsia" w:ascii="宋体" w:hAnsi="宋体" w:cs="宋体"/>
                <w:bCs/>
                <w:szCs w:val="21"/>
              </w:rPr>
            </w:pPr>
            <w:r>
              <w:rPr>
                <w:rFonts w:hint="eastAsia" w:ascii="宋体" w:hAnsi="宋体" w:cs="宋体"/>
                <w:bCs/>
                <w:szCs w:val="21"/>
              </w:rPr>
              <w:t>3.验收有关要求：</w:t>
            </w:r>
          </w:p>
          <w:p w14:paraId="094F2707">
            <w:pPr>
              <w:widowControl/>
              <w:shd w:val="clear" w:color="auto" w:fill="FFFFFF"/>
              <w:spacing w:line="400" w:lineRule="exact"/>
              <w:rPr>
                <w:rFonts w:hint="eastAsia" w:ascii="宋体" w:hAnsi="宋体" w:cs="宋体"/>
                <w:bCs/>
                <w:szCs w:val="21"/>
              </w:rPr>
            </w:pPr>
            <w:r>
              <w:rPr>
                <w:rFonts w:hint="eastAsia" w:ascii="宋体" w:hAnsi="宋体"/>
                <w:szCs w:val="21"/>
              </w:rPr>
              <w:t>（1）</w:t>
            </w:r>
            <w:r>
              <w:rPr>
                <w:rFonts w:hint="eastAsia" w:ascii="宋体" w:hAnsi="宋体" w:cs="宋体"/>
                <w:bCs/>
                <w:szCs w:val="21"/>
                <w:lang w:eastAsia="zh-CN"/>
              </w:rPr>
              <w:t>成交</w:t>
            </w:r>
            <w:r>
              <w:rPr>
                <w:rFonts w:hint="eastAsia" w:ascii="宋体" w:hAnsi="宋体" w:cs="宋体"/>
                <w:bCs/>
                <w:szCs w:val="21"/>
              </w:rPr>
              <w:t>供应商应根据采购人通知要求，做好验收前各项准备；货物到达采购人现场，应提前通知采购人，</w:t>
            </w:r>
            <w:r>
              <w:rPr>
                <w:rFonts w:hint="eastAsia" w:ascii="宋体" w:hAnsi="宋体" w:cs="宋体"/>
                <w:bCs/>
                <w:szCs w:val="21"/>
                <w:lang w:eastAsia="zh-CN"/>
              </w:rPr>
              <w:t>成交</w:t>
            </w:r>
            <w:r>
              <w:rPr>
                <w:rFonts w:hint="eastAsia" w:ascii="宋体" w:hAnsi="宋体" w:cs="宋体"/>
                <w:bCs/>
                <w:szCs w:val="21"/>
              </w:rPr>
              <w:t>供应商会同采购人及有关人员根据有关清单（</w:t>
            </w:r>
            <w:r>
              <w:rPr>
                <w:rFonts w:hint="eastAsia" w:ascii="Calibri" w:hAnsi="Calibri"/>
              </w:rPr>
              <w:t>采购需求的规定及采购合同约定的附件、工具、技术资料等；提供产品使用说明书、合格证</w:t>
            </w:r>
            <w:r>
              <w:rPr>
                <w:rFonts w:hint="eastAsia" w:ascii="宋体" w:hAnsi="宋体" w:cs="宋体"/>
                <w:bCs/>
                <w:szCs w:val="21"/>
              </w:rPr>
              <w:t>）开展验收；</w:t>
            </w:r>
          </w:p>
          <w:p w14:paraId="4C5E54EA">
            <w:pPr>
              <w:widowControl/>
              <w:shd w:val="clear" w:color="auto" w:fill="FFFFFF"/>
              <w:spacing w:line="400" w:lineRule="exact"/>
              <w:rPr>
                <w:rFonts w:hint="eastAsia" w:ascii="宋体" w:hAnsi="宋体" w:cs="宋体"/>
                <w:bCs/>
                <w:szCs w:val="21"/>
              </w:rPr>
            </w:pPr>
            <w:r>
              <w:rPr>
                <w:rFonts w:hint="eastAsia" w:ascii="宋体" w:hAnsi="宋体" w:cs="宋体"/>
                <w:bCs/>
                <w:szCs w:val="21"/>
              </w:rPr>
              <w:t>（2）采购人根据</w:t>
            </w:r>
            <w:r>
              <w:rPr>
                <w:rFonts w:hint="eastAsia" w:ascii="宋体" w:hAnsi="宋体" w:cs="宋体"/>
                <w:bCs/>
                <w:szCs w:val="21"/>
                <w:lang w:eastAsia="zh-CN"/>
              </w:rPr>
              <w:t>成交</w:t>
            </w:r>
            <w:r>
              <w:rPr>
                <w:rFonts w:hint="eastAsia" w:ascii="宋体" w:hAnsi="宋体" w:cs="宋体"/>
                <w:bCs/>
                <w:szCs w:val="21"/>
              </w:rPr>
              <w:t>供应商提供的货物产品清单进行现场验收，一旦清单与采购要求不符或发现缺损，</w:t>
            </w:r>
            <w:r>
              <w:rPr>
                <w:rFonts w:hint="eastAsia" w:ascii="宋体" w:hAnsi="宋体" w:cs="宋体"/>
                <w:bCs/>
                <w:szCs w:val="21"/>
                <w:lang w:eastAsia="zh-CN"/>
              </w:rPr>
              <w:t>成交</w:t>
            </w:r>
            <w:r>
              <w:rPr>
                <w:rFonts w:hint="eastAsia" w:ascii="宋体" w:hAnsi="宋体" w:cs="宋体"/>
                <w:bCs/>
                <w:szCs w:val="21"/>
              </w:rPr>
              <w:t>供应商须立即予以更换，有关费用全部由</w:t>
            </w:r>
            <w:r>
              <w:rPr>
                <w:rFonts w:hint="eastAsia" w:ascii="宋体" w:hAnsi="宋体" w:cs="宋体"/>
                <w:bCs/>
                <w:szCs w:val="21"/>
                <w:lang w:eastAsia="zh-CN"/>
              </w:rPr>
              <w:t>成交</w:t>
            </w:r>
            <w:r>
              <w:rPr>
                <w:rFonts w:hint="eastAsia" w:ascii="宋体" w:hAnsi="宋体" w:cs="宋体"/>
                <w:bCs/>
                <w:szCs w:val="21"/>
              </w:rPr>
              <w:t>供应商承担。</w:t>
            </w:r>
          </w:p>
          <w:p w14:paraId="01CD779E">
            <w:pPr>
              <w:spacing w:line="400" w:lineRule="exact"/>
              <w:rPr>
                <w:rFonts w:hint="eastAsia" w:ascii="宋体" w:hAnsi="宋体"/>
                <w:szCs w:val="21"/>
              </w:rPr>
            </w:pPr>
            <w:r>
              <w:rPr>
                <w:rFonts w:hint="eastAsia" w:ascii="宋体" w:hAnsi="宋体" w:cs="宋体"/>
                <w:bCs/>
                <w:szCs w:val="21"/>
              </w:rPr>
              <w:t>（3）为保证产品质量，批量供货前需提供符合</w:t>
            </w:r>
            <w:r>
              <w:rPr>
                <w:rFonts w:hint="eastAsia" w:ascii="宋体" w:hAnsi="宋体" w:cs="宋体"/>
                <w:bCs/>
                <w:szCs w:val="21"/>
                <w:lang w:eastAsia="zh-CN"/>
              </w:rPr>
              <w:t>响应文件</w:t>
            </w:r>
            <w:r>
              <w:rPr>
                <w:rFonts w:hint="eastAsia" w:ascii="宋体" w:hAnsi="宋体" w:cs="宋体"/>
                <w:bCs/>
                <w:szCs w:val="21"/>
              </w:rPr>
              <w:t>要求的产品一套进行验收，验收通过后方可批量供货，不合格采购人不予验收并有权上报相关主管部门处理。</w:t>
            </w:r>
          </w:p>
          <w:p w14:paraId="0E5A8FA9">
            <w:pPr>
              <w:spacing w:line="400" w:lineRule="exact"/>
              <w:rPr>
                <w:rFonts w:ascii="宋体" w:hAnsi="宋体"/>
                <w:szCs w:val="21"/>
              </w:rPr>
            </w:pPr>
            <w:r>
              <w:rPr>
                <w:rFonts w:hint="eastAsia" w:ascii="宋体" w:hAnsi="宋体"/>
                <w:szCs w:val="21"/>
              </w:rPr>
              <w:t>4.最终验收按双方签订的合同条款逐项进行；若本招标项目另有要求的，从其规定。</w:t>
            </w:r>
          </w:p>
          <w:p w14:paraId="69F9E356">
            <w:pPr>
              <w:spacing w:line="400" w:lineRule="exact"/>
              <w:rPr>
                <w:rFonts w:ascii="宋体" w:hAnsi="宋体"/>
                <w:szCs w:val="21"/>
              </w:rPr>
            </w:pPr>
            <w:r>
              <w:rPr>
                <w:rFonts w:hint="eastAsia" w:ascii="宋体" w:hAnsi="宋体"/>
                <w:szCs w:val="21"/>
              </w:rPr>
              <w:t>▲五、售后服务要求：</w:t>
            </w:r>
          </w:p>
          <w:p w14:paraId="0AB9ACAA">
            <w:pPr>
              <w:spacing w:line="400" w:lineRule="exact"/>
              <w:rPr>
                <w:rFonts w:ascii="宋体" w:hAnsi="宋体"/>
                <w:szCs w:val="21"/>
              </w:rPr>
            </w:pPr>
            <w:r>
              <w:rPr>
                <w:rFonts w:hint="eastAsia" w:ascii="宋体" w:hAnsi="宋体"/>
                <w:szCs w:val="21"/>
              </w:rPr>
              <w:t>1.质保期：按国家有关产品“三包”规定执行“三包”，质保期除特别注明外，最短不得少于1年。质保期内负责上门服务、维修、更换配件，不得收取任何费用。（自</w:t>
            </w:r>
            <w:r>
              <w:rPr>
                <w:rFonts w:hint="eastAsia" w:ascii="Calibri" w:hAnsi="Calibri"/>
                <w:szCs w:val="21"/>
              </w:rPr>
              <w:t>验收合格并正式投入使用之日</w:t>
            </w:r>
            <w:r>
              <w:rPr>
                <w:rFonts w:hint="eastAsia" w:ascii="宋体" w:hAnsi="宋体"/>
                <w:szCs w:val="21"/>
              </w:rPr>
              <w:t>起计）</w:t>
            </w:r>
          </w:p>
          <w:p w14:paraId="35A39BB7">
            <w:pPr>
              <w:spacing w:line="400" w:lineRule="exact"/>
              <w:rPr>
                <w:rFonts w:ascii="宋体" w:hAnsi="宋体"/>
                <w:szCs w:val="21"/>
              </w:rPr>
            </w:pPr>
            <w:r>
              <w:rPr>
                <w:rFonts w:hint="eastAsia" w:ascii="宋体" w:hAnsi="宋体"/>
                <w:szCs w:val="21"/>
              </w:rPr>
              <w:t>2.故障响应要求：出现故障2小时内作出响应，根据使用单位的要求，</w:t>
            </w:r>
            <w:r>
              <w:rPr>
                <w:rFonts w:hint="eastAsia" w:ascii="宋体" w:hAnsi="宋体"/>
                <w:color w:val="auto"/>
                <w:szCs w:val="21"/>
                <w:highlight w:val="none"/>
                <w:lang w:val="en-US" w:eastAsia="zh-CN"/>
              </w:rPr>
              <w:t>4</w:t>
            </w:r>
            <w:r>
              <w:rPr>
                <w:rFonts w:hint="eastAsia" w:ascii="宋体" w:hAnsi="宋体"/>
                <w:color w:val="auto"/>
                <w:szCs w:val="21"/>
                <w:highlight w:val="none"/>
              </w:rPr>
              <w:t>小时内</w:t>
            </w:r>
            <w:r>
              <w:rPr>
                <w:rFonts w:hint="eastAsia" w:ascii="宋体" w:hAnsi="宋体"/>
                <w:szCs w:val="21"/>
              </w:rPr>
              <w:t>到场维修。</w:t>
            </w:r>
          </w:p>
          <w:p w14:paraId="67BADF9A">
            <w:pPr>
              <w:spacing w:line="400" w:lineRule="exact"/>
              <w:rPr>
                <w:rFonts w:hint="eastAsia" w:ascii="宋体" w:hAnsi="宋体"/>
                <w:szCs w:val="21"/>
              </w:rPr>
            </w:pPr>
            <w:r>
              <w:rPr>
                <w:rFonts w:hint="eastAsia" w:ascii="宋体" w:hAnsi="宋体"/>
                <w:szCs w:val="21"/>
              </w:rPr>
              <w:t>3.售后服务人员要求：专职人员（提供人员名单、联系电话及E-mail等，以便为采购人提供完善的售前和售后技术咨询服务）</w:t>
            </w:r>
          </w:p>
          <w:p w14:paraId="67E5AA6A">
            <w:pPr>
              <w:spacing w:line="400" w:lineRule="exact"/>
              <w:rPr>
                <w:rFonts w:ascii="宋体" w:hAnsi="宋体"/>
                <w:szCs w:val="21"/>
              </w:rPr>
            </w:pPr>
            <w:r>
              <w:rPr>
                <w:rFonts w:hint="eastAsia" w:ascii="宋体" w:hAnsi="宋体"/>
                <w:szCs w:val="21"/>
              </w:rPr>
              <w:t xml:space="preserve">4.售后服务包含但不限于下述内容： </w:t>
            </w:r>
          </w:p>
          <w:p w14:paraId="2716CAE8">
            <w:pPr>
              <w:spacing w:line="400" w:lineRule="exact"/>
              <w:rPr>
                <w:rFonts w:hint="eastAsia" w:ascii="宋体" w:hAnsi="宋体"/>
                <w:szCs w:val="21"/>
              </w:rPr>
            </w:pPr>
            <w:r>
              <w:rPr>
                <w:rFonts w:hint="eastAsia" w:ascii="宋体" w:hAnsi="宋体"/>
                <w:szCs w:val="21"/>
              </w:rPr>
              <w:t>（1）</w:t>
            </w:r>
            <w:r>
              <w:rPr>
                <w:rFonts w:hint="eastAsia" w:ascii="Calibri" w:hAnsi="Calibri"/>
              </w:rPr>
              <w:t>免费保修期内提供免费上门维修服务（含免费更换零部件、免人工费），并提供终身维修维护服务；所有非故意性损坏以及正常使用范围内造成的损坏均要免费维修，因人为因素出现的故障不在免费保修范围内，但</w:t>
            </w:r>
            <w:r>
              <w:rPr>
                <w:rFonts w:hint="eastAsia"/>
                <w:lang w:eastAsia="zh-CN"/>
              </w:rPr>
              <w:t>成交</w:t>
            </w:r>
            <w:r>
              <w:rPr>
                <w:rFonts w:hint="eastAsia" w:ascii="Calibri" w:hAnsi="Calibri"/>
              </w:rPr>
              <w:t>供应商也要积极帮助采购人修理，并提供优惠价格的配件和服务。如果需要更换配件的，所更换的配件应当为原供货产品品牌、类型相一致或者是同等档次的替代品，后者需征得用户方管理人员同意；若采购人发现产品存在制造上的缺陷，</w:t>
            </w:r>
            <w:r>
              <w:rPr>
                <w:rFonts w:hint="eastAsia"/>
                <w:lang w:eastAsia="zh-CN"/>
              </w:rPr>
              <w:t>成交</w:t>
            </w:r>
            <w:r>
              <w:rPr>
                <w:rFonts w:hint="eastAsia" w:ascii="Calibri" w:hAnsi="Calibri"/>
              </w:rPr>
              <w:t>供应商应负责采取补救措施，若该缺陷导致产品存在安全隐患或不能使用的，</w:t>
            </w:r>
            <w:r>
              <w:rPr>
                <w:rFonts w:hint="eastAsia"/>
                <w:lang w:eastAsia="zh-CN"/>
              </w:rPr>
              <w:t>成交</w:t>
            </w:r>
            <w:r>
              <w:rPr>
                <w:rFonts w:hint="eastAsia" w:ascii="Calibri" w:hAnsi="Calibri"/>
              </w:rPr>
              <w:t>供应商应负责免费更换整件产品</w:t>
            </w:r>
            <w:r>
              <w:rPr>
                <w:rFonts w:hint="eastAsia" w:ascii="宋体" w:hAnsi="宋体"/>
                <w:szCs w:val="21"/>
              </w:rPr>
              <w:t>；</w:t>
            </w:r>
          </w:p>
          <w:p w14:paraId="5FE94AB1">
            <w:pPr>
              <w:spacing w:line="400" w:lineRule="exact"/>
              <w:rPr>
                <w:rFonts w:ascii="宋体" w:hAnsi="宋体"/>
                <w:szCs w:val="21"/>
              </w:rPr>
            </w:pPr>
            <w:r>
              <w:rPr>
                <w:rFonts w:hint="eastAsia" w:ascii="宋体" w:hAnsi="宋体"/>
                <w:szCs w:val="21"/>
              </w:rPr>
              <w:t>（2）要求提供7*24小时提供服务，质保期内定期回访并维护，每年不少于2次。</w:t>
            </w:r>
          </w:p>
          <w:p w14:paraId="45334BD7">
            <w:pPr>
              <w:tabs>
                <w:tab w:val="left" w:pos="180"/>
                <w:tab w:val="left" w:pos="1620"/>
              </w:tabs>
              <w:spacing w:line="400" w:lineRule="exact"/>
              <w:rPr>
                <w:rFonts w:hint="eastAsia" w:ascii="宋体" w:hAnsi="宋体"/>
                <w:bCs/>
                <w:szCs w:val="21"/>
              </w:rPr>
            </w:pPr>
            <w:r>
              <w:rPr>
                <w:rFonts w:hint="eastAsia" w:ascii="宋体" w:hAnsi="宋体"/>
                <w:szCs w:val="21"/>
              </w:rPr>
              <w:t>▲</w:t>
            </w:r>
            <w:r>
              <w:rPr>
                <w:rFonts w:hint="eastAsia" w:ascii="宋体" w:hAnsi="宋体"/>
                <w:bCs/>
                <w:szCs w:val="21"/>
              </w:rPr>
              <w:t>六、其他服务要求：</w:t>
            </w:r>
          </w:p>
          <w:p w14:paraId="13CDFDEA">
            <w:pPr>
              <w:widowControl/>
              <w:shd w:val="clear" w:color="auto" w:fill="FFFFFF"/>
              <w:spacing w:line="400" w:lineRule="exact"/>
              <w:rPr>
                <w:rFonts w:hint="eastAsia" w:ascii="宋体" w:hAnsi="宋体" w:cs="宋体"/>
                <w:bCs/>
                <w:szCs w:val="21"/>
              </w:rPr>
            </w:pPr>
            <w:r>
              <w:rPr>
                <w:rFonts w:hint="eastAsia" w:ascii="宋体" w:hAnsi="宋体" w:cs="宋体"/>
                <w:bCs/>
                <w:szCs w:val="21"/>
              </w:rPr>
              <w:t>1.所提供的货物产品必须是未使用过的全新产品。免费送货上门，按现场条件全程免费安装调试合格，标配齐全，直至最终验收前产生的所有费用由</w:t>
            </w:r>
            <w:r>
              <w:rPr>
                <w:rFonts w:hint="eastAsia" w:ascii="宋体" w:hAnsi="宋体" w:cs="宋体"/>
                <w:bCs/>
                <w:szCs w:val="21"/>
                <w:lang w:eastAsia="zh-CN"/>
              </w:rPr>
              <w:t>成交</w:t>
            </w:r>
            <w:r>
              <w:rPr>
                <w:rFonts w:hint="eastAsia" w:ascii="宋体" w:hAnsi="宋体" w:cs="宋体"/>
                <w:bCs/>
                <w:szCs w:val="21"/>
              </w:rPr>
              <w:t>供应商承担。</w:t>
            </w:r>
          </w:p>
          <w:p w14:paraId="79AC5552">
            <w:pPr>
              <w:widowControl/>
              <w:shd w:val="clear" w:color="auto" w:fill="FFFFFF"/>
              <w:spacing w:line="400" w:lineRule="exact"/>
              <w:rPr>
                <w:rFonts w:hint="eastAsia" w:ascii="宋体" w:hAnsi="宋体" w:cs="宋体"/>
                <w:bCs/>
                <w:szCs w:val="21"/>
              </w:rPr>
            </w:pPr>
            <w:r>
              <w:rPr>
                <w:rFonts w:hint="eastAsia" w:ascii="宋体" w:hAnsi="宋体" w:cs="宋体"/>
                <w:bCs/>
                <w:szCs w:val="21"/>
              </w:rPr>
              <w:t>2.送达采购人指定地点的货物若产品质量存在缺陷，免费更换新产品。</w:t>
            </w:r>
          </w:p>
          <w:p w14:paraId="6E10FAAB">
            <w:pPr>
              <w:widowControl/>
              <w:shd w:val="clear" w:color="auto" w:fill="FFFFFF"/>
              <w:spacing w:line="400" w:lineRule="exact"/>
              <w:rPr>
                <w:rFonts w:ascii="宋体" w:hAnsi="宋体" w:cs="宋体"/>
                <w:bCs/>
                <w:szCs w:val="21"/>
              </w:rPr>
            </w:pPr>
            <w:r>
              <w:rPr>
                <w:rFonts w:hint="eastAsia" w:ascii="宋体" w:hAnsi="宋体" w:cs="宋体"/>
                <w:bCs/>
                <w:szCs w:val="21"/>
              </w:rPr>
              <w:t>3.产品质量（产品设计、制造工艺、材料缺陷）引发的费用，均由供应商承担。</w:t>
            </w:r>
          </w:p>
          <w:p w14:paraId="572F712C">
            <w:pPr>
              <w:widowControl/>
              <w:shd w:val="clear" w:color="auto" w:fill="FFFFFF"/>
              <w:spacing w:line="400" w:lineRule="exact"/>
              <w:rPr>
                <w:rFonts w:hint="eastAsia" w:ascii="宋体" w:hAnsi="宋体" w:cs="宋体"/>
                <w:bCs/>
                <w:szCs w:val="21"/>
              </w:rPr>
            </w:pPr>
            <w:r>
              <w:rPr>
                <w:rFonts w:hint="eastAsia" w:ascii="宋体" w:hAnsi="宋体" w:cs="宋体"/>
                <w:bCs/>
                <w:szCs w:val="21"/>
              </w:rPr>
              <w:t>3.安装施工有关要求：</w:t>
            </w:r>
          </w:p>
          <w:p w14:paraId="024C0304">
            <w:pPr>
              <w:widowControl/>
              <w:shd w:val="clear" w:color="auto" w:fill="FFFFFF"/>
              <w:spacing w:line="400" w:lineRule="exact"/>
              <w:rPr>
                <w:rFonts w:hint="eastAsia" w:ascii="宋体" w:hAnsi="宋体" w:cs="宋体"/>
                <w:bCs/>
                <w:szCs w:val="21"/>
              </w:rPr>
            </w:pPr>
            <w:r>
              <w:rPr>
                <w:rFonts w:hint="eastAsia" w:ascii="宋体" w:hAnsi="宋体" w:cs="宋体"/>
                <w:bCs/>
                <w:szCs w:val="21"/>
              </w:rPr>
              <w:t>（1）</w:t>
            </w:r>
            <w:r>
              <w:rPr>
                <w:rFonts w:hint="eastAsia" w:ascii="宋体" w:hAnsi="宋体" w:cs="宋体"/>
                <w:bCs/>
                <w:szCs w:val="21"/>
                <w:lang w:eastAsia="zh-CN"/>
              </w:rPr>
              <w:t>成交</w:t>
            </w:r>
            <w:r>
              <w:rPr>
                <w:rFonts w:hint="eastAsia" w:ascii="宋体" w:hAnsi="宋体" w:cs="宋体"/>
                <w:bCs/>
                <w:szCs w:val="21"/>
              </w:rPr>
              <w:t>供应商遵守现场的一切规章制度，应自行负责</w:t>
            </w:r>
            <w:r>
              <w:rPr>
                <w:rFonts w:hint="eastAsia" w:ascii="Calibri" w:hAnsi="Calibri" w:cs="宋体"/>
                <w:bCs/>
                <w:szCs w:val="21"/>
              </w:rPr>
              <w:t>安装</w:t>
            </w:r>
            <w:r>
              <w:rPr>
                <w:rFonts w:hint="eastAsia" w:ascii="宋体" w:hAnsi="宋体" w:cs="宋体"/>
                <w:bCs/>
                <w:szCs w:val="21"/>
              </w:rPr>
              <w:t>现场的安全管理；</w:t>
            </w:r>
          </w:p>
          <w:p w14:paraId="2EEED4FF">
            <w:pPr>
              <w:widowControl/>
              <w:shd w:val="clear" w:color="auto" w:fill="FFFFFF"/>
              <w:spacing w:line="400" w:lineRule="exact"/>
              <w:rPr>
                <w:rFonts w:ascii="宋体" w:hAnsi="宋体"/>
                <w:szCs w:val="21"/>
              </w:rPr>
            </w:pPr>
            <w:r>
              <w:rPr>
                <w:rFonts w:hint="eastAsia" w:ascii="宋体" w:hAnsi="宋体" w:cs="宋体"/>
                <w:bCs/>
                <w:szCs w:val="21"/>
              </w:rPr>
              <w:t>（2）安装施工过程中，</w:t>
            </w:r>
            <w:r>
              <w:rPr>
                <w:rFonts w:hint="eastAsia" w:ascii="宋体" w:hAnsi="宋体" w:cs="宋体"/>
                <w:bCs/>
                <w:szCs w:val="21"/>
                <w:lang w:eastAsia="zh-CN"/>
              </w:rPr>
              <w:t>成交</w:t>
            </w:r>
            <w:r>
              <w:rPr>
                <w:rFonts w:hint="eastAsia" w:ascii="宋体" w:hAnsi="宋体" w:cs="宋体"/>
                <w:bCs/>
                <w:szCs w:val="21"/>
              </w:rPr>
              <w:t>供应商负责及时清理垃圾。</w:t>
            </w:r>
            <w:r>
              <w:rPr>
                <w:rFonts w:hint="eastAsia" w:ascii="宋体" w:hAnsi="宋体"/>
                <w:szCs w:val="21"/>
              </w:rPr>
              <w:t xml:space="preserve">                     </w:t>
            </w:r>
          </w:p>
          <w:p w14:paraId="1D741DA9">
            <w:pPr>
              <w:spacing w:line="400" w:lineRule="exact"/>
              <w:rPr>
                <w:rFonts w:ascii="宋体" w:hAnsi="宋体"/>
                <w:szCs w:val="21"/>
              </w:rPr>
            </w:pPr>
            <w:r>
              <w:rPr>
                <w:rFonts w:hint="eastAsia" w:ascii="宋体" w:hAnsi="宋体"/>
                <w:szCs w:val="21"/>
              </w:rPr>
              <w:t>▲七、其他要求：</w:t>
            </w:r>
          </w:p>
          <w:p w14:paraId="12D52AAD">
            <w:pPr>
              <w:spacing w:line="400" w:lineRule="exact"/>
              <w:rPr>
                <w:rFonts w:hint="eastAsia" w:ascii="宋体" w:hAnsi="宋体"/>
                <w:szCs w:val="21"/>
              </w:rPr>
            </w:pPr>
            <w:r>
              <w:rPr>
                <w:rFonts w:hint="eastAsia" w:ascii="宋体" w:hAnsi="宋体"/>
                <w:szCs w:val="21"/>
              </w:rPr>
              <w:t>1.</w:t>
            </w:r>
            <w:r>
              <w:rPr>
                <w:rFonts w:hint="eastAsia"/>
                <w:lang w:eastAsia="zh-CN"/>
              </w:rPr>
              <w:t>响应</w:t>
            </w:r>
            <w:r>
              <w:rPr>
                <w:rFonts w:hint="eastAsia" w:ascii="Calibri" w:hAnsi="Calibri"/>
              </w:rPr>
              <w:t>报价为采购人指定地点的现场交货价，</w:t>
            </w:r>
            <w:r>
              <w:rPr>
                <w:rFonts w:hint="eastAsia" w:ascii="宋体" w:hAnsi="宋体"/>
                <w:szCs w:val="21"/>
              </w:rPr>
              <w:t>包含以下：</w:t>
            </w:r>
          </w:p>
          <w:p w14:paraId="1A0071DF">
            <w:pPr>
              <w:spacing w:line="400" w:lineRule="exact"/>
              <w:rPr>
                <w:rFonts w:hint="eastAsia" w:ascii="宋体" w:hAnsi="宋体"/>
                <w:szCs w:val="21"/>
              </w:rPr>
            </w:pPr>
            <w:r>
              <w:rPr>
                <w:rFonts w:hint="eastAsia" w:ascii="宋体" w:hAnsi="宋体"/>
                <w:szCs w:val="21"/>
              </w:rPr>
              <w:t>（1）货物价格（包括</w:t>
            </w:r>
            <w:r>
              <w:rPr>
                <w:rFonts w:hint="eastAsia" w:ascii="Calibri" w:hAnsi="Calibri"/>
              </w:rPr>
              <w:t>货款、随配附件、备品备件、辅助材料</w:t>
            </w:r>
            <w:r>
              <w:rPr>
                <w:rFonts w:hint="eastAsia" w:ascii="宋体" w:hAnsi="宋体"/>
                <w:szCs w:val="21"/>
              </w:rPr>
              <w:t>和专用工具等费用）；</w:t>
            </w:r>
          </w:p>
          <w:p w14:paraId="4D3F0852">
            <w:pPr>
              <w:spacing w:line="400" w:lineRule="exact"/>
              <w:rPr>
                <w:rFonts w:hint="eastAsia" w:ascii="宋体" w:hAnsi="宋体"/>
                <w:szCs w:val="21"/>
              </w:rPr>
            </w:pPr>
            <w:r>
              <w:rPr>
                <w:rFonts w:hint="eastAsia" w:ascii="宋体" w:hAnsi="宋体"/>
                <w:szCs w:val="21"/>
              </w:rPr>
              <w:t>（2）包装费、运杂费、运输保险费、现场保管费（指货物运抵工地现场所发生费用）；</w:t>
            </w:r>
          </w:p>
          <w:p w14:paraId="03787DA5">
            <w:pPr>
              <w:spacing w:line="400" w:lineRule="exact"/>
              <w:rPr>
                <w:rFonts w:hint="eastAsia" w:ascii="宋体" w:hAnsi="宋体"/>
                <w:szCs w:val="21"/>
              </w:rPr>
            </w:pPr>
            <w:r>
              <w:rPr>
                <w:rFonts w:hint="eastAsia" w:ascii="宋体" w:hAnsi="宋体"/>
                <w:szCs w:val="21"/>
              </w:rPr>
              <w:t>（3）安装调试、售后服务等费用及有关部门检测检验费、税费；</w:t>
            </w:r>
          </w:p>
          <w:p w14:paraId="221A7604">
            <w:pPr>
              <w:spacing w:line="400" w:lineRule="exact"/>
              <w:rPr>
                <w:rFonts w:hint="eastAsia" w:ascii="宋体" w:hAnsi="宋体"/>
                <w:szCs w:val="21"/>
              </w:rPr>
            </w:pPr>
            <w:r>
              <w:rPr>
                <w:rFonts w:hint="eastAsia" w:ascii="宋体" w:hAnsi="宋体"/>
                <w:szCs w:val="21"/>
              </w:rPr>
              <w:t>（4）必要的保险费用和履行本项目所涉及的其他一切费用。</w:t>
            </w:r>
          </w:p>
          <w:p w14:paraId="192D935A">
            <w:pPr>
              <w:spacing w:line="400" w:lineRule="exact"/>
              <w:rPr>
                <w:rFonts w:hint="eastAsia" w:ascii="宋体" w:hAnsi="宋体"/>
                <w:szCs w:val="21"/>
              </w:rPr>
            </w:pPr>
            <w:r>
              <w:rPr>
                <w:rFonts w:hint="eastAsia" w:ascii="宋体" w:hAnsi="宋体"/>
                <w:szCs w:val="21"/>
              </w:rPr>
              <w:t>注：</w:t>
            </w:r>
            <w:r>
              <w:rPr>
                <w:rFonts w:hint="eastAsia" w:ascii="宋体" w:hAnsi="宋体"/>
                <w:szCs w:val="21"/>
                <w:lang w:eastAsia="zh-CN"/>
              </w:rPr>
              <w:t>响应供应商</w:t>
            </w:r>
            <w:r>
              <w:rPr>
                <w:rFonts w:hint="eastAsia" w:ascii="宋体" w:hAnsi="宋体"/>
                <w:szCs w:val="21"/>
              </w:rPr>
              <w:t>自行考虑完成项目所需的辅材、零配件等数量，</w:t>
            </w:r>
            <w:r>
              <w:rPr>
                <w:rFonts w:hint="eastAsia" w:ascii="宋体" w:hAnsi="宋体"/>
                <w:szCs w:val="21"/>
                <w:lang w:eastAsia="zh-CN"/>
              </w:rPr>
              <w:t>响应</w:t>
            </w:r>
            <w:r>
              <w:rPr>
                <w:rFonts w:hint="eastAsia" w:ascii="宋体" w:hAnsi="宋体"/>
                <w:szCs w:val="21"/>
              </w:rPr>
              <w:t>报价中应包含全部内容，</w:t>
            </w:r>
            <w:r>
              <w:rPr>
                <w:rFonts w:hint="eastAsia" w:ascii="宋体" w:hAnsi="宋体"/>
                <w:szCs w:val="21"/>
                <w:lang w:eastAsia="zh-CN"/>
              </w:rPr>
              <w:t>成交</w:t>
            </w:r>
            <w:r>
              <w:rPr>
                <w:rFonts w:hint="eastAsia" w:ascii="宋体" w:hAnsi="宋体"/>
                <w:szCs w:val="21"/>
              </w:rPr>
              <w:t>后采购人不再另行支付额外费用。供应商负责工人人身、设备安全责任，验收前，货物丢失自行负责。</w:t>
            </w:r>
          </w:p>
          <w:p w14:paraId="47C6E711">
            <w:pPr>
              <w:spacing w:line="400" w:lineRule="exact"/>
              <w:rPr>
                <w:rFonts w:hint="eastAsia" w:ascii="宋体" w:hAnsi="宋体"/>
                <w:szCs w:val="21"/>
              </w:rPr>
            </w:pPr>
            <w:r>
              <w:rPr>
                <w:rFonts w:hint="eastAsia" w:ascii="宋体" w:hAnsi="宋体"/>
                <w:szCs w:val="21"/>
              </w:rPr>
              <w:t>2.付款方式：货物验收合格且收到合规发票后，采购人在 10 个工作日内向财政部门提交全部付款申请资料；财政实际拨付时间按国库支付规则执行，采购人保证按时完成全部内部报批手续，不得无故拖延提报。逾期未提交付款资料的，由采购人承担逾期付款违约责任。</w:t>
            </w:r>
          </w:p>
          <w:p w14:paraId="740321A2">
            <w:pPr>
              <w:rPr>
                <w:rFonts w:hint="eastAsia" w:ascii="宋体" w:hAnsi="宋体" w:eastAsia="宋体" w:cs="宋体"/>
                <w:i w:val="0"/>
                <w:iCs w:val="0"/>
                <w:color w:val="auto"/>
                <w:sz w:val="20"/>
                <w:szCs w:val="20"/>
                <w:u w:val="none"/>
              </w:rPr>
            </w:pPr>
            <w:r>
              <w:rPr>
                <w:rFonts w:hint="eastAsia" w:ascii="Calibri" w:hAnsi="Calibri"/>
                <w:color w:val="000000"/>
                <w:highlight w:val="none"/>
                <w:lang w:val="en-US" w:eastAsia="zh-CN"/>
              </w:rPr>
              <w:t>3</w:t>
            </w:r>
            <w:r>
              <w:rPr>
                <w:rFonts w:hint="eastAsia" w:ascii="Calibri" w:hAnsi="Calibri"/>
                <w:color w:val="000000"/>
                <w:highlight w:val="none"/>
              </w:rPr>
              <w:t>.项目验收时，采购人组织邀请第三方参与项目验收，保障履约质量。</w:t>
            </w:r>
          </w:p>
        </w:tc>
      </w:tr>
      <w:tr w14:paraId="3D918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8C5D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szCs w:val="21"/>
              </w:rPr>
              <w:t>其他说明</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3960FB6">
            <w:pPr>
              <w:widowControl/>
              <w:shd w:val="clear" w:color="auto" w:fill="FFFFFF"/>
              <w:spacing w:line="440" w:lineRule="exact"/>
              <w:jc w:val="both"/>
              <w:rPr>
                <w:rFonts w:ascii="宋体" w:hAnsi="宋体"/>
                <w:szCs w:val="21"/>
              </w:rPr>
            </w:pPr>
            <w:r>
              <w:rPr>
                <w:rFonts w:hint="eastAsia" w:ascii="宋体" w:hAnsi="宋体"/>
                <w:szCs w:val="21"/>
              </w:rPr>
              <w:t>一、进口产品说明（根据项目实际情况选择）</w:t>
            </w:r>
          </w:p>
          <w:p w14:paraId="2139FC3B">
            <w:pPr>
              <w:tabs>
                <w:tab w:val="left" w:pos="180"/>
                <w:tab w:val="left" w:pos="1620"/>
              </w:tabs>
              <w:spacing w:line="360" w:lineRule="auto"/>
              <w:jc w:val="both"/>
              <w:rPr>
                <w:rFonts w:ascii="宋体" w:hAnsi="宋体"/>
                <w:color w:val="000000"/>
                <w:szCs w:val="21"/>
              </w:rPr>
            </w:pPr>
            <w:r>
              <w:rPr>
                <w:rFonts w:hint="eastAsia" w:ascii="宋体" w:hAnsi="宋体"/>
                <w:b/>
                <w:bCs/>
                <w:color w:val="000000"/>
                <w:szCs w:val="21"/>
              </w:rPr>
              <w:t>本项目采购货物所涉及的货物不接受进口产品</w:t>
            </w:r>
            <w:r>
              <w:rPr>
                <w:rFonts w:hint="eastAsia" w:ascii="宋体" w:hAnsi="宋体"/>
                <w:color w:val="000000"/>
                <w:szCs w:val="21"/>
              </w:rPr>
              <w:t>（即通过中国海关报关验放进入中国境内且产自关境外的产品）参与</w:t>
            </w:r>
            <w:r>
              <w:rPr>
                <w:rFonts w:hint="eastAsia" w:ascii="宋体" w:hAnsi="宋体"/>
                <w:color w:val="000000"/>
                <w:szCs w:val="21"/>
                <w:lang w:eastAsia="zh-CN"/>
              </w:rPr>
              <w:t>响应</w:t>
            </w:r>
            <w:r>
              <w:rPr>
                <w:rFonts w:hint="eastAsia" w:ascii="宋体" w:hAnsi="宋体"/>
                <w:color w:val="000000"/>
                <w:szCs w:val="21"/>
              </w:rPr>
              <w:t>，</w:t>
            </w:r>
            <w:r>
              <w:rPr>
                <w:rFonts w:hint="eastAsia" w:ascii="宋体" w:hAnsi="宋体"/>
                <w:b/>
                <w:color w:val="000000"/>
                <w:szCs w:val="21"/>
              </w:rPr>
              <w:t>如有进口产品参与</w:t>
            </w:r>
            <w:r>
              <w:rPr>
                <w:rFonts w:hint="eastAsia" w:ascii="宋体" w:hAnsi="宋体"/>
                <w:b/>
                <w:color w:val="000000"/>
                <w:szCs w:val="21"/>
                <w:lang w:eastAsia="zh-CN"/>
              </w:rPr>
              <w:t>响应</w:t>
            </w:r>
            <w:r>
              <w:rPr>
                <w:rFonts w:hint="eastAsia" w:ascii="宋体" w:hAnsi="宋体"/>
                <w:b/>
                <w:color w:val="000000"/>
                <w:szCs w:val="21"/>
              </w:rPr>
              <w:t>的作无效标处理</w:t>
            </w:r>
            <w:r>
              <w:rPr>
                <w:rFonts w:hint="eastAsia" w:ascii="宋体" w:hAnsi="宋体"/>
                <w:color w:val="000000"/>
                <w:szCs w:val="21"/>
              </w:rPr>
              <w:t>。</w:t>
            </w:r>
          </w:p>
          <w:p w14:paraId="4DE00649">
            <w:pPr>
              <w:tabs>
                <w:tab w:val="left" w:pos="180"/>
                <w:tab w:val="left" w:pos="1620"/>
              </w:tabs>
              <w:spacing w:line="360" w:lineRule="auto"/>
              <w:jc w:val="both"/>
              <w:rPr>
                <w:rFonts w:hint="eastAsia" w:ascii="宋体" w:hAnsi="宋体" w:eastAsia="宋体"/>
                <w:szCs w:val="21"/>
                <w:highlight w:val="none"/>
                <w:lang w:eastAsia="zh-CN"/>
              </w:rPr>
            </w:pPr>
            <w:r>
              <w:rPr>
                <w:rFonts w:hint="eastAsia" w:ascii="宋体" w:hAnsi="宋体"/>
                <w:color w:val="000000"/>
                <w:szCs w:val="21"/>
              </w:rPr>
              <w:t>二、</w:t>
            </w:r>
            <w:r>
              <w:rPr>
                <w:rFonts w:hint="eastAsia" w:ascii="宋体" w:hAnsi="宋体"/>
                <w:szCs w:val="21"/>
                <w:highlight w:val="none"/>
              </w:rPr>
              <w:t>核心产品</w:t>
            </w:r>
            <w:r>
              <w:rPr>
                <w:rFonts w:hint="eastAsia" w:ascii="宋体" w:hAnsi="宋体"/>
                <w:szCs w:val="21"/>
                <w:highlight w:val="none"/>
                <w:lang w:eastAsia="zh-CN"/>
              </w:rPr>
              <w:t>：无</w:t>
            </w:r>
          </w:p>
          <w:p w14:paraId="0D5A999B">
            <w:pPr>
              <w:spacing w:line="360" w:lineRule="auto"/>
              <w:jc w:val="both"/>
              <w:rPr>
                <w:rFonts w:hint="eastAsia" w:ascii="宋体" w:hAnsi="宋体" w:eastAsia="宋体"/>
                <w:szCs w:val="21"/>
                <w:lang w:eastAsia="zh-CN"/>
              </w:rPr>
            </w:pPr>
            <w:r>
              <w:rPr>
                <w:rFonts w:hint="eastAsia" w:ascii="宋体" w:hAnsi="宋体"/>
                <w:szCs w:val="21"/>
              </w:rPr>
              <w:t>三、</w:t>
            </w:r>
            <w:r>
              <w:rPr>
                <w:rFonts w:hint="eastAsia"/>
              </w:rPr>
              <w:t>本项目</w:t>
            </w:r>
            <w:r>
              <w:rPr>
                <w:rFonts w:hint="eastAsia"/>
                <w:lang w:eastAsia="zh-CN"/>
              </w:rPr>
              <w:t>无</w:t>
            </w:r>
            <w:r>
              <w:rPr>
                <w:rFonts w:hint="eastAsia"/>
              </w:rPr>
              <w:t>需设计清单</w:t>
            </w:r>
            <w:r>
              <w:rPr>
                <w:rFonts w:hint="eastAsia"/>
                <w:lang w:eastAsia="zh-CN"/>
              </w:rPr>
              <w:t>。</w:t>
            </w:r>
          </w:p>
          <w:p w14:paraId="54E8FCCB">
            <w:pPr>
              <w:widowControl/>
              <w:shd w:val="clear" w:color="auto" w:fill="FFFFFF"/>
              <w:spacing w:line="360" w:lineRule="auto"/>
              <w:jc w:val="both"/>
              <w:rPr>
                <w:rFonts w:ascii="宋体" w:hAnsi="宋体"/>
                <w:szCs w:val="21"/>
              </w:rPr>
            </w:pPr>
            <w:r>
              <w:rPr>
                <w:rFonts w:hint="eastAsia" w:ascii="宋体" w:hAnsi="宋体"/>
                <w:szCs w:val="21"/>
              </w:rPr>
              <w:t>四、其他</w:t>
            </w:r>
          </w:p>
          <w:p w14:paraId="42FECA26">
            <w:pPr>
              <w:keepNext w:val="0"/>
              <w:keepLines w:val="0"/>
              <w:widowControl/>
              <w:suppressLineNumbers w:val="0"/>
              <w:jc w:val="both"/>
              <w:textAlignment w:val="center"/>
              <w:rPr>
                <w:rFonts w:hint="eastAsia" w:ascii="宋体" w:hAnsi="宋体" w:eastAsia="宋体" w:cs="宋体"/>
                <w:i w:val="0"/>
                <w:iCs w:val="0"/>
                <w:color w:val="auto"/>
                <w:sz w:val="20"/>
                <w:szCs w:val="20"/>
                <w:u w:val="none"/>
              </w:rPr>
            </w:pPr>
            <w:r>
              <w:rPr>
                <w:rFonts w:hint="eastAsia" w:ascii="宋体" w:hAnsi="宋体"/>
                <w:color w:val="000000"/>
                <w:szCs w:val="21"/>
              </w:rPr>
              <w:t>1</w:t>
            </w:r>
            <w:r>
              <w:rPr>
                <w:rFonts w:hint="eastAsia" w:ascii="宋体" w:hAnsi="宋体" w:cs="宋体"/>
                <w:szCs w:val="21"/>
              </w:rPr>
              <w:t>.本项目采购标的对应的中小企业划分标准所属行业：工业。</w:t>
            </w:r>
          </w:p>
        </w:tc>
      </w:tr>
    </w:tbl>
    <w:p w14:paraId="689FEBBD">
      <w:pPr>
        <w:spacing w:line="360" w:lineRule="auto"/>
        <w:jc w:val="left"/>
        <w:rPr>
          <w:rFonts w:hint="eastAsia" w:ascii="宋体" w:hAnsi="宋体" w:eastAsia="宋体" w:cs="宋体"/>
          <w:b/>
          <w:bCs/>
          <w:i w:val="0"/>
          <w:iCs w:val="0"/>
          <w:color w:val="auto"/>
          <w:kern w:val="0"/>
          <w:sz w:val="36"/>
          <w:szCs w:val="36"/>
          <w:highlight w:val="none"/>
          <w:u w:val="none"/>
          <w:lang w:val="en-US" w:eastAsia="zh-CN" w:bidi="ar"/>
        </w:rPr>
      </w:pPr>
    </w:p>
    <w:p w14:paraId="2366DCB7">
      <w:pPr>
        <w:spacing w:line="360" w:lineRule="auto"/>
        <w:jc w:val="left"/>
        <w:rPr>
          <w:rFonts w:hint="eastAsia" w:ascii="宋体" w:hAnsi="宋体" w:eastAsia="宋体" w:cs="宋体"/>
          <w:b/>
          <w:bCs/>
          <w:i w:val="0"/>
          <w:iCs w:val="0"/>
          <w:color w:val="auto"/>
          <w:kern w:val="0"/>
          <w:sz w:val="36"/>
          <w:szCs w:val="36"/>
          <w:highlight w:val="none"/>
          <w:u w:val="none"/>
          <w:lang w:val="en-US" w:eastAsia="zh-CN" w:bidi="ar"/>
        </w:rPr>
      </w:pPr>
    </w:p>
    <w:p w14:paraId="6E373B91">
      <w:pPr>
        <w:spacing w:line="428" w:lineRule="exact"/>
        <w:rPr>
          <w:rFonts w:hint="eastAsia" w:ascii="微软雅黑" w:hAnsi="微软雅黑" w:eastAsia="微软雅黑" w:cs="微软雅黑"/>
          <w:sz w:val="32"/>
          <w:szCs w:val="32"/>
        </w:rPr>
      </w:pPr>
    </w:p>
    <w:p w14:paraId="68FD2063">
      <w:pPr>
        <w:pStyle w:val="2"/>
        <w:rPr>
          <w:rFonts w:hint="eastAsia"/>
        </w:rPr>
      </w:pPr>
    </w:p>
    <w:p w14:paraId="6572F9C9">
      <w:pPr>
        <w:spacing w:line="428" w:lineRule="exact"/>
        <w:rPr>
          <w:rFonts w:hint="eastAsia" w:ascii="微软雅黑" w:hAnsi="微软雅黑" w:eastAsia="微软雅黑" w:cs="微软雅黑"/>
          <w:sz w:val="32"/>
          <w:szCs w:val="32"/>
        </w:rPr>
      </w:pPr>
    </w:p>
    <w:p w14:paraId="149019B5">
      <w:pPr>
        <w:spacing w:line="428" w:lineRule="exact"/>
        <w:rPr>
          <w:rFonts w:hint="eastAsia" w:ascii="微软雅黑" w:hAnsi="微软雅黑" w:eastAsia="微软雅黑" w:cs="微软雅黑"/>
          <w:sz w:val="32"/>
          <w:szCs w:val="32"/>
        </w:rPr>
      </w:pPr>
    </w:p>
    <w:p w14:paraId="135408E7">
      <w:pPr>
        <w:spacing w:line="428" w:lineRule="exact"/>
        <w:rPr>
          <w:rFonts w:hint="eastAsia" w:ascii="微软雅黑" w:hAnsi="微软雅黑" w:eastAsia="微软雅黑" w:cs="微软雅黑"/>
          <w:sz w:val="32"/>
          <w:szCs w:val="32"/>
        </w:rPr>
      </w:pPr>
    </w:p>
    <w:p w14:paraId="51FA7CE4">
      <w:pPr>
        <w:spacing w:line="428" w:lineRule="exact"/>
        <w:rPr>
          <w:rFonts w:hint="eastAsia" w:ascii="微软雅黑" w:hAnsi="微软雅黑" w:eastAsia="微软雅黑" w:cs="微软雅黑"/>
          <w:sz w:val="32"/>
          <w:szCs w:val="32"/>
        </w:rPr>
      </w:pPr>
    </w:p>
    <w:p w14:paraId="7D5AC0A0">
      <w:pPr>
        <w:spacing w:line="428" w:lineRule="exact"/>
        <w:rPr>
          <w:rFonts w:hint="eastAsia" w:ascii="微软雅黑" w:hAnsi="微软雅黑" w:eastAsia="微软雅黑" w:cs="微软雅黑"/>
          <w:sz w:val="32"/>
          <w:szCs w:val="32"/>
        </w:rPr>
      </w:pPr>
    </w:p>
    <w:p w14:paraId="578DC76A">
      <w:pPr>
        <w:spacing w:line="428" w:lineRule="exact"/>
        <w:rPr>
          <w:rFonts w:hint="eastAsia" w:ascii="微软雅黑" w:hAnsi="微软雅黑" w:eastAsia="微软雅黑" w:cs="微软雅黑"/>
          <w:sz w:val="32"/>
          <w:szCs w:val="32"/>
        </w:rPr>
      </w:pPr>
    </w:p>
    <w:p w14:paraId="582E62F3">
      <w:pPr>
        <w:spacing w:line="428" w:lineRule="exact"/>
        <w:rPr>
          <w:rFonts w:hint="eastAsia" w:ascii="微软雅黑" w:hAnsi="微软雅黑" w:eastAsia="微软雅黑" w:cs="微软雅黑"/>
          <w:sz w:val="32"/>
          <w:szCs w:val="32"/>
        </w:rPr>
      </w:pPr>
    </w:p>
    <w:p w14:paraId="33C44D47">
      <w:pPr>
        <w:spacing w:line="428" w:lineRule="exact"/>
        <w:rPr>
          <w:rFonts w:hint="eastAsia" w:ascii="微软雅黑" w:hAnsi="微软雅黑" w:eastAsia="微软雅黑" w:cs="微软雅黑"/>
          <w:sz w:val="32"/>
          <w:szCs w:val="32"/>
        </w:rPr>
      </w:pPr>
    </w:p>
    <w:p w14:paraId="329BEB32">
      <w:pPr>
        <w:spacing w:line="428" w:lineRule="exact"/>
        <w:rPr>
          <w:rFonts w:hint="eastAsia" w:ascii="微软雅黑" w:hAnsi="微软雅黑" w:eastAsia="微软雅黑" w:cs="微软雅黑"/>
          <w:sz w:val="32"/>
          <w:szCs w:val="32"/>
        </w:rPr>
      </w:pPr>
    </w:p>
    <w:p w14:paraId="653551B9">
      <w:pPr>
        <w:spacing w:line="428" w:lineRule="exact"/>
        <w:rPr>
          <w:rFonts w:hint="eastAsia" w:ascii="微软雅黑" w:hAnsi="微软雅黑" w:eastAsia="微软雅黑" w:cs="微软雅黑"/>
          <w:sz w:val="32"/>
          <w:szCs w:val="32"/>
        </w:rPr>
      </w:pPr>
    </w:p>
    <w:p w14:paraId="4097DA5A">
      <w:pPr>
        <w:spacing w:line="428" w:lineRule="exact"/>
        <w:rPr>
          <w:rFonts w:hint="eastAsia" w:ascii="微软雅黑" w:hAnsi="微软雅黑" w:eastAsia="微软雅黑" w:cs="微软雅黑"/>
          <w:sz w:val="32"/>
          <w:szCs w:val="32"/>
        </w:rPr>
      </w:pPr>
    </w:p>
    <w:p w14:paraId="36037CC1">
      <w:pPr>
        <w:spacing w:line="428" w:lineRule="exact"/>
        <w:rPr>
          <w:rFonts w:hint="eastAsia" w:ascii="微软雅黑" w:hAnsi="微软雅黑" w:eastAsia="微软雅黑" w:cs="微软雅黑"/>
          <w:sz w:val="32"/>
          <w:szCs w:val="32"/>
        </w:rPr>
      </w:pPr>
    </w:p>
    <w:p w14:paraId="4F738260">
      <w:pPr>
        <w:spacing w:line="428" w:lineRule="exact"/>
        <w:rPr>
          <w:rFonts w:hint="eastAsia" w:ascii="微软雅黑" w:hAnsi="微软雅黑" w:eastAsia="微软雅黑" w:cs="微软雅黑"/>
          <w:sz w:val="32"/>
          <w:szCs w:val="32"/>
        </w:rPr>
      </w:pPr>
    </w:p>
    <w:p w14:paraId="3F4D7E37">
      <w:pPr>
        <w:spacing w:line="428" w:lineRule="exact"/>
        <w:rPr>
          <w:rFonts w:hint="eastAsia" w:ascii="微软雅黑" w:hAnsi="微软雅黑" w:eastAsia="微软雅黑" w:cs="微软雅黑"/>
          <w:sz w:val="32"/>
          <w:szCs w:val="32"/>
        </w:rPr>
      </w:pPr>
    </w:p>
    <w:p w14:paraId="501AF3CD">
      <w:pPr>
        <w:spacing w:line="428" w:lineRule="exact"/>
        <w:rPr>
          <w:rFonts w:hint="eastAsia" w:ascii="Arial Unicode MS" w:hAnsi="Arial Unicode MS" w:eastAsia="Arial Unicode MS" w:cs="Arial Unicode MS"/>
          <w:sz w:val="17"/>
          <w:szCs w:val="17"/>
        </w:rPr>
      </w:pPr>
      <w:r>
        <w:rPr>
          <w:rFonts w:hint="eastAsia" w:ascii="微软雅黑" w:hAnsi="微软雅黑" w:eastAsia="微软雅黑" w:cs="微软雅黑"/>
          <w:sz w:val="32"/>
          <w:szCs w:val="32"/>
        </w:rPr>
        <w:t>附件</w:t>
      </w:r>
      <w:r>
        <w:rPr>
          <w:rFonts w:hint="eastAsia" w:ascii="Arial Unicode MS" w:hAnsi="Arial Unicode MS" w:eastAsia="Arial Unicode MS" w:cs="Arial Unicode MS"/>
          <w:sz w:val="32"/>
          <w:szCs w:val="32"/>
          <w:lang w:val="en-US" w:eastAsia="zh-CN"/>
        </w:rPr>
        <w:t>1</w:t>
      </w:r>
      <w:r>
        <w:rPr>
          <w:rFonts w:hint="eastAsia" w:ascii="微软雅黑" w:hAnsi="微软雅黑" w:eastAsia="微软雅黑" w:cs="微软雅黑"/>
          <w:sz w:val="32"/>
          <w:szCs w:val="32"/>
        </w:rPr>
        <w:t>：</w:t>
      </w:r>
    </w:p>
    <w:p w14:paraId="1C574E62">
      <w:pPr>
        <w:spacing w:line="528" w:lineRule="exact"/>
        <w:ind w:left="1871"/>
        <w:rPr>
          <w:rFonts w:hint="eastAsia" w:ascii="Arial Unicode MS" w:hAnsi="Arial Unicode MS" w:eastAsia="Arial Unicode MS" w:cs="Arial Unicode MS"/>
          <w:sz w:val="40"/>
          <w:szCs w:val="40"/>
        </w:rPr>
      </w:pPr>
      <w:r>
        <w:rPr>
          <w:rFonts w:hint="eastAsia" w:ascii="微软雅黑" w:hAnsi="微软雅黑" w:eastAsia="微软雅黑" w:cs="微软雅黑"/>
          <w:sz w:val="40"/>
          <w:szCs w:val="40"/>
        </w:rPr>
        <w:t>节能产品政府采购品目清单</w:t>
      </w:r>
    </w:p>
    <w:tbl>
      <w:tblPr>
        <w:tblStyle w:val="10"/>
        <w:tblW w:w="9220" w:type="dxa"/>
        <w:tblInd w:w="93" w:type="dxa"/>
        <w:tblLayout w:type="autofit"/>
        <w:tblCellMar>
          <w:top w:w="0" w:type="dxa"/>
          <w:left w:w="108" w:type="dxa"/>
          <w:bottom w:w="0" w:type="dxa"/>
          <w:right w:w="108" w:type="dxa"/>
        </w:tblCellMar>
      </w:tblPr>
      <w:tblGrid>
        <w:gridCol w:w="641"/>
        <w:gridCol w:w="1116"/>
        <w:gridCol w:w="1516"/>
        <w:gridCol w:w="1612"/>
        <w:gridCol w:w="4335"/>
      </w:tblGrid>
      <w:tr w14:paraId="34B99CCE">
        <w:tblPrEx>
          <w:tblCellMar>
            <w:top w:w="0" w:type="dxa"/>
            <w:left w:w="108" w:type="dxa"/>
            <w:bottom w:w="0" w:type="dxa"/>
            <w:right w:w="108" w:type="dxa"/>
          </w:tblCellMar>
        </w:tblPrEx>
        <w:trPr>
          <w:trHeight w:val="555" w:hRule="atLeast"/>
        </w:trPr>
        <w:tc>
          <w:tcPr>
            <w:tcW w:w="660" w:type="dxa"/>
            <w:tcBorders>
              <w:top w:val="single" w:color="000000" w:sz="8" w:space="0"/>
              <w:left w:val="single" w:color="000000" w:sz="8" w:space="0"/>
              <w:bottom w:val="single" w:color="000000" w:sz="8" w:space="0"/>
              <w:right w:val="single" w:color="000000" w:sz="8" w:space="0"/>
            </w:tcBorders>
            <w:noWrap w:val="0"/>
            <w:vAlign w:val="top"/>
          </w:tcPr>
          <w:p w14:paraId="2495DB49">
            <w:pPr>
              <w:widowControl/>
              <w:jc w:val="center"/>
              <w:rPr>
                <w:rFonts w:ascii="宋体" w:hAnsi="宋体" w:cs="宋体"/>
                <w:b/>
                <w:bCs/>
                <w:color w:val="000000"/>
                <w:kern w:val="0"/>
                <w:sz w:val="22"/>
              </w:rPr>
            </w:pPr>
            <w:r>
              <w:rPr>
                <w:rFonts w:hint="eastAsia" w:ascii="宋体" w:hAnsi="宋体" w:cs="宋体"/>
                <w:b/>
                <w:bCs/>
                <w:color w:val="000000"/>
                <w:kern w:val="0"/>
                <w:sz w:val="22"/>
                <w:szCs w:val="24"/>
              </w:rPr>
              <w:t>品目序号</w:t>
            </w:r>
          </w:p>
        </w:tc>
        <w:tc>
          <w:tcPr>
            <w:tcW w:w="4020" w:type="dxa"/>
            <w:gridSpan w:val="3"/>
            <w:tcBorders>
              <w:top w:val="single" w:color="000000" w:sz="8" w:space="0"/>
              <w:left w:val="nil"/>
              <w:bottom w:val="single" w:color="000000" w:sz="8" w:space="0"/>
              <w:right w:val="single" w:color="000000" w:sz="8" w:space="0"/>
            </w:tcBorders>
            <w:noWrap w:val="0"/>
            <w:vAlign w:val="center"/>
          </w:tcPr>
          <w:p w14:paraId="414E9CAB">
            <w:pPr>
              <w:widowControl/>
              <w:jc w:val="center"/>
              <w:rPr>
                <w:rFonts w:ascii="宋体" w:hAnsi="宋体" w:cs="宋体"/>
                <w:b/>
                <w:bCs/>
                <w:color w:val="000000"/>
                <w:kern w:val="0"/>
                <w:sz w:val="22"/>
              </w:rPr>
            </w:pPr>
            <w:r>
              <w:rPr>
                <w:rFonts w:hint="eastAsia" w:ascii="宋体" w:hAnsi="宋体" w:cs="宋体"/>
                <w:b/>
                <w:bCs/>
                <w:color w:val="000000"/>
                <w:kern w:val="0"/>
                <w:sz w:val="22"/>
                <w:szCs w:val="24"/>
              </w:rPr>
              <w:t>名称</w:t>
            </w:r>
          </w:p>
        </w:tc>
        <w:tc>
          <w:tcPr>
            <w:tcW w:w="4540" w:type="dxa"/>
            <w:tcBorders>
              <w:top w:val="single" w:color="000000" w:sz="8" w:space="0"/>
              <w:left w:val="nil"/>
              <w:bottom w:val="single" w:color="000000" w:sz="8" w:space="0"/>
              <w:right w:val="single" w:color="000000" w:sz="8" w:space="0"/>
            </w:tcBorders>
            <w:noWrap w:val="0"/>
            <w:vAlign w:val="center"/>
          </w:tcPr>
          <w:p w14:paraId="1A64E61B">
            <w:pPr>
              <w:widowControl/>
              <w:jc w:val="center"/>
              <w:rPr>
                <w:rFonts w:ascii="宋体" w:hAnsi="宋体" w:cs="宋体"/>
                <w:b/>
                <w:bCs/>
                <w:color w:val="000000"/>
                <w:kern w:val="0"/>
                <w:sz w:val="22"/>
              </w:rPr>
            </w:pPr>
            <w:r>
              <w:rPr>
                <w:rFonts w:hint="eastAsia" w:ascii="宋体" w:hAnsi="宋体" w:cs="宋体"/>
                <w:b/>
                <w:bCs/>
                <w:color w:val="000000"/>
                <w:kern w:val="0"/>
                <w:sz w:val="22"/>
                <w:szCs w:val="24"/>
              </w:rPr>
              <w:t>依据的标准</w:t>
            </w:r>
          </w:p>
        </w:tc>
      </w:tr>
      <w:tr w14:paraId="3F4B0C02">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2F371487">
            <w:pPr>
              <w:widowControl/>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0A6F8F80">
            <w:pPr>
              <w:widowControl/>
              <w:jc w:val="center"/>
              <w:rPr>
                <w:rFonts w:ascii="宋体" w:hAnsi="宋体" w:cs="宋体"/>
                <w:color w:val="000000"/>
                <w:kern w:val="0"/>
                <w:sz w:val="20"/>
                <w:szCs w:val="20"/>
              </w:rPr>
            </w:pPr>
            <w:r>
              <w:rPr>
                <w:rFonts w:hint="eastAsia" w:ascii="宋体" w:hAnsi="宋体" w:cs="宋体"/>
                <w:color w:val="000000"/>
                <w:kern w:val="0"/>
                <w:sz w:val="20"/>
                <w:szCs w:val="20"/>
              </w:rPr>
              <w:t>A020101计算机设备</w:t>
            </w:r>
          </w:p>
        </w:tc>
        <w:tc>
          <w:tcPr>
            <w:tcW w:w="1320" w:type="dxa"/>
            <w:tcBorders>
              <w:top w:val="nil"/>
              <w:left w:val="nil"/>
              <w:bottom w:val="single" w:color="000000" w:sz="8" w:space="0"/>
              <w:right w:val="single" w:color="000000" w:sz="8" w:space="0"/>
            </w:tcBorders>
            <w:noWrap w:val="0"/>
            <w:vAlign w:val="center"/>
          </w:tcPr>
          <w:p w14:paraId="21DA1CAA">
            <w:pPr>
              <w:widowControl/>
              <w:jc w:val="center"/>
              <w:rPr>
                <w:rFonts w:ascii="宋体" w:hAnsi="宋体" w:cs="宋体"/>
                <w:color w:val="000000"/>
                <w:kern w:val="0"/>
                <w:sz w:val="20"/>
                <w:szCs w:val="20"/>
              </w:rPr>
            </w:pPr>
            <w:r>
              <w:rPr>
                <w:rFonts w:hint="eastAsia" w:ascii="宋体" w:hAnsi="宋体" w:cs="宋体"/>
                <w:color w:val="000000"/>
                <w:kern w:val="0"/>
                <w:sz w:val="20"/>
                <w:szCs w:val="20"/>
              </w:rPr>
              <w:t>★A02010104台式计算机</w:t>
            </w:r>
          </w:p>
        </w:tc>
        <w:tc>
          <w:tcPr>
            <w:tcW w:w="1620" w:type="dxa"/>
            <w:tcBorders>
              <w:top w:val="nil"/>
              <w:left w:val="nil"/>
              <w:bottom w:val="single" w:color="000000" w:sz="8" w:space="0"/>
              <w:right w:val="single" w:color="000000" w:sz="8" w:space="0"/>
            </w:tcBorders>
            <w:noWrap w:val="0"/>
            <w:vAlign w:val="center"/>
          </w:tcPr>
          <w:p w14:paraId="1DA96C5C">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1D3FFE9C">
            <w:pPr>
              <w:widowControl/>
              <w:jc w:val="left"/>
              <w:rPr>
                <w:rFonts w:ascii="宋体" w:hAnsi="宋体" w:cs="宋体"/>
                <w:color w:val="000000"/>
                <w:kern w:val="0"/>
                <w:sz w:val="20"/>
                <w:szCs w:val="20"/>
              </w:rPr>
            </w:pPr>
            <w:r>
              <w:rPr>
                <w:rFonts w:hint="eastAsia" w:ascii="宋体" w:hAnsi="宋体" w:cs="宋体"/>
                <w:color w:val="000000"/>
                <w:kern w:val="0"/>
                <w:sz w:val="20"/>
                <w:szCs w:val="20"/>
              </w:rPr>
              <w:t>《微型计算机能效限定值及能效等级》（GB28380）</w:t>
            </w:r>
          </w:p>
        </w:tc>
      </w:tr>
      <w:tr w14:paraId="12F3625B">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7397F284">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DFBEF98">
            <w:pPr>
              <w:widowControl/>
              <w:jc w:val="left"/>
              <w:rPr>
                <w:rFonts w:ascii="宋体" w:hAnsi="宋体" w:cs="宋体"/>
                <w:color w:val="000000"/>
                <w:kern w:val="0"/>
                <w:sz w:val="20"/>
                <w:szCs w:val="20"/>
              </w:rPr>
            </w:pPr>
          </w:p>
        </w:tc>
        <w:tc>
          <w:tcPr>
            <w:tcW w:w="1320" w:type="dxa"/>
            <w:tcBorders>
              <w:top w:val="nil"/>
              <w:left w:val="nil"/>
              <w:bottom w:val="single" w:color="000000" w:sz="8" w:space="0"/>
              <w:right w:val="single" w:color="000000" w:sz="8" w:space="0"/>
            </w:tcBorders>
            <w:noWrap w:val="0"/>
            <w:vAlign w:val="center"/>
          </w:tcPr>
          <w:p w14:paraId="12F31C00">
            <w:pPr>
              <w:widowControl/>
              <w:jc w:val="center"/>
              <w:rPr>
                <w:rFonts w:ascii="宋体" w:hAnsi="宋体" w:cs="宋体"/>
                <w:color w:val="000000"/>
                <w:kern w:val="0"/>
                <w:sz w:val="20"/>
                <w:szCs w:val="20"/>
              </w:rPr>
            </w:pPr>
            <w:r>
              <w:rPr>
                <w:rFonts w:hint="eastAsia" w:ascii="宋体" w:hAnsi="宋体" w:cs="宋体"/>
                <w:color w:val="000000"/>
                <w:kern w:val="0"/>
                <w:sz w:val="20"/>
                <w:szCs w:val="20"/>
              </w:rPr>
              <w:t>★A02010105便携式计算机</w:t>
            </w:r>
          </w:p>
        </w:tc>
        <w:tc>
          <w:tcPr>
            <w:tcW w:w="1620" w:type="dxa"/>
            <w:tcBorders>
              <w:top w:val="nil"/>
              <w:left w:val="nil"/>
              <w:bottom w:val="single" w:color="000000" w:sz="8" w:space="0"/>
              <w:right w:val="single" w:color="000000" w:sz="8" w:space="0"/>
            </w:tcBorders>
            <w:noWrap w:val="0"/>
            <w:vAlign w:val="center"/>
          </w:tcPr>
          <w:p w14:paraId="26F108B2">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525EBB95">
            <w:pPr>
              <w:widowControl/>
              <w:jc w:val="left"/>
              <w:rPr>
                <w:rFonts w:ascii="宋体" w:hAnsi="宋体" w:cs="宋体"/>
                <w:color w:val="000000"/>
                <w:kern w:val="0"/>
                <w:sz w:val="20"/>
                <w:szCs w:val="20"/>
              </w:rPr>
            </w:pPr>
            <w:r>
              <w:rPr>
                <w:rFonts w:hint="eastAsia" w:ascii="宋体" w:hAnsi="宋体" w:cs="宋体"/>
                <w:color w:val="000000"/>
                <w:kern w:val="0"/>
                <w:sz w:val="20"/>
                <w:szCs w:val="20"/>
              </w:rPr>
              <w:t>《微型计算机能效限定值及能效等级》（GB28380）</w:t>
            </w:r>
          </w:p>
        </w:tc>
      </w:tr>
      <w:tr w14:paraId="7CCBC8D4">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45D789AC">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DCAD830">
            <w:pPr>
              <w:widowControl/>
              <w:jc w:val="left"/>
              <w:rPr>
                <w:rFonts w:ascii="宋体" w:hAnsi="宋体" w:cs="宋体"/>
                <w:color w:val="000000"/>
                <w:kern w:val="0"/>
                <w:sz w:val="20"/>
                <w:szCs w:val="20"/>
              </w:rPr>
            </w:pPr>
          </w:p>
        </w:tc>
        <w:tc>
          <w:tcPr>
            <w:tcW w:w="1320" w:type="dxa"/>
            <w:tcBorders>
              <w:top w:val="nil"/>
              <w:left w:val="nil"/>
              <w:bottom w:val="single" w:color="000000" w:sz="8" w:space="0"/>
              <w:right w:val="single" w:color="000000" w:sz="8" w:space="0"/>
            </w:tcBorders>
            <w:noWrap w:val="0"/>
            <w:vAlign w:val="center"/>
          </w:tcPr>
          <w:p w14:paraId="6978EB29">
            <w:pPr>
              <w:widowControl/>
              <w:jc w:val="center"/>
              <w:rPr>
                <w:rFonts w:ascii="宋体" w:hAnsi="宋体" w:cs="宋体"/>
                <w:color w:val="000000"/>
                <w:kern w:val="0"/>
                <w:sz w:val="20"/>
                <w:szCs w:val="20"/>
              </w:rPr>
            </w:pPr>
            <w:r>
              <w:rPr>
                <w:rFonts w:hint="eastAsia" w:ascii="宋体" w:hAnsi="宋体" w:cs="宋体"/>
                <w:color w:val="000000"/>
                <w:kern w:val="0"/>
                <w:sz w:val="20"/>
                <w:szCs w:val="20"/>
              </w:rPr>
              <w:t>★A02010107平板式微型计算机</w:t>
            </w:r>
          </w:p>
        </w:tc>
        <w:tc>
          <w:tcPr>
            <w:tcW w:w="1620" w:type="dxa"/>
            <w:tcBorders>
              <w:top w:val="nil"/>
              <w:left w:val="nil"/>
              <w:bottom w:val="single" w:color="000000" w:sz="8" w:space="0"/>
              <w:right w:val="single" w:color="000000" w:sz="8" w:space="0"/>
            </w:tcBorders>
            <w:noWrap w:val="0"/>
            <w:vAlign w:val="center"/>
          </w:tcPr>
          <w:p w14:paraId="72F5109D">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196EA686">
            <w:pPr>
              <w:widowControl/>
              <w:jc w:val="left"/>
              <w:rPr>
                <w:rFonts w:ascii="宋体" w:hAnsi="宋体" w:cs="宋体"/>
                <w:color w:val="000000"/>
                <w:kern w:val="0"/>
                <w:sz w:val="20"/>
                <w:szCs w:val="20"/>
              </w:rPr>
            </w:pPr>
            <w:r>
              <w:rPr>
                <w:rFonts w:hint="eastAsia" w:ascii="宋体" w:hAnsi="宋体" w:cs="宋体"/>
                <w:color w:val="000000"/>
                <w:kern w:val="0"/>
                <w:sz w:val="20"/>
                <w:szCs w:val="20"/>
              </w:rPr>
              <w:t>《微型计算机能效限定值及能效等级》（GB28380）</w:t>
            </w:r>
          </w:p>
        </w:tc>
      </w:tr>
      <w:tr w14:paraId="4DDDB832">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7FE4DCC4">
            <w:pPr>
              <w:widowControl/>
              <w:jc w:val="center"/>
              <w:rPr>
                <w:rFonts w:ascii="宋体" w:hAnsi="宋体" w:cs="宋体"/>
                <w:color w:val="000000"/>
                <w:kern w:val="0"/>
                <w:sz w:val="20"/>
                <w:szCs w:val="20"/>
              </w:rPr>
            </w:pPr>
            <w:r>
              <w:rPr>
                <w:rFonts w:hint="eastAsia" w:ascii="宋体" w:hAnsi="宋体" w:cs="宋体"/>
                <w:color w:val="000000"/>
                <w:kern w:val="0"/>
                <w:sz w:val="20"/>
                <w:szCs w:val="20"/>
              </w:rPr>
              <w:t>2</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0B54A35B">
            <w:pPr>
              <w:widowControl/>
              <w:jc w:val="center"/>
              <w:rPr>
                <w:rFonts w:ascii="宋体" w:hAnsi="宋体" w:cs="宋体"/>
                <w:color w:val="000000"/>
                <w:kern w:val="0"/>
                <w:sz w:val="20"/>
                <w:szCs w:val="20"/>
              </w:rPr>
            </w:pPr>
            <w:r>
              <w:rPr>
                <w:rFonts w:hint="eastAsia" w:ascii="宋体" w:hAnsi="宋体" w:cs="宋体"/>
                <w:color w:val="000000"/>
                <w:kern w:val="0"/>
                <w:sz w:val="20"/>
                <w:szCs w:val="20"/>
              </w:rPr>
              <w:t>A020106输入输出设备</w:t>
            </w:r>
          </w:p>
        </w:tc>
        <w:tc>
          <w:tcPr>
            <w:tcW w:w="1320" w:type="dxa"/>
            <w:vMerge w:val="restart"/>
            <w:tcBorders>
              <w:top w:val="nil"/>
              <w:left w:val="single" w:color="000000" w:sz="8" w:space="0"/>
              <w:bottom w:val="single" w:color="000000" w:sz="8" w:space="0"/>
              <w:right w:val="single" w:color="000000" w:sz="8" w:space="0"/>
            </w:tcBorders>
            <w:noWrap w:val="0"/>
            <w:vAlign w:val="center"/>
          </w:tcPr>
          <w:p w14:paraId="067B8FF8">
            <w:pPr>
              <w:widowControl/>
              <w:jc w:val="center"/>
              <w:rPr>
                <w:rFonts w:ascii="宋体" w:hAnsi="宋体" w:cs="宋体"/>
                <w:color w:val="000000"/>
                <w:kern w:val="0"/>
                <w:sz w:val="20"/>
                <w:szCs w:val="20"/>
              </w:rPr>
            </w:pPr>
            <w:r>
              <w:rPr>
                <w:rFonts w:hint="eastAsia" w:ascii="宋体" w:hAnsi="宋体" w:cs="宋体"/>
                <w:color w:val="000000"/>
                <w:kern w:val="0"/>
                <w:sz w:val="20"/>
                <w:szCs w:val="20"/>
              </w:rPr>
              <w:t>A02010601打印设备</w:t>
            </w:r>
          </w:p>
        </w:tc>
        <w:tc>
          <w:tcPr>
            <w:tcW w:w="1620" w:type="dxa"/>
            <w:tcBorders>
              <w:top w:val="nil"/>
              <w:left w:val="nil"/>
              <w:bottom w:val="single" w:color="000000" w:sz="8" w:space="0"/>
              <w:right w:val="single" w:color="000000" w:sz="8" w:space="0"/>
            </w:tcBorders>
            <w:noWrap w:val="0"/>
            <w:vAlign w:val="center"/>
          </w:tcPr>
          <w:p w14:paraId="52FA1247">
            <w:pPr>
              <w:widowControl/>
              <w:jc w:val="center"/>
              <w:rPr>
                <w:rFonts w:ascii="宋体" w:hAnsi="宋体" w:cs="宋体"/>
                <w:color w:val="000000"/>
                <w:kern w:val="0"/>
                <w:sz w:val="20"/>
                <w:szCs w:val="20"/>
              </w:rPr>
            </w:pPr>
            <w:r>
              <w:rPr>
                <w:rFonts w:hint="eastAsia" w:ascii="宋体" w:hAnsi="宋体" w:cs="宋体"/>
                <w:color w:val="000000"/>
                <w:kern w:val="0"/>
                <w:sz w:val="20"/>
                <w:szCs w:val="20"/>
              </w:rPr>
              <w:t>A0201060101喷墨打印机</w:t>
            </w:r>
          </w:p>
        </w:tc>
        <w:tc>
          <w:tcPr>
            <w:tcW w:w="4540" w:type="dxa"/>
            <w:tcBorders>
              <w:top w:val="nil"/>
              <w:left w:val="nil"/>
              <w:bottom w:val="single" w:color="000000" w:sz="8" w:space="0"/>
              <w:right w:val="single" w:color="000000" w:sz="8" w:space="0"/>
            </w:tcBorders>
            <w:noWrap w:val="0"/>
            <w:vAlign w:val="center"/>
          </w:tcPr>
          <w:p w14:paraId="6C1B69C3">
            <w:pPr>
              <w:widowControl/>
              <w:jc w:val="left"/>
              <w:rPr>
                <w:rFonts w:ascii="宋体" w:hAnsi="宋体" w:cs="宋体"/>
                <w:color w:val="000000"/>
                <w:kern w:val="0"/>
                <w:sz w:val="20"/>
                <w:szCs w:val="20"/>
              </w:rPr>
            </w:pPr>
            <w:r>
              <w:rPr>
                <w:rFonts w:hint="eastAsia" w:ascii="宋体" w:hAnsi="宋体" w:cs="宋体"/>
                <w:color w:val="000000"/>
                <w:kern w:val="0"/>
                <w:sz w:val="20"/>
                <w:szCs w:val="20"/>
              </w:rPr>
              <w:t>《复印机、打印机和传真机能效限定值及能效等级》（GB21521）</w:t>
            </w:r>
          </w:p>
        </w:tc>
      </w:tr>
      <w:tr w14:paraId="5C7041C6">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3D657825">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AEB4945">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9D32501">
            <w:pPr>
              <w:widowControl/>
              <w:jc w:val="left"/>
              <w:rPr>
                <w:rFonts w:ascii="宋体" w:hAnsi="宋体" w:cs="宋体"/>
                <w:color w:val="000000"/>
                <w:kern w:val="0"/>
                <w:sz w:val="20"/>
                <w:szCs w:val="20"/>
              </w:rPr>
            </w:pPr>
          </w:p>
        </w:tc>
        <w:tc>
          <w:tcPr>
            <w:tcW w:w="1620" w:type="dxa"/>
            <w:tcBorders>
              <w:top w:val="nil"/>
              <w:left w:val="nil"/>
              <w:bottom w:val="single" w:color="000000" w:sz="8" w:space="0"/>
              <w:right w:val="single" w:color="000000" w:sz="8" w:space="0"/>
            </w:tcBorders>
            <w:noWrap w:val="0"/>
            <w:vAlign w:val="center"/>
          </w:tcPr>
          <w:p w14:paraId="35B0EA7D">
            <w:pPr>
              <w:widowControl/>
              <w:jc w:val="center"/>
              <w:rPr>
                <w:rFonts w:ascii="宋体" w:hAnsi="宋体" w:cs="宋体"/>
                <w:color w:val="000000"/>
                <w:kern w:val="0"/>
                <w:sz w:val="20"/>
                <w:szCs w:val="20"/>
              </w:rPr>
            </w:pPr>
            <w:r>
              <w:rPr>
                <w:rFonts w:hint="eastAsia" w:ascii="宋体" w:hAnsi="宋体" w:cs="宋体"/>
                <w:color w:val="000000"/>
                <w:kern w:val="0"/>
                <w:sz w:val="20"/>
                <w:szCs w:val="20"/>
              </w:rPr>
              <w:t>★A0201060102激光打印机</w:t>
            </w:r>
          </w:p>
        </w:tc>
        <w:tc>
          <w:tcPr>
            <w:tcW w:w="4540" w:type="dxa"/>
            <w:tcBorders>
              <w:top w:val="nil"/>
              <w:left w:val="nil"/>
              <w:bottom w:val="single" w:color="000000" w:sz="8" w:space="0"/>
              <w:right w:val="single" w:color="000000" w:sz="8" w:space="0"/>
            </w:tcBorders>
            <w:noWrap w:val="0"/>
            <w:vAlign w:val="center"/>
          </w:tcPr>
          <w:p w14:paraId="06955392">
            <w:pPr>
              <w:widowControl/>
              <w:jc w:val="left"/>
              <w:rPr>
                <w:rFonts w:ascii="宋体" w:hAnsi="宋体" w:cs="宋体"/>
                <w:color w:val="000000"/>
                <w:kern w:val="0"/>
                <w:sz w:val="20"/>
                <w:szCs w:val="20"/>
              </w:rPr>
            </w:pPr>
            <w:r>
              <w:rPr>
                <w:rFonts w:hint="eastAsia" w:ascii="宋体" w:hAnsi="宋体" w:cs="宋体"/>
                <w:color w:val="000000"/>
                <w:kern w:val="0"/>
                <w:sz w:val="20"/>
                <w:szCs w:val="20"/>
              </w:rPr>
              <w:t>《复印机、打印机和传真机能效限定值及能效等级》（GB21521）</w:t>
            </w:r>
          </w:p>
        </w:tc>
      </w:tr>
      <w:tr w14:paraId="7BF9AD09">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107627F0">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8079713">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28D0E8A">
            <w:pPr>
              <w:widowControl/>
              <w:jc w:val="left"/>
              <w:rPr>
                <w:rFonts w:ascii="宋体" w:hAnsi="宋体" w:cs="宋体"/>
                <w:color w:val="000000"/>
                <w:kern w:val="0"/>
                <w:sz w:val="20"/>
                <w:szCs w:val="20"/>
              </w:rPr>
            </w:pPr>
          </w:p>
        </w:tc>
        <w:tc>
          <w:tcPr>
            <w:tcW w:w="1620" w:type="dxa"/>
            <w:tcBorders>
              <w:top w:val="nil"/>
              <w:left w:val="nil"/>
              <w:bottom w:val="single" w:color="000000" w:sz="8" w:space="0"/>
              <w:right w:val="single" w:color="000000" w:sz="8" w:space="0"/>
            </w:tcBorders>
            <w:noWrap w:val="0"/>
            <w:vAlign w:val="center"/>
          </w:tcPr>
          <w:p w14:paraId="20A62CA2">
            <w:pPr>
              <w:widowControl/>
              <w:jc w:val="center"/>
              <w:rPr>
                <w:rFonts w:ascii="宋体" w:hAnsi="宋体" w:cs="宋体"/>
                <w:color w:val="000000"/>
                <w:kern w:val="0"/>
                <w:sz w:val="20"/>
                <w:szCs w:val="20"/>
              </w:rPr>
            </w:pPr>
            <w:r>
              <w:rPr>
                <w:rFonts w:hint="eastAsia" w:ascii="宋体" w:hAnsi="宋体" w:cs="宋体"/>
                <w:color w:val="000000"/>
                <w:kern w:val="0"/>
                <w:sz w:val="20"/>
                <w:szCs w:val="20"/>
              </w:rPr>
              <w:t>★A0201060104针式打印机</w:t>
            </w:r>
          </w:p>
        </w:tc>
        <w:tc>
          <w:tcPr>
            <w:tcW w:w="4540" w:type="dxa"/>
            <w:tcBorders>
              <w:top w:val="nil"/>
              <w:left w:val="nil"/>
              <w:bottom w:val="single" w:color="000000" w:sz="8" w:space="0"/>
              <w:right w:val="single" w:color="000000" w:sz="8" w:space="0"/>
            </w:tcBorders>
            <w:noWrap w:val="0"/>
            <w:vAlign w:val="center"/>
          </w:tcPr>
          <w:p w14:paraId="71015105">
            <w:pPr>
              <w:widowControl/>
              <w:jc w:val="left"/>
              <w:rPr>
                <w:rFonts w:ascii="宋体" w:hAnsi="宋体" w:cs="宋体"/>
                <w:color w:val="000000"/>
                <w:kern w:val="0"/>
                <w:sz w:val="20"/>
                <w:szCs w:val="20"/>
              </w:rPr>
            </w:pPr>
            <w:r>
              <w:rPr>
                <w:rFonts w:hint="eastAsia" w:ascii="宋体" w:hAnsi="宋体" w:cs="宋体"/>
                <w:color w:val="000000"/>
                <w:kern w:val="0"/>
                <w:sz w:val="20"/>
                <w:szCs w:val="20"/>
              </w:rPr>
              <w:t>《复印机、打印机和传真机能效限定值及能效等级》（GB21521）</w:t>
            </w:r>
          </w:p>
        </w:tc>
      </w:tr>
      <w:tr w14:paraId="4F26E37F">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71EA5523">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27781248">
            <w:pPr>
              <w:widowControl/>
              <w:jc w:val="left"/>
              <w:rPr>
                <w:rFonts w:ascii="宋体" w:hAnsi="宋体" w:cs="宋体"/>
                <w:color w:val="000000"/>
                <w:kern w:val="0"/>
                <w:sz w:val="20"/>
                <w:szCs w:val="20"/>
              </w:rPr>
            </w:pPr>
          </w:p>
        </w:tc>
        <w:tc>
          <w:tcPr>
            <w:tcW w:w="1320" w:type="dxa"/>
            <w:tcBorders>
              <w:top w:val="nil"/>
              <w:left w:val="nil"/>
              <w:bottom w:val="single" w:color="000000" w:sz="8" w:space="0"/>
              <w:right w:val="single" w:color="000000" w:sz="8" w:space="0"/>
            </w:tcBorders>
            <w:noWrap w:val="0"/>
            <w:vAlign w:val="center"/>
          </w:tcPr>
          <w:p w14:paraId="2C5FAA4B">
            <w:pPr>
              <w:widowControl/>
              <w:jc w:val="center"/>
              <w:rPr>
                <w:rFonts w:ascii="宋体" w:hAnsi="宋体" w:cs="宋体"/>
                <w:color w:val="000000"/>
                <w:kern w:val="0"/>
                <w:sz w:val="20"/>
                <w:szCs w:val="20"/>
              </w:rPr>
            </w:pPr>
            <w:r>
              <w:rPr>
                <w:rFonts w:hint="eastAsia" w:ascii="宋体" w:hAnsi="宋体" w:cs="宋体"/>
                <w:color w:val="000000"/>
                <w:kern w:val="0"/>
                <w:sz w:val="20"/>
                <w:szCs w:val="20"/>
              </w:rPr>
              <w:t>A02010604显示设备</w:t>
            </w:r>
          </w:p>
        </w:tc>
        <w:tc>
          <w:tcPr>
            <w:tcW w:w="1620" w:type="dxa"/>
            <w:tcBorders>
              <w:top w:val="nil"/>
              <w:left w:val="nil"/>
              <w:bottom w:val="single" w:color="000000" w:sz="8" w:space="0"/>
              <w:right w:val="single" w:color="000000" w:sz="8" w:space="0"/>
            </w:tcBorders>
            <w:noWrap w:val="0"/>
            <w:vAlign w:val="center"/>
          </w:tcPr>
          <w:p w14:paraId="40D84D07">
            <w:pPr>
              <w:widowControl/>
              <w:jc w:val="center"/>
              <w:rPr>
                <w:rFonts w:ascii="宋体" w:hAnsi="宋体" w:cs="宋体"/>
                <w:color w:val="000000"/>
                <w:kern w:val="0"/>
                <w:sz w:val="20"/>
                <w:szCs w:val="20"/>
              </w:rPr>
            </w:pPr>
            <w:r>
              <w:rPr>
                <w:rFonts w:hint="eastAsia" w:ascii="宋体" w:hAnsi="宋体" w:cs="宋体"/>
                <w:color w:val="000000"/>
                <w:kern w:val="0"/>
                <w:sz w:val="20"/>
                <w:szCs w:val="20"/>
              </w:rPr>
              <w:t>★A0201060401液晶显示器</w:t>
            </w:r>
          </w:p>
        </w:tc>
        <w:tc>
          <w:tcPr>
            <w:tcW w:w="4540" w:type="dxa"/>
            <w:tcBorders>
              <w:top w:val="nil"/>
              <w:left w:val="nil"/>
              <w:bottom w:val="single" w:color="000000" w:sz="8" w:space="0"/>
              <w:right w:val="single" w:color="000000" w:sz="8" w:space="0"/>
            </w:tcBorders>
            <w:noWrap w:val="0"/>
            <w:vAlign w:val="center"/>
          </w:tcPr>
          <w:p w14:paraId="74BED6A7">
            <w:pPr>
              <w:widowControl/>
              <w:jc w:val="left"/>
              <w:rPr>
                <w:rFonts w:ascii="宋体" w:hAnsi="宋体" w:cs="宋体"/>
                <w:color w:val="000000"/>
                <w:kern w:val="0"/>
                <w:sz w:val="20"/>
                <w:szCs w:val="20"/>
              </w:rPr>
            </w:pPr>
            <w:r>
              <w:rPr>
                <w:rFonts w:hint="eastAsia" w:ascii="宋体" w:hAnsi="宋体" w:cs="宋体"/>
                <w:color w:val="000000"/>
                <w:kern w:val="0"/>
                <w:sz w:val="20"/>
                <w:szCs w:val="20"/>
              </w:rPr>
              <w:t>《计算机显示器能效限定值及能效等级》（GB21520）</w:t>
            </w:r>
          </w:p>
        </w:tc>
      </w:tr>
      <w:tr w14:paraId="128D1AD1">
        <w:tblPrEx>
          <w:tblCellMar>
            <w:top w:w="0" w:type="dxa"/>
            <w:left w:w="108" w:type="dxa"/>
            <w:bottom w:w="0" w:type="dxa"/>
            <w:right w:w="108" w:type="dxa"/>
          </w:tblCellMar>
        </w:tblPrEx>
        <w:trPr>
          <w:trHeight w:val="97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7862FBB0">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2DCA443D">
            <w:pPr>
              <w:widowControl/>
              <w:jc w:val="left"/>
              <w:rPr>
                <w:rFonts w:ascii="宋体" w:hAnsi="宋体" w:cs="宋体"/>
                <w:color w:val="000000"/>
                <w:kern w:val="0"/>
                <w:sz w:val="20"/>
                <w:szCs w:val="20"/>
              </w:rPr>
            </w:pPr>
          </w:p>
        </w:tc>
        <w:tc>
          <w:tcPr>
            <w:tcW w:w="1320" w:type="dxa"/>
            <w:tcBorders>
              <w:top w:val="nil"/>
              <w:left w:val="nil"/>
              <w:bottom w:val="single" w:color="000000" w:sz="8" w:space="0"/>
              <w:right w:val="single" w:color="000000" w:sz="8" w:space="0"/>
            </w:tcBorders>
            <w:noWrap w:val="0"/>
            <w:vAlign w:val="center"/>
          </w:tcPr>
          <w:p w14:paraId="1368F7ED">
            <w:pPr>
              <w:widowControl/>
              <w:jc w:val="center"/>
              <w:rPr>
                <w:rFonts w:ascii="宋体" w:hAnsi="宋体" w:cs="宋体"/>
                <w:color w:val="000000"/>
                <w:kern w:val="0"/>
                <w:sz w:val="20"/>
                <w:szCs w:val="20"/>
              </w:rPr>
            </w:pPr>
            <w:r>
              <w:rPr>
                <w:rFonts w:hint="eastAsia" w:ascii="宋体" w:hAnsi="宋体" w:cs="宋体"/>
                <w:color w:val="000000"/>
                <w:kern w:val="0"/>
                <w:sz w:val="20"/>
                <w:szCs w:val="20"/>
              </w:rPr>
              <w:t>A02010609图形图像输入设备</w:t>
            </w:r>
          </w:p>
        </w:tc>
        <w:tc>
          <w:tcPr>
            <w:tcW w:w="1620" w:type="dxa"/>
            <w:tcBorders>
              <w:top w:val="nil"/>
              <w:left w:val="nil"/>
              <w:bottom w:val="single" w:color="000000" w:sz="8" w:space="0"/>
              <w:right w:val="single" w:color="000000" w:sz="8" w:space="0"/>
            </w:tcBorders>
            <w:noWrap w:val="0"/>
            <w:vAlign w:val="center"/>
          </w:tcPr>
          <w:p w14:paraId="1DC5181C">
            <w:pPr>
              <w:widowControl/>
              <w:jc w:val="center"/>
              <w:rPr>
                <w:rFonts w:ascii="宋体" w:hAnsi="宋体" w:cs="宋体"/>
                <w:color w:val="000000"/>
                <w:kern w:val="0"/>
                <w:sz w:val="20"/>
                <w:szCs w:val="20"/>
              </w:rPr>
            </w:pPr>
            <w:r>
              <w:rPr>
                <w:rFonts w:hint="eastAsia" w:ascii="宋体" w:hAnsi="宋体" w:cs="宋体"/>
                <w:color w:val="000000"/>
                <w:kern w:val="0"/>
                <w:sz w:val="20"/>
                <w:szCs w:val="20"/>
              </w:rPr>
              <w:t>A0201060901扫描仪</w:t>
            </w:r>
          </w:p>
        </w:tc>
        <w:tc>
          <w:tcPr>
            <w:tcW w:w="4540" w:type="dxa"/>
            <w:tcBorders>
              <w:top w:val="nil"/>
              <w:left w:val="nil"/>
              <w:bottom w:val="single" w:color="000000" w:sz="8" w:space="0"/>
              <w:right w:val="single" w:color="000000" w:sz="8" w:space="0"/>
            </w:tcBorders>
            <w:noWrap w:val="0"/>
            <w:vAlign w:val="center"/>
          </w:tcPr>
          <w:p w14:paraId="2DC52B89">
            <w:pPr>
              <w:widowControl/>
              <w:jc w:val="left"/>
              <w:rPr>
                <w:rFonts w:ascii="宋体" w:hAnsi="宋体" w:cs="宋体"/>
                <w:color w:val="000000"/>
                <w:kern w:val="0"/>
                <w:sz w:val="20"/>
                <w:szCs w:val="20"/>
              </w:rPr>
            </w:pPr>
            <w:r>
              <w:rPr>
                <w:rFonts w:hint="eastAsia" w:ascii="宋体" w:hAnsi="宋体" w:cs="宋体"/>
                <w:color w:val="000000"/>
                <w:kern w:val="0"/>
                <w:sz w:val="20"/>
                <w:szCs w:val="20"/>
              </w:rPr>
              <w:t>参照《复印机、打印机和传真机能效限定值及能效等级》（GB21521中打印速度为15页/分的针式打印机相关要求中打印速度为15页/分的针式打印机相关要求</w:t>
            </w:r>
          </w:p>
        </w:tc>
      </w:tr>
      <w:tr w14:paraId="799D4D85">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26D4AA1B">
            <w:pPr>
              <w:widowControl/>
              <w:jc w:val="center"/>
              <w:rPr>
                <w:rFonts w:ascii="宋体" w:hAnsi="宋体" w:cs="宋体"/>
                <w:color w:val="000000"/>
                <w:kern w:val="0"/>
                <w:sz w:val="20"/>
                <w:szCs w:val="20"/>
              </w:rPr>
            </w:pPr>
            <w:r>
              <w:rPr>
                <w:rFonts w:hint="eastAsia" w:ascii="宋体" w:hAnsi="宋体" w:cs="宋体"/>
                <w:color w:val="000000"/>
                <w:kern w:val="0"/>
                <w:sz w:val="20"/>
                <w:szCs w:val="20"/>
              </w:rPr>
              <w:t>3</w:t>
            </w:r>
          </w:p>
        </w:tc>
        <w:tc>
          <w:tcPr>
            <w:tcW w:w="1080" w:type="dxa"/>
            <w:tcBorders>
              <w:top w:val="nil"/>
              <w:left w:val="nil"/>
              <w:bottom w:val="single" w:color="000000" w:sz="8" w:space="0"/>
              <w:right w:val="single" w:color="000000" w:sz="8" w:space="0"/>
            </w:tcBorders>
            <w:noWrap w:val="0"/>
            <w:vAlign w:val="center"/>
          </w:tcPr>
          <w:p w14:paraId="6555FACF">
            <w:pPr>
              <w:widowControl/>
              <w:jc w:val="center"/>
              <w:rPr>
                <w:rFonts w:ascii="宋体" w:hAnsi="宋体" w:cs="宋体"/>
                <w:color w:val="000000"/>
                <w:kern w:val="0"/>
                <w:sz w:val="20"/>
                <w:szCs w:val="20"/>
              </w:rPr>
            </w:pPr>
            <w:r>
              <w:rPr>
                <w:rFonts w:hint="eastAsia" w:ascii="宋体" w:hAnsi="宋体" w:cs="宋体"/>
                <w:color w:val="000000"/>
                <w:kern w:val="0"/>
                <w:sz w:val="20"/>
                <w:szCs w:val="20"/>
              </w:rPr>
              <w:t>A020202投影仪</w:t>
            </w:r>
          </w:p>
        </w:tc>
        <w:tc>
          <w:tcPr>
            <w:tcW w:w="1320" w:type="dxa"/>
            <w:tcBorders>
              <w:top w:val="nil"/>
              <w:left w:val="nil"/>
              <w:bottom w:val="single" w:color="000000" w:sz="8" w:space="0"/>
              <w:right w:val="single" w:color="000000" w:sz="8" w:space="0"/>
            </w:tcBorders>
            <w:noWrap w:val="0"/>
            <w:vAlign w:val="center"/>
          </w:tcPr>
          <w:p w14:paraId="2E6E2B62">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20" w:type="dxa"/>
            <w:tcBorders>
              <w:top w:val="nil"/>
              <w:left w:val="nil"/>
              <w:bottom w:val="single" w:color="000000" w:sz="8" w:space="0"/>
              <w:right w:val="single" w:color="000000" w:sz="8" w:space="0"/>
            </w:tcBorders>
            <w:noWrap w:val="0"/>
            <w:vAlign w:val="center"/>
          </w:tcPr>
          <w:p w14:paraId="04FCCE25">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7809537F">
            <w:pPr>
              <w:widowControl/>
              <w:jc w:val="left"/>
              <w:rPr>
                <w:rFonts w:ascii="宋体" w:hAnsi="宋体" w:cs="宋体"/>
                <w:color w:val="000000"/>
                <w:kern w:val="0"/>
                <w:sz w:val="20"/>
                <w:szCs w:val="20"/>
              </w:rPr>
            </w:pPr>
            <w:r>
              <w:rPr>
                <w:rFonts w:hint="eastAsia" w:ascii="宋体" w:hAnsi="宋体" w:cs="宋体"/>
                <w:color w:val="000000"/>
                <w:kern w:val="0"/>
                <w:sz w:val="20"/>
                <w:szCs w:val="20"/>
              </w:rPr>
              <w:t>《投影机能效限定值及能效等级》（GB32028）</w:t>
            </w:r>
          </w:p>
        </w:tc>
      </w:tr>
      <w:tr w14:paraId="126DB30D">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1B06853C">
            <w:pPr>
              <w:widowControl/>
              <w:jc w:val="center"/>
              <w:rPr>
                <w:rFonts w:ascii="宋体" w:hAnsi="宋体" w:cs="宋体"/>
                <w:color w:val="000000"/>
                <w:kern w:val="0"/>
                <w:sz w:val="20"/>
                <w:szCs w:val="20"/>
              </w:rPr>
            </w:pPr>
            <w:r>
              <w:rPr>
                <w:rFonts w:hint="eastAsia" w:ascii="宋体" w:hAnsi="宋体" w:cs="宋体"/>
                <w:color w:val="000000"/>
                <w:kern w:val="0"/>
                <w:sz w:val="20"/>
                <w:szCs w:val="20"/>
              </w:rPr>
              <w:t>4</w:t>
            </w:r>
          </w:p>
        </w:tc>
        <w:tc>
          <w:tcPr>
            <w:tcW w:w="1080" w:type="dxa"/>
            <w:tcBorders>
              <w:top w:val="nil"/>
              <w:left w:val="nil"/>
              <w:bottom w:val="single" w:color="000000" w:sz="8" w:space="0"/>
              <w:right w:val="single" w:color="000000" w:sz="8" w:space="0"/>
            </w:tcBorders>
            <w:noWrap w:val="0"/>
            <w:vAlign w:val="center"/>
          </w:tcPr>
          <w:p w14:paraId="0511DFE4">
            <w:pPr>
              <w:widowControl/>
              <w:jc w:val="center"/>
              <w:rPr>
                <w:rFonts w:ascii="宋体" w:hAnsi="宋体" w:cs="宋体"/>
                <w:color w:val="000000"/>
                <w:kern w:val="0"/>
                <w:sz w:val="20"/>
                <w:szCs w:val="20"/>
              </w:rPr>
            </w:pPr>
            <w:r>
              <w:rPr>
                <w:rFonts w:hint="eastAsia" w:ascii="宋体" w:hAnsi="宋体" w:cs="宋体"/>
                <w:color w:val="000000"/>
                <w:kern w:val="0"/>
                <w:sz w:val="20"/>
                <w:szCs w:val="20"/>
              </w:rPr>
              <w:t>A020204多功能一体机</w:t>
            </w:r>
          </w:p>
        </w:tc>
        <w:tc>
          <w:tcPr>
            <w:tcW w:w="1320" w:type="dxa"/>
            <w:tcBorders>
              <w:top w:val="nil"/>
              <w:left w:val="nil"/>
              <w:bottom w:val="single" w:color="000000" w:sz="8" w:space="0"/>
              <w:right w:val="single" w:color="000000" w:sz="8" w:space="0"/>
            </w:tcBorders>
            <w:noWrap w:val="0"/>
            <w:vAlign w:val="center"/>
          </w:tcPr>
          <w:p w14:paraId="246EB1B7">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20" w:type="dxa"/>
            <w:tcBorders>
              <w:top w:val="nil"/>
              <w:left w:val="nil"/>
              <w:bottom w:val="single" w:color="000000" w:sz="8" w:space="0"/>
              <w:right w:val="single" w:color="000000" w:sz="8" w:space="0"/>
            </w:tcBorders>
            <w:noWrap w:val="0"/>
            <w:vAlign w:val="center"/>
          </w:tcPr>
          <w:p w14:paraId="515568F3">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7549B129">
            <w:pPr>
              <w:widowControl/>
              <w:jc w:val="left"/>
              <w:rPr>
                <w:rFonts w:ascii="宋体" w:hAnsi="宋体" w:cs="宋体"/>
                <w:color w:val="000000"/>
                <w:kern w:val="0"/>
                <w:sz w:val="20"/>
                <w:szCs w:val="20"/>
              </w:rPr>
            </w:pPr>
            <w:r>
              <w:rPr>
                <w:rFonts w:hint="eastAsia" w:ascii="宋体" w:hAnsi="宋体" w:cs="宋体"/>
                <w:color w:val="000000"/>
                <w:kern w:val="0"/>
                <w:sz w:val="20"/>
                <w:szCs w:val="20"/>
              </w:rPr>
              <w:t>《复印机、打印机和传真机能效限定值及能效等级》（GB21521）</w:t>
            </w:r>
          </w:p>
        </w:tc>
      </w:tr>
      <w:tr w14:paraId="43F9F157">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04CE6CDF">
            <w:pPr>
              <w:widowControl/>
              <w:jc w:val="center"/>
              <w:rPr>
                <w:rFonts w:ascii="宋体" w:hAnsi="宋体" w:cs="宋体"/>
                <w:color w:val="000000"/>
                <w:kern w:val="0"/>
                <w:sz w:val="20"/>
                <w:szCs w:val="20"/>
              </w:rPr>
            </w:pPr>
            <w:r>
              <w:rPr>
                <w:rFonts w:hint="eastAsia" w:ascii="宋体" w:hAnsi="宋体" w:cs="宋体"/>
                <w:color w:val="000000"/>
                <w:kern w:val="0"/>
                <w:sz w:val="20"/>
                <w:szCs w:val="20"/>
              </w:rPr>
              <w:t>5</w:t>
            </w:r>
          </w:p>
        </w:tc>
        <w:tc>
          <w:tcPr>
            <w:tcW w:w="1080" w:type="dxa"/>
            <w:tcBorders>
              <w:top w:val="nil"/>
              <w:left w:val="nil"/>
              <w:bottom w:val="single" w:color="000000" w:sz="8" w:space="0"/>
              <w:right w:val="single" w:color="000000" w:sz="8" w:space="0"/>
            </w:tcBorders>
            <w:noWrap w:val="0"/>
            <w:vAlign w:val="center"/>
          </w:tcPr>
          <w:p w14:paraId="51088C43">
            <w:pPr>
              <w:widowControl/>
              <w:jc w:val="center"/>
              <w:rPr>
                <w:rFonts w:ascii="宋体" w:hAnsi="宋体" w:cs="宋体"/>
                <w:color w:val="000000"/>
                <w:kern w:val="0"/>
                <w:sz w:val="20"/>
                <w:szCs w:val="20"/>
              </w:rPr>
            </w:pPr>
            <w:r>
              <w:rPr>
                <w:rFonts w:hint="eastAsia" w:ascii="宋体" w:hAnsi="宋体" w:cs="宋体"/>
                <w:color w:val="000000"/>
                <w:kern w:val="0"/>
                <w:sz w:val="20"/>
                <w:szCs w:val="20"/>
              </w:rPr>
              <w:t>A020519泵</w:t>
            </w:r>
          </w:p>
        </w:tc>
        <w:tc>
          <w:tcPr>
            <w:tcW w:w="1320" w:type="dxa"/>
            <w:tcBorders>
              <w:top w:val="nil"/>
              <w:left w:val="nil"/>
              <w:bottom w:val="single" w:color="000000" w:sz="8" w:space="0"/>
              <w:right w:val="single" w:color="000000" w:sz="8" w:space="0"/>
            </w:tcBorders>
            <w:noWrap w:val="0"/>
            <w:vAlign w:val="center"/>
          </w:tcPr>
          <w:p w14:paraId="39EBBD79">
            <w:pPr>
              <w:widowControl/>
              <w:jc w:val="center"/>
              <w:rPr>
                <w:rFonts w:ascii="宋体" w:hAnsi="宋体" w:cs="宋体"/>
                <w:color w:val="000000"/>
                <w:kern w:val="0"/>
                <w:sz w:val="20"/>
                <w:szCs w:val="20"/>
              </w:rPr>
            </w:pPr>
            <w:r>
              <w:rPr>
                <w:rFonts w:hint="eastAsia" w:ascii="宋体" w:hAnsi="宋体" w:cs="宋体"/>
                <w:color w:val="000000"/>
                <w:kern w:val="0"/>
                <w:sz w:val="20"/>
                <w:szCs w:val="20"/>
              </w:rPr>
              <w:t>A02051901离心泵</w:t>
            </w:r>
          </w:p>
        </w:tc>
        <w:tc>
          <w:tcPr>
            <w:tcW w:w="1620" w:type="dxa"/>
            <w:tcBorders>
              <w:top w:val="nil"/>
              <w:left w:val="nil"/>
              <w:bottom w:val="single" w:color="000000" w:sz="8" w:space="0"/>
              <w:right w:val="single" w:color="000000" w:sz="8" w:space="0"/>
            </w:tcBorders>
            <w:noWrap w:val="0"/>
            <w:vAlign w:val="center"/>
          </w:tcPr>
          <w:p w14:paraId="549ECC3A">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21ACFB6B">
            <w:pPr>
              <w:widowControl/>
              <w:jc w:val="left"/>
              <w:rPr>
                <w:rFonts w:ascii="宋体" w:hAnsi="宋体" w:cs="宋体"/>
                <w:color w:val="000000"/>
                <w:kern w:val="0"/>
                <w:sz w:val="20"/>
                <w:szCs w:val="20"/>
              </w:rPr>
            </w:pPr>
            <w:r>
              <w:rPr>
                <w:rFonts w:hint="eastAsia" w:ascii="宋体" w:hAnsi="宋体" w:cs="宋体"/>
                <w:color w:val="000000"/>
                <w:kern w:val="0"/>
                <w:sz w:val="20"/>
                <w:szCs w:val="20"/>
              </w:rPr>
              <w:t>《清水离心泵能效限定值及节能评价值》（GB19762）</w:t>
            </w:r>
          </w:p>
        </w:tc>
      </w:tr>
      <w:tr w14:paraId="67CAE66D">
        <w:tblPrEx>
          <w:tblCellMar>
            <w:top w:w="0" w:type="dxa"/>
            <w:left w:w="108" w:type="dxa"/>
            <w:bottom w:w="0" w:type="dxa"/>
            <w:right w:w="108" w:type="dxa"/>
          </w:tblCellMar>
        </w:tblPrEx>
        <w:trPr>
          <w:trHeight w:val="73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73B0AD3C">
            <w:pPr>
              <w:widowControl/>
              <w:jc w:val="center"/>
              <w:rPr>
                <w:rFonts w:ascii="宋体" w:hAnsi="宋体" w:cs="宋体"/>
                <w:color w:val="000000"/>
                <w:kern w:val="0"/>
                <w:sz w:val="20"/>
                <w:szCs w:val="20"/>
              </w:rPr>
            </w:pPr>
            <w:r>
              <w:rPr>
                <w:rFonts w:hint="eastAsia" w:ascii="宋体" w:hAnsi="宋体" w:cs="宋体"/>
                <w:color w:val="000000"/>
                <w:kern w:val="0"/>
                <w:sz w:val="20"/>
                <w:szCs w:val="20"/>
              </w:rPr>
              <w:t>6</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26502FDE">
            <w:pPr>
              <w:widowControl/>
              <w:jc w:val="center"/>
              <w:rPr>
                <w:rFonts w:ascii="宋体" w:hAnsi="宋体" w:cs="宋体"/>
                <w:color w:val="000000"/>
                <w:kern w:val="0"/>
                <w:sz w:val="20"/>
                <w:szCs w:val="20"/>
              </w:rPr>
            </w:pPr>
            <w:r>
              <w:rPr>
                <w:rFonts w:hint="eastAsia" w:ascii="宋体" w:hAnsi="宋体" w:cs="宋体"/>
                <w:color w:val="000000"/>
                <w:kern w:val="0"/>
                <w:sz w:val="20"/>
                <w:szCs w:val="20"/>
              </w:rPr>
              <w:t>A020523制冷空调设备</w:t>
            </w:r>
          </w:p>
        </w:tc>
        <w:tc>
          <w:tcPr>
            <w:tcW w:w="1320" w:type="dxa"/>
            <w:vMerge w:val="restart"/>
            <w:tcBorders>
              <w:top w:val="nil"/>
              <w:left w:val="single" w:color="000000" w:sz="8" w:space="0"/>
              <w:bottom w:val="single" w:color="000000" w:sz="8" w:space="0"/>
              <w:right w:val="single" w:color="000000" w:sz="8" w:space="0"/>
            </w:tcBorders>
            <w:noWrap w:val="0"/>
            <w:vAlign w:val="center"/>
          </w:tcPr>
          <w:p w14:paraId="65718554">
            <w:pPr>
              <w:widowControl/>
              <w:jc w:val="center"/>
              <w:rPr>
                <w:rFonts w:ascii="宋体" w:hAnsi="宋体" w:cs="宋体"/>
                <w:color w:val="000000"/>
                <w:kern w:val="0"/>
                <w:sz w:val="20"/>
                <w:szCs w:val="20"/>
              </w:rPr>
            </w:pPr>
            <w:r>
              <w:rPr>
                <w:rFonts w:hint="eastAsia" w:ascii="宋体" w:hAnsi="宋体" w:cs="宋体"/>
                <w:color w:val="000000"/>
                <w:kern w:val="0"/>
                <w:sz w:val="20"/>
                <w:szCs w:val="20"/>
              </w:rPr>
              <w:t>★A02052301制冷压缩机</w:t>
            </w:r>
          </w:p>
        </w:tc>
        <w:tc>
          <w:tcPr>
            <w:tcW w:w="1620" w:type="dxa"/>
            <w:tcBorders>
              <w:top w:val="nil"/>
              <w:left w:val="nil"/>
              <w:bottom w:val="single" w:color="000000" w:sz="8" w:space="0"/>
              <w:right w:val="single" w:color="000000" w:sz="8" w:space="0"/>
            </w:tcBorders>
            <w:noWrap w:val="0"/>
            <w:vAlign w:val="center"/>
          </w:tcPr>
          <w:p w14:paraId="16F5DDE9">
            <w:pPr>
              <w:widowControl/>
              <w:jc w:val="center"/>
              <w:rPr>
                <w:rFonts w:ascii="宋体" w:hAnsi="宋体" w:cs="宋体"/>
                <w:color w:val="000000"/>
                <w:kern w:val="0"/>
                <w:sz w:val="20"/>
                <w:szCs w:val="20"/>
              </w:rPr>
            </w:pPr>
            <w:r>
              <w:rPr>
                <w:rFonts w:hint="eastAsia" w:ascii="宋体" w:hAnsi="宋体" w:cs="宋体"/>
                <w:color w:val="000000"/>
                <w:kern w:val="0"/>
                <w:sz w:val="20"/>
                <w:szCs w:val="20"/>
              </w:rPr>
              <w:t>冷水机组</w:t>
            </w:r>
          </w:p>
        </w:tc>
        <w:tc>
          <w:tcPr>
            <w:tcW w:w="4540" w:type="dxa"/>
            <w:tcBorders>
              <w:top w:val="nil"/>
              <w:left w:val="nil"/>
              <w:bottom w:val="single" w:color="000000" w:sz="8" w:space="0"/>
              <w:right w:val="single" w:color="000000" w:sz="8" w:space="0"/>
            </w:tcBorders>
            <w:noWrap w:val="0"/>
            <w:vAlign w:val="center"/>
          </w:tcPr>
          <w:p w14:paraId="20DB9B8B">
            <w:pPr>
              <w:widowControl/>
              <w:jc w:val="left"/>
              <w:rPr>
                <w:rFonts w:ascii="宋体" w:hAnsi="宋体" w:cs="宋体"/>
                <w:color w:val="000000"/>
                <w:kern w:val="0"/>
                <w:sz w:val="20"/>
                <w:szCs w:val="20"/>
              </w:rPr>
            </w:pPr>
            <w:r>
              <w:rPr>
                <w:rFonts w:hint="eastAsia" w:ascii="宋体" w:hAnsi="宋体" w:cs="宋体"/>
                <w:color w:val="000000"/>
                <w:kern w:val="0"/>
                <w:sz w:val="20"/>
                <w:szCs w:val="20"/>
              </w:rPr>
              <w:t>《冷水机组能效限定值及能效等级》（GB19577），《低环境温度空气源热泵（冷水）机组能效限定值及能效等级》（GB37480）</w:t>
            </w:r>
          </w:p>
        </w:tc>
      </w:tr>
      <w:tr w14:paraId="6F0B765B">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29F57003">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0DD972C">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C17DD69">
            <w:pPr>
              <w:widowControl/>
              <w:jc w:val="left"/>
              <w:rPr>
                <w:rFonts w:ascii="宋体" w:hAnsi="宋体" w:cs="宋体"/>
                <w:color w:val="000000"/>
                <w:kern w:val="0"/>
                <w:sz w:val="20"/>
                <w:szCs w:val="20"/>
              </w:rPr>
            </w:pPr>
          </w:p>
        </w:tc>
        <w:tc>
          <w:tcPr>
            <w:tcW w:w="1620" w:type="dxa"/>
            <w:tcBorders>
              <w:top w:val="nil"/>
              <w:left w:val="nil"/>
              <w:bottom w:val="single" w:color="000000" w:sz="8" w:space="0"/>
              <w:right w:val="single" w:color="000000" w:sz="8" w:space="0"/>
            </w:tcBorders>
            <w:noWrap w:val="0"/>
            <w:vAlign w:val="center"/>
          </w:tcPr>
          <w:p w14:paraId="7563DE80">
            <w:pPr>
              <w:widowControl/>
              <w:jc w:val="center"/>
              <w:rPr>
                <w:rFonts w:ascii="宋体" w:hAnsi="宋体" w:cs="宋体"/>
                <w:color w:val="000000"/>
                <w:kern w:val="0"/>
                <w:sz w:val="20"/>
                <w:szCs w:val="20"/>
              </w:rPr>
            </w:pPr>
            <w:r>
              <w:rPr>
                <w:rFonts w:hint="eastAsia" w:ascii="宋体" w:hAnsi="宋体" w:cs="宋体"/>
                <w:color w:val="000000"/>
                <w:kern w:val="0"/>
                <w:sz w:val="20"/>
                <w:szCs w:val="20"/>
              </w:rPr>
              <w:t>水源热泵机组</w:t>
            </w:r>
          </w:p>
        </w:tc>
        <w:tc>
          <w:tcPr>
            <w:tcW w:w="4540" w:type="dxa"/>
            <w:tcBorders>
              <w:top w:val="nil"/>
              <w:left w:val="nil"/>
              <w:bottom w:val="single" w:color="000000" w:sz="8" w:space="0"/>
              <w:right w:val="single" w:color="000000" w:sz="8" w:space="0"/>
            </w:tcBorders>
            <w:noWrap w:val="0"/>
            <w:vAlign w:val="center"/>
          </w:tcPr>
          <w:p w14:paraId="6AC4919F">
            <w:pPr>
              <w:widowControl/>
              <w:jc w:val="left"/>
              <w:rPr>
                <w:rFonts w:ascii="宋体" w:hAnsi="宋体" w:cs="宋体"/>
                <w:color w:val="000000"/>
                <w:kern w:val="0"/>
                <w:sz w:val="20"/>
                <w:szCs w:val="20"/>
              </w:rPr>
            </w:pPr>
            <w:r>
              <w:rPr>
                <w:rFonts w:hint="eastAsia" w:ascii="宋体" w:hAnsi="宋体" w:cs="宋体"/>
                <w:color w:val="000000"/>
                <w:kern w:val="0"/>
                <w:sz w:val="20"/>
                <w:szCs w:val="20"/>
              </w:rPr>
              <w:t>《水（地）源热泵机组能效限定值及能效等级》（GB30721）</w:t>
            </w:r>
          </w:p>
        </w:tc>
      </w:tr>
      <w:tr w14:paraId="028FFC13">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2E7D2476">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773AF5B">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2759A025">
            <w:pPr>
              <w:widowControl/>
              <w:jc w:val="left"/>
              <w:rPr>
                <w:rFonts w:ascii="宋体" w:hAnsi="宋体" w:cs="宋体"/>
                <w:color w:val="000000"/>
                <w:kern w:val="0"/>
                <w:sz w:val="20"/>
                <w:szCs w:val="20"/>
              </w:rPr>
            </w:pPr>
          </w:p>
        </w:tc>
        <w:tc>
          <w:tcPr>
            <w:tcW w:w="1620" w:type="dxa"/>
            <w:tcBorders>
              <w:top w:val="nil"/>
              <w:left w:val="nil"/>
              <w:bottom w:val="single" w:color="000000" w:sz="8" w:space="0"/>
              <w:right w:val="single" w:color="000000" w:sz="8" w:space="0"/>
            </w:tcBorders>
            <w:noWrap w:val="0"/>
            <w:vAlign w:val="center"/>
          </w:tcPr>
          <w:p w14:paraId="3537A2AE">
            <w:pPr>
              <w:widowControl/>
              <w:jc w:val="center"/>
              <w:rPr>
                <w:rFonts w:ascii="宋体" w:hAnsi="宋体" w:cs="宋体"/>
                <w:color w:val="000000"/>
                <w:kern w:val="0"/>
                <w:sz w:val="20"/>
                <w:szCs w:val="20"/>
              </w:rPr>
            </w:pPr>
            <w:r>
              <w:rPr>
                <w:rFonts w:hint="eastAsia" w:ascii="宋体" w:hAnsi="宋体" w:cs="宋体"/>
                <w:color w:val="000000"/>
                <w:kern w:val="0"/>
                <w:sz w:val="20"/>
                <w:szCs w:val="20"/>
              </w:rPr>
              <w:t>溴化锂吸收式冷水机组</w:t>
            </w:r>
          </w:p>
        </w:tc>
        <w:tc>
          <w:tcPr>
            <w:tcW w:w="4540" w:type="dxa"/>
            <w:tcBorders>
              <w:top w:val="nil"/>
              <w:left w:val="nil"/>
              <w:bottom w:val="single" w:color="000000" w:sz="8" w:space="0"/>
              <w:right w:val="single" w:color="000000" w:sz="8" w:space="0"/>
            </w:tcBorders>
            <w:noWrap w:val="0"/>
            <w:vAlign w:val="center"/>
          </w:tcPr>
          <w:p w14:paraId="3F40BCD7">
            <w:pPr>
              <w:widowControl/>
              <w:jc w:val="left"/>
              <w:rPr>
                <w:rFonts w:ascii="宋体" w:hAnsi="宋体" w:cs="宋体"/>
                <w:color w:val="000000"/>
                <w:kern w:val="0"/>
                <w:sz w:val="20"/>
                <w:szCs w:val="20"/>
              </w:rPr>
            </w:pPr>
            <w:r>
              <w:rPr>
                <w:rFonts w:hint="eastAsia" w:ascii="宋体" w:hAnsi="宋体" w:cs="宋体"/>
                <w:color w:val="000000"/>
                <w:kern w:val="0"/>
                <w:sz w:val="20"/>
                <w:szCs w:val="20"/>
              </w:rPr>
              <w:t>《溴化锂吸收式冷水机组能效限定值及能效等级》（GB29540）</w:t>
            </w:r>
          </w:p>
        </w:tc>
      </w:tr>
      <w:tr w14:paraId="29B33AC1">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6A6460F9">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08BB94ED">
            <w:pPr>
              <w:widowControl/>
              <w:jc w:val="left"/>
              <w:rPr>
                <w:rFonts w:ascii="宋体" w:hAnsi="宋体" w:cs="宋体"/>
                <w:color w:val="000000"/>
                <w:kern w:val="0"/>
                <w:sz w:val="20"/>
                <w:szCs w:val="20"/>
              </w:rPr>
            </w:pPr>
          </w:p>
        </w:tc>
        <w:tc>
          <w:tcPr>
            <w:tcW w:w="1320" w:type="dxa"/>
            <w:vMerge w:val="restart"/>
            <w:tcBorders>
              <w:top w:val="nil"/>
              <w:left w:val="single" w:color="000000" w:sz="8" w:space="0"/>
              <w:bottom w:val="single" w:color="000000" w:sz="8" w:space="0"/>
              <w:right w:val="single" w:color="000000" w:sz="8" w:space="0"/>
            </w:tcBorders>
            <w:noWrap w:val="0"/>
            <w:vAlign w:val="center"/>
          </w:tcPr>
          <w:p w14:paraId="546BC3DB">
            <w:pPr>
              <w:widowControl/>
              <w:jc w:val="center"/>
              <w:rPr>
                <w:rFonts w:ascii="宋体" w:hAnsi="宋体" w:cs="宋体"/>
                <w:color w:val="000000"/>
                <w:kern w:val="0"/>
                <w:sz w:val="20"/>
                <w:szCs w:val="20"/>
              </w:rPr>
            </w:pPr>
            <w:r>
              <w:rPr>
                <w:rFonts w:hint="eastAsia" w:ascii="宋体" w:hAnsi="宋体" w:cs="宋体"/>
                <w:color w:val="000000"/>
                <w:kern w:val="0"/>
                <w:sz w:val="20"/>
                <w:szCs w:val="20"/>
              </w:rPr>
              <w:t>★A02052305空调机组</w:t>
            </w:r>
          </w:p>
        </w:tc>
        <w:tc>
          <w:tcPr>
            <w:tcW w:w="1620" w:type="dxa"/>
            <w:tcBorders>
              <w:top w:val="nil"/>
              <w:left w:val="nil"/>
              <w:bottom w:val="single" w:color="000000" w:sz="8" w:space="0"/>
              <w:right w:val="single" w:color="000000" w:sz="8" w:space="0"/>
            </w:tcBorders>
            <w:noWrap w:val="0"/>
            <w:vAlign w:val="center"/>
          </w:tcPr>
          <w:p w14:paraId="652C0F50">
            <w:pPr>
              <w:widowControl/>
              <w:jc w:val="center"/>
              <w:rPr>
                <w:rFonts w:ascii="宋体" w:hAnsi="宋体" w:cs="宋体"/>
                <w:color w:val="000000"/>
                <w:kern w:val="0"/>
                <w:sz w:val="20"/>
                <w:szCs w:val="20"/>
              </w:rPr>
            </w:pPr>
            <w:r>
              <w:rPr>
                <w:rFonts w:hint="eastAsia" w:ascii="宋体" w:hAnsi="宋体" w:cs="宋体"/>
                <w:color w:val="000000"/>
                <w:kern w:val="0"/>
                <w:sz w:val="20"/>
                <w:szCs w:val="20"/>
              </w:rPr>
              <w:t>多联式空调（热泵）机组(制冷量&gt;14000W)</w:t>
            </w:r>
          </w:p>
        </w:tc>
        <w:tc>
          <w:tcPr>
            <w:tcW w:w="4540" w:type="dxa"/>
            <w:tcBorders>
              <w:top w:val="nil"/>
              <w:left w:val="nil"/>
              <w:bottom w:val="single" w:color="000000" w:sz="8" w:space="0"/>
              <w:right w:val="single" w:color="000000" w:sz="8" w:space="0"/>
            </w:tcBorders>
            <w:noWrap w:val="0"/>
            <w:vAlign w:val="center"/>
          </w:tcPr>
          <w:p w14:paraId="65743934">
            <w:pPr>
              <w:widowControl/>
              <w:jc w:val="left"/>
              <w:rPr>
                <w:rFonts w:ascii="宋体" w:hAnsi="宋体" w:cs="宋体"/>
                <w:color w:val="000000"/>
                <w:kern w:val="0"/>
                <w:sz w:val="20"/>
                <w:szCs w:val="20"/>
              </w:rPr>
            </w:pPr>
            <w:r>
              <w:rPr>
                <w:rFonts w:hint="eastAsia" w:ascii="宋体" w:hAnsi="宋体" w:cs="宋体"/>
                <w:color w:val="000000"/>
                <w:kern w:val="0"/>
                <w:sz w:val="20"/>
                <w:szCs w:val="20"/>
              </w:rPr>
              <w:t>《多联式空调（热泵）机组能效限定值及能源效率等级》（GB21454）</w:t>
            </w:r>
          </w:p>
        </w:tc>
      </w:tr>
      <w:tr w14:paraId="5427FA66">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543A55AA">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BE98D93">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D95A8AE">
            <w:pPr>
              <w:widowControl/>
              <w:jc w:val="left"/>
              <w:rPr>
                <w:rFonts w:ascii="宋体" w:hAnsi="宋体" w:cs="宋体"/>
                <w:color w:val="000000"/>
                <w:kern w:val="0"/>
                <w:sz w:val="20"/>
                <w:szCs w:val="20"/>
              </w:rPr>
            </w:pPr>
          </w:p>
        </w:tc>
        <w:tc>
          <w:tcPr>
            <w:tcW w:w="1620" w:type="dxa"/>
            <w:tcBorders>
              <w:top w:val="nil"/>
              <w:left w:val="nil"/>
              <w:bottom w:val="single" w:color="000000" w:sz="8" w:space="0"/>
              <w:right w:val="single" w:color="000000" w:sz="8" w:space="0"/>
            </w:tcBorders>
            <w:noWrap w:val="0"/>
            <w:vAlign w:val="center"/>
          </w:tcPr>
          <w:p w14:paraId="266A6917">
            <w:pPr>
              <w:widowControl/>
              <w:jc w:val="center"/>
              <w:rPr>
                <w:rFonts w:ascii="宋体" w:hAnsi="宋体" w:cs="宋体"/>
                <w:color w:val="000000"/>
                <w:kern w:val="0"/>
                <w:sz w:val="20"/>
                <w:szCs w:val="20"/>
              </w:rPr>
            </w:pPr>
            <w:r>
              <w:rPr>
                <w:rFonts w:hint="eastAsia" w:ascii="宋体" w:hAnsi="宋体" w:cs="宋体"/>
                <w:color w:val="000000"/>
                <w:kern w:val="0"/>
                <w:sz w:val="20"/>
                <w:szCs w:val="20"/>
              </w:rPr>
              <w:t>单元式空气调节机(制冷量&gt;14000W</w:t>
            </w:r>
          </w:p>
        </w:tc>
        <w:tc>
          <w:tcPr>
            <w:tcW w:w="4540" w:type="dxa"/>
            <w:tcBorders>
              <w:top w:val="nil"/>
              <w:left w:val="nil"/>
              <w:bottom w:val="single" w:color="000000" w:sz="8" w:space="0"/>
              <w:right w:val="single" w:color="000000" w:sz="8" w:space="0"/>
            </w:tcBorders>
            <w:noWrap w:val="0"/>
            <w:vAlign w:val="center"/>
          </w:tcPr>
          <w:p w14:paraId="7332EF6D">
            <w:pPr>
              <w:widowControl/>
              <w:jc w:val="left"/>
              <w:rPr>
                <w:rFonts w:ascii="宋体" w:hAnsi="宋体" w:cs="宋体"/>
                <w:color w:val="000000"/>
                <w:kern w:val="0"/>
                <w:sz w:val="20"/>
                <w:szCs w:val="20"/>
              </w:rPr>
            </w:pPr>
            <w:r>
              <w:rPr>
                <w:rFonts w:hint="eastAsia" w:ascii="宋体" w:hAnsi="宋体" w:cs="宋体"/>
                <w:color w:val="000000"/>
                <w:kern w:val="0"/>
                <w:sz w:val="20"/>
                <w:szCs w:val="20"/>
              </w:rPr>
              <w:t>《单元式空气调节机能效限定值及能效等级》（GB19576）《风管送风式空调机组能效限定值及能效等级》（GB37479）</w:t>
            </w:r>
          </w:p>
        </w:tc>
      </w:tr>
      <w:tr w14:paraId="4130C3C7">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7ABD6B09">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14295AA">
            <w:pPr>
              <w:widowControl/>
              <w:jc w:val="left"/>
              <w:rPr>
                <w:rFonts w:ascii="宋体" w:hAnsi="宋体" w:cs="宋体"/>
                <w:color w:val="000000"/>
                <w:kern w:val="0"/>
                <w:sz w:val="20"/>
                <w:szCs w:val="20"/>
              </w:rPr>
            </w:pPr>
          </w:p>
        </w:tc>
        <w:tc>
          <w:tcPr>
            <w:tcW w:w="1320" w:type="dxa"/>
            <w:tcBorders>
              <w:top w:val="nil"/>
              <w:left w:val="nil"/>
              <w:bottom w:val="single" w:color="000000" w:sz="8" w:space="0"/>
              <w:right w:val="single" w:color="000000" w:sz="8" w:space="0"/>
            </w:tcBorders>
            <w:noWrap w:val="0"/>
            <w:vAlign w:val="center"/>
          </w:tcPr>
          <w:p w14:paraId="07910438">
            <w:pPr>
              <w:widowControl/>
              <w:jc w:val="center"/>
              <w:rPr>
                <w:rFonts w:ascii="宋体" w:hAnsi="宋体" w:cs="宋体"/>
                <w:color w:val="000000"/>
                <w:kern w:val="0"/>
                <w:sz w:val="20"/>
                <w:szCs w:val="20"/>
              </w:rPr>
            </w:pPr>
            <w:r>
              <w:rPr>
                <w:rFonts w:hint="eastAsia" w:ascii="宋体" w:hAnsi="宋体" w:cs="宋体"/>
                <w:color w:val="000000"/>
                <w:kern w:val="0"/>
                <w:sz w:val="20"/>
                <w:szCs w:val="20"/>
              </w:rPr>
              <w:t>★A02052309专用制冷、空调设备</w:t>
            </w:r>
          </w:p>
        </w:tc>
        <w:tc>
          <w:tcPr>
            <w:tcW w:w="1620" w:type="dxa"/>
            <w:tcBorders>
              <w:top w:val="nil"/>
              <w:left w:val="nil"/>
              <w:bottom w:val="single" w:color="000000" w:sz="8" w:space="0"/>
              <w:right w:val="single" w:color="000000" w:sz="8" w:space="0"/>
            </w:tcBorders>
            <w:noWrap w:val="0"/>
            <w:vAlign w:val="center"/>
          </w:tcPr>
          <w:p w14:paraId="25963792">
            <w:pPr>
              <w:widowControl/>
              <w:jc w:val="center"/>
              <w:rPr>
                <w:rFonts w:ascii="宋体" w:hAnsi="宋体" w:cs="宋体"/>
                <w:color w:val="000000"/>
                <w:kern w:val="0"/>
                <w:sz w:val="20"/>
                <w:szCs w:val="20"/>
              </w:rPr>
            </w:pPr>
            <w:r>
              <w:rPr>
                <w:rFonts w:hint="eastAsia" w:ascii="宋体" w:hAnsi="宋体" w:cs="宋体"/>
                <w:color w:val="000000"/>
                <w:kern w:val="0"/>
                <w:sz w:val="20"/>
                <w:szCs w:val="20"/>
              </w:rPr>
              <w:t>机房空调</w:t>
            </w:r>
          </w:p>
        </w:tc>
        <w:tc>
          <w:tcPr>
            <w:tcW w:w="4540" w:type="dxa"/>
            <w:tcBorders>
              <w:top w:val="nil"/>
              <w:left w:val="nil"/>
              <w:bottom w:val="single" w:color="000000" w:sz="8" w:space="0"/>
              <w:right w:val="single" w:color="000000" w:sz="8" w:space="0"/>
            </w:tcBorders>
            <w:noWrap w:val="0"/>
            <w:vAlign w:val="center"/>
          </w:tcPr>
          <w:p w14:paraId="38EA28DF">
            <w:pPr>
              <w:widowControl/>
              <w:jc w:val="left"/>
              <w:rPr>
                <w:rFonts w:ascii="宋体" w:hAnsi="宋体" w:cs="宋体"/>
                <w:color w:val="000000"/>
                <w:kern w:val="0"/>
                <w:sz w:val="20"/>
                <w:szCs w:val="20"/>
              </w:rPr>
            </w:pPr>
            <w:r>
              <w:rPr>
                <w:rFonts w:hint="eastAsia" w:ascii="宋体" w:hAnsi="宋体" w:cs="宋体"/>
                <w:color w:val="000000"/>
                <w:kern w:val="0"/>
                <w:sz w:val="20"/>
                <w:szCs w:val="20"/>
              </w:rPr>
              <w:t>《单元式空气调节机能效限定值及能效等级》（GB19576）</w:t>
            </w:r>
          </w:p>
        </w:tc>
      </w:tr>
      <w:tr w14:paraId="1B40B6F2">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1BBB1608">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BE0E9C9">
            <w:pPr>
              <w:widowControl/>
              <w:jc w:val="left"/>
              <w:rPr>
                <w:rFonts w:ascii="宋体" w:hAnsi="宋体" w:cs="宋体"/>
                <w:color w:val="000000"/>
                <w:kern w:val="0"/>
                <w:sz w:val="20"/>
                <w:szCs w:val="20"/>
              </w:rPr>
            </w:pPr>
          </w:p>
        </w:tc>
        <w:tc>
          <w:tcPr>
            <w:tcW w:w="1320" w:type="dxa"/>
            <w:tcBorders>
              <w:top w:val="nil"/>
              <w:left w:val="nil"/>
              <w:bottom w:val="single" w:color="000000" w:sz="8" w:space="0"/>
              <w:right w:val="single" w:color="000000" w:sz="8" w:space="0"/>
            </w:tcBorders>
            <w:noWrap w:val="0"/>
            <w:vAlign w:val="center"/>
          </w:tcPr>
          <w:p w14:paraId="5396CBA8">
            <w:pPr>
              <w:widowControl/>
              <w:jc w:val="center"/>
              <w:rPr>
                <w:rFonts w:ascii="宋体" w:hAnsi="宋体" w:cs="宋体"/>
                <w:color w:val="000000"/>
                <w:kern w:val="0"/>
                <w:sz w:val="20"/>
                <w:szCs w:val="20"/>
              </w:rPr>
            </w:pPr>
            <w:r>
              <w:rPr>
                <w:rFonts w:hint="eastAsia" w:ascii="宋体" w:hAnsi="宋体" w:cs="宋体"/>
                <w:color w:val="000000"/>
                <w:kern w:val="0"/>
                <w:sz w:val="20"/>
                <w:szCs w:val="20"/>
              </w:rPr>
              <w:t>A02052399其他制冷空调设备</w:t>
            </w:r>
          </w:p>
        </w:tc>
        <w:tc>
          <w:tcPr>
            <w:tcW w:w="1620" w:type="dxa"/>
            <w:tcBorders>
              <w:top w:val="nil"/>
              <w:left w:val="nil"/>
              <w:bottom w:val="single" w:color="000000" w:sz="8" w:space="0"/>
              <w:right w:val="single" w:color="000000" w:sz="8" w:space="0"/>
            </w:tcBorders>
            <w:noWrap w:val="0"/>
            <w:vAlign w:val="center"/>
          </w:tcPr>
          <w:p w14:paraId="042F0039">
            <w:pPr>
              <w:widowControl/>
              <w:jc w:val="center"/>
              <w:rPr>
                <w:rFonts w:ascii="宋体" w:hAnsi="宋体" w:cs="宋体"/>
                <w:color w:val="000000"/>
                <w:kern w:val="0"/>
                <w:sz w:val="20"/>
                <w:szCs w:val="20"/>
              </w:rPr>
            </w:pPr>
            <w:r>
              <w:rPr>
                <w:rFonts w:hint="eastAsia" w:ascii="宋体" w:hAnsi="宋体" w:cs="宋体"/>
                <w:color w:val="000000"/>
                <w:kern w:val="0"/>
                <w:sz w:val="20"/>
                <w:szCs w:val="20"/>
              </w:rPr>
              <w:t>冷却塔</w:t>
            </w:r>
          </w:p>
        </w:tc>
        <w:tc>
          <w:tcPr>
            <w:tcW w:w="4540" w:type="dxa"/>
            <w:tcBorders>
              <w:top w:val="nil"/>
              <w:left w:val="nil"/>
              <w:bottom w:val="single" w:color="000000" w:sz="8" w:space="0"/>
              <w:right w:val="single" w:color="000000" w:sz="8" w:space="0"/>
            </w:tcBorders>
            <w:noWrap w:val="0"/>
            <w:vAlign w:val="center"/>
          </w:tcPr>
          <w:p w14:paraId="2AEDD7E8">
            <w:pPr>
              <w:widowControl/>
              <w:jc w:val="left"/>
              <w:rPr>
                <w:rFonts w:ascii="宋体" w:hAnsi="宋体" w:cs="宋体"/>
                <w:color w:val="000000"/>
                <w:kern w:val="0"/>
                <w:sz w:val="20"/>
                <w:szCs w:val="20"/>
              </w:rPr>
            </w:pPr>
            <w:r>
              <w:rPr>
                <w:rFonts w:hint="eastAsia" w:ascii="宋体" w:hAnsi="宋体" w:cs="宋体"/>
                <w:color w:val="000000"/>
                <w:kern w:val="0"/>
                <w:sz w:val="20"/>
                <w:szCs w:val="20"/>
              </w:rPr>
              <w:t>《机械通风冷却塔第1部分：中小型开式冷却塔》（GB/T7190.1）；《机械通风冷却塔第2部分：大型开式冷却塔》（GB/T7190.2）</w:t>
            </w:r>
          </w:p>
        </w:tc>
      </w:tr>
      <w:tr w14:paraId="6F68AF30">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2085FA39">
            <w:pPr>
              <w:widowControl/>
              <w:jc w:val="center"/>
              <w:rPr>
                <w:rFonts w:ascii="宋体" w:hAnsi="宋体" w:cs="宋体"/>
                <w:color w:val="000000"/>
                <w:kern w:val="0"/>
                <w:sz w:val="20"/>
                <w:szCs w:val="20"/>
              </w:rPr>
            </w:pPr>
            <w:r>
              <w:rPr>
                <w:rFonts w:hint="eastAsia" w:ascii="宋体" w:hAnsi="宋体" w:cs="宋体"/>
                <w:color w:val="000000"/>
                <w:kern w:val="0"/>
                <w:sz w:val="20"/>
                <w:szCs w:val="20"/>
              </w:rPr>
              <w:t>7</w:t>
            </w:r>
          </w:p>
        </w:tc>
        <w:tc>
          <w:tcPr>
            <w:tcW w:w="1080" w:type="dxa"/>
            <w:tcBorders>
              <w:top w:val="nil"/>
              <w:left w:val="nil"/>
              <w:bottom w:val="single" w:color="000000" w:sz="8" w:space="0"/>
              <w:right w:val="single" w:color="000000" w:sz="8" w:space="0"/>
            </w:tcBorders>
            <w:noWrap w:val="0"/>
            <w:vAlign w:val="center"/>
          </w:tcPr>
          <w:p w14:paraId="77F08919">
            <w:pPr>
              <w:widowControl/>
              <w:jc w:val="center"/>
              <w:rPr>
                <w:rFonts w:ascii="宋体" w:hAnsi="宋体" w:cs="宋体"/>
                <w:color w:val="000000"/>
                <w:kern w:val="0"/>
                <w:sz w:val="20"/>
                <w:szCs w:val="20"/>
              </w:rPr>
            </w:pPr>
            <w:r>
              <w:rPr>
                <w:rFonts w:hint="eastAsia" w:ascii="宋体" w:hAnsi="宋体" w:cs="宋体"/>
                <w:color w:val="000000"/>
                <w:kern w:val="0"/>
                <w:sz w:val="20"/>
                <w:szCs w:val="20"/>
              </w:rPr>
              <w:t>A020601电机</w:t>
            </w:r>
          </w:p>
        </w:tc>
        <w:tc>
          <w:tcPr>
            <w:tcW w:w="1320" w:type="dxa"/>
            <w:tcBorders>
              <w:top w:val="nil"/>
              <w:left w:val="nil"/>
              <w:bottom w:val="single" w:color="000000" w:sz="8" w:space="0"/>
              <w:right w:val="single" w:color="000000" w:sz="8" w:space="0"/>
            </w:tcBorders>
            <w:noWrap w:val="0"/>
            <w:vAlign w:val="center"/>
          </w:tcPr>
          <w:p w14:paraId="3116EA51">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20" w:type="dxa"/>
            <w:tcBorders>
              <w:top w:val="nil"/>
              <w:left w:val="nil"/>
              <w:bottom w:val="single" w:color="000000" w:sz="8" w:space="0"/>
              <w:right w:val="single" w:color="000000" w:sz="8" w:space="0"/>
            </w:tcBorders>
            <w:noWrap w:val="0"/>
            <w:vAlign w:val="center"/>
          </w:tcPr>
          <w:p w14:paraId="024829A7">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6C9AA6AF">
            <w:pPr>
              <w:widowControl/>
              <w:jc w:val="left"/>
              <w:rPr>
                <w:rFonts w:ascii="宋体" w:hAnsi="宋体" w:cs="宋体"/>
                <w:color w:val="000000"/>
                <w:kern w:val="0"/>
                <w:sz w:val="20"/>
                <w:szCs w:val="20"/>
              </w:rPr>
            </w:pPr>
            <w:r>
              <w:rPr>
                <w:rFonts w:hint="eastAsia" w:ascii="宋体" w:hAnsi="宋体" w:cs="宋体"/>
                <w:color w:val="000000"/>
                <w:kern w:val="0"/>
                <w:sz w:val="20"/>
                <w:szCs w:val="20"/>
              </w:rPr>
              <w:t>《中小型三相异步电动机能效限定值及能效等级》（GB18613）</w:t>
            </w:r>
          </w:p>
        </w:tc>
      </w:tr>
      <w:tr w14:paraId="62CD6A15">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2F70D7F1">
            <w:pPr>
              <w:widowControl/>
              <w:jc w:val="center"/>
              <w:rPr>
                <w:rFonts w:ascii="宋体" w:hAnsi="宋体" w:cs="宋体"/>
                <w:color w:val="000000"/>
                <w:kern w:val="0"/>
                <w:sz w:val="20"/>
                <w:szCs w:val="20"/>
              </w:rPr>
            </w:pPr>
            <w:r>
              <w:rPr>
                <w:rFonts w:hint="eastAsia" w:ascii="宋体" w:hAnsi="宋体" w:cs="宋体"/>
                <w:color w:val="000000"/>
                <w:kern w:val="0"/>
                <w:sz w:val="20"/>
                <w:szCs w:val="20"/>
              </w:rPr>
              <w:t>8</w:t>
            </w:r>
          </w:p>
        </w:tc>
        <w:tc>
          <w:tcPr>
            <w:tcW w:w="1080" w:type="dxa"/>
            <w:tcBorders>
              <w:top w:val="nil"/>
              <w:left w:val="nil"/>
              <w:bottom w:val="single" w:color="000000" w:sz="8" w:space="0"/>
              <w:right w:val="single" w:color="000000" w:sz="8" w:space="0"/>
            </w:tcBorders>
            <w:noWrap w:val="0"/>
            <w:vAlign w:val="center"/>
          </w:tcPr>
          <w:p w14:paraId="3AFA57B5">
            <w:pPr>
              <w:widowControl/>
              <w:jc w:val="center"/>
              <w:rPr>
                <w:rFonts w:ascii="宋体" w:hAnsi="宋体" w:cs="宋体"/>
                <w:color w:val="000000"/>
                <w:kern w:val="0"/>
                <w:sz w:val="20"/>
                <w:szCs w:val="20"/>
              </w:rPr>
            </w:pPr>
            <w:r>
              <w:rPr>
                <w:rFonts w:hint="eastAsia" w:ascii="宋体" w:hAnsi="宋体" w:cs="宋体"/>
                <w:color w:val="000000"/>
                <w:kern w:val="0"/>
                <w:sz w:val="20"/>
                <w:szCs w:val="20"/>
              </w:rPr>
              <w:t>A020602变压器</w:t>
            </w:r>
          </w:p>
        </w:tc>
        <w:tc>
          <w:tcPr>
            <w:tcW w:w="1320" w:type="dxa"/>
            <w:tcBorders>
              <w:top w:val="nil"/>
              <w:left w:val="nil"/>
              <w:bottom w:val="single" w:color="000000" w:sz="8" w:space="0"/>
              <w:right w:val="single" w:color="000000" w:sz="8" w:space="0"/>
            </w:tcBorders>
            <w:noWrap w:val="0"/>
            <w:vAlign w:val="center"/>
          </w:tcPr>
          <w:p w14:paraId="62BC730B">
            <w:pPr>
              <w:widowControl/>
              <w:jc w:val="center"/>
              <w:rPr>
                <w:rFonts w:ascii="宋体" w:hAnsi="宋体" w:cs="宋体"/>
                <w:color w:val="000000"/>
                <w:kern w:val="0"/>
                <w:sz w:val="20"/>
                <w:szCs w:val="20"/>
              </w:rPr>
            </w:pPr>
            <w:r>
              <w:rPr>
                <w:rFonts w:hint="eastAsia" w:ascii="宋体" w:hAnsi="宋体" w:cs="宋体"/>
                <w:color w:val="000000"/>
                <w:kern w:val="0"/>
                <w:sz w:val="20"/>
                <w:szCs w:val="20"/>
              </w:rPr>
              <w:t>配电变压器</w:t>
            </w:r>
          </w:p>
        </w:tc>
        <w:tc>
          <w:tcPr>
            <w:tcW w:w="1620" w:type="dxa"/>
            <w:tcBorders>
              <w:top w:val="nil"/>
              <w:left w:val="nil"/>
              <w:bottom w:val="single" w:color="000000" w:sz="8" w:space="0"/>
              <w:right w:val="single" w:color="000000" w:sz="8" w:space="0"/>
            </w:tcBorders>
            <w:noWrap w:val="0"/>
            <w:vAlign w:val="center"/>
          </w:tcPr>
          <w:p w14:paraId="50BF4D1E">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6CB0536F">
            <w:pPr>
              <w:widowControl/>
              <w:jc w:val="left"/>
              <w:rPr>
                <w:rFonts w:ascii="宋体" w:hAnsi="宋体" w:cs="宋体"/>
                <w:color w:val="000000"/>
                <w:kern w:val="0"/>
                <w:sz w:val="20"/>
                <w:szCs w:val="20"/>
              </w:rPr>
            </w:pPr>
            <w:r>
              <w:rPr>
                <w:rFonts w:hint="eastAsia" w:ascii="宋体" w:hAnsi="宋体" w:cs="宋体"/>
                <w:color w:val="000000"/>
                <w:kern w:val="0"/>
                <w:sz w:val="20"/>
                <w:szCs w:val="20"/>
              </w:rPr>
              <w:t>《三相配电变压器能效限定值及能效等级》（GB20052）</w:t>
            </w:r>
          </w:p>
        </w:tc>
      </w:tr>
      <w:tr w14:paraId="5779CE95">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202FF4B3">
            <w:pPr>
              <w:widowControl/>
              <w:jc w:val="center"/>
              <w:rPr>
                <w:rFonts w:ascii="宋体" w:hAnsi="宋体" w:cs="宋体"/>
                <w:color w:val="000000"/>
                <w:kern w:val="0"/>
                <w:sz w:val="20"/>
                <w:szCs w:val="20"/>
              </w:rPr>
            </w:pPr>
            <w:r>
              <w:rPr>
                <w:rFonts w:hint="eastAsia" w:ascii="宋体" w:hAnsi="宋体" w:cs="宋体"/>
                <w:color w:val="000000"/>
                <w:kern w:val="0"/>
                <w:sz w:val="20"/>
                <w:szCs w:val="20"/>
              </w:rPr>
              <w:t>9</w:t>
            </w:r>
          </w:p>
        </w:tc>
        <w:tc>
          <w:tcPr>
            <w:tcW w:w="1080" w:type="dxa"/>
            <w:tcBorders>
              <w:top w:val="nil"/>
              <w:left w:val="nil"/>
              <w:bottom w:val="single" w:color="000000" w:sz="8" w:space="0"/>
              <w:right w:val="single" w:color="000000" w:sz="8" w:space="0"/>
            </w:tcBorders>
            <w:noWrap w:val="0"/>
            <w:vAlign w:val="center"/>
          </w:tcPr>
          <w:p w14:paraId="2181AF62">
            <w:pPr>
              <w:widowControl/>
              <w:jc w:val="center"/>
              <w:rPr>
                <w:rFonts w:ascii="宋体" w:hAnsi="宋体" w:cs="宋体"/>
                <w:color w:val="000000"/>
                <w:kern w:val="0"/>
                <w:sz w:val="20"/>
                <w:szCs w:val="20"/>
              </w:rPr>
            </w:pPr>
            <w:r>
              <w:rPr>
                <w:rFonts w:hint="eastAsia" w:ascii="宋体" w:hAnsi="宋体" w:cs="宋体"/>
                <w:color w:val="000000"/>
                <w:kern w:val="0"/>
                <w:sz w:val="20"/>
                <w:szCs w:val="20"/>
              </w:rPr>
              <w:t>★A020609镇流器</w:t>
            </w:r>
          </w:p>
        </w:tc>
        <w:tc>
          <w:tcPr>
            <w:tcW w:w="1320" w:type="dxa"/>
            <w:tcBorders>
              <w:top w:val="nil"/>
              <w:left w:val="nil"/>
              <w:bottom w:val="single" w:color="000000" w:sz="8" w:space="0"/>
              <w:right w:val="single" w:color="000000" w:sz="8" w:space="0"/>
            </w:tcBorders>
            <w:noWrap w:val="0"/>
            <w:vAlign w:val="center"/>
          </w:tcPr>
          <w:p w14:paraId="564AFEEC">
            <w:pPr>
              <w:widowControl/>
              <w:jc w:val="center"/>
              <w:rPr>
                <w:rFonts w:ascii="宋体" w:hAnsi="宋体" w:cs="宋体"/>
                <w:color w:val="000000"/>
                <w:kern w:val="0"/>
                <w:sz w:val="20"/>
                <w:szCs w:val="20"/>
              </w:rPr>
            </w:pPr>
            <w:r>
              <w:rPr>
                <w:rFonts w:hint="eastAsia" w:ascii="宋体" w:hAnsi="宋体" w:cs="宋体"/>
                <w:color w:val="000000"/>
                <w:kern w:val="0"/>
                <w:sz w:val="20"/>
                <w:szCs w:val="20"/>
              </w:rPr>
              <w:t>管型荧光灯镇流器</w:t>
            </w:r>
          </w:p>
        </w:tc>
        <w:tc>
          <w:tcPr>
            <w:tcW w:w="1620" w:type="dxa"/>
            <w:tcBorders>
              <w:top w:val="nil"/>
              <w:left w:val="nil"/>
              <w:bottom w:val="single" w:color="000000" w:sz="8" w:space="0"/>
              <w:right w:val="single" w:color="000000" w:sz="8" w:space="0"/>
            </w:tcBorders>
            <w:noWrap w:val="0"/>
            <w:vAlign w:val="center"/>
          </w:tcPr>
          <w:p w14:paraId="263EBAAB">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12F96805">
            <w:pPr>
              <w:widowControl/>
              <w:jc w:val="left"/>
              <w:rPr>
                <w:rFonts w:ascii="宋体" w:hAnsi="宋体" w:cs="宋体"/>
                <w:color w:val="000000"/>
                <w:kern w:val="0"/>
                <w:sz w:val="20"/>
                <w:szCs w:val="20"/>
              </w:rPr>
            </w:pPr>
            <w:r>
              <w:rPr>
                <w:rFonts w:hint="eastAsia" w:ascii="宋体" w:hAnsi="宋体" w:cs="宋体"/>
                <w:color w:val="000000"/>
                <w:kern w:val="0"/>
                <w:sz w:val="20"/>
                <w:szCs w:val="20"/>
              </w:rPr>
              <w:t>《管形荧光灯镇流器能效限定值及能效等级》（GB17896）</w:t>
            </w:r>
          </w:p>
        </w:tc>
      </w:tr>
      <w:tr w14:paraId="5866DDB0">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79E4D1F4">
            <w:pPr>
              <w:widowControl/>
              <w:jc w:val="center"/>
              <w:rPr>
                <w:rFonts w:ascii="宋体" w:hAnsi="宋体" w:cs="宋体"/>
                <w:color w:val="000000"/>
                <w:kern w:val="0"/>
                <w:sz w:val="20"/>
                <w:szCs w:val="20"/>
              </w:rPr>
            </w:pPr>
            <w:r>
              <w:rPr>
                <w:rFonts w:hint="eastAsia" w:ascii="宋体" w:hAnsi="宋体" w:cs="宋体"/>
                <w:color w:val="000000"/>
                <w:kern w:val="0"/>
                <w:sz w:val="20"/>
                <w:szCs w:val="20"/>
              </w:rPr>
              <w:t>10</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5F018905">
            <w:pPr>
              <w:widowControl/>
              <w:jc w:val="center"/>
              <w:rPr>
                <w:rFonts w:ascii="宋体" w:hAnsi="宋体" w:cs="宋体"/>
                <w:color w:val="000000"/>
                <w:kern w:val="0"/>
                <w:sz w:val="20"/>
                <w:szCs w:val="20"/>
              </w:rPr>
            </w:pPr>
            <w:r>
              <w:rPr>
                <w:rFonts w:hint="eastAsia" w:ascii="宋体" w:hAnsi="宋体" w:cs="宋体"/>
                <w:color w:val="000000"/>
                <w:kern w:val="0"/>
                <w:sz w:val="20"/>
                <w:szCs w:val="20"/>
              </w:rPr>
              <w:t>A020618生活用电器</w:t>
            </w:r>
          </w:p>
        </w:tc>
        <w:tc>
          <w:tcPr>
            <w:tcW w:w="1320" w:type="dxa"/>
            <w:tcBorders>
              <w:top w:val="nil"/>
              <w:left w:val="nil"/>
              <w:bottom w:val="single" w:color="000000" w:sz="8" w:space="0"/>
              <w:right w:val="single" w:color="000000" w:sz="8" w:space="0"/>
            </w:tcBorders>
            <w:noWrap w:val="0"/>
            <w:vAlign w:val="center"/>
          </w:tcPr>
          <w:p w14:paraId="3EA8E5C9">
            <w:pPr>
              <w:widowControl/>
              <w:jc w:val="center"/>
              <w:rPr>
                <w:rFonts w:ascii="宋体" w:hAnsi="宋体" w:cs="宋体"/>
                <w:color w:val="000000"/>
                <w:kern w:val="0"/>
                <w:sz w:val="20"/>
                <w:szCs w:val="20"/>
              </w:rPr>
            </w:pPr>
            <w:r>
              <w:rPr>
                <w:rFonts w:hint="eastAsia" w:ascii="宋体" w:hAnsi="宋体" w:cs="宋体"/>
                <w:color w:val="000000"/>
                <w:kern w:val="0"/>
                <w:sz w:val="20"/>
                <w:szCs w:val="20"/>
              </w:rPr>
              <w:t>A0206180101电冰箱</w:t>
            </w:r>
          </w:p>
        </w:tc>
        <w:tc>
          <w:tcPr>
            <w:tcW w:w="1620" w:type="dxa"/>
            <w:tcBorders>
              <w:top w:val="nil"/>
              <w:left w:val="nil"/>
              <w:bottom w:val="single" w:color="000000" w:sz="8" w:space="0"/>
              <w:right w:val="single" w:color="000000" w:sz="8" w:space="0"/>
            </w:tcBorders>
            <w:noWrap w:val="0"/>
            <w:vAlign w:val="center"/>
          </w:tcPr>
          <w:p w14:paraId="5A5BCBF4">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48E0F93D">
            <w:pPr>
              <w:widowControl/>
              <w:jc w:val="left"/>
              <w:rPr>
                <w:rFonts w:ascii="宋体" w:hAnsi="宋体" w:cs="宋体"/>
                <w:color w:val="000000"/>
                <w:kern w:val="0"/>
                <w:sz w:val="20"/>
                <w:szCs w:val="20"/>
              </w:rPr>
            </w:pPr>
            <w:r>
              <w:rPr>
                <w:rFonts w:hint="eastAsia" w:ascii="宋体" w:hAnsi="宋体" w:cs="宋体"/>
                <w:color w:val="000000"/>
                <w:kern w:val="0"/>
                <w:sz w:val="20"/>
                <w:szCs w:val="20"/>
              </w:rPr>
              <w:t>《家用电冰箱耗电量限定值及能效等级》（GB 12021.2）</w:t>
            </w:r>
          </w:p>
        </w:tc>
      </w:tr>
      <w:tr w14:paraId="5215506D">
        <w:tblPrEx>
          <w:tblCellMar>
            <w:top w:w="0" w:type="dxa"/>
            <w:left w:w="108" w:type="dxa"/>
            <w:bottom w:w="0" w:type="dxa"/>
            <w:right w:w="108" w:type="dxa"/>
          </w:tblCellMar>
        </w:tblPrEx>
        <w:trPr>
          <w:trHeight w:val="97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6220B5A1">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3CC5D97">
            <w:pPr>
              <w:widowControl/>
              <w:jc w:val="left"/>
              <w:rPr>
                <w:rFonts w:ascii="宋体" w:hAnsi="宋体" w:cs="宋体"/>
                <w:color w:val="000000"/>
                <w:kern w:val="0"/>
                <w:sz w:val="20"/>
                <w:szCs w:val="20"/>
              </w:rPr>
            </w:pPr>
          </w:p>
        </w:tc>
        <w:tc>
          <w:tcPr>
            <w:tcW w:w="1320" w:type="dxa"/>
            <w:vMerge w:val="restart"/>
            <w:tcBorders>
              <w:top w:val="nil"/>
              <w:left w:val="single" w:color="000000" w:sz="8" w:space="0"/>
              <w:bottom w:val="single" w:color="000000" w:sz="8" w:space="0"/>
              <w:right w:val="single" w:color="000000" w:sz="8" w:space="0"/>
            </w:tcBorders>
            <w:noWrap w:val="0"/>
            <w:vAlign w:val="center"/>
          </w:tcPr>
          <w:p w14:paraId="54A41171">
            <w:pPr>
              <w:widowControl/>
              <w:jc w:val="center"/>
              <w:rPr>
                <w:rFonts w:ascii="宋体" w:hAnsi="宋体" w:cs="宋体"/>
                <w:color w:val="000000"/>
                <w:kern w:val="0"/>
                <w:sz w:val="20"/>
                <w:szCs w:val="20"/>
              </w:rPr>
            </w:pPr>
            <w:r>
              <w:rPr>
                <w:rFonts w:hint="eastAsia" w:ascii="宋体" w:hAnsi="宋体" w:cs="宋体"/>
                <w:color w:val="000000"/>
                <w:kern w:val="0"/>
                <w:sz w:val="20"/>
                <w:szCs w:val="20"/>
              </w:rPr>
              <w:t>★A0206180203空调机</w:t>
            </w:r>
          </w:p>
        </w:tc>
        <w:tc>
          <w:tcPr>
            <w:tcW w:w="1620" w:type="dxa"/>
            <w:tcBorders>
              <w:top w:val="nil"/>
              <w:left w:val="nil"/>
              <w:bottom w:val="single" w:color="000000" w:sz="8" w:space="0"/>
              <w:right w:val="single" w:color="000000" w:sz="8" w:space="0"/>
            </w:tcBorders>
            <w:noWrap w:val="0"/>
            <w:vAlign w:val="center"/>
          </w:tcPr>
          <w:p w14:paraId="6CD3FF1E">
            <w:pPr>
              <w:widowControl/>
              <w:jc w:val="center"/>
              <w:rPr>
                <w:rFonts w:ascii="宋体" w:hAnsi="宋体" w:cs="宋体"/>
                <w:color w:val="000000"/>
                <w:kern w:val="0"/>
                <w:sz w:val="20"/>
                <w:szCs w:val="20"/>
              </w:rPr>
            </w:pPr>
            <w:r>
              <w:rPr>
                <w:rFonts w:hint="eastAsia" w:ascii="宋体" w:hAnsi="宋体" w:cs="宋体"/>
                <w:color w:val="000000"/>
                <w:kern w:val="0"/>
                <w:sz w:val="20"/>
                <w:szCs w:val="20"/>
              </w:rPr>
              <w:t>房间空气调节器</w:t>
            </w:r>
          </w:p>
        </w:tc>
        <w:tc>
          <w:tcPr>
            <w:tcW w:w="4540" w:type="dxa"/>
            <w:tcBorders>
              <w:top w:val="nil"/>
              <w:left w:val="nil"/>
              <w:bottom w:val="single" w:color="000000" w:sz="8" w:space="0"/>
              <w:right w:val="single" w:color="000000" w:sz="8" w:space="0"/>
            </w:tcBorders>
            <w:noWrap w:val="0"/>
            <w:vAlign w:val="center"/>
          </w:tcPr>
          <w:p w14:paraId="4E24602C">
            <w:pPr>
              <w:widowControl/>
              <w:jc w:val="left"/>
              <w:rPr>
                <w:rFonts w:ascii="宋体" w:hAnsi="宋体" w:cs="宋体"/>
                <w:color w:val="000000"/>
                <w:kern w:val="0"/>
                <w:sz w:val="20"/>
                <w:szCs w:val="20"/>
              </w:rPr>
            </w:pPr>
            <w:r>
              <w:rPr>
                <w:rFonts w:hint="eastAsia" w:ascii="宋体" w:hAnsi="宋体" w:cs="宋体"/>
                <w:color w:val="000000"/>
                <w:kern w:val="0"/>
                <w:sz w:val="20"/>
                <w:szCs w:val="20"/>
              </w:rPr>
              <w:t>《转速可控型房间空气调节器能效限定值及能效等级》（GB21455-2013），待2019年修订发布后，按《房间空气调节器能效限定值及能效等级》（GB21455-2019实施。</w:t>
            </w:r>
          </w:p>
        </w:tc>
      </w:tr>
      <w:tr w14:paraId="7AC739BF">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14354E18">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7874B6A1">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02B9370F">
            <w:pPr>
              <w:widowControl/>
              <w:jc w:val="left"/>
              <w:rPr>
                <w:rFonts w:ascii="宋体" w:hAnsi="宋体" w:cs="宋体"/>
                <w:color w:val="000000"/>
                <w:kern w:val="0"/>
                <w:sz w:val="20"/>
                <w:szCs w:val="20"/>
              </w:rPr>
            </w:pPr>
          </w:p>
        </w:tc>
        <w:tc>
          <w:tcPr>
            <w:tcW w:w="1620" w:type="dxa"/>
            <w:tcBorders>
              <w:top w:val="nil"/>
              <w:left w:val="nil"/>
              <w:bottom w:val="single" w:color="000000" w:sz="8" w:space="0"/>
              <w:right w:val="single" w:color="000000" w:sz="8" w:space="0"/>
            </w:tcBorders>
            <w:noWrap w:val="0"/>
            <w:vAlign w:val="center"/>
          </w:tcPr>
          <w:p w14:paraId="41294666">
            <w:pPr>
              <w:widowControl/>
              <w:jc w:val="center"/>
              <w:rPr>
                <w:rFonts w:ascii="宋体" w:hAnsi="宋体" w:cs="宋体"/>
                <w:color w:val="000000"/>
                <w:kern w:val="0"/>
                <w:sz w:val="20"/>
                <w:szCs w:val="20"/>
              </w:rPr>
            </w:pPr>
            <w:r>
              <w:rPr>
                <w:rFonts w:hint="eastAsia" w:ascii="宋体" w:hAnsi="宋体" w:cs="宋体"/>
                <w:color w:val="000000"/>
                <w:kern w:val="0"/>
                <w:sz w:val="20"/>
                <w:szCs w:val="20"/>
              </w:rPr>
              <w:t>多联式空调（热泵）机组（制冷量≤ 14000W）</w:t>
            </w:r>
          </w:p>
        </w:tc>
        <w:tc>
          <w:tcPr>
            <w:tcW w:w="4540" w:type="dxa"/>
            <w:tcBorders>
              <w:top w:val="nil"/>
              <w:left w:val="nil"/>
              <w:bottom w:val="single" w:color="000000" w:sz="8" w:space="0"/>
              <w:right w:val="single" w:color="000000" w:sz="8" w:space="0"/>
            </w:tcBorders>
            <w:noWrap w:val="0"/>
            <w:vAlign w:val="center"/>
          </w:tcPr>
          <w:p w14:paraId="5B0A792B">
            <w:pPr>
              <w:widowControl/>
              <w:jc w:val="left"/>
              <w:rPr>
                <w:rFonts w:ascii="宋体" w:hAnsi="宋体" w:cs="宋体"/>
                <w:color w:val="000000"/>
                <w:kern w:val="0"/>
                <w:sz w:val="20"/>
                <w:szCs w:val="20"/>
              </w:rPr>
            </w:pPr>
            <w:r>
              <w:rPr>
                <w:rFonts w:hint="eastAsia" w:ascii="宋体" w:hAnsi="宋体" w:cs="宋体"/>
                <w:color w:val="000000"/>
                <w:kern w:val="0"/>
                <w:sz w:val="20"/>
                <w:szCs w:val="20"/>
              </w:rPr>
              <w:t>《多联式空调（热泵）机组能效限定值及能源效率等级》（GB21454）</w:t>
            </w:r>
          </w:p>
        </w:tc>
      </w:tr>
      <w:tr w14:paraId="1C80887C">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76D4E7EB">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D185D60">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21F1D82A">
            <w:pPr>
              <w:widowControl/>
              <w:jc w:val="left"/>
              <w:rPr>
                <w:rFonts w:ascii="宋体" w:hAnsi="宋体" w:cs="宋体"/>
                <w:color w:val="000000"/>
                <w:kern w:val="0"/>
                <w:sz w:val="20"/>
                <w:szCs w:val="20"/>
              </w:rPr>
            </w:pPr>
          </w:p>
        </w:tc>
        <w:tc>
          <w:tcPr>
            <w:tcW w:w="1620" w:type="dxa"/>
            <w:tcBorders>
              <w:top w:val="nil"/>
              <w:left w:val="nil"/>
              <w:bottom w:val="single" w:color="000000" w:sz="8" w:space="0"/>
              <w:right w:val="single" w:color="000000" w:sz="8" w:space="0"/>
            </w:tcBorders>
            <w:noWrap w:val="0"/>
            <w:vAlign w:val="center"/>
          </w:tcPr>
          <w:p w14:paraId="44883E47">
            <w:pPr>
              <w:widowControl/>
              <w:jc w:val="center"/>
              <w:rPr>
                <w:rFonts w:ascii="宋体" w:hAnsi="宋体" w:cs="宋体"/>
                <w:color w:val="000000"/>
                <w:kern w:val="0"/>
                <w:sz w:val="20"/>
                <w:szCs w:val="20"/>
              </w:rPr>
            </w:pPr>
            <w:r>
              <w:rPr>
                <w:rFonts w:hint="eastAsia" w:ascii="宋体" w:hAnsi="宋体" w:cs="宋体"/>
                <w:color w:val="000000"/>
                <w:kern w:val="0"/>
                <w:sz w:val="20"/>
                <w:szCs w:val="20"/>
              </w:rPr>
              <w:t>单元式空气调节机(制冷量≤14000W)</w:t>
            </w:r>
          </w:p>
        </w:tc>
        <w:tc>
          <w:tcPr>
            <w:tcW w:w="4540" w:type="dxa"/>
            <w:tcBorders>
              <w:top w:val="nil"/>
              <w:left w:val="nil"/>
              <w:bottom w:val="single" w:color="000000" w:sz="8" w:space="0"/>
              <w:right w:val="single" w:color="000000" w:sz="8" w:space="0"/>
            </w:tcBorders>
            <w:noWrap w:val="0"/>
            <w:vAlign w:val="center"/>
          </w:tcPr>
          <w:p w14:paraId="5B97804D">
            <w:pPr>
              <w:widowControl/>
              <w:jc w:val="left"/>
              <w:rPr>
                <w:rFonts w:ascii="宋体" w:hAnsi="宋体" w:cs="宋体"/>
                <w:color w:val="000000"/>
                <w:kern w:val="0"/>
                <w:sz w:val="20"/>
                <w:szCs w:val="20"/>
              </w:rPr>
            </w:pPr>
            <w:r>
              <w:rPr>
                <w:rFonts w:hint="eastAsia" w:ascii="宋体" w:hAnsi="宋体" w:cs="宋体"/>
                <w:color w:val="000000"/>
                <w:kern w:val="0"/>
                <w:sz w:val="20"/>
                <w:szCs w:val="20"/>
              </w:rPr>
              <w:t>《单元式空气调节机能效限定值及能源效率等级》（GB19576）《风管送风式空调机组能效限定值及能效等级》（GB37479）</w:t>
            </w:r>
          </w:p>
        </w:tc>
      </w:tr>
      <w:tr w14:paraId="161E0B62">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28B7C7F2">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025E23B8">
            <w:pPr>
              <w:widowControl/>
              <w:jc w:val="left"/>
              <w:rPr>
                <w:rFonts w:ascii="宋体" w:hAnsi="宋体" w:cs="宋体"/>
                <w:color w:val="000000"/>
                <w:kern w:val="0"/>
                <w:sz w:val="20"/>
                <w:szCs w:val="20"/>
              </w:rPr>
            </w:pPr>
          </w:p>
        </w:tc>
        <w:tc>
          <w:tcPr>
            <w:tcW w:w="1320" w:type="dxa"/>
            <w:tcBorders>
              <w:top w:val="nil"/>
              <w:left w:val="nil"/>
              <w:bottom w:val="single" w:color="000000" w:sz="8" w:space="0"/>
              <w:right w:val="single" w:color="000000" w:sz="8" w:space="0"/>
            </w:tcBorders>
            <w:noWrap w:val="0"/>
            <w:vAlign w:val="center"/>
          </w:tcPr>
          <w:p w14:paraId="42A38170">
            <w:pPr>
              <w:widowControl/>
              <w:jc w:val="center"/>
              <w:rPr>
                <w:rFonts w:ascii="宋体" w:hAnsi="宋体" w:cs="宋体"/>
                <w:color w:val="000000"/>
                <w:kern w:val="0"/>
                <w:sz w:val="20"/>
                <w:szCs w:val="20"/>
              </w:rPr>
            </w:pPr>
            <w:r>
              <w:rPr>
                <w:rFonts w:hint="eastAsia" w:ascii="宋体" w:hAnsi="宋体" w:cs="宋体"/>
                <w:color w:val="000000"/>
                <w:kern w:val="0"/>
                <w:sz w:val="20"/>
                <w:szCs w:val="20"/>
              </w:rPr>
              <w:t>A0206180301洗衣机</w:t>
            </w:r>
          </w:p>
        </w:tc>
        <w:tc>
          <w:tcPr>
            <w:tcW w:w="1620" w:type="dxa"/>
            <w:tcBorders>
              <w:top w:val="nil"/>
              <w:left w:val="nil"/>
              <w:bottom w:val="single" w:color="000000" w:sz="8" w:space="0"/>
              <w:right w:val="single" w:color="000000" w:sz="8" w:space="0"/>
            </w:tcBorders>
            <w:noWrap w:val="0"/>
            <w:vAlign w:val="center"/>
          </w:tcPr>
          <w:p w14:paraId="1624ED86">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617A7B7A">
            <w:pPr>
              <w:widowControl/>
              <w:jc w:val="left"/>
              <w:rPr>
                <w:rFonts w:ascii="宋体" w:hAnsi="宋体" w:cs="宋体"/>
                <w:color w:val="000000"/>
                <w:kern w:val="0"/>
                <w:sz w:val="20"/>
                <w:szCs w:val="20"/>
              </w:rPr>
            </w:pPr>
            <w:r>
              <w:rPr>
                <w:rFonts w:hint="eastAsia" w:ascii="宋体" w:hAnsi="宋体" w:cs="宋体"/>
                <w:color w:val="000000"/>
                <w:kern w:val="0"/>
                <w:sz w:val="20"/>
                <w:szCs w:val="20"/>
              </w:rPr>
              <w:t>《电动洗衣机能效水效限定值及等级》（GB12021.4）</w:t>
            </w:r>
          </w:p>
        </w:tc>
      </w:tr>
      <w:tr w14:paraId="23B43AB8">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0C3B6F45">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4DBC4FA">
            <w:pPr>
              <w:widowControl/>
              <w:jc w:val="left"/>
              <w:rPr>
                <w:rFonts w:ascii="宋体" w:hAnsi="宋体" w:cs="宋体"/>
                <w:color w:val="000000"/>
                <w:kern w:val="0"/>
                <w:sz w:val="20"/>
                <w:szCs w:val="20"/>
              </w:rPr>
            </w:pPr>
          </w:p>
        </w:tc>
        <w:tc>
          <w:tcPr>
            <w:tcW w:w="1320" w:type="dxa"/>
            <w:vMerge w:val="restart"/>
            <w:tcBorders>
              <w:top w:val="nil"/>
              <w:left w:val="single" w:color="000000" w:sz="8" w:space="0"/>
              <w:bottom w:val="single" w:color="000000" w:sz="8" w:space="0"/>
              <w:right w:val="single" w:color="000000" w:sz="8" w:space="0"/>
            </w:tcBorders>
            <w:noWrap w:val="0"/>
            <w:vAlign w:val="center"/>
          </w:tcPr>
          <w:p w14:paraId="13294558">
            <w:pPr>
              <w:widowControl/>
              <w:jc w:val="center"/>
              <w:rPr>
                <w:rFonts w:ascii="宋体" w:hAnsi="宋体" w:cs="宋体"/>
                <w:color w:val="000000"/>
                <w:kern w:val="0"/>
                <w:sz w:val="20"/>
                <w:szCs w:val="20"/>
              </w:rPr>
            </w:pPr>
            <w:r>
              <w:rPr>
                <w:rFonts w:hint="eastAsia" w:ascii="宋体" w:hAnsi="宋体" w:cs="宋体"/>
                <w:color w:val="000000"/>
                <w:kern w:val="0"/>
                <w:sz w:val="20"/>
                <w:szCs w:val="20"/>
              </w:rPr>
              <w:t>A02061808热水器</w:t>
            </w:r>
          </w:p>
        </w:tc>
        <w:tc>
          <w:tcPr>
            <w:tcW w:w="1620" w:type="dxa"/>
            <w:tcBorders>
              <w:top w:val="nil"/>
              <w:left w:val="nil"/>
              <w:bottom w:val="single" w:color="000000" w:sz="8" w:space="0"/>
              <w:right w:val="single" w:color="000000" w:sz="8" w:space="0"/>
            </w:tcBorders>
            <w:noWrap w:val="0"/>
            <w:vAlign w:val="center"/>
          </w:tcPr>
          <w:p w14:paraId="22AE8CB3">
            <w:pPr>
              <w:widowControl/>
              <w:jc w:val="center"/>
              <w:rPr>
                <w:rFonts w:ascii="宋体" w:hAnsi="宋体" w:cs="宋体"/>
                <w:color w:val="000000"/>
                <w:kern w:val="0"/>
                <w:sz w:val="20"/>
                <w:szCs w:val="20"/>
              </w:rPr>
            </w:pPr>
            <w:r>
              <w:rPr>
                <w:rFonts w:hint="eastAsia" w:ascii="宋体" w:hAnsi="宋体" w:cs="宋体"/>
                <w:color w:val="000000"/>
                <w:kern w:val="0"/>
                <w:sz w:val="20"/>
                <w:szCs w:val="20"/>
              </w:rPr>
              <w:t>★电热水器</w:t>
            </w:r>
          </w:p>
        </w:tc>
        <w:tc>
          <w:tcPr>
            <w:tcW w:w="4540" w:type="dxa"/>
            <w:tcBorders>
              <w:top w:val="nil"/>
              <w:left w:val="nil"/>
              <w:bottom w:val="single" w:color="000000" w:sz="8" w:space="0"/>
              <w:right w:val="single" w:color="000000" w:sz="8" w:space="0"/>
            </w:tcBorders>
            <w:noWrap w:val="0"/>
            <w:vAlign w:val="center"/>
          </w:tcPr>
          <w:p w14:paraId="150B8D6F">
            <w:pPr>
              <w:widowControl/>
              <w:jc w:val="left"/>
              <w:rPr>
                <w:rFonts w:ascii="宋体" w:hAnsi="宋体" w:cs="宋体"/>
                <w:color w:val="000000"/>
                <w:kern w:val="0"/>
                <w:sz w:val="20"/>
                <w:szCs w:val="20"/>
              </w:rPr>
            </w:pPr>
            <w:r>
              <w:rPr>
                <w:rFonts w:hint="eastAsia" w:ascii="宋体" w:hAnsi="宋体" w:cs="宋体"/>
                <w:color w:val="000000"/>
                <w:kern w:val="0"/>
                <w:sz w:val="20"/>
                <w:szCs w:val="20"/>
              </w:rPr>
              <w:t>《储水式电热水器能效限定值及能效等级》（GB21519）</w:t>
            </w:r>
          </w:p>
        </w:tc>
      </w:tr>
      <w:tr w14:paraId="5C939ED9">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134FDBDE">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044DD137">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B66C677">
            <w:pPr>
              <w:widowControl/>
              <w:jc w:val="left"/>
              <w:rPr>
                <w:rFonts w:ascii="宋体" w:hAnsi="宋体" w:cs="宋体"/>
                <w:color w:val="000000"/>
                <w:kern w:val="0"/>
                <w:sz w:val="20"/>
                <w:szCs w:val="20"/>
              </w:rPr>
            </w:pPr>
          </w:p>
        </w:tc>
        <w:tc>
          <w:tcPr>
            <w:tcW w:w="1620" w:type="dxa"/>
            <w:tcBorders>
              <w:top w:val="nil"/>
              <w:left w:val="nil"/>
              <w:bottom w:val="single" w:color="000000" w:sz="8" w:space="0"/>
              <w:right w:val="single" w:color="000000" w:sz="8" w:space="0"/>
            </w:tcBorders>
            <w:noWrap w:val="0"/>
            <w:vAlign w:val="center"/>
          </w:tcPr>
          <w:p w14:paraId="519E4BF2">
            <w:pPr>
              <w:widowControl/>
              <w:jc w:val="center"/>
              <w:rPr>
                <w:rFonts w:ascii="宋体" w:hAnsi="宋体" w:cs="宋体"/>
                <w:color w:val="000000"/>
                <w:kern w:val="0"/>
                <w:sz w:val="20"/>
                <w:szCs w:val="20"/>
              </w:rPr>
            </w:pPr>
            <w:r>
              <w:rPr>
                <w:rFonts w:hint="eastAsia" w:ascii="宋体" w:hAnsi="宋体" w:cs="宋体"/>
                <w:color w:val="000000"/>
                <w:kern w:val="0"/>
                <w:sz w:val="20"/>
                <w:szCs w:val="20"/>
              </w:rPr>
              <w:t>燃气热水器</w:t>
            </w:r>
          </w:p>
        </w:tc>
        <w:tc>
          <w:tcPr>
            <w:tcW w:w="4540" w:type="dxa"/>
            <w:tcBorders>
              <w:top w:val="nil"/>
              <w:left w:val="nil"/>
              <w:bottom w:val="single" w:color="000000" w:sz="8" w:space="0"/>
              <w:right w:val="single" w:color="000000" w:sz="8" w:space="0"/>
            </w:tcBorders>
            <w:noWrap w:val="0"/>
            <w:vAlign w:val="center"/>
          </w:tcPr>
          <w:p w14:paraId="7A9FD2D9">
            <w:pPr>
              <w:widowControl/>
              <w:jc w:val="left"/>
              <w:rPr>
                <w:rFonts w:ascii="宋体" w:hAnsi="宋体" w:cs="宋体"/>
                <w:color w:val="000000"/>
                <w:kern w:val="0"/>
                <w:sz w:val="20"/>
                <w:szCs w:val="20"/>
              </w:rPr>
            </w:pPr>
            <w:r>
              <w:rPr>
                <w:rFonts w:hint="eastAsia" w:ascii="宋体" w:hAnsi="宋体" w:cs="宋体"/>
                <w:color w:val="000000"/>
                <w:kern w:val="0"/>
                <w:sz w:val="20"/>
                <w:szCs w:val="20"/>
              </w:rPr>
              <w:t>《家用燃气快速热水器和燃气采暖热水炉能效限定值及能效等级》（GB20665）</w:t>
            </w:r>
          </w:p>
        </w:tc>
      </w:tr>
      <w:tr w14:paraId="6C55E46F">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1E8B0375">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33F89B7">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72F1F07">
            <w:pPr>
              <w:widowControl/>
              <w:jc w:val="left"/>
              <w:rPr>
                <w:rFonts w:ascii="宋体" w:hAnsi="宋体" w:cs="宋体"/>
                <w:color w:val="000000"/>
                <w:kern w:val="0"/>
                <w:sz w:val="20"/>
                <w:szCs w:val="20"/>
              </w:rPr>
            </w:pPr>
          </w:p>
        </w:tc>
        <w:tc>
          <w:tcPr>
            <w:tcW w:w="1620" w:type="dxa"/>
            <w:tcBorders>
              <w:top w:val="nil"/>
              <w:left w:val="nil"/>
              <w:bottom w:val="single" w:color="000000" w:sz="8" w:space="0"/>
              <w:right w:val="single" w:color="000000" w:sz="8" w:space="0"/>
            </w:tcBorders>
            <w:noWrap w:val="0"/>
            <w:vAlign w:val="center"/>
          </w:tcPr>
          <w:p w14:paraId="4C8F5C6B">
            <w:pPr>
              <w:widowControl/>
              <w:jc w:val="center"/>
              <w:rPr>
                <w:rFonts w:ascii="宋体" w:hAnsi="宋体" w:cs="宋体"/>
                <w:color w:val="000000"/>
                <w:kern w:val="0"/>
                <w:sz w:val="20"/>
                <w:szCs w:val="20"/>
              </w:rPr>
            </w:pPr>
            <w:r>
              <w:rPr>
                <w:rFonts w:hint="eastAsia" w:ascii="宋体" w:hAnsi="宋体" w:cs="宋体"/>
                <w:color w:val="000000"/>
                <w:kern w:val="0"/>
                <w:sz w:val="20"/>
                <w:szCs w:val="20"/>
              </w:rPr>
              <w:t>热泵热水器</w:t>
            </w:r>
          </w:p>
        </w:tc>
        <w:tc>
          <w:tcPr>
            <w:tcW w:w="4540" w:type="dxa"/>
            <w:tcBorders>
              <w:top w:val="nil"/>
              <w:left w:val="nil"/>
              <w:bottom w:val="single" w:color="000000" w:sz="8" w:space="0"/>
              <w:right w:val="single" w:color="000000" w:sz="8" w:space="0"/>
            </w:tcBorders>
            <w:noWrap w:val="0"/>
            <w:vAlign w:val="center"/>
          </w:tcPr>
          <w:p w14:paraId="16FCCB54">
            <w:pPr>
              <w:widowControl/>
              <w:jc w:val="left"/>
              <w:rPr>
                <w:rFonts w:ascii="宋体" w:hAnsi="宋体" w:cs="宋体"/>
                <w:color w:val="000000"/>
                <w:kern w:val="0"/>
                <w:sz w:val="20"/>
                <w:szCs w:val="20"/>
              </w:rPr>
            </w:pPr>
            <w:r>
              <w:rPr>
                <w:rFonts w:hint="eastAsia" w:ascii="宋体" w:hAnsi="宋体" w:cs="宋体"/>
                <w:color w:val="000000"/>
                <w:kern w:val="0"/>
                <w:sz w:val="20"/>
                <w:szCs w:val="20"/>
              </w:rPr>
              <w:t>《热泵热水机（器）能效限定值及能效等级》（GB29541）</w:t>
            </w:r>
          </w:p>
        </w:tc>
      </w:tr>
      <w:tr w14:paraId="112F29A0">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06FAD406">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D2B9A48">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C0C6045">
            <w:pPr>
              <w:widowControl/>
              <w:jc w:val="left"/>
              <w:rPr>
                <w:rFonts w:ascii="宋体" w:hAnsi="宋体" w:cs="宋体"/>
                <w:color w:val="000000"/>
                <w:kern w:val="0"/>
                <w:sz w:val="20"/>
                <w:szCs w:val="20"/>
              </w:rPr>
            </w:pPr>
          </w:p>
        </w:tc>
        <w:tc>
          <w:tcPr>
            <w:tcW w:w="1620" w:type="dxa"/>
            <w:tcBorders>
              <w:top w:val="nil"/>
              <w:left w:val="nil"/>
              <w:bottom w:val="single" w:color="000000" w:sz="8" w:space="0"/>
              <w:right w:val="single" w:color="000000" w:sz="8" w:space="0"/>
            </w:tcBorders>
            <w:noWrap w:val="0"/>
            <w:vAlign w:val="center"/>
          </w:tcPr>
          <w:p w14:paraId="6C2A0847">
            <w:pPr>
              <w:widowControl/>
              <w:jc w:val="center"/>
              <w:rPr>
                <w:rFonts w:ascii="宋体" w:hAnsi="宋体" w:cs="宋体"/>
                <w:color w:val="000000"/>
                <w:kern w:val="0"/>
                <w:sz w:val="20"/>
                <w:szCs w:val="20"/>
              </w:rPr>
            </w:pPr>
            <w:r>
              <w:rPr>
                <w:rFonts w:hint="eastAsia" w:ascii="宋体" w:hAnsi="宋体" w:cs="宋体"/>
                <w:color w:val="000000"/>
                <w:kern w:val="0"/>
                <w:sz w:val="20"/>
                <w:szCs w:val="20"/>
              </w:rPr>
              <w:t>太阳能热水系统</w:t>
            </w:r>
          </w:p>
        </w:tc>
        <w:tc>
          <w:tcPr>
            <w:tcW w:w="4540" w:type="dxa"/>
            <w:tcBorders>
              <w:top w:val="nil"/>
              <w:left w:val="nil"/>
              <w:bottom w:val="single" w:color="000000" w:sz="8" w:space="0"/>
              <w:right w:val="single" w:color="000000" w:sz="8" w:space="0"/>
            </w:tcBorders>
            <w:noWrap w:val="0"/>
            <w:vAlign w:val="center"/>
          </w:tcPr>
          <w:p w14:paraId="71F489CB">
            <w:pPr>
              <w:widowControl/>
              <w:jc w:val="left"/>
              <w:rPr>
                <w:rFonts w:ascii="宋体" w:hAnsi="宋体" w:cs="宋体"/>
                <w:color w:val="000000"/>
                <w:kern w:val="0"/>
                <w:sz w:val="20"/>
                <w:szCs w:val="20"/>
              </w:rPr>
            </w:pPr>
            <w:r>
              <w:rPr>
                <w:rFonts w:hint="eastAsia" w:ascii="宋体" w:hAnsi="宋体" w:cs="宋体"/>
                <w:color w:val="000000"/>
                <w:kern w:val="0"/>
                <w:sz w:val="20"/>
                <w:szCs w:val="20"/>
              </w:rPr>
              <w:t>《家用太阳能热水系统能效限定值及能效等级》（GB26969）</w:t>
            </w:r>
          </w:p>
        </w:tc>
      </w:tr>
      <w:tr w14:paraId="5E2D229D">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4E95687A">
            <w:pPr>
              <w:widowControl/>
              <w:jc w:val="center"/>
              <w:rPr>
                <w:rFonts w:ascii="宋体" w:hAnsi="宋体" w:cs="宋体"/>
                <w:color w:val="000000"/>
                <w:kern w:val="0"/>
                <w:sz w:val="20"/>
                <w:szCs w:val="20"/>
              </w:rPr>
            </w:pPr>
            <w:r>
              <w:rPr>
                <w:rFonts w:hint="eastAsia" w:ascii="宋体" w:hAnsi="宋体" w:cs="宋体"/>
                <w:color w:val="000000"/>
                <w:kern w:val="0"/>
                <w:sz w:val="20"/>
                <w:szCs w:val="20"/>
              </w:rPr>
              <w:t>11</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6C355005">
            <w:pPr>
              <w:widowControl/>
              <w:jc w:val="center"/>
              <w:rPr>
                <w:rFonts w:ascii="宋体" w:hAnsi="宋体" w:cs="宋体"/>
                <w:color w:val="000000"/>
                <w:kern w:val="0"/>
                <w:sz w:val="20"/>
                <w:szCs w:val="20"/>
              </w:rPr>
            </w:pPr>
            <w:r>
              <w:rPr>
                <w:rFonts w:hint="eastAsia" w:ascii="宋体" w:hAnsi="宋体" w:cs="宋体"/>
                <w:color w:val="000000"/>
                <w:kern w:val="0"/>
                <w:sz w:val="20"/>
                <w:szCs w:val="20"/>
              </w:rPr>
              <w:t>A020619照明设备</w:t>
            </w:r>
          </w:p>
        </w:tc>
        <w:tc>
          <w:tcPr>
            <w:tcW w:w="1320" w:type="dxa"/>
            <w:tcBorders>
              <w:top w:val="nil"/>
              <w:left w:val="nil"/>
              <w:bottom w:val="single" w:color="000000" w:sz="8" w:space="0"/>
              <w:right w:val="single" w:color="000000" w:sz="8" w:space="0"/>
            </w:tcBorders>
            <w:noWrap w:val="0"/>
            <w:vAlign w:val="center"/>
          </w:tcPr>
          <w:p w14:paraId="719EE25A">
            <w:pPr>
              <w:widowControl/>
              <w:jc w:val="center"/>
              <w:rPr>
                <w:rFonts w:ascii="宋体" w:hAnsi="宋体" w:cs="宋体"/>
                <w:color w:val="000000"/>
                <w:kern w:val="0"/>
                <w:sz w:val="20"/>
                <w:szCs w:val="20"/>
              </w:rPr>
            </w:pPr>
            <w:r>
              <w:rPr>
                <w:rFonts w:hint="eastAsia" w:ascii="宋体" w:hAnsi="宋体" w:cs="宋体"/>
                <w:color w:val="000000"/>
                <w:kern w:val="0"/>
                <w:sz w:val="20"/>
                <w:szCs w:val="20"/>
              </w:rPr>
              <w:t>★普通照明用双端荧光灯</w:t>
            </w:r>
          </w:p>
        </w:tc>
        <w:tc>
          <w:tcPr>
            <w:tcW w:w="1620" w:type="dxa"/>
            <w:tcBorders>
              <w:top w:val="nil"/>
              <w:left w:val="nil"/>
              <w:bottom w:val="single" w:color="000000" w:sz="8" w:space="0"/>
              <w:right w:val="single" w:color="000000" w:sz="8" w:space="0"/>
            </w:tcBorders>
            <w:noWrap w:val="0"/>
            <w:vAlign w:val="center"/>
          </w:tcPr>
          <w:p w14:paraId="4E7E220E">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54E8BC6F">
            <w:pPr>
              <w:widowControl/>
              <w:jc w:val="left"/>
              <w:rPr>
                <w:rFonts w:ascii="宋体" w:hAnsi="宋体" w:cs="宋体"/>
                <w:color w:val="000000"/>
                <w:kern w:val="0"/>
                <w:sz w:val="20"/>
                <w:szCs w:val="20"/>
              </w:rPr>
            </w:pPr>
            <w:r>
              <w:rPr>
                <w:rFonts w:hint="eastAsia" w:ascii="宋体" w:hAnsi="宋体" w:cs="宋体"/>
                <w:color w:val="000000"/>
                <w:kern w:val="0"/>
                <w:sz w:val="20"/>
                <w:szCs w:val="20"/>
              </w:rPr>
              <w:t>《普通照明用双端荧光灯能效限定值及能效等级》（GB19043）</w:t>
            </w:r>
          </w:p>
        </w:tc>
      </w:tr>
      <w:tr w14:paraId="5E183CE1">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64AC4481">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29746B9">
            <w:pPr>
              <w:widowControl/>
              <w:jc w:val="left"/>
              <w:rPr>
                <w:rFonts w:ascii="宋体" w:hAnsi="宋体" w:cs="宋体"/>
                <w:color w:val="000000"/>
                <w:kern w:val="0"/>
                <w:sz w:val="20"/>
                <w:szCs w:val="20"/>
              </w:rPr>
            </w:pPr>
          </w:p>
        </w:tc>
        <w:tc>
          <w:tcPr>
            <w:tcW w:w="1320" w:type="dxa"/>
            <w:tcBorders>
              <w:top w:val="nil"/>
              <w:left w:val="nil"/>
              <w:bottom w:val="single" w:color="000000" w:sz="8" w:space="0"/>
              <w:right w:val="single" w:color="000000" w:sz="8" w:space="0"/>
            </w:tcBorders>
            <w:noWrap w:val="0"/>
            <w:vAlign w:val="center"/>
          </w:tcPr>
          <w:p w14:paraId="0B2A0B5A">
            <w:pPr>
              <w:widowControl/>
              <w:jc w:val="center"/>
              <w:rPr>
                <w:rFonts w:ascii="宋体" w:hAnsi="宋体" w:cs="宋体"/>
                <w:color w:val="000000"/>
                <w:kern w:val="0"/>
                <w:sz w:val="20"/>
                <w:szCs w:val="20"/>
              </w:rPr>
            </w:pPr>
            <w:r>
              <w:rPr>
                <w:rFonts w:hint="eastAsia" w:ascii="宋体" w:hAnsi="宋体" w:cs="宋体"/>
                <w:color w:val="000000"/>
                <w:kern w:val="0"/>
                <w:sz w:val="20"/>
                <w:szCs w:val="20"/>
              </w:rPr>
              <w:t>LED道路/隧道照明产品</w:t>
            </w:r>
          </w:p>
        </w:tc>
        <w:tc>
          <w:tcPr>
            <w:tcW w:w="1620" w:type="dxa"/>
            <w:tcBorders>
              <w:top w:val="nil"/>
              <w:left w:val="nil"/>
              <w:bottom w:val="single" w:color="000000" w:sz="8" w:space="0"/>
              <w:right w:val="single" w:color="000000" w:sz="8" w:space="0"/>
            </w:tcBorders>
            <w:noWrap w:val="0"/>
            <w:vAlign w:val="center"/>
          </w:tcPr>
          <w:p w14:paraId="146DD8D9">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202E8554">
            <w:pPr>
              <w:widowControl/>
              <w:jc w:val="left"/>
              <w:rPr>
                <w:rFonts w:ascii="宋体" w:hAnsi="宋体" w:cs="宋体"/>
                <w:color w:val="000000"/>
                <w:kern w:val="0"/>
                <w:sz w:val="20"/>
                <w:szCs w:val="20"/>
              </w:rPr>
            </w:pPr>
            <w:r>
              <w:rPr>
                <w:rFonts w:hint="eastAsia" w:ascii="宋体" w:hAnsi="宋体" w:cs="宋体"/>
                <w:color w:val="000000"/>
                <w:kern w:val="0"/>
                <w:sz w:val="20"/>
                <w:szCs w:val="20"/>
              </w:rPr>
              <w:t>《道路和隧道照明用LED灯具能效限定值及能效等级》（GB37478）</w:t>
            </w:r>
          </w:p>
        </w:tc>
      </w:tr>
      <w:tr w14:paraId="59649151">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31ECCD1D">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1CA5CCE">
            <w:pPr>
              <w:widowControl/>
              <w:jc w:val="left"/>
              <w:rPr>
                <w:rFonts w:ascii="宋体" w:hAnsi="宋体" w:cs="宋体"/>
                <w:color w:val="000000"/>
                <w:kern w:val="0"/>
                <w:sz w:val="20"/>
                <w:szCs w:val="20"/>
              </w:rPr>
            </w:pPr>
          </w:p>
        </w:tc>
        <w:tc>
          <w:tcPr>
            <w:tcW w:w="1320" w:type="dxa"/>
            <w:tcBorders>
              <w:top w:val="nil"/>
              <w:left w:val="nil"/>
              <w:bottom w:val="single" w:color="000000" w:sz="8" w:space="0"/>
              <w:right w:val="single" w:color="000000" w:sz="8" w:space="0"/>
            </w:tcBorders>
            <w:noWrap w:val="0"/>
            <w:vAlign w:val="center"/>
          </w:tcPr>
          <w:p w14:paraId="57FA8AC7">
            <w:pPr>
              <w:widowControl/>
              <w:jc w:val="center"/>
              <w:rPr>
                <w:rFonts w:ascii="宋体" w:hAnsi="宋体" w:cs="宋体"/>
                <w:color w:val="000000"/>
                <w:kern w:val="0"/>
                <w:sz w:val="20"/>
                <w:szCs w:val="20"/>
              </w:rPr>
            </w:pPr>
            <w:r>
              <w:rPr>
                <w:rFonts w:hint="eastAsia" w:ascii="宋体" w:hAnsi="宋体" w:cs="宋体"/>
                <w:color w:val="000000"/>
                <w:kern w:val="0"/>
                <w:sz w:val="20"/>
                <w:szCs w:val="20"/>
              </w:rPr>
              <w:t>LED筒灯</w:t>
            </w:r>
          </w:p>
        </w:tc>
        <w:tc>
          <w:tcPr>
            <w:tcW w:w="1620" w:type="dxa"/>
            <w:tcBorders>
              <w:top w:val="nil"/>
              <w:left w:val="nil"/>
              <w:bottom w:val="single" w:color="000000" w:sz="8" w:space="0"/>
              <w:right w:val="single" w:color="000000" w:sz="8" w:space="0"/>
            </w:tcBorders>
            <w:noWrap w:val="0"/>
            <w:vAlign w:val="center"/>
          </w:tcPr>
          <w:p w14:paraId="21864392">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7EA41459">
            <w:pPr>
              <w:widowControl/>
              <w:jc w:val="left"/>
              <w:rPr>
                <w:rFonts w:ascii="宋体" w:hAnsi="宋体" w:cs="宋体"/>
                <w:color w:val="000000"/>
                <w:kern w:val="0"/>
                <w:sz w:val="20"/>
                <w:szCs w:val="20"/>
              </w:rPr>
            </w:pPr>
            <w:r>
              <w:rPr>
                <w:rFonts w:hint="eastAsia" w:ascii="宋体" w:hAnsi="宋体" w:cs="宋体"/>
                <w:color w:val="000000"/>
                <w:kern w:val="0"/>
                <w:sz w:val="20"/>
                <w:szCs w:val="20"/>
              </w:rPr>
              <w:t>《室内照明用LED产品能效限定值及能效等级》（GB30255）</w:t>
            </w:r>
          </w:p>
        </w:tc>
      </w:tr>
      <w:tr w14:paraId="6CE5ABCD">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5C4E4548">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C35A99E">
            <w:pPr>
              <w:widowControl/>
              <w:jc w:val="left"/>
              <w:rPr>
                <w:rFonts w:ascii="宋体" w:hAnsi="宋体" w:cs="宋体"/>
                <w:color w:val="000000"/>
                <w:kern w:val="0"/>
                <w:sz w:val="20"/>
                <w:szCs w:val="20"/>
              </w:rPr>
            </w:pPr>
          </w:p>
        </w:tc>
        <w:tc>
          <w:tcPr>
            <w:tcW w:w="1320" w:type="dxa"/>
            <w:tcBorders>
              <w:top w:val="nil"/>
              <w:left w:val="nil"/>
              <w:bottom w:val="single" w:color="000000" w:sz="8" w:space="0"/>
              <w:right w:val="single" w:color="000000" w:sz="8" w:space="0"/>
            </w:tcBorders>
            <w:noWrap w:val="0"/>
            <w:vAlign w:val="center"/>
          </w:tcPr>
          <w:p w14:paraId="6A9A3C1D">
            <w:pPr>
              <w:widowControl/>
              <w:jc w:val="center"/>
              <w:rPr>
                <w:rFonts w:ascii="宋体" w:hAnsi="宋体" w:cs="宋体"/>
                <w:color w:val="000000"/>
                <w:kern w:val="0"/>
                <w:sz w:val="20"/>
                <w:szCs w:val="20"/>
              </w:rPr>
            </w:pPr>
            <w:r>
              <w:rPr>
                <w:rFonts w:hint="eastAsia" w:ascii="宋体" w:hAnsi="宋体" w:cs="宋体"/>
                <w:color w:val="000000"/>
                <w:kern w:val="0"/>
                <w:sz w:val="20"/>
                <w:szCs w:val="20"/>
              </w:rPr>
              <w:t>普通照明用非定向自镇流LED灯</w:t>
            </w:r>
          </w:p>
        </w:tc>
        <w:tc>
          <w:tcPr>
            <w:tcW w:w="1620" w:type="dxa"/>
            <w:tcBorders>
              <w:top w:val="nil"/>
              <w:left w:val="nil"/>
              <w:bottom w:val="single" w:color="000000" w:sz="8" w:space="0"/>
              <w:right w:val="single" w:color="000000" w:sz="8" w:space="0"/>
            </w:tcBorders>
            <w:noWrap w:val="0"/>
            <w:vAlign w:val="center"/>
          </w:tcPr>
          <w:p w14:paraId="2DF0A661">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3A3E9E13">
            <w:pPr>
              <w:widowControl/>
              <w:jc w:val="left"/>
              <w:rPr>
                <w:rFonts w:ascii="宋体" w:hAnsi="宋体" w:cs="宋体"/>
                <w:color w:val="000000"/>
                <w:kern w:val="0"/>
                <w:sz w:val="20"/>
                <w:szCs w:val="20"/>
              </w:rPr>
            </w:pPr>
            <w:r>
              <w:rPr>
                <w:rFonts w:hint="eastAsia" w:ascii="宋体" w:hAnsi="宋体" w:cs="宋体"/>
                <w:color w:val="000000"/>
                <w:kern w:val="0"/>
                <w:sz w:val="20"/>
                <w:szCs w:val="20"/>
              </w:rPr>
              <w:t>《室内照明用LED产品能效限定值及能效等级》（GB30255）</w:t>
            </w:r>
          </w:p>
        </w:tc>
      </w:tr>
      <w:tr w14:paraId="626866B7">
        <w:tblPrEx>
          <w:tblCellMar>
            <w:top w:w="0" w:type="dxa"/>
            <w:left w:w="108" w:type="dxa"/>
            <w:bottom w:w="0" w:type="dxa"/>
            <w:right w:w="108" w:type="dxa"/>
          </w:tblCellMar>
        </w:tblPrEx>
        <w:trPr>
          <w:trHeight w:val="735" w:hRule="atLeast"/>
        </w:trPr>
        <w:tc>
          <w:tcPr>
            <w:tcW w:w="660" w:type="dxa"/>
            <w:tcBorders>
              <w:top w:val="nil"/>
              <w:left w:val="single" w:color="000000" w:sz="8" w:space="0"/>
              <w:bottom w:val="single" w:color="000000" w:sz="8" w:space="0"/>
              <w:right w:val="single" w:color="000000" w:sz="8" w:space="0"/>
            </w:tcBorders>
            <w:noWrap w:val="0"/>
            <w:vAlign w:val="center"/>
          </w:tcPr>
          <w:p w14:paraId="1803843E">
            <w:pPr>
              <w:widowControl/>
              <w:jc w:val="center"/>
              <w:rPr>
                <w:rFonts w:ascii="宋体" w:hAnsi="宋体" w:cs="宋体"/>
                <w:color w:val="000000"/>
                <w:kern w:val="0"/>
                <w:sz w:val="20"/>
                <w:szCs w:val="20"/>
              </w:rPr>
            </w:pPr>
            <w:r>
              <w:rPr>
                <w:rFonts w:hint="eastAsia" w:ascii="宋体" w:hAnsi="宋体" w:cs="宋体"/>
                <w:color w:val="000000"/>
                <w:kern w:val="0"/>
                <w:sz w:val="20"/>
                <w:szCs w:val="20"/>
              </w:rPr>
              <w:t>12</w:t>
            </w:r>
          </w:p>
        </w:tc>
        <w:tc>
          <w:tcPr>
            <w:tcW w:w="1080" w:type="dxa"/>
            <w:tcBorders>
              <w:top w:val="nil"/>
              <w:left w:val="nil"/>
              <w:bottom w:val="single" w:color="000000" w:sz="8" w:space="0"/>
              <w:right w:val="single" w:color="000000" w:sz="8" w:space="0"/>
            </w:tcBorders>
            <w:noWrap w:val="0"/>
            <w:vAlign w:val="center"/>
          </w:tcPr>
          <w:p w14:paraId="70201471">
            <w:pPr>
              <w:widowControl/>
              <w:jc w:val="center"/>
              <w:rPr>
                <w:rFonts w:ascii="宋体" w:hAnsi="宋体" w:cs="宋体"/>
                <w:color w:val="000000"/>
                <w:kern w:val="0"/>
                <w:sz w:val="20"/>
                <w:szCs w:val="20"/>
              </w:rPr>
            </w:pPr>
            <w:r>
              <w:rPr>
                <w:rFonts w:hint="eastAsia" w:ascii="宋体" w:hAnsi="宋体" w:cs="宋体"/>
                <w:color w:val="000000"/>
                <w:kern w:val="0"/>
                <w:sz w:val="20"/>
                <w:szCs w:val="20"/>
              </w:rPr>
              <w:t>★A020910电视设备</w:t>
            </w:r>
          </w:p>
        </w:tc>
        <w:tc>
          <w:tcPr>
            <w:tcW w:w="1320" w:type="dxa"/>
            <w:tcBorders>
              <w:top w:val="nil"/>
              <w:left w:val="nil"/>
              <w:bottom w:val="single" w:color="000000" w:sz="8" w:space="0"/>
              <w:right w:val="single" w:color="000000" w:sz="8" w:space="0"/>
            </w:tcBorders>
            <w:noWrap w:val="0"/>
            <w:vAlign w:val="center"/>
          </w:tcPr>
          <w:p w14:paraId="17411A88">
            <w:pPr>
              <w:widowControl/>
              <w:jc w:val="center"/>
              <w:rPr>
                <w:rFonts w:ascii="宋体" w:hAnsi="宋体" w:cs="宋体"/>
                <w:color w:val="000000"/>
                <w:kern w:val="0"/>
                <w:sz w:val="20"/>
                <w:szCs w:val="20"/>
              </w:rPr>
            </w:pPr>
            <w:r>
              <w:rPr>
                <w:rFonts w:hint="eastAsia" w:ascii="宋体" w:hAnsi="宋体" w:cs="宋体"/>
                <w:color w:val="000000"/>
                <w:kern w:val="0"/>
                <w:sz w:val="20"/>
                <w:szCs w:val="20"/>
              </w:rPr>
              <w:t>A02091001普通电视设备（电视机）</w:t>
            </w:r>
          </w:p>
        </w:tc>
        <w:tc>
          <w:tcPr>
            <w:tcW w:w="1620" w:type="dxa"/>
            <w:tcBorders>
              <w:top w:val="nil"/>
              <w:left w:val="nil"/>
              <w:bottom w:val="single" w:color="000000" w:sz="8" w:space="0"/>
              <w:right w:val="single" w:color="000000" w:sz="8" w:space="0"/>
            </w:tcBorders>
            <w:noWrap w:val="0"/>
            <w:vAlign w:val="center"/>
          </w:tcPr>
          <w:p w14:paraId="463F90AE">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3835619A">
            <w:pPr>
              <w:widowControl/>
              <w:jc w:val="left"/>
              <w:rPr>
                <w:rFonts w:ascii="宋体" w:hAnsi="宋体" w:cs="宋体"/>
                <w:color w:val="000000"/>
                <w:kern w:val="0"/>
                <w:sz w:val="20"/>
                <w:szCs w:val="20"/>
              </w:rPr>
            </w:pPr>
            <w:r>
              <w:rPr>
                <w:rFonts w:hint="eastAsia" w:ascii="宋体" w:hAnsi="宋体" w:cs="宋体"/>
                <w:color w:val="000000"/>
                <w:kern w:val="0"/>
                <w:sz w:val="20"/>
                <w:szCs w:val="20"/>
              </w:rPr>
              <w:t>《平板电视能效限定值及能效等级》（GB24850）</w:t>
            </w:r>
          </w:p>
        </w:tc>
      </w:tr>
      <w:tr w14:paraId="6E084A5C">
        <w:tblPrEx>
          <w:tblCellMar>
            <w:top w:w="0" w:type="dxa"/>
            <w:left w:w="108" w:type="dxa"/>
            <w:bottom w:w="0" w:type="dxa"/>
            <w:right w:w="108" w:type="dxa"/>
          </w:tblCellMar>
        </w:tblPrEx>
        <w:trPr>
          <w:trHeight w:val="975" w:hRule="atLeast"/>
        </w:trPr>
        <w:tc>
          <w:tcPr>
            <w:tcW w:w="660" w:type="dxa"/>
            <w:tcBorders>
              <w:top w:val="nil"/>
              <w:left w:val="single" w:color="000000" w:sz="8" w:space="0"/>
              <w:bottom w:val="single" w:color="000000" w:sz="8" w:space="0"/>
              <w:right w:val="single" w:color="000000" w:sz="8" w:space="0"/>
            </w:tcBorders>
            <w:noWrap w:val="0"/>
            <w:vAlign w:val="center"/>
          </w:tcPr>
          <w:p w14:paraId="0D51DDD7">
            <w:pPr>
              <w:widowControl/>
              <w:jc w:val="center"/>
              <w:rPr>
                <w:rFonts w:ascii="宋体" w:hAnsi="宋体" w:cs="宋体"/>
                <w:color w:val="000000"/>
                <w:kern w:val="0"/>
                <w:sz w:val="20"/>
                <w:szCs w:val="20"/>
              </w:rPr>
            </w:pPr>
            <w:r>
              <w:rPr>
                <w:rFonts w:hint="eastAsia" w:ascii="宋体" w:hAnsi="宋体" w:cs="宋体"/>
                <w:color w:val="000000"/>
                <w:kern w:val="0"/>
                <w:sz w:val="20"/>
                <w:szCs w:val="20"/>
              </w:rPr>
              <w:t>13</w:t>
            </w:r>
          </w:p>
        </w:tc>
        <w:tc>
          <w:tcPr>
            <w:tcW w:w="1080" w:type="dxa"/>
            <w:tcBorders>
              <w:top w:val="nil"/>
              <w:left w:val="nil"/>
              <w:bottom w:val="single" w:color="000000" w:sz="8" w:space="0"/>
              <w:right w:val="single" w:color="000000" w:sz="8" w:space="0"/>
            </w:tcBorders>
            <w:noWrap w:val="0"/>
            <w:vAlign w:val="center"/>
          </w:tcPr>
          <w:p w14:paraId="7B983C7F">
            <w:pPr>
              <w:widowControl/>
              <w:jc w:val="center"/>
              <w:rPr>
                <w:rFonts w:ascii="宋体" w:hAnsi="宋体" w:cs="宋体"/>
                <w:color w:val="000000"/>
                <w:kern w:val="0"/>
                <w:sz w:val="20"/>
                <w:szCs w:val="20"/>
              </w:rPr>
            </w:pPr>
            <w:r>
              <w:rPr>
                <w:rFonts w:hint="eastAsia" w:ascii="宋体" w:hAnsi="宋体" w:cs="宋体"/>
                <w:color w:val="000000"/>
                <w:kern w:val="0"/>
                <w:sz w:val="20"/>
                <w:szCs w:val="20"/>
              </w:rPr>
              <w:t>★A020911视频设备</w:t>
            </w:r>
          </w:p>
        </w:tc>
        <w:tc>
          <w:tcPr>
            <w:tcW w:w="1320" w:type="dxa"/>
            <w:tcBorders>
              <w:top w:val="nil"/>
              <w:left w:val="nil"/>
              <w:bottom w:val="single" w:color="000000" w:sz="8" w:space="0"/>
              <w:right w:val="single" w:color="000000" w:sz="8" w:space="0"/>
            </w:tcBorders>
            <w:noWrap w:val="0"/>
            <w:vAlign w:val="center"/>
          </w:tcPr>
          <w:p w14:paraId="65F2F813">
            <w:pPr>
              <w:widowControl/>
              <w:jc w:val="center"/>
              <w:rPr>
                <w:rFonts w:ascii="宋体" w:hAnsi="宋体" w:cs="宋体"/>
                <w:color w:val="000000"/>
                <w:kern w:val="0"/>
                <w:sz w:val="20"/>
                <w:szCs w:val="20"/>
              </w:rPr>
            </w:pPr>
            <w:r>
              <w:rPr>
                <w:rFonts w:hint="eastAsia" w:ascii="宋体" w:hAnsi="宋体" w:cs="宋体"/>
                <w:color w:val="000000"/>
                <w:kern w:val="0"/>
                <w:sz w:val="20"/>
                <w:szCs w:val="20"/>
              </w:rPr>
              <w:t>A02091107视频监控设备</w:t>
            </w:r>
          </w:p>
        </w:tc>
        <w:tc>
          <w:tcPr>
            <w:tcW w:w="1620" w:type="dxa"/>
            <w:tcBorders>
              <w:top w:val="nil"/>
              <w:left w:val="nil"/>
              <w:bottom w:val="single" w:color="000000" w:sz="8" w:space="0"/>
              <w:right w:val="single" w:color="000000" w:sz="8" w:space="0"/>
            </w:tcBorders>
            <w:noWrap w:val="0"/>
            <w:vAlign w:val="center"/>
          </w:tcPr>
          <w:p w14:paraId="1615C1E2">
            <w:pPr>
              <w:widowControl/>
              <w:jc w:val="center"/>
              <w:rPr>
                <w:rFonts w:ascii="宋体" w:hAnsi="宋体" w:cs="宋体"/>
                <w:color w:val="000000"/>
                <w:kern w:val="0"/>
                <w:sz w:val="20"/>
                <w:szCs w:val="20"/>
              </w:rPr>
            </w:pPr>
            <w:r>
              <w:rPr>
                <w:rFonts w:hint="eastAsia" w:ascii="宋体" w:hAnsi="宋体" w:cs="宋体"/>
                <w:color w:val="000000"/>
                <w:kern w:val="0"/>
                <w:sz w:val="20"/>
                <w:szCs w:val="20"/>
              </w:rPr>
              <w:t>监视器</w:t>
            </w:r>
          </w:p>
        </w:tc>
        <w:tc>
          <w:tcPr>
            <w:tcW w:w="4540" w:type="dxa"/>
            <w:tcBorders>
              <w:top w:val="nil"/>
              <w:left w:val="nil"/>
              <w:bottom w:val="single" w:color="000000" w:sz="8" w:space="0"/>
              <w:right w:val="single" w:color="000000" w:sz="8" w:space="0"/>
            </w:tcBorders>
            <w:noWrap w:val="0"/>
            <w:vAlign w:val="center"/>
          </w:tcPr>
          <w:p w14:paraId="5CF3CAE3">
            <w:pPr>
              <w:widowControl/>
              <w:jc w:val="left"/>
              <w:rPr>
                <w:rFonts w:ascii="宋体" w:hAnsi="宋体" w:cs="宋体"/>
                <w:color w:val="000000"/>
                <w:kern w:val="0"/>
                <w:sz w:val="20"/>
                <w:szCs w:val="20"/>
              </w:rPr>
            </w:pPr>
            <w:r>
              <w:rPr>
                <w:rFonts w:hint="eastAsia" w:ascii="宋体" w:hAnsi="宋体" w:cs="宋体"/>
                <w:color w:val="000000"/>
                <w:kern w:val="0"/>
                <w:sz w:val="20"/>
                <w:szCs w:val="20"/>
              </w:rPr>
              <w:t>以射频信号为主要信号输入的监视器应符合《平板电视能效限定值及能效等级》（GB24850），以数字信号为主要信号输入的监视器应符合《计算机显示器能效限定值及能效等级》（GB21520）</w:t>
            </w:r>
          </w:p>
        </w:tc>
      </w:tr>
      <w:tr w14:paraId="6AB100A0">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73762DB6">
            <w:pPr>
              <w:widowControl/>
              <w:jc w:val="center"/>
              <w:rPr>
                <w:rFonts w:ascii="宋体" w:hAnsi="宋体" w:cs="宋体"/>
                <w:color w:val="000000"/>
                <w:kern w:val="0"/>
                <w:sz w:val="20"/>
                <w:szCs w:val="20"/>
              </w:rPr>
            </w:pPr>
            <w:r>
              <w:rPr>
                <w:rFonts w:hint="eastAsia" w:ascii="宋体" w:hAnsi="宋体" w:cs="宋体"/>
                <w:color w:val="000000"/>
                <w:kern w:val="0"/>
                <w:sz w:val="20"/>
                <w:szCs w:val="20"/>
              </w:rPr>
              <w:t>14</w:t>
            </w:r>
          </w:p>
        </w:tc>
        <w:tc>
          <w:tcPr>
            <w:tcW w:w="1080" w:type="dxa"/>
            <w:tcBorders>
              <w:top w:val="nil"/>
              <w:left w:val="nil"/>
              <w:bottom w:val="single" w:color="000000" w:sz="8" w:space="0"/>
              <w:right w:val="single" w:color="000000" w:sz="8" w:space="0"/>
            </w:tcBorders>
            <w:noWrap w:val="0"/>
            <w:vAlign w:val="center"/>
          </w:tcPr>
          <w:p w14:paraId="03ACD565">
            <w:pPr>
              <w:widowControl/>
              <w:jc w:val="center"/>
              <w:rPr>
                <w:rFonts w:ascii="宋体" w:hAnsi="宋体" w:cs="宋体"/>
                <w:color w:val="000000"/>
                <w:kern w:val="0"/>
                <w:sz w:val="20"/>
                <w:szCs w:val="20"/>
              </w:rPr>
            </w:pPr>
            <w:r>
              <w:rPr>
                <w:rFonts w:hint="eastAsia" w:ascii="宋体" w:hAnsi="宋体" w:cs="宋体"/>
                <w:color w:val="000000"/>
                <w:kern w:val="0"/>
                <w:sz w:val="20"/>
                <w:szCs w:val="20"/>
              </w:rPr>
              <w:t>A031210饮食炊事机械</w:t>
            </w:r>
          </w:p>
        </w:tc>
        <w:tc>
          <w:tcPr>
            <w:tcW w:w="1320" w:type="dxa"/>
            <w:tcBorders>
              <w:top w:val="nil"/>
              <w:left w:val="nil"/>
              <w:bottom w:val="single" w:color="000000" w:sz="8" w:space="0"/>
              <w:right w:val="single" w:color="000000" w:sz="8" w:space="0"/>
            </w:tcBorders>
            <w:noWrap w:val="0"/>
            <w:vAlign w:val="center"/>
          </w:tcPr>
          <w:p w14:paraId="02EF299C">
            <w:pPr>
              <w:widowControl/>
              <w:jc w:val="center"/>
              <w:rPr>
                <w:rFonts w:ascii="宋体" w:hAnsi="宋体" w:cs="宋体"/>
                <w:color w:val="000000"/>
                <w:kern w:val="0"/>
                <w:sz w:val="20"/>
                <w:szCs w:val="20"/>
              </w:rPr>
            </w:pPr>
            <w:r>
              <w:rPr>
                <w:rFonts w:hint="eastAsia" w:ascii="宋体" w:hAnsi="宋体" w:cs="宋体"/>
                <w:color w:val="000000"/>
                <w:kern w:val="0"/>
                <w:sz w:val="20"/>
                <w:szCs w:val="20"/>
              </w:rPr>
              <w:t>商用燃气灶具</w:t>
            </w:r>
          </w:p>
        </w:tc>
        <w:tc>
          <w:tcPr>
            <w:tcW w:w="1620" w:type="dxa"/>
            <w:tcBorders>
              <w:top w:val="nil"/>
              <w:left w:val="nil"/>
              <w:bottom w:val="single" w:color="000000" w:sz="8" w:space="0"/>
              <w:right w:val="single" w:color="000000" w:sz="8" w:space="0"/>
            </w:tcBorders>
            <w:noWrap w:val="0"/>
            <w:vAlign w:val="center"/>
          </w:tcPr>
          <w:p w14:paraId="11CF8E0E">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1998A0D9">
            <w:pPr>
              <w:widowControl/>
              <w:jc w:val="left"/>
              <w:rPr>
                <w:rFonts w:ascii="宋体" w:hAnsi="宋体" w:cs="宋体"/>
                <w:color w:val="000000"/>
                <w:kern w:val="0"/>
                <w:sz w:val="20"/>
                <w:szCs w:val="20"/>
              </w:rPr>
            </w:pPr>
            <w:r>
              <w:rPr>
                <w:rFonts w:hint="eastAsia" w:ascii="宋体" w:hAnsi="宋体" w:cs="宋体"/>
                <w:color w:val="000000"/>
                <w:kern w:val="0"/>
                <w:sz w:val="20"/>
                <w:szCs w:val="20"/>
              </w:rPr>
              <w:t>《商用燃气灶具能效限定值及能效等级》（GB30531）</w:t>
            </w:r>
          </w:p>
        </w:tc>
      </w:tr>
      <w:tr w14:paraId="20B54321">
        <w:tblPrEx>
          <w:tblCellMar>
            <w:top w:w="0" w:type="dxa"/>
            <w:left w:w="108" w:type="dxa"/>
            <w:bottom w:w="0" w:type="dxa"/>
            <w:right w:w="108" w:type="dxa"/>
          </w:tblCellMar>
        </w:tblPrEx>
        <w:trPr>
          <w:trHeight w:val="28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3383FE52">
            <w:pPr>
              <w:widowControl/>
              <w:jc w:val="center"/>
              <w:rPr>
                <w:rFonts w:ascii="宋体" w:hAnsi="宋体" w:cs="宋体"/>
                <w:color w:val="000000"/>
                <w:kern w:val="0"/>
                <w:sz w:val="20"/>
                <w:szCs w:val="20"/>
              </w:rPr>
            </w:pPr>
            <w:r>
              <w:rPr>
                <w:rFonts w:hint="eastAsia" w:ascii="宋体" w:hAnsi="宋体" w:cs="宋体"/>
                <w:color w:val="000000"/>
                <w:kern w:val="0"/>
                <w:sz w:val="20"/>
                <w:szCs w:val="20"/>
              </w:rPr>
              <w:t>15</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2B03391A">
            <w:pPr>
              <w:widowControl/>
              <w:jc w:val="center"/>
              <w:rPr>
                <w:rFonts w:ascii="宋体" w:hAnsi="宋体" w:cs="宋体"/>
                <w:color w:val="000000"/>
                <w:kern w:val="0"/>
                <w:sz w:val="20"/>
                <w:szCs w:val="20"/>
              </w:rPr>
            </w:pPr>
            <w:r>
              <w:rPr>
                <w:rFonts w:hint="eastAsia" w:ascii="宋体" w:hAnsi="宋体" w:cs="宋体"/>
                <w:color w:val="000000"/>
                <w:kern w:val="0"/>
                <w:sz w:val="20"/>
                <w:szCs w:val="20"/>
              </w:rPr>
              <w:t>★A060805便器</w:t>
            </w:r>
          </w:p>
        </w:tc>
        <w:tc>
          <w:tcPr>
            <w:tcW w:w="1320" w:type="dxa"/>
            <w:tcBorders>
              <w:top w:val="nil"/>
              <w:left w:val="nil"/>
              <w:bottom w:val="single" w:color="000000" w:sz="8" w:space="0"/>
              <w:right w:val="single" w:color="000000" w:sz="8" w:space="0"/>
            </w:tcBorders>
            <w:noWrap w:val="0"/>
            <w:vAlign w:val="center"/>
          </w:tcPr>
          <w:p w14:paraId="1B5EF9ED">
            <w:pPr>
              <w:widowControl/>
              <w:jc w:val="center"/>
              <w:rPr>
                <w:rFonts w:ascii="宋体" w:hAnsi="宋体" w:cs="宋体"/>
                <w:color w:val="000000"/>
                <w:kern w:val="0"/>
                <w:sz w:val="20"/>
                <w:szCs w:val="20"/>
              </w:rPr>
            </w:pPr>
            <w:r>
              <w:rPr>
                <w:rFonts w:hint="eastAsia" w:ascii="宋体" w:hAnsi="宋体" w:cs="宋体"/>
                <w:color w:val="000000"/>
                <w:kern w:val="0"/>
                <w:sz w:val="20"/>
                <w:szCs w:val="20"/>
              </w:rPr>
              <w:t>坐便器</w:t>
            </w:r>
          </w:p>
        </w:tc>
        <w:tc>
          <w:tcPr>
            <w:tcW w:w="1620" w:type="dxa"/>
            <w:tcBorders>
              <w:top w:val="nil"/>
              <w:left w:val="nil"/>
              <w:bottom w:val="single" w:color="000000" w:sz="8" w:space="0"/>
              <w:right w:val="single" w:color="000000" w:sz="8" w:space="0"/>
            </w:tcBorders>
            <w:noWrap w:val="0"/>
            <w:vAlign w:val="center"/>
          </w:tcPr>
          <w:p w14:paraId="4A977A3F">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18CAC0BF">
            <w:pPr>
              <w:widowControl/>
              <w:jc w:val="left"/>
              <w:rPr>
                <w:rFonts w:ascii="宋体" w:hAnsi="宋体" w:cs="宋体"/>
                <w:color w:val="000000"/>
                <w:kern w:val="0"/>
                <w:sz w:val="20"/>
                <w:szCs w:val="20"/>
              </w:rPr>
            </w:pPr>
            <w:r>
              <w:rPr>
                <w:rFonts w:hint="eastAsia" w:ascii="宋体" w:hAnsi="宋体" w:cs="宋体"/>
                <w:color w:val="000000"/>
                <w:kern w:val="0"/>
                <w:sz w:val="20"/>
                <w:szCs w:val="20"/>
              </w:rPr>
              <w:t>《坐便器水效限定值及水效等级》（GB25502）</w:t>
            </w:r>
          </w:p>
        </w:tc>
      </w:tr>
      <w:tr w14:paraId="472A53F1">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04FF5AAC">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7B0F763">
            <w:pPr>
              <w:widowControl/>
              <w:jc w:val="left"/>
              <w:rPr>
                <w:rFonts w:ascii="宋体" w:hAnsi="宋体" w:cs="宋体"/>
                <w:color w:val="000000"/>
                <w:kern w:val="0"/>
                <w:sz w:val="20"/>
                <w:szCs w:val="20"/>
              </w:rPr>
            </w:pPr>
          </w:p>
        </w:tc>
        <w:tc>
          <w:tcPr>
            <w:tcW w:w="1320" w:type="dxa"/>
            <w:tcBorders>
              <w:top w:val="nil"/>
              <w:left w:val="nil"/>
              <w:bottom w:val="single" w:color="000000" w:sz="8" w:space="0"/>
              <w:right w:val="single" w:color="000000" w:sz="8" w:space="0"/>
            </w:tcBorders>
            <w:noWrap w:val="0"/>
            <w:vAlign w:val="center"/>
          </w:tcPr>
          <w:p w14:paraId="74D871A9">
            <w:pPr>
              <w:widowControl/>
              <w:jc w:val="center"/>
              <w:rPr>
                <w:rFonts w:ascii="宋体" w:hAnsi="宋体" w:cs="宋体"/>
                <w:color w:val="000000"/>
                <w:kern w:val="0"/>
                <w:sz w:val="20"/>
                <w:szCs w:val="20"/>
              </w:rPr>
            </w:pPr>
            <w:r>
              <w:rPr>
                <w:rFonts w:hint="eastAsia" w:ascii="宋体" w:hAnsi="宋体" w:cs="宋体"/>
                <w:color w:val="000000"/>
                <w:kern w:val="0"/>
                <w:sz w:val="20"/>
                <w:szCs w:val="20"/>
              </w:rPr>
              <w:t>蹲便器</w:t>
            </w:r>
          </w:p>
        </w:tc>
        <w:tc>
          <w:tcPr>
            <w:tcW w:w="1620" w:type="dxa"/>
            <w:tcBorders>
              <w:top w:val="nil"/>
              <w:left w:val="nil"/>
              <w:bottom w:val="single" w:color="000000" w:sz="8" w:space="0"/>
              <w:right w:val="single" w:color="000000" w:sz="8" w:space="0"/>
            </w:tcBorders>
            <w:noWrap w:val="0"/>
            <w:vAlign w:val="center"/>
          </w:tcPr>
          <w:p w14:paraId="76E56713">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0DE77562">
            <w:pPr>
              <w:widowControl/>
              <w:jc w:val="left"/>
              <w:rPr>
                <w:rFonts w:ascii="宋体" w:hAnsi="宋体" w:cs="宋体"/>
                <w:color w:val="000000"/>
                <w:kern w:val="0"/>
                <w:sz w:val="20"/>
                <w:szCs w:val="20"/>
              </w:rPr>
            </w:pPr>
            <w:r>
              <w:rPr>
                <w:rFonts w:hint="eastAsia" w:ascii="宋体" w:hAnsi="宋体" w:cs="宋体"/>
                <w:color w:val="000000"/>
                <w:kern w:val="0"/>
                <w:sz w:val="20"/>
                <w:szCs w:val="20"/>
              </w:rPr>
              <w:t>《蹲便器用水效率限定值及用水效率等级》（GB30717）</w:t>
            </w:r>
          </w:p>
        </w:tc>
      </w:tr>
      <w:tr w14:paraId="0BDAB7DB">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6CFD5DD7">
            <w:pPr>
              <w:widowControl/>
              <w:jc w:val="left"/>
              <w:rPr>
                <w:rFonts w:ascii="宋体" w:hAnsi="宋体" w:cs="宋体"/>
                <w:color w:val="000000"/>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774CEC5E">
            <w:pPr>
              <w:widowControl/>
              <w:jc w:val="left"/>
              <w:rPr>
                <w:rFonts w:ascii="宋体" w:hAnsi="宋体" w:cs="宋体"/>
                <w:color w:val="000000"/>
                <w:kern w:val="0"/>
                <w:sz w:val="20"/>
                <w:szCs w:val="20"/>
              </w:rPr>
            </w:pPr>
          </w:p>
        </w:tc>
        <w:tc>
          <w:tcPr>
            <w:tcW w:w="1320" w:type="dxa"/>
            <w:tcBorders>
              <w:top w:val="nil"/>
              <w:left w:val="nil"/>
              <w:bottom w:val="single" w:color="000000" w:sz="8" w:space="0"/>
              <w:right w:val="single" w:color="000000" w:sz="8" w:space="0"/>
            </w:tcBorders>
            <w:noWrap w:val="0"/>
            <w:vAlign w:val="center"/>
          </w:tcPr>
          <w:p w14:paraId="25A44419">
            <w:pPr>
              <w:widowControl/>
              <w:jc w:val="center"/>
              <w:rPr>
                <w:rFonts w:ascii="宋体" w:hAnsi="宋体" w:cs="宋体"/>
                <w:color w:val="000000"/>
                <w:kern w:val="0"/>
                <w:sz w:val="20"/>
                <w:szCs w:val="20"/>
              </w:rPr>
            </w:pPr>
            <w:r>
              <w:rPr>
                <w:rFonts w:hint="eastAsia" w:ascii="宋体" w:hAnsi="宋体" w:cs="宋体"/>
                <w:color w:val="000000"/>
                <w:kern w:val="0"/>
                <w:sz w:val="20"/>
                <w:szCs w:val="20"/>
              </w:rPr>
              <w:t>小便器</w:t>
            </w:r>
          </w:p>
        </w:tc>
        <w:tc>
          <w:tcPr>
            <w:tcW w:w="1620" w:type="dxa"/>
            <w:tcBorders>
              <w:top w:val="nil"/>
              <w:left w:val="nil"/>
              <w:bottom w:val="single" w:color="000000" w:sz="8" w:space="0"/>
              <w:right w:val="single" w:color="000000" w:sz="8" w:space="0"/>
            </w:tcBorders>
            <w:noWrap w:val="0"/>
            <w:vAlign w:val="center"/>
          </w:tcPr>
          <w:p w14:paraId="2368CE11">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47D5BC63">
            <w:pPr>
              <w:widowControl/>
              <w:jc w:val="left"/>
              <w:rPr>
                <w:rFonts w:ascii="宋体" w:hAnsi="宋体" w:cs="宋体"/>
                <w:color w:val="000000"/>
                <w:kern w:val="0"/>
                <w:sz w:val="20"/>
                <w:szCs w:val="20"/>
              </w:rPr>
            </w:pPr>
            <w:r>
              <w:rPr>
                <w:rFonts w:hint="eastAsia" w:ascii="宋体" w:hAnsi="宋体" w:cs="宋体"/>
                <w:color w:val="000000"/>
                <w:kern w:val="0"/>
                <w:sz w:val="20"/>
                <w:szCs w:val="20"/>
              </w:rPr>
              <w:t>《小便器用水效率限定值及用水效率等级》（GB28377）</w:t>
            </w:r>
          </w:p>
        </w:tc>
      </w:tr>
      <w:tr w14:paraId="4CFB6744">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57275E70">
            <w:pPr>
              <w:widowControl/>
              <w:jc w:val="center"/>
              <w:rPr>
                <w:rFonts w:ascii="宋体" w:hAnsi="宋体" w:cs="宋体"/>
                <w:color w:val="000000"/>
                <w:kern w:val="0"/>
                <w:sz w:val="20"/>
                <w:szCs w:val="20"/>
              </w:rPr>
            </w:pPr>
            <w:r>
              <w:rPr>
                <w:rFonts w:hint="eastAsia" w:ascii="宋体" w:hAnsi="宋体" w:cs="宋体"/>
                <w:color w:val="000000"/>
                <w:kern w:val="0"/>
                <w:sz w:val="20"/>
                <w:szCs w:val="20"/>
              </w:rPr>
              <w:t>16</w:t>
            </w:r>
          </w:p>
        </w:tc>
        <w:tc>
          <w:tcPr>
            <w:tcW w:w="1080" w:type="dxa"/>
            <w:tcBorders>
              <w:top w:val="nil"/>
              <w:left w:val="nil"/>
              <w:bottom w:val="single" w:color="000000" w:sz="8" w:space="0"/>
              <w:right w:val="single" w:color="000000" w:sz="8" w:space="0"/>
            </w:tcBorders>
            <w:noWrap w:val="0"/>
            <w:vAlign w:val="center"/>
          </w:tcPr>
          <w:p w14:paraId="3C5EB512">
            <w:pPr>
              <w:widowControl/>
              <w:jc w:val="center"/>
              <w:rPr>
                <w:rFonts w:ascii="宋体" w:hAnsi="宋体" w:cs="宋体"/>
                <w:color w:val="000000"/>
                <w:kern w:val="0"/>
                <w:sz w:val="20"/>
                <w:szCs w:val="20"/>
              </w:rPr>
            </w:pPr>
            <w:r>
              <w:rPr>
                <w:rFonts w:hint="eastAsia" w:ascii="宋体" w:hAnsi="宋体" w:cs="宋体"/>
                <w:color w:val="000000"/>
                <w:kern w:val="0"/>
                <w:sz w:val="20"/>
                <w:szCs w:val="20"/>
              </w:rPr>
              <w:t>★A060806水嘴</w:t>
            </w:r>
          </w:p>
        </w:tc>
        <w:tc>
          <w:tcPr>
            <w:tcW w:w="1320" w:type="dxa"/>
            <w:tcBorders>
              <w:top w:val="nil"/>
              <w:left w:val="nil"/>
              <w:bottom w:val="single" w:color="000000" w:sz="8" w:space="0"/>
              <w:right w:val="single" w:color="000000" w:sz="8" w:space="0"/>
            </w:tcBorders>
            <w:noWrap w:val="0"/>
            <w:vAlign w:val="center"/>
          </w:tcPr>
          <w:p w14:paraId="4FB2A1DE">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20" w:type="dxa"/>
            <w:tcBorders>
              <w:top w:val="nil"/>
              <w:left w:val="nil"/>
              <w:bottom w:val="single" w:color="000000" w:sz="8" w:space="0"/>
              <w:right w:val="single" w:color="000000" w:sz="8" w:space="0"/>
            </w:tcBorders>
            <w:noWrap w:val="0"/>
            <w:vAlign w:val="center"/>
          </w:tcPr>
          <w:p w14:paraId="78F64640">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757459FD">
            <w:pPr>
              <w:widowControl/>
              <w:jc w:val="left"/>
              <w:rPr>
                <w:rFonts w:ascii="宋体" w:hAnsi="宋体" w:cs="宋体"/>
                <w:color w:val="000000"/>
                <w:kern w:val="0"/>
                <w:sz w:val="20"/>
                <w:szCs w:val="20"/>
              </w:rPr>
            </w:pPr>
            <w:r>
              <w:rPr>
                <w:rFonts w:hint="eastAsia" w:ascii="宋体" w:hAnsi="宋体" w:cs="宋体"/>
                <w:color w:val="000000"/>
                <w:kern w:val="0"/>
                <w:sz w:val="20"/>
                <w:szCs w:val="20"/>
              </w:rPr>
              <w:t>《水嘴用水效率限定值及用水效率等级》（GB 25501）</w:t>
            </w:r>
          </w:p>
        </w:tc>
      </w:tr>
      <w:tr w14:paraId="5BB80F9E">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317FD322">
            <w:pPr>
              <w:widowControl/>
              <w:jc w:val="center"/>
              <w:rPr>
                <w:rFonts w:ascii="宋体" w:hAnsi="宋体" w:cs="宋体"/>
                <w:color w:val="000000"/>
                <w:kern w:val="0"/>
                <w:sz w:val="20"/>
                <w:szCs w:val="20"/>
              </w:rPr>
            </w:pPr>
            <w:r>
              <w:rPr>
                <w:rFonts w:hint="eastAsia" w:ascii="宋体" w:hAnsi="宋体" w:cs="宋体"/>
                <w:color w:val="000000"/>
                <w:kern w:val="0"/>
                <w:sz w:val="20"/>
                <w:szCs w:val="20"/>
              </w:rPr>
              <w:t>17</w:t>
            </w:r>
          </w:p>
        </w:tc>
        <w:tc>
          <w:tcPr>
            <w:tcW w:w="1080" w:type="dxa"/>
            <w:tcBorders>
              <w:top w:val="nil"/>
              <w:left w:val="nil"/>
              <w:bottom w:val="single" w:color="000000" w:sz="8" w:space="0"/>
              <w:right w:val="single" w:color="000000" w:sz="8" w:space="0"/>
            </w:tcBorders>
            <w:noWrap w:val="0"/>
            <w:vAlign w:val="center"/>
          </w:tcPr>
          <w:p w14:paraId="28711A52">
            <w:pPr>
              <w:widowControl/>
              <w:jc w:val="center"/>
              <w:rPr>
                <w:rFonts w:ascii="宋体" w:hAnsi="宋体" w:cs="宋体"/>
                <w:color w:val="000000"/>
                <w:kern w:val="0"/>
                <w:sz w:val="20"/>
                <w:szCs w:val="20"/>
              </w:rPr>
            </w:pPr>
            <w:r>
              <w:rPr>
                <w:rFonts w:hint="eastAsia" w:ascii="宋体" w:hAnsi="宋体" w:cs="宋体"/>
                <w:color w:val="000000"/>
                <w:kern w:val="0"/>
                <w:sz w:val="20"/>
                <w:szCs w:val="20"/>
              </w:rPr>
              <w:t>A060807便器冲洗阀</w:t>
            </w:r>
          </w:p>
        </w:tc>
        <w:tc>
          <w:tcPr>
            <w:tcW w:w="1320" w:type="dxa"/>
            <w:tcBorders>
              <w:top w:val="nil"/>
              <w:left w:val="nil"/>
              <w:bottom w:val="single" w:color="000000" w:sz="8" w:space="0"/>
              <w:right w:val="single" w:color="000000" w:sz="8" w:space="0"/>
            </w:tcBorders>
            <w:noWrap w:val="0"/>
            <w:vAlign w:val="center"/>
          </w:tcPr>
          <w:p w14:paraId="37CC5C1C">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20" w:type="dxa"/>
            <w:tcBorders>
              <w:top w:val="nil"/>
              <w:left w:val="nil"/>
              <w:bottom w:val="single" w:color="000000" w:sz="8" w:space="0"/>
              <w:right w:val="single" w:color="000000" w:sz="8" w:space="0"/>
            </w:tcBorders>
            <w:noWrap w:val="0"/>
            <w:vAlign w:val="center"/>
          </w:tcPr>
          <w:p w14:paraId="552DEE52">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4BFC749C">
            <w:pPr>
              <w:widowControl/>
              <w:jc w:val="left"/>
              <w:rPr>
                <w:rFonts w:ascii="宋体" w:hAnsi="宋体" w:cs="宋体"/>
                <w:color w:val="000000"/>
                <w:kern w:val="0"/>
                <w:sz w:val="20"/>
                <w:szCs w:val="20"/>
              </w:rPr>
            </w:pPr>
            <w:r>
              <w:rPr>
                <w:rFonts w:hint="eastAsia" w:ascii="宋体" w:hAnsi="宋体" w:cs="宋体"/>
                <w:color w:val="000000"/>
                <w:kern w:val="0"/>
                <w:sz w:val="20"/>
                <w:szCs w:val="20"/>
              </w:rPr>
              <w:t>《便器冲洗阀用水效率限定值及用水效率等级》（GB28379）</w:t>
            </w:r>
          </w:p>
        </w:tc>
      </w:tr>
      <w:tr w14:paraId="258A268B">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78044D74">
            <w:pPr>
              <w:widowControl/>
              <w:jc w:val="center"/>
              <w:rPr>
                <w:rFonts w:ascii="宋体" w:hAnsi="宋体" w:cs="宋体"/>
                <w:color w:val="000000"/>
                <w:kern w:val="0"/>
                <w:sz w:val="20"/>
                <w:szCs w:val="20"/>
              </w:rPr>
            </w:pPr>
            <w:r>
              <w:rPr>
                <w:rFonts w:hint="eastAsia" w:ascii="宋体" w:hAnsi="宋体" w:cs="宋体"/>
                <w:color w:val="000000"/>
                <w:kern w:val="0"/>
                <w:sz w:val="20"/>
                <w:szCs w:val="20"/>
              </w:rPr>
              <w:t>18</w:t>
            </w:r>
          </w:p>
        </w:tc>
        <w:tc>
          <w:tcPr>
            <w:tcW w:w="1080" w:type="dxa"/>
            <w:tcBorders>
              <w:top w:val="nil"/>
              <w:left w:val="nil"/>
              <w:bottom w:val="single" w:color="000000" w:sz="8" w:space="0"/>
              <w:right w:val="single" w:color="000000" w:sz="8" w:space="0"/>
            </w:tcBorders>
            <w:noWrap w:val="0"/>
            <w:vAlign w:val="center"/>
          </w:tcPr>
          <w:p w14:paraId="5CE8521A">
            <w:pPr>
              <w:widowControl/>
              <w:jc w:val="center"/>
              <w:rPr>
                <w:rFonts w:ascii="宋体" w:hAnsi="宋体" w:cs="宋体"/>
                <w:color w:val="000000"/>
                <w:kern w:val="0"/>
                <w:sz w:val="20"/>
                <w:szCs w:val="20"/>
              </w:rPr>
            </w:pPr>
            <w:r>
              <w:rPr>
                <w:rFonts w:hint="eastAsia" w:ascii="宋体" w:hAnsi="宋体" w:cs="宋体"/>
                <w:color w:val="000000"/>
                <w:kern w:val="0"/>
                <w:sz w:val="20"/>
                <w:szCs w:val="20"/>
              </w:rPr>
              <w:t>A060810淋浴器</w:t>
            </w:r>
          </w:p>
        </w:tc>
        <w:tc>
          <w:tcPr>
            <w:tcW w:w="1320" w:type="dxa"/>
            <w:tcBorders>
              <w:top w:val="nil"/>
              <w:left w:val="nil"/>
              <w:bottom w:val="single" w:color="000000" w:sz="8" w:space="0"/>
              <w:right w:val="single" w:color="000000" w:sz="8" w:space="0"/>
            </w:tcBorders>
            <w:noWrap w:val="0"/>
            <w:vAlign w:val="center"/>
          </w:tcPr>
          <w:p w14:paraId="2DD3B0D4">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20" w:type="dxa"/>
            <w:tcBorders>
              <w:top w:val="nil"/>
              <w:left w:val="nil"/>
              <w:bottom w:val="single" w:color="000000" w:sz="8" w:space="0"/>
              <w:right w:val="single" w:color="000000" w:sz="8" w:space="0"/>
            </w:tcBorders>
            <w:noWrap w:val="0"/>
            <w:vAlign w:val="center"/>
          </w:tcPr>
          <w:p w14:paraId="51F37CF3">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4540" w:type="dxa"/>
            <w:tcBorders>
              <w:top w:val="nil"/>
              <w:left w:val="nil"/>
              <w:bottom w:val="single" w:color="000000" w:sz="8" w:space="0"/>
              <w:right w:val="single" w:color="000000" w:sz="8" w:space="0"/>
            </w:tcBorders>
            <w:noWrap w:val="0"/>
            <w:vAlign w:val="center"/>
          </w:tcPr>
          <w:p w14:paraId="60B24B71">
            <w:pPr>
              <w:widowControl/>
              <w:jc w:val="left"/>
              <w:rPr>
                <w:rFonts w:ascii="宋体" w:hAnsi="宋体" w:cs="宋体"/>
                <w:color w:val="000000"/>
                <w:kern w:val="0"/>
                <w:sz w:val="20"/>
                <w:szCs w:val="20"/>
              </w:rPr>
            </w:pPr>
            <w:r>
              <w:rPr>
                <w:rFonts w:hint="eastAsia" w:ascii="宋体" w:hAnsi="宋体" w:cs="宋体"/>
                <w:color w:val="000000"/>
                <w:kern w:val="0"/>
                <w:sz w:val="20"/>
                <w:szCs w:val="20"/>
              </w:rPr>
              <w:t>《淋浴器用水效率限定值及用水效率等级》（GB28378）</w:t>
            </w:r>
          </w:p>
        </w:tc>
      </w:tr>
    </w:tbl>
    <w:p w14:paraId="0EF5A1FB">
      <w:pPr>
        <w:spacing w:line="360" w:lineRule="auto"/>
        <w:rPr>
          <w:rFonts w:hint="eastAsia" w:ascii="宋体" w:hAnsi="宋体" w:eastAsia="等线"/>
          <w:szCs w:val="21"/>
        </w:rPr>
      </w:pPr>
      <w:r>
        <w:rPr>
          <w:rFonts w:hint="eastAsia"/>
          <w:spacing w:val="-3"/>
          <w:szCs w:val="21"/>
        </w:rPr>
        <w:t>注：</w:t>
      </w:r>
      <w:r>
        <w:rPr>
          <w:spacing w:val="-3"/>
          <w:szCs w:val="21"/>
        </w:rPr>
        <w:t>1.</w:t>
      </w:r>
      <w:r>
        <w:rPr>
          <w:rFonts w:hint="eastAsia"/>
          <w:spacing w:val="-3"/>
          <w:szCs w:val="21"/>
        </w:rPr>
        <w:t>节能产品认证应依据相关国家标准的最新版本，依据国家标准中二级能效（水效）</w:t>
      </w:r>
      <w:r>
        <w:rPr>
          <w:rFonts w:hint="eastAsia"/>
          <w:szCs w:val="21"/>
        </w:rPr>
        <w:t>指标。</w:t>
      </w:r>
    </w:p>
    <w:p w14:paraId="7226D182">
      <w:pPr>
        <w:jc w:val="left"/>
        <w:rPr>
          <w:rFonts w:hint="eastAsia" w:ascii="Arial Unicode MS" w:hAnsi="Arial Unicode MS" w:eastAsia="Arial Unicode MS" w:cs="Arial Unicode MS"/>
          <w:sz w:val="32"/>
          <w:szCs w:val="32"/>
        </w:rPr>
      </w:pPr>
      <w:r>
        <w:rPr>
          <w:rFonts w:hAnsi="宋体"/>
          <w:szCs w:val="24"/>
        </w:rPr>
        <w:t xml:space="preserve">    </w:t>
      </w:r>
      <w:r>
        <w:rPr>
          <w:szCs w:val="24"/>
        </w:rPr>
        <w:t>2.</w:t>
      </w:r>
      <w:r>
        <w:rPr>
          <w:rFonts w:hint="eastAsia"/>
          <w:szCs w:val="24"/>
        </w:rPr>
        <w:t>以“★”标注的为政府强制采购产品。</w:t>
      </w:r>
      <w:r>
        <w:rPr>
          <w:szCs w:val="24"/>
        </w:rPr>
        <w:br w:type="page"/>
      </w:r>
      <w:r>
        <w:rPr>
          <w:rFonts w:hint="eastAsia" w:ascii="微软雅黑" w:hAnsi="微软雅黑" w:eastAsia="微软雅黑" w:cs="微软雅黑"/>
          <w:sz w:val="32"/>
          <w:szCs w:val="32"/>
        </w:rPr>
        <w:t>附件</w:t>
      </w:r>
      <w:r>
        <w:rPr>
          <w:rFonts w:hint="eastAsia" w:ascii="Arial Unicode MS" w:hAnsi="Arial Unicode MS" w:eastAsia="Arial Unicode MS" w:cs="Arial Unicode MS"/>
          <w:sz w:val="32"/>
          <w:szCs w:val="32"/>
          <w:lang w:val="en-US" w:eastAsia="zh-CN"/>
        </w:rPr>
        <w:t>2</w:t>
      </w:r>
      <w:r>
        <w:rPr>
          <w:rFonts w:hint="eastAsia" w:ascii="微软雅黑" w:hAnsi="微软雅黑" w:eastAsia="微软雅黑" w:cs="微软雅黑"/>
          <w:sz w:val="32"/>
          <w:szCs w:val="32"/>
        </w:rPr>
        <w:t>：</w:t>
      </w:r>
    </w:p>
    <w:p w14:paraId="6F286C7E">
      <w:pPr>
        <w:spacing w:line="528" w:lineRule="exact"/>
        <w:ind w:left="1871"/>
        <w:rPr>
          <w:rFonts w:hint="eastAsia" w:ascii="Arial Unicode MS" w:hAnsi="Arial Unicode MS" w:eastAsia="Arial Unicode MS" w:cs="Arial Unicode MS"/>
          <w:sz w:val="40"/>
          <w:szCs w:val="40"/>
        </w:rPr>
      </w:pPr>
      <w:r>
        <w:rPr>
          <w:rFonts w:hint="eastAsia" w:ascii="微软雅黑" w:hAnsi="微软雅黑" w:eastAsia="微软雅黑" w:cs="微软雅黑"/>
          <w:sz w:val="40"/>
          <w:szCs w:val="40"/>
        </w:rPr>
        <w:t>中小微企业划型标准</w:t>
      </w:r>
    </w:p>
    <w:tbl>
      <w:tblPr>
        <w:tblStyle w:val="10"/>
        <w:tblW w:w="0" w:type="auto"/>
        <w:tblInd w:w="250" w:type="dxa"/>
        <w:tblLayout w:type="fixed"/>
        <w:tblCellMar>
          <w:top w:w="0" w:type="dxa"/>
          <w:left w:w="108" w:type="dxa"/>
          <w:bottom w:w="0" w:type="dxa"/>
          <w:right w:w="108" w:type="dxa"/>
        </w:tblCellMar>
      </w:tblPr>
      <w:tblGrid>
        <w:gridCol w:w="1985"/>
        <w:gridCol w:w="1984"/>
        <w:gridCol w:w="851"/>
        <w:gridCol w:w="1842"/>
        <w:gridCol w:w="1701"/>
        <w:gridCol w:w="1134"/>
      </w:tblGrid>
      <w:tr w14:paraId="31D1E27C">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noWrap w:val="0"/>
            <w:vAlign w:val="center"/>
          </w:tcPr>
          <w:p w14:paraId="34BC6EC9">
            <w:pPr>
              <w:widowControl/>
              <w:jc w:val="left"/>
              <w:rPr>
                <w:rFonts w:ascii="仿宋_GB2312" w:hAnsi="仿宋" w:eastAsia="仿宋_GB2312" w:cs="宋体"/>
                <w:b/>
                <w:kern w:val="0"/>
                <w:sz w:val="24"/>
              </w:rPr>
            </w:pPr>
            <w:r>
              <w:rPr>
                <w:rFonts w:hint="eastAsia" w:ascii="仿宋_GB2312" w:hAnsi="仿宋" w:eastAsia="仿宋_GB2312" w:cs="宋体"/>
                <w:b/>
                <w:kern w:val="0"/>
                <w:sz w:val="24"/>
                <w:szCs w:val="24"/>
              </w:rPr>
              <w:t>行业名称</w:t>
            </w:r>
          </w:p>
        </w:tc>
        <w:tc>
          <w:tcPr>
            <w:tcW w:w="1984" w:type="dxa"/>
            <w:tcBorders>
              <w:top w:val="single" w:color="auto" w:sz="4" w:space="0"/>
              <w:left w:val="nil"/>
              <w:bottom w:val="single" w:color="auto" w:sz="4" w:space="0"/>
              <w:right w:val="single" w:color="auto" w:sz="4" w:space="0"/>
            </w:tcBorders>
            <w:noWrap w:val="0"/>
            <w:vAlign w:val="center"/>
          </w:tcPr>
          <w:p w14:paraId="4952ED1F">
            <w:pPr>
              <w:widowControl/>
              <w:jc w:val="left"/>
              <w:rPr>
                <w:rFonts w:ascii="仿宋_GB2312" w:hAnsi="仿宋" w:eastAsia="仿宋_GB2312" w:cs="宋体"/>
                <w:b/>
                <w:kern w:val="0"/>
                <w:sz w:val="24"/>
              </w:rPr>
            </w:pPr>
            <w:r>
              <w:rPr>
                <w:rFonts w:hint="eastAsia" w:ascii="仿宋_GB2312" w:hAnsi="仿宋" w:eastAsia="仿宋_GB2312" w:cs="宋体"/>
                <w:b/>
                <w:kern w:val="0"/>
                <w:sz w:val="24"/>
                <w:szCs w:val="24"/>
              </w:rPr>
              <w:t>指标名称</w:t>
            </w:r>
          </w:p>
        </w:tc>
        <w:tc>
          <w:tcPr>
            <w:tcW w:w="851" w:type="dxa"/>
            <w:tcBorders>
              <w:top w:val="single" w:color="auto" w:sz="4" w:space="0"/>
              <w:left w:val="nil"/>
              <w:bottom w:val="single" w:color="auto" w:sz="4" w:space="0"/>
              <w:right w:val="single" w:color="auto" w:sz="4" w:space="0"/>
            </w:tcBorders>
            <w:noWrap w:val="0"/>
            <w:vAlign w:val="center"/>
          </w:tcPr>
          <w:p w14:paraId="13BE0814">
            <w:pPr>
              <w:widowControl/>
              <w:jc w:val="left"/>
              <w:rPr>
                <w:rFonts w:ascii="仿宋_GB2312" w:hAnsi="仿宋" w:eastAsia="仿宋_GB2312" w:cs="宋体"/>
                <w:b/>
                <w:kern w:val="0"/>
                <w:sz w:val="24"/>
              </w:rPr>
            </w:pPr>
            <w:r>
              <w:rPr>
                <w:rFonts w:hint="eastAsia" w:ascii="仿宋_GB2312" w:hAnsi="仿宋" w:eastAsia="仿宋_GB2312" w:cs="宋体"/>
                <w:b/>
                <w:kern w:val="0"/>
                <w:sz w:val="24"/>
                <w:szCs w:val="24"/>
              </w:rPr>
              <w:t>计量单位</w:t>
            </w:r>
          </w:p>
        </w:tc>
        <w:tc>
          <w:tcPr>
            <w:tcW w:w="1842" w:type="dxa"/>
            <w:tcBorders>
              <w:top w:val="single" w:color="auto" w:sz="4" w:space="0"/>
              <w:left w:val="nil"/>
              <w:bottom w:val="single" w:color="auto" w:sz="4" w:space="0"/>
              <w:right w:val="single" w:color="auto" w:sz="4" w:space="0"/>
            </w:tcBorders>
            <w:noWrap w:val="0"/>
            <w:vAlign w:val="center"/>
          </w:tcPr>
          <w:p w14:paraId="0F871041">
            <w:pPr>
              <w:widowControl/>
              <w:jc w:val="left"/>
              <w:rPr>
                <w:rFonts w:ascii="仿宋_GB2312" w:hAnsi="仿宋" w:eastAsia="仿宋_GB2312" w:cs="宋体"/>
                <w:b/>
                <w:kern w:val="0"/>
                <w:sz w:val="24"/>
              </w:rPr>
            </w:pPr>
            <w:r>
              <w:rPr>
                <w:rFonts w:hint="eastAsia" w:ascii="仿宋_GB2312" w:hAnsi="仿宋" w:eastAsia="仿宋_GB2312" w:cs="宋体"/>
                <w:b/>
                <w:kern w:val="0"/>
                <w:sz w:val="24"/>
                <w:szCs w:val="24"/>
              </w:rPr>
              <w:t>中型</w:t>
            </w:r>
          </w:p>
        </w:tc>
        <w:tc>
          <w:tcPr>
            <w:tcW w:w="1701" w:type="dxa"/>
            <w:tcBorders>
              <w:top w:val="single" w:color="auto" w:sz="4" w:space="0"/>
              <w:left w:val="nil"/>
              <w:bottom w:val="single" w:color="auto" w:sz="4" w:space="0"/>
              <w:right w:val="single" w:color="auto" w:sz="4" w:space="0"/>
            </w:tcBorders>
            <w:noWrap w:val="0"/>
            <w:vAlign w:val="center"/>
          </w:tcPr>
          <w:p w14:paraId="673A47C2">
            <w:pPr>
              <w:widowControl/>
              <w:jc w:val="left"/>
              <w:rPr>
                <w:rFonts w:ascii="仿宋_GB2312" w:hAnsi="仿宋" w:eastAsia="仿宋_GB2312" w:cs="宋体"/>
                <w:b/>
                <w:kern w:val="0"/>
                <w:sz w:val="24"/>
              </w:rPr>
            </w:pPr>
            <w:r>
              <w:rPr>
                <w:rFonts w:hint="eastAsia" w:ascii="仿宋_GB2312" w:hAnsi="仿宋" w:eastAsia="仿宋_GB2312" w:cs="宋体"/>
                <w:b/>
                <w:kern w:val="0"/>
                <w:sz w:val="24"/>
                <w:szCs w:val="24"/>
              </w:rPr>
              <w:t>小型</w:t>
            </w:r>
          </w:p>
        </w:tc>
        <w:tc>
          <w:tcPr>
            <w:tcW w:w="1134" w:type="dxa"/>
            <w:tcBorders>
              <w:top w:val="single" w:color="auto" w:sz="4" w:space="0"/>
              <w:left w:val="nil"/>
              <w:bottom w:val="single" w:color="auto" w:sz="4" w:space="0"/>
              <w:right w:val="single" w:color="auto" w:sz="4" w:space="0"/>
            </w:tcBorders>
            <w:noWrap w:val="0"/>
            <w:vAlign w:val="center"/>
          </w:tcPr>
          <w:p w14:paraId="1231D885">
            <w:pPr>
              <w:widowControl/>
              <w:jc w:val="left"/>
              <w:rPr>
                <w:rFonts w:ascii="仿宋_GB2312" w:hAnsi="仿宋" w:eastAsia="仿宋_GB2312" w:cs="宋体"/>
                <w:b/>
                <w:kern w:val="0"/>
                <w:sz w:val="24"/>
              </w:rPr>
            </w:pPr>
            <w:r>
              <w:rPr>
                <w:rFonts w:hint="eastAsia" w:ascii="仿宋_GB2312" w:hAnsi="仿宋" w:eastAsia="仿宋_GB2312" w:cs="宋体"/>
                <w:b/>
                <w:kern w:val="0"/>
                <w:sz w:val="24"/>
                <w:szCs w:val="24"/>
              </w:rPr>
              <w:t>微型</w:t>
            </w:r>
          </w:p>
        </w:tc>
      </w:tr>
      <w:tr w14:paraId="3559F52E">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62F90ACB">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农、林、牧、渔</w:t>
            </w:r>
          </w:p>
        </w:tc>
        <w:tc>
          <w:tcPr>
            <w:tcW w:w="1984" w:type="dxa"/>
            <w:tcBorders>
              <w:top w:val="nil"/>
              <w:left w:val="nil"/>
              <w:bottom w:val="single" w:color="auto" w:sz="4" w:space="0"/>
              <w:right w:val="single" w:color="auto" w:sz="4" w:space="0"/>
            </w:tcBorders>
            <w:noWrap w:val="0"/>
            <w:vAlign w:val="center"/>
          </w:tcPr>
          <w:p w14:paraId="69AE04A7">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017A9EB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noWrap w:val="0"/>
            <w:vAlign w:val="center"/>
          </w:tcPr>
          <w:p w14:paraId="7A204051">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500≤Y＜20000</w:t>
            </w:r>
          </w:p>
        </w:tc>
        <w:tc>
          <w:tcPr>
            <w:tcW w:w="1701" w:type="dxa"/>
            <w:tcBorders>
              <w:top w:val="nil"/>
              <w:left w:val="nil"/>
              <w:bottom w:val="single" w:color="auto" w:sz="4" w:space="0"/>
              <w:right w:val="single" w:color="auto" w:sz="4" w:space="0"/>
            </w:tcBorders>
            <w:noWrap w:val="0"/>
            <w:vAlign w:val="center"/>
          </w:tcPr>
          <w:p w14:paraId="667D77D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50≤Y＜500</w:t>
            </w:r>
          </w:p>
        </w:tc>
        <w:tc>
          <w:tcPr>
            <w:tcW w:w="1134" w:type="dxa"/>
            <w:tcBorders>
              <w:top w:val="nil"/>
              <w:left w:val="nil"/>
              <w:bottom w:val="single" w:color="auto" w:sz="4" w:space="0"/>
              <w:right w:val="single" w:color="auto" w:sz="4" w:space="0"/>
            </w:tcBorders>
            <w:noWrap w:val="0"/>
            <w:vAlign w:val="center"/>
          </w:tcPr>
          <w:p w14:paraId="1401990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Y＜50</w:t>
            </w:r>
          </w:p>
        </w:tc>
      </w:tr>
      <w:tr w14:paraId="79FAFA93">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F8A8A66">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工业</w:t>
            </w:r>
          </w:p>
        </w:tc>
        <w:tc>
          <w:tcPr>
            <w:tcW w:w="1984" w:type="dxa"/>
            <w:tcBorders>
              <w:top w:val="nil"/>
              <w:left w:val="nil"/>
              <w:bottom w:val="single" w:color="auto" w:sz="4" w:space="0"/>
              <w:right w:val="single" w:color="auto" w:sz="4" w:space="0"/>
            </w:tcBorders>
            <w:noWrap w:val="0"/>
            <w:vAlign w:val="center"/>
          </w:tcPr>
          <w:p w14:paraId="1ADE17B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6B68A890">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842" w:type="dxa"/>
            <w:tcBorders>
              <w:top w:val="nil"/>
              <w:left w:val="nil"/>
              <w:bottom w:val="single" w:color="auto" w:sz="4" w:space="0"/>
              <w:right w:val="single" w:color="auto" w:sz="4" w:space="0"/>
            </w:tcBorders>
            <w:noWrap w:val="0"/>
            <w:vAlign w:val="center"/>
          </w:tcPr>
          <w:p w14:paraId="4090B5AE">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300≤X＜1000</w:t>
            </w:r>
          </w:p>
        </w:tc>
        <w:tc>
          <w:tcPr>
            <w:tcW w:w="1701" w:type="dxa"/>
            <w:tcBorders>
              <w:top w:val="nil"/>
              <w:left w:val="nil"/>
              <w:bottom w:val="single" w:color="auto" w:sz="4" w:space="0"/>
              <w:right w:val="single" w:color="auto" w:sz="4" w:space="0"/>
            </w:tcBorders>
            <w:noWrap w:val="0"/>
            <w:vAlign w:val="center"/>
          </w:tcPr>
          <w:p w14:paraId="6E333650">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20≤X＜300</w:t>
            </w:r>
          </w:p>
        </w:tc>
        <w:tc>
          <w:tcPr>
            <w:tcW w:w="1134" w:type="dxa"/>
            <w:tcBorders>
              <w:top w:val="nil"/>
              <w:left w:val="nil"/>
              <w:bottom w:val="single" w:color="auto" w:sz="4" w:space="0"/>
              <w:right w:val="single" w:color="auto" w:sz="4" w:space="0"/>
            </w:tcBorders>
            <w:noWrap w:val="0"/>
            <w:vAlign w:val="center"/>
          </w:tcPr>
          <w:p w14:paraId="51AEBFA4">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X＜20</w:t>
            </w:r>
          </w:p>
        </w:tc>
      </w:tr>
      <w:tr w14:paraId="4DE2960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752B53CF">
            <w:pPr>
              <w:widowControl/>
              <w:jc w:val="left"/>
              <w:rPr>
                <w:rFonts w:ascii="仿宋_GB2312" w:hAnsi="仿宋" w:eastAsia="仿宋_GB2312" w:cs="宋体"/>
                <w:b/>
                <w:bCs/>
                <w:kern w:val="0"/>
                <w:sz w:val="18"/>
                <w:szCs w:val="18"/>
              </w:rPr>
            </w:pPr>
          </w:p>
        </w:tc>
        <w:tc>
          <w:tcPr>
            <w:tcW w:w="1984" w:type="dxa"/>
            <w:tcBorders>
              <w:top w:val="nil"/>
              <w:left w:val="nil"/>
              <w:bottom w:val="single" w:color="auto" w:sz="4" w:space="0"/>
              <w:right w:val="single" w:color="auto" w:sz="4" w:space="0"/>
            </w:tcBorders>
            <w:noWrap w:val="0"/>
            <w:vAlign w:val="center"/>
          </w:tcPr>
          <w:p w14:paraId="10D41CE8">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36A0E5D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noWrap w:val="0"/>
            <w:vAlign w:val="center"/>
          </w:tcPr>
          <w:p w14:paraId="176352B8">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2000≤Y＜40000</w:t>
            </w:r>
          </w:p>
        </w:tc>
        <w:tc>
          <w:tcPr>
            <w:tcW w:w="1701" w:type="dxa"/>
            <w:tcBorders>
              <w:top w:val="nil"/>
              <w:left w:val="nil"/>
              <w:bottom w:val="single" w:color="auto" w:sz="4" w:space="0"/>
              <w:right w:val="single" w:color="auto" w:sz="4" w:space="0"/>
            </w:tcBorders>
            <w:noWrap w:val="0"/>
            <w:vAlign w:val="center"/>
          </w:tcPr>
          <w:p w14:paraId="312101E9">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300≤Y＜2000</w:t>
            </w:r>
          </w:p>
        </w:tc>
        <w:tc>
          <w:tcPr>
            <w:tcW w:w="1134" w:type="dxa"/>
            <w:tcBorders>
              <w:top w:val="nil"/>
              <w:left w:val="nil"/>
              <w:bottom w:val="single" w:color="auto" w:sz="4" w:space="0"/>
              <w:right w:val="single" w:color="auto" w:sz="4" w:space="0"/>
            </w:tcBorders>
            <w:noWrap w:val="0"/>
            <w:vAlign w:val="center"/>
          </w:tcPr>
          <w:p w14:paraId="51E780C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Y＜300</w:t>
            </w:r>
          </w:p>
        </w:tc>
      </w:tr>
      <w:tr w14:paraId="071CF9A4">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99F56AF">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建筑业</w:t>
            </w:r>
          </w:p>
        </w:tc>
        <w:tc>
          <w:tcPr>
            <w:tcW w:w="1984" w:type="dxa"/>
            <w:tcBorders>
              <w:top w:val="nil"/>
              <w:left w:val="nil"/>
              <w:bottom w:val="single" w:color="auto" w:sz="4" w:space="0"/>
              <w:right w:val="single" w:color="auto" w:sz="4" w:space="0"/>
            </w:tcBorders>
            <w:noWrap w:val="0"/>
            <w:vAlign w:val="center"/>
          </w:tcPr>
          <w:p w14:paraId="72F91CD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75F70CC8">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noWrap w:val="0"/>
            <w:vAlign w:val="center"/>
          </w:tcPr>
          <w:p w14:paraId="252DB593">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6000≤Y＜80000</w:t>
            </w:r>
          </w:p>
        </w:tc>
        <w:tc>
          <w:tcPr>
            <w:tcW w:w="1701" w:type="dxa"/>
            <w:tcBorders>
              <w:top w:val="nil"/>
              <w:left w:val="nil"/>
              <w:bottom w:val="single" w:color="auto" w:sz="4" w:space="0"/>
              <w:right w:val="single" w:color="auto" w:sz="4" w:space="0"/>
            </w:tcBorders>
            <w:noWrap w:val="0"/>
            <w:vAlign w:val="center"/>
          </w:tcPr>
          <w:p w14:paraId="6039DE7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300≤Y＜6000</w:t>
            </w:r>
          </w:p>
        </w:tc>
        <w:tc>
          <w:tcPr>
            <w:tcW w:w="1134" w:type="dxa"/>
            <w:tcBorders>
              <w:top w:val="nil"/>
              <w:left w:val="nil"/>
              <w:bottom w:val="single" w:color="auto" w:sz="4" w:space="0"/>
              <w:right w:val="single" w:color="auto" w:sz="4" w:space="0"/>
            </w:tcBorders>
            <w:noWrap w:val="0"/>
            <w:vAlign w:val="center"/>
          </w:tcPr>
          <w:p w14:paraId="64108447">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Y＜300</w:t>
            </w:r>
          </w:p>
        </w:tc>
      </w:tr>
      <w:tr w14:paraId="3E730A0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9BE6DBA">
            <w:pPr>
              <w:widowControl/>
              <w:jc w:val="left"/>
              <w:rPr>
                <w:rFonts w:ascii="仿宋_GB2312" w:hAnsi="仿宋" w:eastAsia="仿宋_GB2312" w:cs="宋体"/>
                <w:b/>
                <w:bCs/>
                <w:kern w:val="0"/>
                <w:sz w:val="18"/>
                <w:szCs w:val="18"/>
              </w:rPr>
            </w:pPr>
          </w:p>
        </w:tc>
        <w:tc>
          <w:tcPr>
            <w:tcW w:w="1984" w:type="dxa"/>
            <w:tcBorders>
              <w:top w:val="nil"/>
              <w:left w:val="nil"/>
              <w:bottom w:val="single" w:color="auto" w:sz="4" w:space="0"/>
              <w:right w:val="single" w:color="auto" w:sz="4" w:space="0"/>
            </w:tcBorders>
            <w:noWrap w:val="0"/>
            <w:vAlign w:val="center"/>
          </w:tcPr>
          <w:p w14:paraId="53FB947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资产总额（Z）</w:t>
            </w:r>
          </w:p>
        </w:tc>
        <w:tc>
          <w:tcPr>
            <w:tcW w:w="851" w:type="dxa"/>
            <w:tcBorders>
              <w:top w:val="nil"/>
              <w:left w:val="nil"/>
              <w:bottom w:val="single" w:color="auto" w:sz="4" w:space="0"/>
              <w:right w:val="single" w:color="auto" w:sz="4" w:space="0"/>
            </w:tcBorders>
            <w:noWrap w:val="0"/>
            <w:vAlign w:val="center"/>
          </w:tcPr>
          <w:p w14:paraId="1A33BF54">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noWrap w:val="0"/>
            <w:vAlign w:val="center"/>
          </w:tcPr>
          <w:p w14:paraId="2483764F">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5000≤Z＜80000</w:t>
            </w:r>
          </w:p>
        </w:tc>
        <w:tc>
          <w:tcPr>
            <w:tcW w:w="1701" w:type="dxa"/>
            <w:tcBorders>
              <w:top w:val="nil"/>
              <w:left w:val="nil"/>
              <w:bottom w:val="single" w:color="auto" w:sz="4" w:space="0"/>
              <w:right w:val="single" w:color="auto" w:sz="4" w:space="0"/>
            </w:tcBorders>
            <w:noWrap w:val="0"/>
            <w:vAlign w:val="center"/>
          </w:tcPr>
          <w:p w14:paraId="55A6D23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300≤Z＜5000</w:t>
            </w:r>
          </w:p>
        </w:tc>
        <w:tc>
          <w:tcPr>
            <w:tcW w:w="1134" w:type="dxa"/>
            <w:tcBorders>
              <w:top w:val="nil"/>
              <w:left w:val="nil"/>
              <w:bottom w:val="single" w:color="auto" w:sz="4" w:space="0"/>
              <w:right w:val="single" w:color="auto" w:sz="4" w:space="0"/>
            </w:tcBorders>
            <w:noWrap w:val="0"/>
            <w:vAlign w:val="center"/>
          </w:tcPr>
          <w:p w14:paraId="17316DB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Z＜300</w:t>
            </w:r>
          </w:p>
        </w:tc>
      </w:tr>
      <w:tr w14:paraId="17289D2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7FB5B07">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批发业</w:t>
            </w:r>
          </w:p>
        </w:tc>
        <w:tc>
          <w:tcPr>
            <w:tcW w:w="1984" w:type="dxa"/>
            <w:tcBorders>
              <w:top w:val="nil"/>
              <w:left w:val="nil"/>
              <w:bottom w:val="single" w:color="auto" w:sz="4" w:space="0"/>
              <w:right w:val="single" w:color="auto" w:sz="4" w:space="0"/>
            </w:tcBorders>
            <w:noWrap w:val="0"/>
            <w:vAlign w:val="center"/>
          </w:tcPr>
          <w:p w14:paraId="00457AC9">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3895BF50">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842" w:type="dxa"/>
            <w:tcBorders>
              <w:top w:val="nil"/>
              <w:left w:val="nil"/>
              <w:bottom w:val="single" w:color="auto" w:sz="4" w:space="0"/>
              <w:right w:val="single" w:color="auto" w:sz="4" w:space="0"/>
            </w:tcBorders>
            <w:noWrap w:val="0"/>
            <w:vAlign w:val="center"/>
          </w:tcPr>
          <w:p w14:paraId="1FA42A1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20≤X＜200</w:t>
            </w:r>
          </w:p>
        </w:tc>
        <w:tc>
          <w:tcPr>
            <w:tcW w:w="1701" w:type="dxa"/>
            <w:tcBorders>
              <w:top w:val="nil"/>
              <w:left w:val="nil"/>
              <w:bottom w:val="single" w:color="auto" w:sz="4" w:space="0"/>
              <w:right w:val="single" w:color="auto" w:sz="4" w:space="0"/>
            </w:tcBorders>
            <w:noWrap w:val="0"/>
            <w:vAlign w:val="center"/>
          </w:tcPr>
          <w:p w14:paraId="50035E11">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5≤X＜20</w:t>
            </w:r>
          </w:p>
        </w:tc>
        <w:tc>
          <w:tcPr>
            <w:tcW w:w="1134" w:type="dxa"/>
            <w:tcBorders>
              <w:top w:val="nil"/>
              <w:left w:val="nil"/>
              <w:bottom w:val="single" w:color="auto" w:sz="4" w:space="0"/>
              <w:right w:val="single" w:color="auto" w:sz="4" w:space="0"/>
            </w:tcBorders>
            <w:noWrap w:val="0"/>
            <w:vAlign w:val="center"/>
          </w:tcPr>
          <w:p w14:paraId="1F36383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X＜5</w:t>
            </w:r>
          </w:p>
        </w:tc>
      </w:tr>
      <w:tr w14:paraId="5C45276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830CAB1">
            <w:pPr>
              <w:widowControl/>
              <w:jc w:val="left"/>
              <w:rPr>
                <w:rFonts w:ascii="仿宋_GB2312" w:hAnsi="仿宋" w:eastAsia="仿宋_GB2312" w:cs="宋体"/>
                <w:b/>
                <w:bCs/>
                <w:kern w:val="0"/>
                <w:sz w:val="18"/>
                <w:szCs w:val="18"/>
              </w:rPr>
            </w:pPr>
          </w:p>
        </w:tc>
        <w:tc>
          <w:tcPr>
            <w:tcW w:w="1984" w:type="dxa"/>
            <w:tcBorders>
              <w:top w:val="nil"/>
              <w:left w:val="nil"/>
              <w:bottom w:val="single" w:color="auto" w:sz="4" w:space="0"/>
              <w:right w:val="single" w:color="auto" w:sz="4" w:space="0"/>
            </w:tcBorders>
            <w:noWrap w:val="0"/>
            <w:vAlign w:val="center"/>
          </w:tcPr>
          <w:p w14:paraId="7A2E9DE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55A46568">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noWrap w:val="0"/>
            <w:vAlign w:val="center"/>
          </w:tcPr>
          <w:p w14:paraId="1FDA4688">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5000≤Y＜40000</w:t>
            </w:r>
          </w:p>
        </w:tc>
        <w:tc>
          <w:tcPr>
            <w:tcW w:w="1701" w:type="dxa"/>
            <w:tcBorders>
              <w:top w:val="nil"/>
              <w:left w:val="nil"/>
              <w:bottom w:val="single" w:color="auto" w:sz="4" w:space="0"/>
              <w:right w:val="single" w:color="auto" w:sz="4" w:space="0"/>
            </w:tcBorders>
            <w:noWrap w:val="0"/>
            <w:vAlign w:val="center"/>
          </w:tcPr>
          <w:p w14:paraId="677F33D1">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1000≤Y＜5000</w:t>
            </w:r>
          </w:p>
        </w:tc>
        <w:tc>
          <w:tcPr>
            <w:tcW w:w="1134" w:type="dxa"/>
            <w:tcBorders>
              <w:top w:val="nil"/>
              <w:left w:val="nil"/>
              <w:bottom w:val="single" w:color="auto" w:sz="4" w:space="0"/>
              <w:right w:val="single" w:color="auto" w:sz="4" w:space="0"/>
            </w:tcBorders>
            <w:noWrap w:val="0"/>
            <w:vAlign w:val="center"/>
          </w:tcPr>
          <w:p w14:paraId="25464B90">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Y＜1000</w:t>
            </w:r>
          </w:p>
        </w:tc>
      </w:tr>
      <w:tr w14:paraId="1D87BE5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7232C91E">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零售业</w:t>
            </w:r>
          </w:p>
        </w:tc>
        <w:tc>
          <w:tcPr>
            <w:tcW w:w="1984" w:type="dxa"/>
            <w:tcBorders>
              <w:top w:val="nil"/>
              <w:left w:val="nil"/>
              <w:bottom w:val="single" w:color="auto" w:sz="4" w:space="0"/>
              <w:right w:val="single" w:color="auto" w:sz="4" w:space="0"/>
            </w:tcBorders>
            <w:noWrap w:val="0"/>
            <w:vAlign w:val="center"/>
          </w:tcPr>
          <w:p w14:paraId="227AD386">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6B28F497">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842" w:type="dxa"/>
            <w:tcBorders>
              <w:top w:val="nil"/>
              <w:left w:val="nil"/>
              <w:bottom w:val="single" w:color="auto" w:sz="4" w:space="0"/>
              <w:right w:val="single" w:color="auto" w:sz="4" w:space="0"/>
            </w:tcBorders>
            <w:noWrap w:val="0"/>
            <w:vAlign w:val="center"/>
          </w:tcPr>
          <w:p w14:paraId="2700515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50≤X＜300</w:t>
            </w:r>
          </w:p>
        </w:tc>
        <w:tc>
          <w:tcPr>
            <w:tcW w:w="1701" w:type="dxa"/>
            <w:tcBorders>
              <w:top w:val="nil"/>
              <w:left w:val="nil"/>
              <w:bottom w:val="single" w:color="auto" w:sz="4" w:space="0"/>
              <w:right w:val="single" w:color="auto" w:sz="4" w:space="0"/>
            </w:tcBorders>
            <w:noWrap w:val="0"/>
            <w:vAlign w:val="center"/>
          </w:tcPr>
          <w:p w14:paraId="66E24963">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10≤X＜50</w:t>
            </w:r>
          </w:p>
        </w:tc>
        <w:tc>
          <w:tcPr>
            <w:tcW w:w="1134" w:type="dxa"/>
            <w:tcBorders>
              <w:top w:val="nil"/>
              <w:left w:val="nil"/>
              <w:bottom w:val="single" w:color="auto" w:sz="4" w:space="0"/>
              <w:right w:val="single" w:color="auto" w:sz="4" w:space="0"/>
            </w:tcBorders>
            <w:noWrap w:val="0"/>
            <w:vAlign w:val="center"/>
          </w:tcPr>
          <w:p w14:paraId="25253728">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6E9F4FD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E53F503">
            <w:pPr>
              <w:widowControl/>
              <w:jc w:val="left"/>
              <w:rPr>
                <w:rFonts w:ascii="仿宋_GB2312" w:hAnsi="仿宋" w:eastAsia="仿宋_GB2312" w:cs="宋体"/>
                <w:b/>
                <w:bCs/>
                <w:kern w:val="0"/>
                <w:sz w:val="18"/>
                <w:szCs w:val="18"/>
              </w:rPr>
            </w:pPr>
          </w:p>
        </w:tc>
        <w:tc>
          <w:tcPr>
            <w:tcW w:w="1984" w:type="dxa"/>
            <w:tcBorders>
              <w:top w:val="nil"/>
              <w:left w:val="nil"/>
              <w:bottom w:val="single" w:color="auto" w:sz="4" w:space="0"/>
              <w:right w:val="single" w:color="auto" w:sz="4" w:space="0"/>
            </w:tcBorders>
            <w:noWrap w:val="0"/>
            <w:vAlign w:val="center"/>
          </w:tcPr>
          <w:p w14:paraId="5A7FBF8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5AFE5C20">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noWrap w:val="0"/>
            <w:vAlign w:val="center"/>
          </w:tcPr>
          <w:p w14:paraId="2AB8785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500≤Y＜20000</w:t>
            </w:r>
          </w:p>
        </w:tc>
        <w:tc>
          <w:tcPr>
            <w:tcW w:w="1701" w:type="dxa"/>
            <w:tcBorders>
              <w:top w:val="nil"/>
              <w:left w:val="nil"/>
              <w:bottom w:val="single" w:color="auto" w:sz="4" w:space="0"/>
              <w:right w:val="single" w:color="auto" w:sz="4" w:space="0"/>
            </w:tcBorders>
            <w:noWrap w:val="0"/>
            <w:vAlign w:val="center"/>
          </w:tcPr>
          <w:p w14:paraId="6A7A5207">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100≤Y＜500</w:t>
            </w:r>
          </w:p>
        </w:tc>
        <w:tc>
          <w:tcPr>
            <w:tcW w:w="1134" w:type="dxa"/>
            <w:tcBorders>
              <w:top w:val="nil"/>
              <w:left w:val="nil"/>
              <w:bottom w:val="single" w:color="auto" w:sz="4" w:space="0"/>
              <w:right w:val="single" w:color="auto" w:sz="4" w:space="0"/>
            </w:tcBorders>
            <w:noWrap w:val="0"/>
            <w:vAlign w:val="center"/>
          </w:tcPr>
          <w:p w14:paraId="3867C8C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18B3487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247F567">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交通运输业</w:t>
            </w:r>
          </w:p>
        </w:tc>
        <w:tc>
          <w:tcPr>
            <w:tcW w:w="1984" w:type="dxa"/>
            <w:tcBorders>
              <w:top w:val="nil"/>
              <w:left w:val="nil"/>
              <w:bottom w:val="single" w:color="auto" w:sz="4" w:space="0"/>
              <w:right w:val="single" w:color="auto" w:sz="4" w:space="0"/>
            </w:tcBorders>
            <w:noWrap w:val="0"/>
            <w:vAlign w:val="center"/>
          </w:tcPr>
          <w:p w14:paraId="69DEE3A9">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75BCDA9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842" w:type="dxa"/>
            <w:tcBorders>
              <w:top w:val="nil"/>
              <w:left w:val="nil"/>
              <w:bottom w:val="single" w:color="auto" w:sz="4" w:space="0"/>
              <w:right w:val="single" w:color="auto" w:sz="4" w:space="0"/>
            </w:tcBorders>
            <w:noWrap w:val="0"/>
            <w:vAlign w:val="center"/>
          </w:tcPr>
          <w:p w14:paraId="03C5B02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300≤X＜1000</w:t>
            </w:r>
          </w:p>
        </w:tc>
        <w:tc>
          <w:tcPr>
            <w:tcW w:w="1701" w:type="dxa"/>
            <w:tcBorders>
              <w:top w:val="nil"/>
              <w:left w:val="nil"/>
              <w:bottom w:val="single" w:color="auto" w:sz="4" w:space="0"/>
              <w:right w:val="single" w:color="auto" w:sz="4" w:space="0"/>
            </w:tcBorders>
            <w:noWrap w:val="0"/>
            <w:vAlign w:val="center"/>
          </w:tcPr>
          <w:p w14:paraId="4AB45EA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20≤X＜300</w:t>
            </w:r>
          </w:p>
        </w:tc>
        <w:tc>
          <w:tcPr>
            <w:tcW w:w="1134" w:type="dxa"/>
            <w:tcBorders>
              <w:top w:val="nil"/>
              <w:left w:val="nil"/>
              <w:bottom w:val="single" w:color="auto" w:sz="4" w:space="0"/>
              <w:right w:val="single" w:color="auto" w:sz="4" w:space="0"/>
            </w:tcBorders>
            <w:noWrap w:val="0"/>
            <w:vAlign w:val="center"/>
          </w:tcPr>
          <w:p w14:paraId="09D5861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X＜20</w:t>
            </w:r>
          </w:p>
        </w:tc>
      </w:tr>
      <w:tr w14:paraId="5C5C6F0F">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2A37E99">
            <w:pPr>
              <w:widowControl/>
              <w:jc w:val="left"/>
              <w:rPr>
                <w:rFonts w:ascii="仿宋_GB2312" w:hAnsi="仿宋" w:eastAsia="仿宋_GB2312" w:cs="宋体"/>
                <w:b/>
                <w:bCs/>
                <w:kern w:val="0"/>
                <w:sz w:val="18"/>
                <w:szCs w:val="18"/>
              </w:rPr>
            </w:pPr>
          </w:p>
        </w:tc>
        <w:tc>
          <w:tcPr>
            <w:tcW w:w="1984" w:type="dxa"/>
            <w:tcBorders>
              <w:top w:val="nil"/>
              <w:left w:val="nil"/>
              <w:bottom w:val="single" w:color="auto" w:sz="4" w:space="0"/>
              <w:right w:val="single" w:color="auto" w:sz="4" w:space="0"/>
            </w:tcBorders>
            <w:noWrap w:val="0"/>
            <w:vAlign w:val="center"/>
          </w:tcPr>
          <w:p w14:paraId="66CFD51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5FD2388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noWrap w:val="0"/>
            <w:vAlign w:val="center"/>
          </w:tcPr>
          <w:p w14:paraId="7CBC50A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3000≤Y＜30000</w:t>
            </w:r>
          </w:p>
        </w:tc>
        <w:tc>
          <w:tcPr>
            <w:tcW w:w="1701" w:type="dxa"/>
            <w:tcBorders>
              <w:top w:val="nil"/>
              <w:left w:val="nil"/>
              <w:bottom w:val="single" w:color="auto" w:sz="4" w:space="0"/>
              <w:right w:val="single" w:color="auto" w:sz="4" w:space="0"/>
            </w:tcBorders>
            <w:noWrap w:val="0"/>
            <w:vAlign w:val="center"/>
          </w:tcPr>
          <w:p w14:paraId="682EAD87">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200≤Y＜3000</w:t>
            </w:r>
          </w:p>
        </w:tc>
        <w:tc>
          <w:tcPr>
            <w:tcW w:w="1134" w:type="dxa"/>
            <w:tcBorders>
              <w:top w:val="nil"/>
              <w:left w:val="nil"/>
              <w:bottom w:val="single" w:color="auto" w:sz="4" w:space="0"/>
              <w:right w:val="single" w:color="auto" w:sz="4" w:space="0"/>
            </w:tcBorders>
            <w:noWrap w:val="0"/>
            <w:vAlign w:val="center"/>
          </w:tcPr>
          <w:p w14:paraId="44FE130F">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Y＜200</w:t>
            </w:r>
          </w:p>
        </w:tc>
      </w:tr>
      <w:tr w14:paraId="68E0535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AA962E4">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仓储业</w:t>
            </w:r>
          </w:p>
        </w:tc>
        <w:tc>
          <w:tcPr>
            <w:tcW w:w="1984" w:type="dxa"/>
            <w:tcBorders>
              <w:top w:val="nil"/>
              <w:left w:val="nil"/>
              <w:bottom w:val="single" w:color="auto" w:sz="4" w:space="0"/>
              <w:right w:val="single" w:color="auto" w:sz="4" w:space="0"/>
            </w:tcBorders>
            <w:noWrap w:val="0"/>
            <w:vAlign w:val="center"/>
          </w:tcPr>
          <w:p w14:paraId="45A39D78">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2B8CBC90">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842" w:type="dxa"/>
            <w:tcBorders>
              <w:top w:val="nil"/>
              <w:left w:val="nil"/>
              <w:bottom w:val="single" w:color="auto" w:sz="4" w:space="0"/>
              <w:right w:val="single" w:color="auto" w:sz="4" w:space="0"/>
            </w:tcBorders>
            <w:noWrap w:val="0"/>
            <w:vAlign w:val="center"/>
          </w:tcPr>
          <w:p w14:paraId="7E4AFA67">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100≤X＜200</w:t>
            </w:r>
          </w:p>
        </w:tc>
        <w:tc>
          <w:tcPr>
            <w:tcW w:w="1701" w:type="dxa"/>
            <w:tcBorders>
              <w:top w:val="nil"/>
              <w:left w:val="nil"/>
              <w:bottom w:val="single" w:color="auto" w:sz="4" w:space="0"/>
              <w:right w:val="single" w:color="auto" w:sz="4" w:space="0"/>
            </w:tcBorders>
            <w:noWrap w:val="0"/>
            <w:vAlign w:val="center"/>
          </w:tcPr>
          <w:p w14:paraId="42B281F0">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20≤X＜100</w:t>
            </w:r>
          </w:p>
        </w:tc>
        <w:tc>
          <w:tcPr>
            <w:tcW w:w="1134" w:type="dxa"/>
            <w:tcBorders>
              <w:top w:val="nil"/>
              <w:left w:val="nil"/>
              <w:bottom w:val="single" w:color="auto" w:sz="4" w:space="0"/>
              <w:right w:val="single" w:color="auto" w:sz="4" w:space="0"/>
            </w:tcBorders>
            <w:noWrap w:val="0"/>
            <w:vAlign w:val="center"/>
          </w:tcPr>
          <w:p w14:paraId="0A533B76">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X＜20</w:t>
            </w:r>
          </w:p>
        </w:tc>
      </w:tr>
      <w:tr w14:paraId="64617B1B">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918DC72">
            <w:pPr>
              <w:widowControl/>
              <w:jc w:val="left"/>
              <w:rPr>
                <w:rFonts w:ascii="仿宋_GB2312" w:hAnsi="仿宋" w:eastAsia="仿宋_GB2312" w:cs="宋体"/>
                <w:b/>
                <w:bCs/>
                <w:kern w:val="0"/>
                <w:sz w:val="18"/>
                <w:szCs w:val="18"/>
              </w:rPr>
            </w:pPr>
          </w:p>
        </w:tc>
        <w:tc>
          <w:tcPr>
            <w:tcW w:w="1984" w:type="dxa"/>
            <w:tcBorders>
              <w:top w:val="nil"/>
              <w:left w:val="nil"/>
              <w:bottom w:val="single" w:color="auto" w:sz="4" w:space="0"/>
              <w:right w:val="single" w:color="auto" w:sz="4" w:space="0"/>
            </w:tcBorders>
            <w:noWrap w:val="0"/>
            <w:vAlign w:val="center"/>
          </w:tcPr>
          <w:p w14:paraId="6E7E08D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059B6C56">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noWrap w:val="0"/>
            <w:vAlign w:val="center"/>
          </w:tcPr>
          <w:p w14:paraId="2FF71569">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1000≤Y＜30000</w:t>
            </w:r>
          </w:p>
        </w:tc>
        <w:tc>
          <w:tcPr>
            <w:tcW w:w="1701" w:type="dxa"/>
            <w:tcBorders>
              <w:top w:val="nil"/>
              <w:left w:val="nil"/>
              <w:bottom w:val="single" w:color="auto" w:sz="4" w:space="0"/>
              <w:right w:val="single" w:color="auto" w:sz="4" w:space="0"/>
            </w:tcBorders>
            <w:noWrap w:val="0"/>
            <w:vAlign w:val="center"/>
          </w:tcPr>
          <w:p w14:paraId="6BE3533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100≤Y＜1000</w:t>
            </w:r>
          </w:p>
        </w:tc>
        <w:tc>
          <w:tcPr>
            <w:tcW w:w="1134" w:type="dxa"/>
            <w:tcBorders>
              <w:top w:val="nil"/>
              <w:left w:val="nil"/>
              <w:bottom w:val="single" w:color="auto" w:sz="4" w:space="0"/>
              <w:right w:val="single" w:color="auto" w:sz="4" w:space="0"/>
            </w:tcBorders>
            <w:noWrap w:val="0"/>
            <w:vAlign w:val="center"/>
          </w:tcPr>
          <w:p w14:paraId="36C39409">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0E0CC06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F4103FB">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邮政业</w:t>
            </w:r>
          </w:p>
        </w:tc>
        <w:tc>
          <w:tcPr>
            <w:tcW w:w="1984" w:type="dxa"/>
            <w:tcBorders>
              <w:top w:val="nil"/>
              <w:left w:val="nil"/>
              <w:bottom w:val="single" w:color="auto" w:sz="4" w:space="0"/>
              <w:right w:val="single" w:color="auto" w:sz="4" w:space="0"/>
            </w:tcBorders>
            <w:noWrap w:val="0"/>
            <w:vAlign w:val="center"/>
          </w:tcPr>
          <w:p w14:paraId="34D4E32E">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10A1570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842" w:type="dxa"/>
            <w:tcBorders>
              <w:top w:val="nil"/>
              <w:left w:val="nil"/>
              <w:bottom w:val="single" w:color="auto" w:sz="4" w:space="0"/>
              <w:right w:val="single" w:color="auto" w:sz="4" w:space="0"/>
            </w:tcBorders>
            <w:noWrap w:val="0"/>
            <w:vAlign w:val="center"/>
          </w:tcPr>
          <w:p w14:paraId="1DFE3B86">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300≤X＜1000</w:t>
            </w:r>
          </w:p>
        </w:tc>
        <w:tc>
          <w:tcPr>
            <w:tcW w:w="1701" w:type="dxa"/>
            <w:tcBorders>
              <w:top w:val="nil"/>
              <w:left w:val="nil"/>
              <w:bottom w:val="single" w:color="auto" w:sz="4" w:space="0"/>
              <w:right w:val="single" w:color="auto" w:sz="4" w:space="0"/>
            </w:tcBorders>
            <w:noWrap w:val="0"/>
            <w:vAlign w:val="center"/>
          </w:tcPr>
          <w:p w14:paraId="7AA6B5BF">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20≤X＜300</w:t>
            </w:r>
          </w:p>
        </w:tc>
        <w:tc>
          <w:tcPr>
            <w:tcW w:w="1134" w:type="dxa"/>
            <w:tcBorders>
              <w:top w:val="nil"/>
              <w:left w:val="nil"/>
              <w:bottom w:val="single" w:color="auto" w:sz="4" w:space="0"/>
              <w:right w:val="single" w:color="auto" w:sz="4" w:space="0"/>
            </w:tcBorders>
            <w:noWrap w:val="0"/>
            <w:vAlign w:val="center"/>
          </w:tcPr>
          <w:p w14:paraId="68501571">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X＜20</w:t>
            </w:r>
          </w:p>
        </w:tc>
      </w:tr>
      <w:tr w14:paraId="7D82B1D6">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84EFA92">
            <w:pPr>
              <w:widowControl/>
              <w:jc w:val="left"/>
              <w:rPr>
                <w:rFonts w:ascii="仿宋_GB2312" w:hAnsi="仿宋" w:eastAsia="仿宋_GB2312" w:cs="宋体"/>
                <w:b/>
                <w:bCs/>
                <w:kern w:val="0"/>
                <w:sz w:val="18"/>
                <w:szCs w:val="18"/>
              </w:rPr>
            </w:pPr>
          </w:p>
        </w:tc>
        <w:tc>
          <w:tcPr>
            <w:tcW w:w="1984" w:type="dxa"/>
            <w:tcBorders>
              <w:top w:val="nil"/>
              <w:left w:val="nil"/>
              <w:bottom w:val="single" w:color="auto" w:sz="4" w:space="0"/>
              <w:right w:val="single" w:color="auto" w:sz="4" w:space="0"/>
            </w:tcBorders>
            <w:noWrap w:val="0"/>
            <w:vAlign w:val="center"/>
          </w:tcPr>
          <w:p w14:paraId="1156A82E">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61ABB54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noWrap w:val="0"/>
            <w:vAlign w:val="center"/>
          </w:tcPr>
          <w:p w14:paraId="180D858E">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2000≤Y＜30000</w:t>
            </w:r>
          </w:p>
        </w:tc>
        <w:tc>
          <w:tcPr>
            <w:tcW w:w="1701" w:type="dxa"/>
            <w:tcBorders>
              <w:top w:val="nil"/>
              <w:left w:val="nil"/>
              <w:bottom w:val="single" w:color="auto" w:sz="4" w:space="0"/>
              <w:right w:val="single" w:color="auto" w:sz="4" w:space="0"/>
            </w:tcBorders>
            <w:noWrap w:val="0"/>
            <w:vAlign w:val="center"/>
          </w:tcPr>
          <w:p w14:paraId="0A294D2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100≤Y＜2000</w:t>
            </w:r>
          </w:p>
        </w:tc>
        <w:tc>
          <w:tcPr>
            <w:tcW w:w="1134" w:type="dxa"/>
            <w:tcBorders>
              <w:top w:val="nil"/>
              <w:left w:val="nil"/>
              <w:bottom w:val="single" w:color="auto" w:sz="4" w:space="0"/>
              <w:right w:val="single" w:color="auto" w:sz="4" w:space="0"/>
            </w:tcBorders>
            <w:noWrap w:val="0"/>
            <w:vAlign w:val="center"/>
          </w:tcPr>
          <w:p w14:paraId="6ED6CF73">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57FC3B5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819C470">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住宿业</w:t>
            </w:r>
          </w:p>
        </w:tc>
        <w:tc>
          <w:tcPr>
            <w:tcW w:w="1984" w:type="dxa"/>
            <w:tcBorders>
              <w:top w:val="nil"/>
              <w:left w:val="nil"/>
              <w:bottom w:val="single" w:color="auto" w:sz="4" w:space="0"/>
              <w:right w:val="single" w:color="auto" w:sz="4" w:space="0"/>
            </w:tcBorders>
            <w:noWrap w:val="0"/>
            <w:vAlign w:val="center"/>
          </w:tcPr>
          <w:p w14:paraId="1E529316">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6EB80FC0">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842" w:type="dxa"/>
            <w:tcBorders>
              <w:top w:val="nil"/>
              <w:left w:val="nil"/>
              <w:bottom w:val="single" w:color="auto" w:sz="4" w:space="0"/>
              <w:right w:val="single" w:color="auto" w:sz="4" w:space="0"/>
            </w:tcBorders>
            <w:noWrap w:val="0"/>
            <w:vAlign w:val="center"/>
          </w:tcPr>
          <w:p w14:paraId="0027BDD6">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701" w:type="dxa"/>
            <w:tcBorders>
              <w:top w:val="nil"/>
              <w:left w:val="nil"/>
              <w:bottom w:val="single" w:color="auto" w:sz="4" w:space="0"/>
              <w:right w:val="single" w:color="auto" w:sz="4" w:space="0"/>
            </w:tcBorders>
            <w:noWrap w:val="0"/>
            <w:vAlign w:val="center"/>
          </w:tcPr>
          <w:p w14:paraId="19A712FF">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1134" w:type="dxa"/>
            <w:tcBorders>
              <w:top w:val="nil"/>
              <w:left w:val="nil"/>
              <w:bottom w:val="single" w:color="auto" w:sz="4" w:space="0"/>
              <w:right w:val="single" w:color="auto" w:sz="4" w:space="0"/>
            </w:tcBorders>
            <w:noWrap w:val="0"/>
            <w:vAlign w:val="center"/>
          </w:tcPr>
          <w:p w14:paraId="60B9942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6E3E4C25">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710D38D8">
            <w:pPr>
              <w:widowControl/>
              <w:jc w:val="left"/>
              <w:rPr>
                <w:rFonts w:ascii="仿宋_GB2312" w:hAnsi="仿宋" w:eastAsia="仿宋_GB2312" w:cs="宋体"/>
                <w:b/>
                <w:bCs/>
                <w:kern w:val="0"/>
                <w:sz w:val="18"/>
                <w:szCs w:val="18"/>
              </w:rPr>
            </w:pPr>
          </w:p>
        </w:tc>
        <w:tc>
          <w:tcPr>
            <w:tcW w:w="1984" w:type="dxa"/>
            <w:tcBorders>
              <w:top w:val="nil"/>
              <w:left w:val="nil"/>
              <w:bottom w:val="single" w:color="auto" w:sz="4" w:space="0"/>
              <w:right w:val="single" w:color="auto" w:sz="4" w:space="0"/>
            </w:tcBorders>
            <w:noWrap w:val="0"/>
            <w:vAlign w:val="center"/>
          </w:tcPr>
          <w:p w14:paraId="39DF9789">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67D9169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noWrap w:val="0"/>
            <w:vAlign w:val="center"/>
          </w:tcPr>
          <w:p w14:paraId="31B1B1A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2000≤Y＜10000</w:t>
            </w:r>
          </w:p>
        </w:tc>
        <w:tc>
          <w:tcPr>
            <w:tcW w:w="1701" w:type="dxa"/>
            <w:tcBorders>
              <w:top w:val="nil"/>
              <w:left w:val="nil"/>
              <w:bottom w:val="single" w:color="auto" w:sz="4" w:space="0"/>
              <w:right w:val="single" w:color="auto" w:sz="4" w:space="0"/>
            </w:tcBorders>
            <w:noWrap w:val="0"/>
            <w:vAlign w:val="center"/>
          </w:tcPr>
          <w:p w14:paraId="4171BB03">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100≤Y＜2000</w:t>
            </w:r>
          </w:p>
        </w:tc>
        <w:tc>
          <w:tcPr>
            <w:tcW w:w="1134" w:type="dxa"/>
            <w:tcBorders>
              <w:top w:val="nil"/>
              <w:left w:val="nil"/>
              <w:bottom w:val="single" w:color="auto" w:sz="4" w:space="0"/>
              <w:right w:val="single" w:color="auto" w:sz="4" w:space="0"/>
            </w:tcBorders>
            <w:noWrap w:val="0"/>
            <w:vAlign w:val="center"/>
          </w:tcPr>
          <w:p w14:paraId="11510B97">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66FDE4A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1F9F870">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餐饮业</w:t>
            </w:r>
          </w:p>
        </w:tc>
        <w:tc>
          <w:tcPr>
            <w:tcW w:w="1984" w:type="dxa"/>
            <w:tcBorders>
              <w:top w:val="nil"/>
              <w:left w:val="nil"/>
              <w:bottom w:val="single" w:color="auto" w:sz="4" w:space="0"/>
              <w:right w:val="single" w:color="auto" w:sz="4" w:space="0"/>
            </w:tcBorders>
            <w:noWrap w:val="0"/>
            <w:vAlign w:val="center"/>
          </w:tcPr>
          <w:p w14:paraId="4E247A79">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6D691FC1">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842" w:type="dxa"/>
            <w:tcBorders>
              <w:top w:val="nil"/>
              <w:left w:val="nil"/>
              <w:bottom w:val="single" w:color="auto" w:sz="4" w:space="0"/>
              <w:right w:val="single" w:color="auto" w:sz="4" w:space="0"/>
            </w:tcBorders>
            <w:noWrap w:val="0"/>
            <w:vAlign w:val="center"/>
          </w:tcPr>
          <w:p w14:paraId="5C373428">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701" w:type="dxa"/>
            <w:tcBorders>
              <w:top w:val="nil"/>
              <w:left w:val="nil"/>
              <w:bottom w:val="single" w:color="auto" w:sz="4" w:space="0"/>
              <w:right w:val="single" w:color="auto" w:sz="4" w:space="0"/>
            </w:tcBorders>
            <w:noWrap w:val="0"/>
            <w:vAlign w:val="center"/>
          </w:tcPr>
          <w:p w14:paraId="5E08B34F">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1134" w:type="dxa"/>
            <w:tcBorders>
              <w:top w:val="nil"/>
              <w:left w:val="nil"/>
              <w:bottom w:val="single" w:color="auto" w:sz="4" w:space="0"/>
              <w:right w:val="single" w:color="auto" w:sz="4" w:space="0"/>
            </w:tcBorders>
            <w:noWrap w:val="0"/>
            <w:vAlign w:val="center"/>
          </w:tcPr>
          <w:p w14:paraId="3AB2C96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343C2116">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AEC716C">
            <w:pPr>
              <w:widowControl/>
              <w:jc w:val="left"/>
              <w:rPr>
                <w:rFonts w:ascii="仿宋_GB2312" w:hAnsi="仿宋" w:eastAsia="仿宋_GB2312" w:cs="宋体"/>
                <w:b/>
                <w:bCs/>
                <w:kern w:val="0"/>
                <w:sz w:val="18"/>
                <w:szCs w:val="18"/>
              </w:rPr>
            </w:pPr>
          </w:p>
        </w:tc>
        <w:tc>
          <w:tcPr>
            <w:tcW w:w="1984" w:type="dxa"/>
            <w:tcBorders>
              <w:top w:val="nil"/>
              <w:left w:val="nil"/>
              <w:bottom w:val="single" w:color="auto" w:sz="4" w:space="0"/>
              <w:right w:val="single" w:color="auto" w:sz="4" w:space="0"/>
            </w:tcBorders>
            <w:noWrap w:val="0"/>
            <w:vAlign w:val="center"/>
          </w:tcPr>
          <w:p w14:paraId="3CF9FE3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55602B0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noWrap w:val="0"/>
            <w:vAlign w:val="center"/>
          </w:tcPr>
          <w:p w14:paraId="27C2FE58">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2000≤Y＜10000</w:t>
            </w:r>
          </w:p>
        </w:tc>
        <w:tc>
          <w:tcPr>
            <w:tcW w:w="1701" w:type="dxa"/>
            <w:tcBorders>
              <w:top w:val="nil"/>
              <w:left w:val="nil"/>
              <w:bottom w:val="single" w:color="auto" w:sz="4" w:space="0"/>
              <w:right w:val="single" w:color="auto" w:sz="4" w:space="0"/>
            </w:tcBorders>
            <w:noWrap w:val="0"/>
            <w:vAlign w:val="center"/>
          </w:tcPr>
          <w:p w14:paraId="1639688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100≤Y＜2000</w:t>
            </w:r>
          </w:p>
        </w:tc>
        <w:tc>
          <w:tcPr>
            <w:tcW w:w="1134" w:type="dxa"/>
            <w:tcBorders>
              <w:top w:val="nil"/>
              <w:left w:val="nil"/>
              <w:bottom w:val="single" w:color="auto" w:sz="4" w:space="0"/>
              <w:right w:val="single" w:color="auto" w:sz="4" w:space="0"/>
            </w:tcBorders>
            <w:noWrap w:val="0"/>
            <w:vAlign w:val="center"/>
          </w:tcPr>
          <w:p w14:paraId="3278070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6FC1963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7E4E93E">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信息传输业</w:t>
            </w:r>
          </w:p>
        </w:tc>
        <w:tc>
          <w:tcPr>
            <w:tcW w:w="1984" w:type="dxa"/>
            <w:tcBorders>
              <w:top w:val="nil"/>
              <w:left w:val="nil"/>
              <w:bottom w:val="single" w:color="auto" w:sz="4" w:space="0"/>
              <w:right w:val="single" w:color="auto" w:sz="4" w:space="0"/>
            </w:tcBorders>
            <w:noWrap w:val="0"/>
            <w:vAlign w:val="center"/>
          </w:tcPr>
          <w:p w14:paraId="74350F00">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61BC2E9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842" w:type="dxa"/>
            <w:tcBorders>
              <w:top w:val="nil"/>
              <w:left w:val="nil"/>
              <w:bottom w:val="single" w:color="auto" w:sz="4" w:space="0"/>
              <w:right w:val="single" w:color="auto" w:sz="4" w:space="0"/>
            </w:tcBorders>
            <w:noWrap w:val="0"/>
            <w:vAlign w:val="center"/>
          </w:tcPr>
          <w:p w14:paraId="67CFEE7E">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100≤X＜2000</w:t>
            </w:r>
          </w:p>
        </w:tc>
        <w:tc>
          <w:tcPr>
            <w:tcW w:w="1701" w:type="dxa"/>
            <w:tcBorders>
              <w:top w:val="nil"/>
              <w:left w:val="nil"/>
              <w:bottom w:val="single" w:color="auto" w:sz="4" w:space="0"/>
              <w:right w:val="single" w:color="auto" w:sz="4" w:space="0"/>
            </w:tcBorders>
            <w:noWrap w:val="0"/>
            <w:vAlign w:val="center"/>
          </w:tcPr>
          <w:p w14:paraId="100976C3">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1134" w:type="dxa"/>
            <w:tcBorders>
              <w:top w:val="nil"/>
              <w:left w:val="nil"/>
              <w:bottom w:val="single" w:color="auto" w:sz="4" w:space="0"/>
              <w:right w:val="single" w:color="auto" w:sz="4" w:space="0"/>
            </w:tcBorders>
            <w:noWrap w:val="0"/>
            <w:vAlign w:val="center"/>
          </w:tcPr>
          <w:p w14:paraId="5EDF391F">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7A3C5A4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BBF50FD">
            <w:pPr>
              <w:widowControl/>
              <w:jc w:val="left"/>
              <w:rPr>
                <w:rFonts w:ascii="仿宋_GB2312" w:hAnsi="仿宋" w:eastAsia="仿宋_GB2312" w:cs="宋体"/>
                <w:b/>
                <w:bCs/>
                <w:kern w:val="0"/>
                <w:sz w:val="18"/>
                <w:szCs w:val="18"/>
              </w:rPr>
            </w:pPr>
          </w:p>
        </w:tc>
        <w:tc>
          <w:tcPr>
            <w:tcW w:w="1984" w:type="dxa"/>
            <w:tcBorders>
              <w:top w:val="nil"/>
              <w:left w:val="nil"/>
              <w:bottom w:val="single" w:color="auto" w:sz="4" w:space="0"/>
              <w:right w:val="single" w:color="auto" w:sz="4" w:space="0"/>
            </w:tcBorders>
            <w:noWrap w:val="0"/>
            <w:vAlign w:val="center"/>
          </w:tcPr>
          <w:p w14:paraId="097C6F94">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3340DC2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noWrap w:val="0"/>
            <w:vAlign w:val="center"/>
          </w:tcPr>
          <w:p w14:paraId="50AF76A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1000≤Y＜100000</w:t>
            </w:r>
          </w:p>
        </w:tc>
        <w:tc>
          <w:tcPr>
            <w:tcW w:w="1701" w:type="dxa"/>
            <w:tcBorders>
              <w:top w:val="nil"/>
              <w:left w:val="nil"/>
              <w:bottom w:val="single" w:color="auto" w:sz="4" w:space="0"/>
              <w:right w:val="single" w:color="auto" w:sz="4" w:space="0"/>
            </w:tcBorders>
            <w:noWrap w:val="0"/>
            <w:vAlign w:val="center"/>
          </w:tcPr>
          <w:p w14:paraId="480DE746">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100≤Y＜1000</w:t>
            </w:r>
          </w:p>
        </w:tc>
        <w:tc>
          <w:tcPr>
            <w:tcW w:w="1134" w:type="dxa"/>
            <w:tcBorders>
              <w:top w:val="nil"/>
              <w:left w:val="nil"/>
              <w:bottom w:val="single" w:color="auto" w:sz="4" w:space="0"/>
              <w:right w:val="single" w:color="auto" w:sz="4" w:space="0"/>
            </w:tcBorders>
            <w:noWrap w:val="0"/>
            <w:vAlign w:val="center"/>
          </w:tcPr>
          <w:p w14:paraId="32EBC2A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36ACBB7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E131624">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软件和信息技术服务业</w:t>
            </w:r>
          </w:p>
        </w:tc>
        <w:tc>
          <w:tcPr>
            <w:tcW w:w="1984" w:type="dxa"/>
            <w:tcBorders>
              <w:top w:val="nil"/>
              <w:left w:val="nil"/>
              <w:bottom w:val="single" w:color="auto" w:sz="4" w:space="0"/>
              <w:right w:val="single" w:color="auto" w:sz="4" w:space="0"/>
            </w:tcBorders>
            <w:noWrap w:val="0"/>
            <w:vAlign w:val="center"/>
          </w:tcPr>
          <w:p w14:paraId="64BED20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7276632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842" w:type="dxa"/>
            <w:tcBorders>
              <w:top w:val="nil"/>
              <w:left w:val="nil"/>
              <w:bottom w:val="single" w:color="auto" w:sz="4" w:space="0"/>
              <w:right w:val="single" w:color="auto" w:sz="4" w:space="0"/>
            </w:tcBorders>
            <w:noWrap w:val="0"/>
            <w:vAlign w:val="center"/>
          </w:tcPr>
          <w:p w14:paraId="75CDD806">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701" w:type="dxa"/>
            <w:tcBorders>
              <w:top w:val="nil"/>
              <w:left w:val="nil"/>
              <w:bottom w:val="single" w:color="auto" w:sz="4" w:space="0"/>
              <w:right w:val="single" w:color="auto" w:sz="4" w:space="0"/>
            </w:tcBorders>
            <w:noWrap w:val="0"/>
            <w:vAlign w:val="center"/>
          </w:tcPr>
          <w:p w14:paraId="6C46E83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1134" w:type="dxa"/>
            <w:tcBorders>
              <w:top w:val="nil"/>
              <w:left w:val="nil"/>
              <w:bottom w:val="single" w:color="auto" w:sz="4" w:space="0"/>
              <w:right w:val="single" w:color="auto" w:sz="4" w:space="0"/>
            </w:tcBorders>
            <w:noWrap w:val="0"/>
            <w:vAlign w:val="center"/>
          </w:tcPr>
          <w:p w14:paraId="6FA48F2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2BB04DF2">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5099241">
            <w:pPr>
              <w:widowControl/>
              <w:jc w:val="left"/>
              <w:rPr>
                <w:rFonts w:ascii="仿宋_GB2312" w:hAnsi="仿宋" w:eastAsia="仿宋_GB2312" w:cs="宋体"/>
                <w:b/>
                <w:bCs/>
                <w:kern w:val="0"/>
                <w:sz w:val="18"/>
                <w:szCs w:val="18"/>
              </w:rPr>
            </w:pPr>
          </w:p>
        </w:tc>
        <w:tc>
          <w:tcPr>
            <w:tcW w:w="1984" w:type="dxa"/>
            <w:tcBorders>
              <w:top w:val="nil"/>
              <w:left w:val="nil"/>
              <w:bottom w:val="single" w:color="auto" w:sz="4" w:space="0"/>
              <w:right w:val="single" w:color="auto" w:sz="4" w:space="0"/>
            </w:tcBorders>
            <w:noWrap w:val="0"/>
            <w:vAlign w:val="center"/>
          </w:tcPr>
          <w:p w14:paraId="08049F89">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45BB117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noWrap w:val="0"/>
            <w:vAlign w:val="center"/>
          </w:tcPr>
          <w:p w14:paraId="4E713BE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1000≤Y＜10000</w:t>
            </w:r>
          </w:p>
        </w:tc>
        <w:tc>
          <w:tcPr>
            <w:tcW w:w="1701" w:type="dxa"/>
            <w:tcBorders>
              <w:top w:val="nil"/>
              <w:left w:val="nil"/>
              <w:bottom w:val="single" w:color="auto" w:sz="4" w:space="0"/>
              <w:right w:val="single" w:color="auto" w:sz="4" w:space="0"/>
            </w:tcBorders>
            <w:noWrap w:val="0"/>
            <w:vAlign w:val="center"/>
          </w:tcPr>
          <w:p w14:paraId="6614B9C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50≤Y＜1000</w:t>
            </w:r>
          </w:p>
        </w:tc>
        <w:tc>
          <w:tcPr>
            <w:tcW w:w="1134" w:type="dxa"/>
            <w:tcBorders>
              <w:top w:val="nil"/>
              <w:left w:val="nil"/>
              <w:bottom w:val="single" w:color="auto" w:sz="4" w:space="0"/>
              <w:right w:val="single" w:color="auto" w:sz="4" w:space="0"/>
            </w:tcBorders>
            <w:noWrap w:val="0"/>
            <w:vAlign w:val="center"/>
          </w:tcPr>
          <w:p w14:paraId="518C1789">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Y＜50</w:t>
            </w:r>
          </w:p>
        </w:tc>
      </w:tr>
      <w:tr w14:paraId="548221B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731E230D">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房地产开发经营</w:t>
            </w:r>
          </w:p>
        </w:tc>
        <w:tc>
          <w:tcPr>
            <w:tcW w:w="1984" w:type="dxa"/>
            <w:tcBorders>
              <w:top w:val="nil"/>
              <w:left w:val="nil"/>
              <w:bottom w:val="single" w:color="auto" w:sz="4" w:space="0"/>
              <w:right w:val="single" w:color="auto" w:sz="4" w:space="0"/>
            </w:tcBorders>
            <w:noWrap w:val="0"/>
            <w:vAlign w:val="center"/>
          </w:tcPr>
          <w:p w14:paraId="2FD8E63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72A77A1E">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noWrap w:val="0"/>
            <w:vAlign w:val="center"/>
          </w:tcPr>
          <w:p w14:paraId="451CBE94">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1000≤Y＜200000</w:t>
            </w:r>
          </w:p>
        </w:tc>
        <w:tc>
          <w:tcPr>
            <w:tcW w:w="1701" w:type="dxa"/>
            <w:tcBorders>
              <w:top w:val="nil"/>
              <w:left w:val="nil"/>
              <w:bottom w:val="single" w:color="auto" w:sz="4" w:space="0"/>
              <w:right w:val="single" w:color="auto" w:sz="4" w:space="0"/>
            </w:tcBorders>
            <w:noWrap w:val="0"/>
            <w:vAlign w:val="center"/>
          </w:tcPr>
          <w:p w14:paraId="0177770F">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100≤X＜1000</w:t>
            </w:r>
          </w:p>
        </w:tc>
        <w:tc>
          <w:tcPr>
            <w:tcW w:w="1134" w:type="dxa"/>
            <w:tcBorders>
              <w:top w:val="nil"/>
              <w:left w:val="nil"/>
              <w:bottom w:val="single" w:color="auto" w:sz="4" w:space="0"/>
              <w:right w:val="single" w:color="auto" w:sz="4" w:space="0"/>
            </w:tcBorders>
            <w:noWrap w:val="0"/>
            <w:vAlign w:val="center"/>
          </w:tcPr>
          <w:p w14:paraId="19400DB8">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X＜100</w:t>
            </w:r>
          </w:p>
        </w:tc>
      </w:tr>
      <w:tr w14:paraId="4136C61F">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E6C0C18">
            <w:pPr>
              <w:widowControl/>
              <w:jc w:val="left"/>
              <w:rPr>
                <w:rFonts w:ascii="仿宋_GB2312" w:hAnsi="仿宋" w:eastAsia="仿宋_GB2312" w:cs="宋体"/>
                <w:b/>
                <w:bCs/>
                <w:kern w:val="0"/>
                <w:sz w:val="18"/>
                <w:szCs w:val="18"/>
              </w:rPr>
            </w:pPr>
          </w:p>
        </w:tc>
        <w:tc>
          <w:tcPr>
            <w:tcW w:w="1984" w:type="dxa"/>
            <w:tcBorders>
              <w:top w:val="nil"/>
              <w:left w:val="nil"/>
              <w:bottom w:val="single" w:color="auto" w:sz="4" w:space="0"/>
              <w:right w:val="single" w:color="auto" w:sz="4" w:space="0"/>
            </w:tcBorders>
            <w:noWrap w:val="0"/>
            <w:vAlign w:val="center"/>
          </w:tcPr>
          <w:p w14:paraId="14A9313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资产总额（Z）</w:t>
            </w:r>
          </w:p>
        </w:tc>
        <w:tc>
          <w:tcPr>
            <w:tcW w:w="851" w:type="dxa"/>
            <w:tcBorders>
              <w:top w:val="nil"/>
              <w:left w:val="nil"/>
              <w:bottom w:val="single" w:color="auto" w:sz="4" w:space="0"/>
              <w:right w:val="single" w:color="auto" w:sz="4" w:space="0"/>
            </w:tcBorders>
            <w:noWrap w:val="0"/>
            <w:vAlign w:val="center"/>
          </w:tcPr>
          <w:p w14:paraId="368B4B8F">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noWrap w:val="0"/>
            <w:vAlign w:val="center"/>
          </w:tcPr>
          <w:p w14:paraId="22FE467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5000≤Z＜10000</w:t>
            </w:r>
          </w:p>
        </w:tc>
        <w:tc>
          <w:tcPr>
            <w:tcW w:w="1701" w:type="dxa"/>
            <w:tcBorders>
              <w:top w:val="nil"/>
              <w:left w:val="nil"/>
              <w:bottom w:val="single" w:color="auto" w:sz="4" w:space="0"/>
              <w:right w:val="single" w:color="auto" w:sz="4" w:space="0"/>
            </w:tcBorders>
            <w:noWrap w:val="0"/>
            <w:vAlign w:val="center"/>
          </w:tcPr>
          <w:p w14:paraId="0154863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2000≤Y＜5000</w:t>
            </w:r>
          </w:p>
        </w:tc>
        <w:tc>
          <w:tcPr>
            <w:tcW w:w="1134" w:type="dxa"/>
            <w:tcBorders>
              <w:top w:val="nil"/>
              <w:left w:val="nil"/>
              <w:bottom w:val="single" w:color="auto" w:sz="4" w:space="0"/>
              <w:right w:val="single" w:color="auto" w:sz="4" w:space="0"/>
            </w:tcBorders>
            <w:noWrap w:val="0"/>
            <w:vAlign w:val="center"/>
          </w:tcPr>
          <w:p w14:paraId="4ED25B94">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Y＜2000</w:t>
            </w:r>
          </w:p>
        </w:tc>
      </w:tr>
      <w:tr w14:paraId="093B450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8D76DED">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物业管理</w:t>
            </w:r>
          </w:p>
        </w:tc>
        <w:tc>
          <w:tcPr>
            <w:tcW w:w="1984" w:type="dxa"/>
            <w:tcBorders>
              <w:top w:val="nil"/>
              <w:left w:val="nil"/>
              <w:bottom w:val="single" w:color="auto" w:sz="4" w:space="0"/>
              <w:right w:val="single" w:color="auto" w:sz="4" w:space="0"/>
            </w:tcBorders>
            <w:noWrap w:val="0"/>
            <w:vAlign w:val="center"/>
          </w:tcPr>
          <w:p w14:paraId="7010C347">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3FEB4CE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842" w:type="dxa"/>
            <w:tcBorders>
              <w:top w:val="nil"/>
              <w:left w:val="nil"/>
              <w:bottom w:val="single" w:color="auto" w:sz="4" w:space="0"/>
              <w:right w:val="single" w:color="auto" w:sz="4" w:space="0"/>
            </w:tcBorders>
            <w:noWrap w:val="0"/>
            <w:vAlign w:val="center"/>
          </w:tcPr>
          <w:p w14:paraId="141D046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300≤X＜1000</w:t>
            </w:r>
          </w:p>
        </w:tc>
        <w:tc>
          <w:tcPr>
            <w:tcW w:w="1701" w:type="dxa"/>
            <w:tcBorders>
              <w:top w:val="nil"/>
              <w:left w:val="nil"/>
              <w:bottom w:val="single" w:color="auto" w:sz="4" w:space="0"/>
              <w:right w:val="single" w:color="auto" w:sz="4" w:space="0"/>
            </w:tcBorders>
            <w:noWrap w:val="0"/>
            <w:vAlign w:val="center"/>
          </w:tcPr>
          <w:p w14:paraId="16597F2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134" w:type="dxa"/>
            <w:tcBorders>
              <w:top w:val="nil"/>
              <w:left w:val="nil"/>
              <w:bottom w:val="single" w:color="auto" w:sz="4" w:space="0"/>
              <w:right w:val="single" w:color="auto" w:sz="4" w:space="0"/>
            </w:tcBorders>
            <w:noWrap w:val="0"/>
            <w:vAlign w:val="center"/>
          </w:tcPr>
          <w:p w14:paraId="7E7DAFD8">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X＜100</w:t>
            </w:r>
          </w:p>
        </w:tc>
      </w:tr>
      <w:tr w14:paraId="0A95349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4271C88">
            <w:pPr>
              <w:widowControl/>
              <w:jc w:val="left"/>
              <w:rPr>
                <w:rFonts w:ascii="仿宋_GB2312" w:hAnsi="仿宋" w:eastAsia="仿宋_GB2312" w:cs="宋体"/>
                <w:b/>
                <w:bCs/>
                <w:kern w:val="0"/>
                <w:sz w:val="18"/>
                <w:szCs w:val="18"/>
              </w:rPr>
            </w:pPr>
          </w:p>
        </w:tc>
        <w:tc>
          <w:tcPr>
            <w:tcW w:w="1984" w:type="dxa"/>
            <w:tcBorders>
              <w:top w:val="nil"/>
              <w:left w:val="nil"/>
              <w:bottom w:val="single" w:color="auto" w:sz="4" w:space="0"/>
              <w:right w:val="single" w:color="auto" w:sz="4" w:space="0"/>
            </w:tcBorders>
            <w:noWrap w:val="0"/>
            <w:vAlign w:val="center"/>
          </w:tcPr>
          <w:p w14:paraId="03D2179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495B0D5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noWrap w:val="0"/>
            <w:vAlign w:val="center"/>
          </w:tcPr>
          <w:p w14:paraId="53AD5429">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1000≤Y＜5000</w:t>
            </w:r>
          </w:p>
        </w:tc>
        <w:tc>
          <w:tcPr>
            <w:tcW w:w="1701" w:type="dxa"/>
            <w:tcBorders>
              <w:top w:val="nil"/>
              <w:left w:val="nil"/>
              <w:bottom w:val="single" w:color="auto" w:sz="4" w:space="0"/>
              <w:right w:val="single" w:color="auto" w:sz="4" w:space="0"/>
            </w:tcBorders>
            <w:noWrap w:val="0"/>
            <w:vAlign w:val="center"/>
          </w:tcPr>
          <w:p w14:paraId="512EA0E8">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500≤Y＜1000</w:t>
            </w:r>
          </w:p>
        </w:tc>
        <w:tc>
          <w:tcPr>
            <w:tcW w:w="1134" w:type="dxa"/>
            <w:tcBorders>
              <w:top w:val="nil"/>
              <w:left w:val="nil"/>
              <w:bottom w:val="single" w:color="auto" w:sz="4" w:space="0"/>
              <w:right w:val="single" w:color="auto" w:sz="4" w:space="0"/>
            </w:tcBorders>
            <w:noWrap w:val="0"/>
            <w:vAlign w:val="center"/>
          </w:tcPr>
          <w:p w14:paraId="2154E7F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Y＜500</w:t>
            </w:r>
          </w:p>
        </w:tc>
      </w:tr>
      <w:tr w14:paraId="2EEEF60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F0E0C09">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租赁和商务服务业</w:t>
            </w:r>
          </w:p>
        </w:tc>
        <w:tc>
          <w:tcPr>
            <w:tcW w:w="1984" w:type="dxa"/>
            <w:tcBorders>
              <w:top w:val="nil"/>
              <w:left w:val="nil"/>
              <w:bottom w:val="single" w:color="auto" w:sz="4" w:space="0"/>
              <w:right w:val="single" w:color="auto" w:sz="4" w:space="0"/>
            </w:tcBorders>
            <w:noWrap w:val="0"/>
            <w:vAlign w:val="center"/>
          </w:tcPr>
          <w:p w14:paraId="3A7B136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2C8DA7F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842" w:type="dxa"/>
            <w:tcBorders>
              <w:top w:val="nil"/>
              <w:left w:val="nil"/>
              <w:bottom w:val="single" w:color="auto" w:sz="4" w:space="0"/>
              <w:right w:val="single" w:color="auto" w:sz="4" w:space="0"/>
            </w:tcBorders>
            <w:noWrap w:val="0"/>
            <w:vAlign w:val="center"/>
          </w:tcPr>
          <w:p w14:paraId="780AACE3">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701" w:type="dxa"/>
            <w:tcBorders>
              <w:top w:val="nil"/>
              <w:left w:val="nil"/>
              <w:bottom w:val="single" w:color="auto" w:sz="4" w:space="0"/>
              <w:right w:val="single" w:color="auto" w:sz="4" w:space="0"/>
            </w:tcBorders>
            <w:noWrap w:val="0"/>
            <w:vAlign w:val="center"/>
          </w:tcPr>
          <w:p w14:paraId="47D69BE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1134" w:type="dxa"/>
            <w:tcBorders>
              <w:top w:val="nil"/>
              <w:left w:val="nil"/>
              <w:bottom w:val="single" w:color="auto" w:sz="4" w:space="0"/>
              <w:right w:val="single" w:color="auto" w:sz="4" w:space="0"/>
            </w:tcBorders>
            <w:noWrap w:val="0"/>
            <w:vAlign w:val="center"/>
          </w:tcPr>
          <w:p w14:paraId="03060B17">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36198D8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F4D4FE8">
            <w:pPr>
              <w:widowControl/>
              <w:jc w:val="left"/>
              <w:rPr>
                <w:rFonts w:ascii="仿宋_GB2312" w:hAnsi="仿宋" w:eastAsia="仿宋_GB2312" w:cs="宋体"/>
                <w:b/>
                <w:bCs/>
                <w:kern w:val="0"/>
                <w:sz w:val="18"/>
                <w:szCs w:val="18"/>
              </w:rPr>
            </w:pPr>
          </w:p>
        </w:tc>
        <w:tc>
          <w:tcPr>
            <w:tcW w:w="1984" w:type="dxa"/>
            <w:tcBorders>
              <w:top w:val="nil"/>
              <w:left w:val="nil"/>
              <w:bottom w:val="single" w:color="auto" w:sz="4" w:space="0"/>
              <w:right w:val="single" w:color="auto" w:sz="4" w:space="0"/>
            </w:tcBorders>
            <w:noWrap w:val="0"/>
            <w:vAlign w:val="center"/>
          </w:tcPr>
          <w:p w14:paraId="1414E767">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资产总额（Z）</w:t>
            </w:r>
          </w:p>
        </w:tc>
        <w:tc>
          <w:tcPr>
            <w:tcW w:w="851" w:type="dxa"/>
            <w:tcBorders>
              <w:top w:val="nil"/>
              <w:left w:val="nil"/>
              <w:bottom w:val="single" w:color="auto" w:sz="4" w:space="0"/>
              <w:right w:val="single" w:color="auto" w:sz="4" w:space="0"/>
            </w:tcBorders>
            <w:noWrap w:val="0"/>
            <w:vAlign w:val="center"/>
          </w:tcPr>
          <w:p w14:paraId="5545AC34">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842" w:type="dxa"/>
            <w:tcBorders>
              <w:top w:val="nil"/>
              <w:left w:val="nil"/>
              <w:bottom w:val="single" w:color="auto" w:sz="4" w:space="0"/>
              <w:right w:val="single" w:color="auto" w:sz="4" w:space="0"/>
            </w:tcBorders>
            <w:noWrap w:val="0"/>
            <w:vAlign w:val="center"/>
          </w:tcPr>
          <w:p w14:paraId="6FF8F5B8">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8000≤Z＜120000</w:t>
            </w:r>
          </w:p>
        </w:tc>
        <w:tc>
          <w:tcPr>
            <w:tcW w:w="1701" w:type="dxa"/>
            <w:tcBorders>
              <w:top w:val="nil"/>
              <w:left w:val="nil"/>
              <w:bottom w:val="single" w:color="auto" w:sz="4" w:space="0"/>
              <w:right w:val="single" w:color="auto" w:sz="4" w:space="0"/>
            </w:tcBorders>
            <w:noWrap w:val="0"/>
            <w:vAlign w:val="center"/>
          </w:tcPr>
          <w:p w14:paraId="44150A79">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100≤Z＜8000</w:t>
            </w:r>
          </w:p>
        </w:tc>
        <w:tc>
          <w:tcPr>
            <w:tcW w:w="1134" w:type="dxa"/>
            <w:tcBorders>
              <w:top w:val="nil"/>
              <w:left w:val="nil"/>
              <w:bottom w:val="single" w:color="auto" w:sz="4" w:space="0"/>
              <w:right w:val="single" w:color="auto" w:sz="4" w:space="0"/>
            </w:tcBorders>
            <w:noWrap w:val="0"/>
            <w:vAlign w:val="center"/>
          </w:tcPr>
          <w:p w14:paraId="200DABB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490FCDFD">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587C47D7">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其他未列明行业</w:t>
            </w:r>
          </w:p>
        </w:tc>
        <w:tc>
          <w:tcPr>
            <w:tcW w:w="1984" w:type="dxa"/>
            <w:tcBorders>
              <w:top w:val="nil"/>
              <w:left w:val="nil"/>
              <w:bottom w:val="single" w:color="auto" w:sz="4" w:space="0"/>
              <w:right w:val="single" w:color="auto" w:sz="4" w:space="0"/>
            </w:tcBorders>
            <w:noWrap w:val="0"/>
            <w:vAlign w:val="center"/>
          </w:tcPr>
          <w:p w14:paraId="1EB85B7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4B6E7FC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842" w:type="dxa"/>
            <w:tcBorders>
              <w:top w:val="nil"/>
              <w:left w:val="nil"/>
              <w:bottom w:val="single" w:color="auto" w:sz="4" w:space="0"/>
              <w:right w:val="single" w:color="auto" w:sz="4" w:space="0"/>
            </w:tcBorders>
            <w:noWrap w:val="0"/>
            <w:vAlign w:val="center"/>
          </w:tcPr>
          <w:p w14:paraId="35C085C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701" w:type="dxa"/>
            <w:tcBorders>
              <w:top w:val="nil"/>
              <w:left w:val="nil"/>
              <w:bottom w:val="single" w:color="auto" w:sz="4" w:space="0"/>
              <w:right w:val="single" w:color="auto" w:sz="4" w:space="0"/>
            </w:tcBorders>
            <w:noWrap w:val="0"/>
            <w:vAlign w:val="center"/>
          </w:tcPr>
          <w:p w14:paraId="564F6167">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1134" w:type="dxa"/>
            <w:tcBorders>
              <w:top w:val="nil"/>
              <w:left w:val="nil"/>
              <w:bottom w:val="single" w:color="auto" w:sz="4" w:space="0"/>
              <w:right w:val="single" w:color="auto" w:sz="4" w:space="0"/>
            </w:tcBorders>
            <w:noWrap w:val="0"/>
            <w:vAlign w:val="center"/>
          </w:tcPr>
          <w:p w14:paraId="1AD1D6F9">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bl>
    <w:p w14:paraId="69D05ED6">
      <w:pPr>
        <w:spacing w:line="560" w:lineRule="exact"/>
        <w:ind w:firstLine="525" w:firstLineChars="250"/>
        <w:rPr>
          <w:rFonts w:ascii="宋体" w:hAnsi="宋体"/>
          <w:kern w:val="0"/>
          <w:sz w:val="20"/>
          <w:szCs w:val="21"/>
        </w:rPr>
        <w:sectPr>
          <w:pgSz w:w="11906" w:h="16838"/>
          <w:pgMar w:top="1134" w:right="1134" w:bottom="1134" w:left="1134" w:header="720" w:footer="720" w:gutter="0"/>
          <w:pgBorders>
            <w:top w:val="none" w:sz="0" w:space="0"/>
            <w:left w:val="none" w:sz="0" w:space="0"/>
            <w:bottom w:val="none" w:sz="0" w:space="0"/>
            <w:right w:val="none" w:sz="0" w:space="0"/>
          </w:pgBorders>
          <w:pgNumType w:fmt="decimal"/>
          <w:cols w:space="720" w:num="1"/>
          <w:docGrid w:type="lines" w:linePitch="331" w:charSpace="0"/>
        </w:sectPr>
      </w:pPr>
      <w:r>
        <w:rPr>
          <w:rFonts w:hint="eastAsia" w:ascii="仿宋_GB2312" w:hAnsi="仿宋" w:eastAsia="仿宋_GB2312"/>
          <w:szCs w:val="21"/>
        </w:rPr>
        <w:t>说明：上述标准参照《关于印发中小企业划型标准规定的通知》（工信部联企业[2011]300号），大型、中型和小型企业须同时满足所列指标的下限，否则下划一档；微型企业只须满足所列指标中的一项即可。</w:t>
      </w:r>
    </w:p>
    <w:p w14:paraId="6200DCFD">
      <w:pPr>
        <w:spacing w:before="340" w:after="330" w:line="576" w:lineRule="auto"/>
        <w:jc w:val="center"/>
        <w:outlineLvl w:val="0"/>
        <w:rPr>
          <w:rFonts w:hint="eastAsia" w:ascii="等线" w:hAnsi="等线" w:eastAsia="等线"/>
          <w:b/>
          <w:bCs/>
          <w:kern w:val="44"/>
          <w:sz w:val="44"/>
          <w:szCs w:val="44"/>
        </w:rPr>
      </w:pPr>
      <w:bookmarkStart w:id="15" w:name="_Toc179528703"/>
      <w:r>
        <w:rPr>
          <w:rFonts w:hint="eastAsia" w:ascii="Cambria" w:hAnsi="Cambria"/>
          <w:b/>
          <w:kern w:val="44"/>
          <w:sz w:val="32"/>
          <w:szCs w:val="32"/>
        </w:rPr>
        <w:t>第三章</w:t>
      </w:r>
      <w:r>
        <w:rPr>
          <w:rFonts w:ascii="Cambria" w:hAnsi="Cambria"/>
          <w:b/>
          <w:kern w:val="44"/>
          <w:sz w:val="32"/>
          <w:szCs w:val="32"/>
        </w:rPr>
        <w:t xml:space="preserve"> </w:t>
      </w:r>
      <w:r>
        <w:rPr>
          <w:rFonts w:hint="eastAsia" w:ascii="Cambria" w:hAnsi="Cambria"/>
          <w:b/>
          <w:kern w:val="44"/>
          <w:sz w:val="32"/>
          <w:szCs w:val="32"/>
        </w:rPr>
        <w:t>供应商须知</w:t>
      </w:r>
      <w:bookmarkEnd w:id="15"/>
    </w:p>
    <w:p w14:paraId="309A8958">
      <w:pPr>
        <w:spacing w:before="260" w:after="260" w:line="410" w:lineRule="auto"/>
        <w:jc w:val="center"/>
        <w:outlineLvl w:val="1"/>
        <w:rPr>
          <w:rFonts w:hint="eastAsia" w:ascii="宋体" w:hAnsi="宋体"/>
          <w:bCs/>
          <w:sz w:val="32"/>
          <w:szCs w:val="32"/>
        </w:rPr>
      </w:pPr>
      <w:bookmarkStart w:id="16" w:name="_Toc179528704"/>
      <w:r>
        <w:rPr>
          <w:rFonts w:hint="eastAsia" w:ascii="宋体" w:hAnsi="宋体"/>
          <w:bCs/>
          <w:sz w:val="32"/>
          <w:szCs w:val="32"/>
        </w:rPr>
        <w:t>第一节 供应商须知前附表</w:t>
      </w:r>
      <w:bookmarkEnd w:id="16"/>
    </w:p>
    <w:tbl>
      <w:tblPr>
        <w:tblStyle w:val="1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76"/>
        <w:gridCol w:w="2272"/>
        <w:gridCol w:w="5798"/>
      </w:tblGrid>
      <w:tr w14:paraId="5F177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489" w:type="pct"/>
            <w:tcBorders>
              <w:top w:val="single" w:color="000000" w:sz="4" w:space="0"/>
              <w:left w:val="single" w:color="000000" w:sz="4" w:space="0"/>
              <w:bottom w:val="single" w:color="000000" w:sz="4" w:space="0"/>
              <w:right w:val="single" w:color="000000" w:sz="4" w:space="0"/>
            </w:tcBorders>
            <w:noWrap w:val="0"/>
            <w:vAlign w:val="top"/>
          </w:tcPr>
          <w:p w14:paraId="474C57D7">
            <w:pPr>
              <w:jc w:val="center"/>
              <w:rPr>
                <w:rFonts w:ascii="宋体" w:hAnsi="宋体" w:cs="宋体"/>
                <w:color w:val="0D0D0D"/>
                <w:sz w:val="22"/>
                <w:szCs w:val="24"/>
              </w:rPr>
            </w:pPr>
            <w:r>
              <w:rPr>
                <w:rFonts w:hint="eastAsia" w:ascii="宋体" w:hAnsi="宋体" w:cs="宋体"/>
                <w:color w:val="0D0D0D"/>
                <w:sz w:val="22"/>
                <w:szCs w:val="24"/>
              </w:rPr>
              <w:t>条款号</w:t>
            </w:r>
          </w:p>
        </w:tc>
        <w:tc>
          <w:tcPr>
            <w:tcW w:w="1270" w:type="pct"/>
            <w:tcBorders>
              <w:top w:val="single" w:color="000000" w:sz="4" w:space="0"/>
              <w:left w:val="single" w:color="000000" w:sz="4" w:space="0"/>
              <w:bottom w:val="single" w:color="000000" w:sz="4" w:space="0"/>
              <w:right w:val="single" w:color="000000" w:sz="4" w:space="0"/>
            </w:tcBorders>
            <w:noWrap w:val="0"/>
            <w:vAlign w:val="center"/>
          </w:tcPr>
          <w:p w14:paraId="53AC8139">
            <w:pPr>
              <w:jc w:val="center"/>
              <w:rPr>
                <w:rFonts w:ascii="宋体" w:hAnsi="宋体" w:cs="宋体"/>
                <w:color w:val="0D0D0D"/>
                <w:sz w:val="22"/>
                <w:szCs w:val="24"/>
              </w:rPr>
            </w:pPr>
            <w:r>
              <w:rPr>
                <w:rFonts w:hint="eastAsia" w:ascii="宋体" w:hAnsi="宋体" w:cs="宋体"/>
                <w:color w:val="0D0D0D"/>
                <w:sz w:val="22"/>
                <w:szCs w:val="24"/>
              </w:rPr>
              <w:t>条款内容</w:t>
            </w:r>
          </w:p>
        </w:tc>
        <w:tc>
          <w:tcPr>
            <w:tcW w:w="3239" w:type="pct"/>
            <w:tcBorders>
              <w:top w:val="single" w:color="000000" w:sz="4" w:space="0"/>
              <w:left w:val="single" w:color="000000" w:sz="4" w:space="0"/>
              <w:bottom w:val="single" w:color="000000" w:sz="4" w:space="0"/>
              <w:right w:val="single" w:color="000000" w:sz="4" w:space="0"/>
            </w:tcBorders>
            <w:noWrap w:val="0"/>
            <w:vAlign w:val="center"/>
          </w:tcPr>
          <w:p w14:paraId="1A496982">
            <w:pPr>
              <w:jc w:val="center"/>
              <w:rPr>
                <w:rFonts w:ascii="宋体" w:hAnsi="宋体" w:cs="宋体"/>
                <w:color w:val="0D0D0D"/>
                <w:sz w:val="22"/>
                <w:szCs w:val="24"/>
              </w:rPr>
            </w:pPr>
            <w:r>
              <w:rPr>
                <w:rFonts w:hint="eastAsia" w:ascii="宋体" w:hAnsi="宋体" w:cs="宋体"/>
                <w:color w:val="0D0D0D"/>
                <w:sz w:val="22"/>
                <w:szCs w:val="24"/>
              </w:rPr>
              <w:t>具体要求</w:t>
            </w:r>
          </w:p>
        </w:tc>
      </w:tr>
      <w:tr w14:paraId="753E0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489" w:type="pct"/>
            <w:tcBorders>
              <w:top w:val="single" w:color="000000" w:sz="4" w:space="0"/>
              <w:left w:val="single" w:color="000000" w:sz="4" w:space="0"/>
              <w:bottom w:val="single" w:color="000000" w:sz="4" w:space="0"/>
              <w:right w:val="single" w:color="000000" w:sz="4" w:space="0"/>
            </w:tcBorders>
            <w:noWrap w:val="0"/>
            <w:vAlign w:val="center"/>
          </w:tcPr>
          <w:p w14:paraId="38F2DEB5">
            <w:pPr>
              <w:jc w:val="center"/>
              <w:rPr>
                <w:rFonts w:hint="eastAsia" w:ascii="宋体" w:hAnsi="宋体" w:eastAsia="宋体" w:cs="宋体"/>
                <w:color w:val="0D0D0D"/>
                <w:sz w:val="22"/>
                <w:szCs w:val="24"/>
                <w:lang w:eastAsia="zh-CN"/>
              </w:rPr>
            </w:pPr>
            <w:r>
              <w:rPr>
                <w:rFonts w:hint="eastAsia" w:ascii="宋体" w:hAnsi="宋体" w:cs="宋体"/>
                <w:color w:val="0D0D0D"/>
                <w:sz w:val="22"/>
                <w:szCs w:val="24"/>
                <w:highlight w:val="none"/>
                <w:lang w:val="en-US" w:eastAsia="zh-CN"/>
              </w:rPr>
              <w:t>3</w:t>
            </w:r>
          </w:p>
        </w:tc>
        <w:tc>
          <w:tcPr>
            <w:tcW w:w="1270" w:type="pct"/>
            <w:tcBorders>
              <w:top w:val="single" w:color="000000" w:sz="4" w:space="0"/>
              <w:left w:val="single" w:color="000000" w:sz="4" w:space="0"/>
              <w:bottom w:val="single" w:color="000000" w:sz="4" w:space="0"/>
              <w:right w:val="single" w:color="000000" w:sz="4" w:space="0"/>
            </w:tcBorders>
            <w:noWrap w:val="0"/>
            <w:vAlign w:val="center"/>
          </w:tcPr>
          <w:p w14:paraId="2683A30F">
            <w:pPr>
              <w:jc w:val="center"/>
              <w:rPr>
                <w:rFonts w:ascii="宋体" w:hAnsi="宋体" w:cs="宋体"/>
                <w:color w:val="0D0D0D"/>
                <w:sz w:val="22"/>
                <w:szCs w:val="24"/>
              </w:rPr>
            </w:pPr>
            <w:r>
              <w:rPr>
                <w:rFonts w:hint="eastAsia" w:ascii="宋体" w:hAnsi="宋体" w:cs="宋体"/>
                <w:color w:val="0D0D0D"/>
                <w:sz w:val="22"/>
                <w:szCs w:val="24"/>
              </w:rPr>
              <w:t>供应商资格条件</w:t>
            </w:r>
          </w:p>
        </w:tc>
        <w:tc>
          <w:tcPr>
            <w:tcW w:w="3239" w:type="pct"/>
            <w:tcBorders>
              <w:top w:val="single" w:color="000000" w:sz="4" w:space="0"/>
              <w:left w:val="single" w:color="000000" w:sz="4" w:space="0"/>
              <w:bottom w:val="single" w:color="000000" w:sz="4" w:space="0"/>
              <w:right w:val="single" w:color="000000" w:sz="4" w:space="0"/>
            </w:tcBorders>
            <w:noWrap w:val="0"/>
            <w:vAlign w:val="center"/>
          </w:tcPr>
          <w:p w14:paraId="42AFC148">
            <w:pPr>
              <w:jc w:val="both"/>
              <w:rPr>
                <w:rFonts w:ascii="宋体" w:hAnsi="宋体" w:cs="宋体"/>
                <w:color w:val="0D0D0D"/>
                <w:sz w:val="22"/>
                <w:szCs w:val="24"/>
              </w:rPr>
            </w:pPr>
            <w:r>
              <w:rPr>
                <w:rFonts w:hint="eastAsia" w:ascii="宋体" w:hAnsi="宋体"/>
                <w:color w:val="0D0D0D"/>
                <w:sz w:val="22"/>
                <w:szCs w:val="24"/>
              </w:rPr>
              <w:t>供应商资格条件要求详见公告.</w:t>
            </w:r>
          </w:p>
        </w:tc>
      </w:tr>
      <w:tr w14:paraId="4EAE1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89" w:type="pct"/>
            <w:tcBorders>
              <w:top w:val="single" w:color="000000" w:sz="4" w:space="0"/>
              <w:left w:val="single" w:color="000000" w:sz="4" w:space="0"/>
              <w:bottom w:val="single" w:color="000000" w:sz="4" w:space="0"/>
              <w:right w:val="single" w:color="000000" w:sz="4" w:space="0"/>
            </w:tcBorders>
            <w:noWrap w:val="0"/>
            <w:vAlign w:val="center"/>
          </w:tcPr>
          <w:p w14:paraId="64A3F3FF">
            <w:pPr>
              <w:jc w:val="center"/>
              <w:rPr>
                <w:rFonts w:ascii="宋体" w:hAnsi="宋体" w:cs="宋体"/>
                <w:color w:val="0D0D0D"/>
                <w:sz w:val="22"/>
                <w:szCs w:val="24"/>
              </w:rPr>
            </w:pPr>
            <w:r>
              <w:rPr>
                <w:rFonts w:hint="eastAsia" w:ascii="宋体" w:hAnsi="宋体" w:cs="宋体"/>
                <w:color w:val="0D0D0D"/>
                <w:sz w:val="22"/>
                <w:szCs w:val="24"/>
              </w:rPr>
              <w:t>5.1</w:t>
            </w:r>
          </w:p>
        </w:tc>
        <w:tc>
          <w:tcPr>
            <w:tcW w:w="1270" w:type="pct"/>
            <w:tcBorders>
              <w:top w:val="single" w:color="000000" w:sz="4" w:space="0"/>
              <w:left w:val="single" w:color="000000" w:sz="4" w:space="0"/>
              <w:bottom w:val="single" w:color="000000" w:sz="4" w:space="0"/>
              <w:right w:val="single" w:color="000000" w:sz="4" w:space="0"/>
            </w:tcBorders>
            <w:noWrap w:val="0"/>
            <w:vAlign w:val="center"/>
          </w:tcPr>
          <w:p w14:paraId="7729B5EC">
            <w:pPr>
              <w:jc w:val="center"/>
              <w:rPr>
                <w:rFonts w:hint="eastAsia" w:ascii="宋体" w:hAnsi="宋体" w:eastAsia="宋体" w:cs="宋体"/>
                <w:color w:val="0D0D0D"/>
                <w:sz w:val="22"/>
                <w:szCs w:val="24"/>
                <w:lang w:eastAsia="zh-CN"/>
              </w:rPr>
            </w:pPr>
            <w:r>
              <w:rPr>
                <w:rFonts w:hint="eastAsia" w:ascii="宋体" w:hAnsi="宋体" w:cs="宋体"/>
                <w:color w:val="0D0D0D"/>
                <w:sz w:val="22"/>
                <w:szCs w:val="24"/>
              </w:rPr>
              <w:t>是否接受联合体</w:t>
            </w:r>
            <w:r>
              <w:rPr>
                <w:rFonts w:hint="eastAsia" w:ascii="宋体" w:hAnsi="宋体" w:cs="宋体"/>
                <w:color w:val="0D0D0D"/>
                <w:sz w:val="22"/>
                <w:szCs w:val="24"/>
                <w:lang w:eastAsia="zh-CN"/>
              </w:rPr>
              <w:t>响应</w:t>
            </w:r>
          </w:p>
        </w:tc>
        <w:tc>
          <w:tcPr>
            <w:tcW w:w="3239" w:type="pct"/>
            <w:tcBorders>
              <w:top w:val="single" w:color="000000" w:sz="4" w:space="0"/>
              <w:left w:val="single" w:color="000000" w:sz="4" w:space="0"/>
              <w:bottom w:val="single" w:color="000000" w:sz="4" w:space="0"/>
              <w:right w:val="single" w:color="000000" w:sz="4" w:space="0"/>
            </w:tcBorders>
            <w:noWrap w:val="0"/>
            <w:vAlign w:val="center"/>
          </w:tcPr>
          <w:p w14:paraId="037DC89D">
            <w:pPr>
              <w:rPr>
                <w:rFonts w:ascii="宋体" w:hAnsi="宋体" w:cs="宋体"/>
                <w:color w:val="0D0D0D"/>
                <w:sz w:val="22"/>
                <w:szCs w:val="24"/>
              </w:rPr>
            </w:pPr>
            <w:bookmarkStart w:id="17" w:name="PO_3000001871_PM007_1"/>
            <w:r>
              <w:rPr>
                <w:rFonts w:hint="eastAsia" w:ascii="宋体" w:hAnsi="宋体"/>
                <w:color w:val="0D0D0D"/>
                <w:sz w:val="22"/>
                <w:szCs w:val="24"/>
              </w:rPr>
              <w:t>不允许联合体</w:t>
            </w:r>
            <w:bookmarkEnd w:id="17"/>
            <w:r>
              <w:rPr>
                <w:rFonts w:hint="eastAsia" w:ascii="宋体" w:hAnsi="宋体"/>
                <w:color w:val="0D0D0D"/>
                <w:sz w:val="22"/>
                <w:szCs w:val="24"/>
                <w:lang w:eastAsia="zh-CN"/>
              </w:rPr>
              <w:t>响应</w:t>
            </w:r>
            <w:r>
              <w:rPr>
                <w:rFonts w:hint="eastAsia" w:ascii="宋体" w:hAnsi="宋体"/>
                <w:color w:val="0D0D0D"/>
                <w:sz w:val="22"/>
                <w:szCs w:val="24"/>
              </w:rPr>
              <w:t>。</w:t>
            </w:r>
          </w:p>
        </w:tc>
      </w:tr>
      <w:tr w14:paraId="60FC4E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489" w:type="pct"/>
            <w:tcBorders>
              <w:top w:val="single" w:color="000000" w:sz="4" w:space="0"/>
              <w:left w:val="single" w:color="000000" w:sz="4" w:space="0"/>
              <w:bottom w:val="single" w:color="000000" w:sz="4" w:space="0"/>
              <w:right w:val="single" w:color="000000" w:sz="4" w:space="0"/>
            </w:tcBorders>
            <w:noWrap w:val="0"/>
            <w:vAlign w:val="center"/>
          </w:tcPr>
          <w:p w14:paraId="28A4BE5E">
            <w:pPr>
              <w:jc w:val="center"/>
              <w:rPr>
                <w:rFonts w:ascii="宋体" w:hAnsi="宋体" w:cs="宋体"/>
                <w:color w:val="0D0D0D"/>
                <w:sz w:val="22"/>
                <w:szCs w:val="24"/>
              </w:rPr>
            </w:pPr>
            <w:r>
              <w:rPr>
                <w:rFonts w:hint="eastAsia" w:ascii="宋体" w:hAnsi="宋体" w:cs="宋体"/>
                <w:color w:val="0D0D0D"/>
                <w:sz w:val="22"/>
                <w:szCs w:val="24"/>
              </w:rPr>
              <w:t>5.2</w:t>
            </w:r>
          </w:p>
        </w:tc>
        <w:tc>
          <w:tcPr>
            <w:tcW w:w="1270" w:type="pct"/>
            <w:tcBorders>
              <w:top w:val="single" w:color="000000" w:sz="4" w:space="0"/>
              <w:left w:val="single" w:color="000000" w:sz="4" w:space="0"/>
              <w:bottom w:val="single" w:color="000000" w:sz="4" w:space="0"/>
              <w:right w:val="single" w:color="000000" w:sz="4" w:space="0"/>
            </w:tcBorders>
            <w:noWrap w:val="0"/>
            <w:vAlign w:val="center"/>
          </w:tcPr>
          <w:p w14:paraId="434AB8C0">
            <w:pPr>
              <w:jc w:val="center"/>
              <w:rPr>
                <w:rFonts w:ascii="宋体" w:hAnsi="宋体" w:cs="宋体"/>
                <w:color w:val="0D0D0D"/>
                <w:sz w:val="22"/>
                <w:szCs w:val="24"/>
              </w:rPr>
            </w:pPr>
            <w:r>
              <w:rPr>
                <w:rFonts w:hint="eastAsia" w:ascii="宋体" w:hAnsi="宋体"/>
                <w:color w:val="0D0D0D"/>
                <w:sz w:val="22"/>
                <w:szCs w:val="24"/>
              </w:rPr>
              <w:t>联合体</w:t>
            </w:r>
            <w:r>
              <w:rPr>
                <w:rFonts w:hint="eastAsia" w:ascii="宋体" w:hAnsi="宋体"/>
                <w:color w:val="0D0D0D"/>
                <w:sz w:val="22"/>
                <w:szCs w:val="24"/>
                <w:lang w:eastAsia="zh-CN"/>
              </w:rPr>
              <w:t>响应</w:t>
            </w:r>
            <w:r>
              <w:rPr>
                <w:rFonts w:hint="eastAsia" w:ascii="宋体" w:hAnsi="宋体"/>
                <w:color w:val="0D0D0D"/>
                <w:sz w:val="22"/>
                <w:szCs w:val="24"/>
              </w:rPr>
              <w:t>要求</w:t>
            </w:r>
          </w:p>
        </w:tc>
        <w:tc>
          <w:tcPr>
            <w:tcW w:w="3239" w:type="pct"/>
            <w:tcBorders>
              <w:top w:val="single" w:color="000000" w:sz="4" w:space="0"/>
              <w:left w:val="single" w:color="000000" w:sz="4" w:space="0"/>
              <w:bottom w:val="single" w:color="000000" w:sz="4" w:space="0"/>
              <w:right w:val="single" w:color="000000" w:sz="4" w:space="0"/>
            </w:tcBorders>
            <w:noWrap w:val="0"/>
            <w:vAlign w:val="center"/>
          </w:tcPr>
          <w:p w14:paraId="650F6003">
            <w:pPr>
              <w:rPr>
                <w:rFonts w:ascii="宋体" w:hAnsi="宋体" w:cs="宋体"/>
                <w:color w:val="0D0D0D"/>
                <w:sz w:val="22"/>
                <w:szCs w:val="24"/>
              </w:rPr>
            </w:pPr>
            <w:r>
              <w:rPr>
                <w:rFonts w:hint="eastAsia" w:ascii="宋体" w:hAnsi="宋体"/>
                <w:color w:val="0D0D0D"/>
                <w:sz w:val="22"/>
                <w:szCs w:val="24"/>
              </w:rPr>
              <w:t>无</w:t>
            </w:r>
          </w:p>
        </w:tc>
      </w:tr>
      <w:tr w14:paraId="5B3FD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89" w:type="pct"/>
            <w:tcBorders>
              <w:top w:val="single" w:color="000000" w:sz="4" w:space="0"/>
              <w:left w:val="single" w:color="000000" w:sz="4" w:space="0"/>
              <w:bottom w:val="single" w:color="000000" w:sz="4" w:space="0"/>
              <w:right w:val="single" w:color="000000" w:sz="4" w:space="0"/>
            </w:tcBorders>
            <w:noWrap w:val="0"/>
            <w:vAlign w:val="center"/>
          </w:tcPr>
          <w:p w14:paraId="5D04F800">
            <w:pPr>
              <w:jc w:val="center"/>
              <w:rPr>
                <w:rFonts w:ascii="宋体" w:hAnsi="宋体" w:cs="宋体"/>
                <w:color w:val="0D0D0D"/>
                <w:sz w:val="22"/>
                <w:szCs w:val="24"/>
                <w:highlight w:val="none"/>
              </w:rPr>
            </w:pPr>
            <w:r>
              <w:rPr>
                <w:rFonts w:hint="eastAsia" w:ascii="宋体" w:hAnsi="宋体" w:cs="宋体"/>
                <w:color w:val="0D0D0D"/>
                <w:sz w:val="22"/>
                <w:szCs w:val="24"/>
                <w:highlight w:val="none"/>
              </w:rPr>
              <w:t>6.1</w:t>
            </w:r>
          </w:p>
        </w:tc>
        <w:tc>
          <w:tcPr>
            <w:tcW w:w="1270" w:type="pct"/>
            <w:tcBorders>
              <w:top w:val="single" w:color="000000" w:sz="4" w:space="0"/>
              <w:left w:val="single" w:color="000000" w:sz="4" w:space="0"/>
              <w:bottom w:val="single" w:color="000000" w:sz="4" w:space="0"/>
              <w:right w:val="single" w:color="000000" w:sz="4" w:space="0"/>
            </w:tcBorders>
            <w:noWrap w:val="0"/>
            <w:vAlign w:val="center"/>
          </w:tcPr>
          <w:p w14:paraId="4FD5125F">
            <w:pPr>
              <w:jc w:val="center"/>
              <w:rPr>
                <w:rFonts w:ascii="宋体" w:hAnsi="宋体" w:cs="宋体"/>
                <w:color w:val="0D0D0D"/>
                <w:sz w:val="22"/>
                <w:szCs w:val="24"/>
                <w:highlight w:val="none"/>
              </w:rPr>
            </w:pPr>
            <w:r>
              <w:rPr>
                <w:rFonts w:hint="eastAsia" w:ascii="宋体" w:hAnsi="宋体" w:cs="宋体"/>
                <w:color w:val="0D0D0D"/>
                <w:sz w:val="22"/>
                <w:szCs w:val="24"/>
                <w:highlight w:val="none"/>
              </w:rPr>
              <w:t>是否允许分包</w:t>
            </w:r>
          </w:p>
        </w:tc>
        <w:tc>
          <w:tcPr>
            <w:tcW w:w="3239" w:type="pct"/>
            <w:tcBorders>
              <w:top w:val="single" w:color="000000" w:sz="4" w:space="0"/>
              <w:left w:val="single" w:color="000000" w:sz="4" w:space="0"/>
              <w:bottom w:val="single" w:color="000000" w:sz="4" w:space="0"/>
              <w:right w:val="single" w:color="000000" w:sz="4" w:space="0"/>
            </w:tcBorders>
            <w:noWrap w:val="0"/>
            <w:vAlign w:val="center"/>
          </w:tcPr>
          <w:p w14:paraId="2F3A9E72">
            <w:pPr>
              <w:rPr>
                <w:rFonts w:hint="eastAsia" w:ascii="宋体" w:hAnsi="宋体" w:eastAsia="宋体" w:cs="宋体"/>
                <w:sz w:val="22"/>
                <w:szCs w:val="21"/>
                <w:highlight w:val="none"/>
                <w:lang w:val="en-US" w:eastAsia="zh-CN" w:bidi="ar-SA"/>
              </w:rPr>
            </w:pPr>
            <w:bookmarkStart w:id="18" w:name="PO_3000001871_PM044"/>
            <w:r>
              <w:rPr>
                <w:rFonts w:hint="eastAsia" w:ascii="宋体" w:hAnsi="宋体" w:eastAsia="宋体" w:cs="宋体"/>
                <w:color w:val="0D0D0D"/>
                <w:sz w:val="22"/>
                <w:szCs w:val="24"/>
                <w:highlight w:val="none"/>
                <w:lang w:eastAsia="zh-CN"/>
              </w:rPr>
              <w:t>本项目</w:t>
            </w:r>
            <w:r>
              <w:rPr>
                <w:rFonts w:hint="eastAsia" w:ascii="宋体" w:hAnsi="宋体" w:eastAsia="宋体" w:cs="宋体"/>
                <w:color w:val="0D0D0D"/>
                <w:sz w:val="22"/>
                <w:szCs w:val="24"/>
                <w:highlight w:val="none"/>
              </w:rPr>
              <w:t>允许分包</w:t>
            </w:r>
            <w:bookmarkEnd w:id="18"/>
            <w:r>
              <w:rPr>
                <w:rFonts w:hint="eastAsia" w:ascii="宋体" w:hAnsi="宋体" w:cs="宋体"/>
                <w:color w:val="0D0D0D"/>
                <w:sz w:val="22"/>
                <w:szCs w:val="24"/>
                <w:highlight w:val="none"/>
                <w:lang w:eastAsia="zh-CN"/>
              </w:rPr>
              <w:t>，</w:t>
            </w:r>
            <w:r>
              <w:rPr>
                <w:rFonts w:hint="eastAsia" w:ascii="宋体" w:hAnsi="宋体" w:eastAsia="宋体" w:cs="宋体"/>
                <w:sz w:val="22"/>
                <w:szCs w:val="21"/>
                <w:highlight w:val="none"/>
                <w:lang w:val="en-US" w:eastAsia="zh-CN" w:bidi="ar-SA"/>
              </w:rPr>
              <w:t>分包</w:t>
            </w:r>
            <w:r>
              <w:rPr>
                <w:rFonts w:hint="eastAsia" w:cs="宋体"/>
                <w:sz w:val="22"/>
                <w:szCs w:val="21"/>
                <w:highlight w:val="none"/>
                <w:lang w:val="en-US" w:eastAsia="zh-CN" w:bidi="ar-SA"/>
              </w:rPr>
              <w:t>承担</w:t>
            </w:r>
            <w:r>
              <w:rPr>
                <w:rFonts w:hint="eastAsia" w:ascii="宋体" w:hAnsi="宋体" w:eastAsia="宋体" w:cs="宋体"/>
                <w:sz w:val="22"/>
                <w:szCs w:val="21"/>
                <w:highlight w:val="none"/>
                <w:lang w:val="en-US" w:eastAsia="zh-CN" w:bidi="ar-SA"/>
              </w:rPr>
              <w:t>供应商应具备有效的《中华人民共和国出版物发行许可证》或《中华人民共和国出版物经营许可证》。</w:t>
            </w:r>
            <w:r>
              <w:rPr>
                <w:rFonts w:hint="eastAsia" w:ascii="宋体" w:hAnsi="宋体" w:cs="宋体"/>
                <w:sz w:val="22"/>
                <w:szCs w:val="21"/>
                <w:highlight w:val="none"/>
                <w:lang w:val="en-US" w:eastAsia="zh-CN" w:bidi="ar-SA"/>
              </w:rPr>
              <w:t>（签订合同时，提供分包协议及</w:t>
            </w:r>
            <w:r>
              <w:rPr>
                <w:rFonts w:hint="eastAsia" w:ascii="宋体" w:hAnsi="宋体" w:eastAsia="宋体" w:cs="宋体"/>
                <w:sz w:val="22"/>
                <w:szCs w:val="21"/>
                <w:highlight w:val="none"/>
                <w:lang w:val="en-US" w:eastAsia="zh-CN" w:bidi="ar-SA"/>
              </w:rPr>
              <w:t>分包</w:t>
            </w:r>
            <w:r>
              <w:rPr>
                <w:rFonts w:hint="eastAsia" w:cs="宋体"/>
                <w:sz w:val="22"/>
                <w:szCs w:val="21"/>
                <w:highlight w:val="none"/>
                <w:lang w:val="en-US" w:eastAsia="zh-CN" w:bidi="ar-SA"/>
              </w:rPr>
              <w:t>承担</w:t>
            </w:r>
            <w:r>
              <w:rPr>
                <w:rFonts w:hint="eastAsia" w:ascii="宋体" w:hAnsi="宋体" w:eastAsia="宋体" w:cs="宋体"/>
                <w:sz w:val="22"/>
                <w:szCs w:val="21"/>
                <w:highlight w:val="none"/>
                <w:lang w:val="en-US" w:eastAsia="zh-CN" w:bidi="ar-SA"/>
              </w:rPr>
              <w:t>供应商</w:t>
            </w:r>
            <w:r>
              <w:rPr>
                <w:rFonts w:hint="eastAsia" w:ascii="宋体" w:hAnsi="宋体" w:cs="宋体"/>
                <w:sz w:val="22"/>
                <w:szCs w:val="21"/>
                <w:highlight w:val="none"/>
                <w:lang w:val="en-US" w:eastAsia="zh-CN" w:bidi="ar-SA"/>
              </w:rPr>
              <w:t>有效资质）</w:t>
            </w:r>
          </w:p>
          <w:p w14:paraId="09BEDDC2">
            <w:pPr>
              <w:jc w:val="both"/>
              <w:rPr>
                <w:rFonts w:hint="eastAsia" w:ascii="宋体" w:hAnsi="宋体" w:eastAsia="宋体" w:cs="宋体"/>
                <w:color w:val="0D0D0D"/>
                <w:sz w:val="22"/>
                <w:szCs w:val="24"/>
                <w:highlight w:val="none"/>
                <w:lang w:eastAsia="zh-CN"/>
              </w:rPr>
            </w:pPr>
            <w:r>
              <w:rPr>
                <w:rFonts w:hint="eastAsia" w:ascii="宋体" w:hAnsi="宋体" w:eastAsia="宋体" w:cs="宋体"/>
                <w:kern w:val="0"/>
                <w:sz w:val="22"/>
                <w:szCs w:val="21"/>
                <w:highlight w:val="none"/>
                <w:lang w:val="en-US" w:eastAsia="zh-CN" w:bidi="ar-SA"/>
              </w:rPr>
              <w:t>分包内容：</w:t>
            </w:r>
            <w:r>
              <w:rPr>
                <w:rFonts w:hint="eastAsia" w:ascii="宋体" w:hAnsi="宋体" w:eastAsia="宋体" w:cs="宋体"/>
                <w:color w:val="0D0D0D"/>
                <w:sz w:val="22"/>
                <w:szCs w:val="24"/>
                <w:highlight w:val="none"/>
                <w:lang w:val="en-US" w:eastAsia="zh-CN"/>
              </w:rPr>
              <w:t>序号19/34/51/75/85/132/195/223/245/259幼儿绘本。</w:t>
            </w:r>
          </w:p>
          <w:p w14:paraId="7595A635">
            <w:pPr>
              <w:jc w:val="both"/>
              <w:rPr>
                <w:rFonts w:hint="default" w:eastAsia="宋体"/>
                <w:highlight w:val="none"/>
                <w:lang w:val="en-US" w:eastAsia="zh-CN"/>
              </w:rPr>
            </w:pPr>
            <w:r>
              <w:rPr>
                <w:rFonts w:hint="eastAsia" w:ascii="宋体" w:hAnsi="宋体" w:eastAsia="宋体" w:cs="宋体"/>
                <w:color w:val="0D0D0D"/>
                <w:sz w:val="22"/>
                <w:szCs w:val="24"/>
                <w:highlight w:val="none"/>
              </w:rPr>
              <w:t>分包金额：</w:t>
            </w:r>
            <w:r>
              <w:rPr>
                <w:rFonts w:hint="eastAsia" w:ascii="宋体" w:hAnsi="宋体" w:eastAsia="宋体" w:cs="宋体"/>
                <w:color w:val="0D0D0D"/>
                <w:sz w:val="22"/>
                <w:szCs w:val="24"/>
                <w:highlight w:val="none"/>
                <w:lang w:val="en-US" w:eastAsia="zh-CN"/>
              </w:rPr>
              <w:t>183300元</w:t>
            </w:r>
          </w:p>
        </w:tc>
      </w:tr>
      <w:tr w14:paraId="1C4C81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89" w:type="pct"/>
            <w:tcBorders>
              <w:top w:val="single" w:color="000000" w:sz="4" w:space="0"/>
              <w:left w:val="single" w:color="000000" w:sz="4" w:space="0"/>
              <w:bottom w:val="single" w:color="000000" w:sz="4" w:space="0"/>
              <w:right w:val="single" w:color="000000" w:sz="4" w:space="0"/>
            </w:tcBorders>
            <w:noWrap w:val="0"/>
            <w:vAlign w:val="center"/>
          </w:tcPr>
          <w:p w14:paraId="216A2957">
            <w:pPr>
              <w:jc w:val="center"/>
              <w:rPr>
                <w:rFonts w:ascii="宋体" w:hAnsi="宋体" w:cs="宋体"/>
                <w:color w:val="0D0D0D"/>
                <w:sz w:val="22"/>
                <w:szCs w:val="24"/>
              </w:rPr>
            </w:pPr>
            <w:r>
              <w:rPr>
                <w:rFonts w:hint="eastAsia" w:ascii="宋体" w:hAnsi="宋体" w:cs="宋体"/>
                <w:color w:val="0D0D0D"/>
                <w:sz w:val="22"/>
                <w:szCs w:val="24"/>
              </w:rPr>
              <w:t>12.1.1</w:t>
            </w:r>
          </w:p>
        </w:tc>
        <w:tc>
          <w:tcPr>
            <w:tcW w:w="1270" w:type="pct"/>
            <w:tcBorders>
              <w:top w:val="single" w:color="000000" w:sz="4" w:space="0"/>
              <w:left w:val="single" w:color="000000" w:sz="4" w:space="0"/>
              <w:bottom w:val="single" w:color="000000" w:sz="4" w:space="0"/>
              <w:right w:val="single" w:color="000000" w:sz="4" w:space="0"/>
            </w:tcBorders>
            <w:noWrap w:val="0"/>
            <w:vAlign w:val="center"/>
          </w:tcPr>
          <w:p w14:paraId="265B7A3D">
            <w:pPr>
              <w:snapToGrid w:val="0"/>
              <w:jc w:val="center"/>
              <w:rPr>
                <w:rFonts w:ascii="宋体" w:hAnsi="宋体" w:cs="宋体"/>
                <w:color w:val="0D0D0D"/>
                <w:sz w:val="22"/>
                <w:szCs w:val="24"/>
              </w:rPr>
            </w:pPr>
            <w:r>
              <w:rPr>
                <w:rFonts w:hint="eastAsia" w:ascii="宋体" w:hAnsi="宋体" w:cs="宋体"/>
                <w:color w:val="0D0D0D"/>
                <w:sz w:val="22"/>
                <w:szCs w:val="24"/>
              </w:rPr>
              <w:t>资格证明文件组成</w:t>
            </w:r>
          </w:p>
          <w:p w14:paraId="645A1020">
            <w:pPr>
              <w:jc w:val="center"/>
              <w:rPr>
                <w:rFonts w:ascii="宋体" w:hAnsi="宋体" w:cs="宋体"/>
                <w:color w:val="0D0D0D"/>
                <w:sz w:val="22"/>
                <w:szCs w:val="24"/>
              </w:rPr>
            </w:pPr>
          </w:p>
        </w:tc>
        <w:tc>
          <w:tcPr>
            <w:tcW w:w="3239" w:type="pct"/>
            <w:tcBorders>
              <w:top w:val="single" w:color="000000" w:sz="4" w:space="0"/>
              <w:left w:val="single" w:color="000000" w:sz="4" w:space="0"/>
              <w:bottom w:val="single" w:color="000000" w:sz="4" w:space="0"/>
              <w:right w:val="single" w:color="000000" w:sz="4" w:space="0"/>
            </w:tcBorders>
            <w:noWrap w:val="0"/>
            <w:vAlign w:val="center"/>
          </w:tcPr>
          <w:p w14:paraId="649701D8">
            <w:pPr>
              <w:rPr>
                <w:rFonts w:ascii="宋体" w:hAnsi="宋体"/>
                <w:b/>
                <w:color w:val="0D0D0D"/>
                <w:sz w:val="22"/>
                <w:szCs w:val="24"/>
              </w:rPr>
            </w:pPr>
            <w:r>
              <w:rPr>
                <w:rFonts w:hint="eastAsia" w:ascii="宋体" w:hAnsi="宋体" w:cs="宋体"/>
                <w:color w:val="0D0D0D"/>
                <w:sz w:val="22"/>
                <w:szCs w:val="24"/>
              </w:rPr>
              <w:t>1.供应商为法人或者其他组织的提供其营业执照等证明文件（如营业执照或者事业单位法人证书或者执业许可证等），供应商为自然人的提供其身份证复印件；</w:t>
            </w:r>
            <w:r>
              <w:rPr>
                <w:rFonts w:hint="eastAsia" w:ascii="宋体" w:hAnsi="宋体" w:cs="宋体"/>
                <w:b/>
                <w:color w:val="0D0D0D"/>
                <w:sz w:val="22"/>
                <w:szCs w:val="24"/>
              </w:rPr>
              <w:t>（必须提供，否则谈判文件按无效响应处理）</w:t>
            </w:r>
          </w:p>
          <w:p w14:paraId="110A03F3">
            <w:pPr>
              <w:rPr>
                <w:rFonts w:hint="eastAsia" w:ascii="宋体" w:hAnsi="宋体"/>
                <w:color w:val="0D0D0D"/>
                <w:sz w:val="22"/>
                <w:szCs w:val="24"/>
              </w:rPr>
            </w:pPr>
            <w:r>
              <w:rPr>
                <w:rFonts w:hint="eastAsia" w:ascii="宋体" w:hAnsi="宋体" w:cs="宋体"/>
                <w:color w:val="0D0D0D"/>
                <w:sz w:val="22"/>
                <w:szCs w:val="24"/>
              </w:rPr>
              <w:t>2. 供应商依法缴纳税收的相关材料：</w:t>
            </w:r>
            <w:r>
              <w:rPr>
                <w:rFonts w:hint="eastAsia" w:ascii="宋体" w:hAnsi="宋体" w:cs="宋体"/>
                <w:color w:val="0D0D0D"/>
                <w:sz w:val="22"/>
                <w:szCs w:val="24"/>
                <w:u w:val="single"/>
                <w:lang w:eastAsia="zh-CN"/>
              </w:rPr>
              <w:t>响应</w:t>
            </w:r>
            <w:r>
              <w:rPr>
                <w:rFonts w:hint="eastAsia" w:ascii="宋体" w:hAnsi="宋体" w:cs="宋体"/>
                <w:color w:val="0D0D0D"/>
                <w:sz w:val="22"/>
                <w:szCs w:val="24"/>
                <w:u w:val="single"/>
              </w:rPr>
              <w:t>截止之日前半年中任意</w:t>
            </w:r>
            <w:r>
              <w:rPr>
                <w:rFonts w:hint="eastAsia" w:ascii="宋体" w:hAnsi="宋体" w:cs="宋体"/>
                <w:color w:val="0D0D0D"/>
                <w:sz w:val="22"/>
                <w:szCs w:val="24"/>
              </w:rPr>
              <w:t>连续</w:t>
            </w:r>
            <w:r>
              <w:rPr>
                <w:rFonts w:hint="eastAsia" w:ascii="宋体" w:hAnsi="宋体" w:cs="宋体"/>
                <w:color w:val="0D0D0D"/>
                <w:sz w:val="22"/>
                <w:szCs w:val="24"/>
                <w:u w:val="single"/>
              </w:rPr>
              <w:t>三</w:t>
            </w:r>
            <w:r>
              <w:rPr>
                <w:rFonts w:hint="eastAsia" w:ascii="宋体" w:hAnsi="宋体" w:cs="宋体"/>
                <w:color w:val="0D0D0D"/>
                <w:sz w:val="22"/>
                <w:szCs w:val="24"/>
              </w:rPr>
              <w:t>个月的依法缴纳税收的凭据复印件；依</w:t>
            </w:r>
            <w:r>
              <w:rPr>
                <w:rFonts w:hint="eastAsia" w:ascii="宋体" w:hAnsi="宋体"/>
                <w:color w:val="0D0D0D"/>
                <w:sz w:val="22"/>
                <w:szCs w:val="24"/>
              </w:rPr>
              <w:t>法免税的供应商，必须提供相应文件证明其依法免税。</w:t>
            </w:r>
            <w:r>
              <w:rPr>
                <w:rFonts w:hint="eastAsia" w:ascii="宋体" w:hAnsi="宋体" w:cs="宋体"/>
                <w:color w:val="0D0D0D"/>
                <w:sz w:val="22"/>
                <w:szCs w:val="24"/>
              </w:rPr>
              <w:t>从取得营业执照时间起到</w:t>
            </w:r>
            <w:r>
              <w:rPr>
                <w:rFonts w:hint="eastAsia" w:ascii="宋体" w:hAnsi="宋体" w:cs="宋体"/>
                <w:color w:val="0D0D0D"/>
                <w:sz w:val="22"/>
                <w:szCs w:val="24"/>
                <w:lang w:eastAsia="zh-CN"/>
              </w:rPr>
              <w:t>响应文件</w:t>
            </w:r>
            <w:r>
              <w:rPr>
                <w:rFonts w:hint="eastAsia" w:ascii="宋体" w:hAnsi="宋体" w:cs="宋体"/>
                <w:color w:val="0D0D0D"/>
                <w:sz w:val="22"/>
                <w:szCs w:val="24"/>
              </w:rPr>
              <w:t>提交截止时间为止不足要求月数的，只需提供从取得营业执照起的依法缴纳税收</w:t>
            </w:r>
            <w:r>
              <w:rPr>
                <w:rFonts w:hint="eastAsia" w:ascii="宋体" w:hAnsi="宋体"/>
                <w:color w:val="0D0D0D"/>
                <w:sz w:val="22"/>
                <w:szCs w:val="24"/>
              </w:rPr>
              <w:t>相应证明文件</w:t>
            </w:r>
            <w:r>
              <w:rPr>
                <w:rFonts w:hint="eastAsia" w:ascii="宋体" w:hAnsi="宋体" w:cs="宋体"/>
                <w:color w:val="0D0D0D"/>
                <w:sz w:val="22"/>
                <w:szCs w:val="24"/>
              </w:rPr>
              <w:t>）</w:t>
            </w:r>
            <w:r>
              <w:rPr>
                <w:rFonts w:hint="eastAsia" w:ascii="宋体" w:hAnsi="宋体"/>
                <w:color w:val="0D0D0D"/>
                <w:sz w:val="22"/>
                <w:szCs w:val="24"/>
              </w:rPr>
              <w:t>；</w:t>
            </w:r>
            <w:r>
              <w:rPr>
                <w:rFonts w:hint="eastAsia" w:ascii="宋体" w:hAnsi="宋体"/>
                <w:b/>
                <w:color w:val="0D0D0D"/>
                <w:sz w:val="22"/>
                <w:szCs w:val="24"/>
              </w:rPr>
              <w:t>（必须提供，否则作无效响应处理）</w:t>
            </w:r>
          </w:p>
          <w:p w14:paraId="5C173D11">
            <w:pPr>
              <w:rPr>
                <w:rFonts w:hint="eastAsia" w:ascii="宋体" w:hAnsi="宋体"/>
                <w:b/>
                <w:color w:val="0D0D0D"/>
                <w:sz w:val="22"/>
                <w:szCs w:val="24"/>
              </w:rPr>
            </w:pPr>
            <w:r>
              <w:rPr>
                <w:rFonts w:hint="eastAsia" w:ascii="宋体" w:hAnsi="宋体" w:cs="宋体"/>
                <w:color w:val="0D0D0D"/>
                <w:sz w:val="22"/>
                <w:szCs w:val="24"/>
              </w:rPr>
              <w:t>3.供应商依法缴纳社会保障资金的相关材料：</w:t>
            </w:r>
            <w:r>
              <w:rPr>
                <w:rFonts w:hint="eastAsia" w:ascii="宋体" w:hAnsi="宋体" w:cs="宋体"/>
                <w:color w:val="0D0D0D"/>
                <w:sz w:val="22"/>
                <w:szCs w:val="24"/>
                <w:u w:val="single"/>
                <w:lang w:eastAsia="zh-CN"/>
              </w:rPr>
              <w:t>响应</w:t>
            </w:r>
            <w:r>
              <w:rPr>
                <w:rFonts w:hint="eastAsia" w:ascii="宋体" w:hAnsi="宋体" w:cs="宋体"/>
                <w:color w:val="0D0D0D"/>
                <w:sz w:val="22"/>
                <w:szCs w:val="24"/>
                <w:u w:val="single"/>
              </w:rPr>
              <w:t>截止之日前半年中任意</w:t>
            </w:r>
            <w:r>
              <w:rPr>
                <w:rFonts w:hint="eastAsia" w:ascii="宋体" w:hAnsi="宋体" w:cs="宋体"/>
                <w:color w:val="0D0D0D"/>
                <w:sz w:val="22"/>
                <w:szCs w:val="24"/>
              </w:rPr>
              <w:t>连续</w:t>
            </w:r>
            <w:r>
              <w:rPr>
                <w:rFonts w:hint="eastAsia" w:ascii="宋体" w:hAnsi="宋体" w:cs="宋体"/>
                <w:color w:val="0D0D0D"/>
                <w:sz w:val="22"/>
                <w:szCs w:val="24"/>
                <w:u w:val="single"/>
              </w:rPr>
              <w:t>三</w:t>
            </w:r>
            <w:r>
              <w:rPr>
                <w:rFonts w:hint="eastAsia" w:ascii="宋体" w:hAnsi="宋体" w:cs="宋体"/>
                <w:color w:val="0D0D0D"/>
                <w:sz w:val="22"/>
                <w:szCs w:val="24"/>
              </w:rPr>
              <w:t>个月的依法缴纳社会保障资金的缴费凭证（专用收据或者社会保险缴纳清单）复印件；</w:t>
            </w:r>
            <w:r>
              <w:rPr>
                <w:rFonts w:hint="eastAsia" w:ascii="宋体" w:hAnsi="宋体"/>
                <w:color w:val="0D0D0D"/>
                <w:sz w:val="22"/>
                <w:szCs w:val="24"/>
              </w:rPr>
              <w:t>依法不需要缴纳社会保障资金的供应商，必须提供相应文件证明不需要缴纳社会保障资金。</w:t>
            </w:r>
            <w:r>
              <w:rPr>
                <w:rFonts w:hint="eastAsia" w:ascii="宋体" w:hAnsi="宋体" w:cs="宋体"/>
                <w:color w:val="0D0D0D"/>
                <w:sz w:val="22"/>
                <w:szCs w:val="24"/>
              </w:rPr>
              <w:t>从取得营业执照时间起到响应文件提交截止时间为止不足要求月数的只需提供从取得营业执照起的依法缴纳社会保障资金的</w:t>
            </w:r>
            <w:r>
              <w:rPr>
                <w:rFonts w:hint="eastAsia" w:ascii="宋体" w:hAnsi="宋体"/>
                <w:color w:val="0D0D0D"/>
                <w:sz w:val="22"/>
                <w:szCs w:val="24"/>
              </w:rPr>
              <w:t>相应证明文件；</w:t>
            </w:r>
            <w:r>
              <w:rPr>
                <w:rFonts w:hint="eastAsia" w:ascii="宋体" w:hAnsi="宋体"/>
                <w:b/>
                <w:color w:val="0D0D0D"/>
                <w:sz w:val="22"/>
                <w:szCs w:val="24"/>
              </w:rPr>
              <w:t>（必须提供，否则作无效响应处理）</w:t>
            </w:r>
          </w:p>
          <w:p w14:paraId="349166EA">
            <w:pPr>
              <w:snapToGrid w:val="0"/>
              <w:jc w:val="left"/>
              <w:rPr>
                <w:rFonts w:hint="eastAsia" w:ascii="宋体" w:hAnsi="宋体"/>
                <w:b/>
                <w:color w:val="0D0D0D"/>
                <w:sz w:val="22"/>
                <w:szCs w:val="24"/>
              </w:rPr>
            </w:pPr>
            <w:r>
              <w:rPr>
                <w:rFonts w:hint="eastAsia" w:ascii="宋体" w:hAnsi="宋体" w:cs="宋体"/>
                <w:color w:val="0D0D0D"/>
                <w:sz w:val="22"/>
                <w:szCs w:val="24"/>
              </w:rPr>
              <w:t>4.</w:t>
            </w:r>
            <w:r>
              <w:rPr>
                <w:color w:val="0D0D0D"/>
                <w:sz w:val="22"/>
                <w:szCs w:val="24"/>
              </w:rPr>
              <w:t xml:space="preserve"> </w:t>
            </w:r>
            <w:r>
              <w:rPr>
                <w:rFonts w:hint="eastAsia" w:ascii="宋体" w:hAnsi="宋体" w:cs="宋体"/>
                <w:color w:val="0D0D0D"/>
                <w:sz w:val="22"/>
                <w:szCs w:val="24"/>
              </w:rPr>
              <w:t>供应商财务状况报告：</w:t>
            </w:r>
            <w:r>
              <w:rPr>
                <w:rFonts w:hint="eastAsia" w:ascii="宋体" w:hAnsi="宋体"/>
                <w:color w:val="0D0D0D"/>
                <w:sz w:val="22"/>
                <w:szCs w:val="24"/>
              </w:rPr>
              <w:t>[2025年]财务状况报告复印件；供应商成立不满一年的应按提供首次响应文件提交截止时间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b/>
                <w:color w:val="0D0D0D"/>
                <w:sz w:val="22"/>
                <w:szCs w:val="24"/>
              </w:rPr>
              <w:t>（必须提供，否则作无效响应处理）</w:t>
            </w:r>
          </w:p>
          <w:p w14:paraId="4F22B10D">
            <w:pPr>
              <w:snapToGrid w:val="0"/>
              <w:jc w:val="left"/>
              <w:rPr>
                <w:rFonts w:hint="eastAsia" w:ascii="宋体" w:hAnsi="宋体" w:cs="宋体"/>
                <w:b/>
                <w:color w:val="0D0D0D"/>
                <w:sz w:val="22"/>
                <w:szCs w:val="24"/>
              </w:rPr>
            </w:pPr>
            <w:r>
              <w:rPr>
                <w:rFonts w:hint="eastAsia" w:ascii="宋体" w:hAnsi="宋体" w:cs="宋体"/>
                <w:color w:val="0D0D0D"/>
                <w:sz w:val="22"/>
                <w:szCs w:val="24"/>
              </w:rPr>
              <w:t>5.供应商直接控股、管理关系信息表；</w:t>
            </w:r>
            <w:r>
              <w:rPr>
                <w:rFonts w:hint="eastAsia" w:ascii="宋体" w:hAnsi="宋体" w:cs="宋体"/>
                <w:b/>
                <w:color w:val="0D0D0D"/>
                <w:sz w:val="22"/>
                <w:szCs w:val="24"/>
              </w:rPr>
              <w:t>（必须提供，否则响应文件按无效响应处理）</w:t>
            </w:r>
          </w:p>
          <w:p w14:paraId="064EE66B">
            <w:pPr>
              <w:snapToGrid w:val="0"/>
              <w:jc w:val="left"/>
              <w:rPr>
                <w:rFonts w:hint="eastAsia" w:ascii="宋体" w:hAnsi="宋体" w:cs="宋体"/>
                <w:b/>
                <w:color w:val="0D0D0D"/>
                <w:sz w:val="22"/>
                <w:szCs w:val="24"/>
              </w:rPr>
            </w:pPr>
            <w:r>
              <w:rPr>
                <w:rFonts w:hint="eastAsia" w:ascii="宋体" w:hAnsi="宋体" w:cs="宋体"/>
                <w:color w:val="0D0D0D"/>
                <w:sz w:val="22"/>
                <w:szCs w:val="24"/>
              </w:rPr>
              <w:t>6.资格声明函；</w:t>
            </w:r>
            <w:r>
              <w:rPr>
                <w:rFonts w:hint="eastAsia" w:ascii="宋体" w:hAnsi="宋体" w:cs="宋体"/>
                <w:b/>
                <w:color w:val="0D0D0D"/>
                <w:sz w:val="22"/>
                <w:szCs w:val="24"/>
              </w:rPr>
              <w:t>（必须提供，否则响应文件按无效响应处理）</w:t>
            </w:r>
          </w:p>
          <w:p w14:paraId="54E3C97E">
            <w:pPr>
              <w:snapToGrid w:val="0"/>
              <w:jc w:val="left"/>
              <w:rPr>
                <w:rFonts w:hint="eastAsia" w:eastAsia="仿宋_GB2312"/>
                <w:lang w:val="en-US" w:eastAsia="zh-CN"/>
              </w:rPr>
            </w:pPr>
            <w:r>
              <w:rPr>
                <w:rFonts w:hint="eastAsia" w:ascii="宋体" w:hAnsi="宋体" w:cs="宋体"/>
                <w:b/>
                <w:color w:val="0D0D0D"/>
                <w:sz w:val="22"/>
                <w:szCs w:val="24"/>
                <w:lang w:val="en-US" w:eastAsia="zh-CN"/>
              </w:rPr>
              <w:t>7.</w:t>
            </w:r>
            <w:r>
              <w:rPr>
                <w:rFonts w:hint="eastAsia" w:ascii="宋体" w:hAnsi="宋体" w:cs="宋体"/>
                <w:color w:val="0D0D0D"/>
                <w:sz w:val="22"/>
                <w:szCs w:val="24"/>
                <w:lang w:val="en-US" w:eastAsia="zh-CN"/>
              </w:rPr>
              <w:t>分包意向协议</w:t>
            </w:r>
            <w:r>
              <w:rPr>
                <w:rFonts w:hint="eastAsia" w:ascii="宋体" w:hAnsi="宋体" w:cs="宋体"/>
                <w:b/>
                <w:color w:val="0D0D0D"/>
                <w:sz w:val="22"/>
                <w:szCs w:val="24"/>
              </w:rPr>
              <w:t>（必须提供，否则响应文件按无效响应处理）</w:t>
            </w:r>
          </w:p>
          <w:p w14:paraId="29C78720">
            <w:pPr>
              <w:snapToGrid w:val="0"/>
              <w:jc w:val="left"/>
              <w:rPr>
                <w:rFonts w:hint="eastAsia" w:ascii="宋体" w:hAnsi="宋体" w:cs="宋体"/>
                <w:b/>
                <w:color w:val="0D0D0D"/>
                <w:sz w:val="22"/>
                <w:szCs w:val="24"/>
              </w:rPr>
            </w:pPr>
            <w:r>
              <w:rPr>
                <w:rFonts w:hint="eastAsia" w:ascii="宋体" w:hAnsi="宋体" w:cs="宋体"/>
                <w:b/>
                <w:color w:val="0D0D0D"/>
                <w:sz w:val="22"/>
                <w:szCs w:val="24"/>
                <w:lang w:val="en-US" w:eastAsia="zh-CN"/>
              </w:rPr>
              <w:t>8.</w:t>
            </w:r>
            <w:r>
              <w:rPr>
                <w:rFonts w:hint="eastAsia" w:ascii="宋体" w:hAnsi="宋体"/>
                <w:color w:val="0D0D0D"/>
                <w:sz w:val="22"/>
                <w:szCs w:val="24"/>
              </w:rPr>
              <w:t>中小企业声明函。</w:t>
            </w:r>
            <w:r>
              <w:rPr>
                <w:rFonts w:hint="eastAsia" w:ascii="宋体" w:hAnsi="宋体" w:cs="宋体"/>
                <w:b/>
                <w:color w:val="0D0D0D"/>
                <w:sz w:val="22"/>
                <w:szCs w:val="24"/>
              </w:rPr>
              <w:t>（必须提供，否则响应文件按无效响应处理）</w:t>
            </w:r>
          </w:p>
          <w:p w14:paraId="4BE80840">
            <w:pPr>
              <w:snapToGrid w:val="0"/>
              <w:jc w:val="left"/>
              <w:rPr>
                <w:rFonts w:hint="default" w:ascii="宋体" w:hAnsi="宋体" w:cs="宋体"/>
                <w:b/>
                <w:color w:val="0D0D0D"/>
                <w:sz w:val="22"/>
                <w:szCs w:val="24"/>
                <w:highlight w:val="none"/>
                <w:lang w:val="en-US" w:eastAsia="zh-CN"/>
              </w:rPr>
            </w:pPr>
            <w:r>
              <w:rPr>
                <w:rFonts w:hint="eastAsia" w:ascii="宋体" w:hAnsi="宋体" w:cs="宋体"/>
                <w:b/>
                <w:color w:val="0D0D0D"/>
                <w:sz w:val="22"/>
                <w:szCs w:val="24"/>
                <w:highlight w:val="none"/>
                <w:lang w:val="en-US" w:eastAsia="zh-CN"/>
              </w:rPr>
              <w:t>9.中小微企业产品报价表</w:t>
            </w:r>
            <w:r>
              <w:rPr>
                <w:rFonts w:hint="eastAsia" w:ascii="宋体" w:hAnsi="宋体" w:cs="宋体"/>
                <w:b/>
                <w:color w:val="0D0D0D"/>
                <w:sz w:val="22"/>
                <w:szCs w:val="24"/>
                <w:highlight w:val="none"/>
              </w:rPr>
              <w:t>（必须提供，否则响应文件按无效响应处理）</w:t>
            </w:r>
          </w:p>
          <w:p w14:paraId="04F50CB4">
            <w:pPr>
              <w:snapToGrid w:val="0"/>
              <w:spacing w:line="380" w:lineRule="exact"/>
              <w:jc w:val="left"/>
              <w:rPr>
                <w:rFonts w:hint="eastAsia" w:ascii="宋体" w:hAnsi="宋体"/>
                <w:color w:val="000000"/>
                <w:szCs w:val="21"/>
              </w:rPr>
            </w:pPr>
            <w:r>
              <w:rPr>
                <w:rFonts w:hint="eastAsia" w:ascii="宋体" w:hAnsi="宋体" w:cs="宋体"/>
                <w:b/>
                <w:color w:val="0D0D0D"/>
                <w:kern w:val="2"/>
                <w:sz w:val="22"/>
                <w:szCs w:val="24"/>
                <w:lang w:val="en-US" w:eastAsia="zh-CN" w:bidi="ar-SA"/>
              </w:rPr>
              <w:t>10</w:t>
            </w:r>
            <w:r>
              <w:rPr>
                <w:rFonts w:hint="eastAsia" w:ascii="宋体" w:hAnsi="宋体" w:eastAsia="宋体" w:cs="宋体"/>
                <w:b/>
                <w:color w:val="0D0D0D"/>
                <w:kern w:val="2"/>
                <w:sz w:val="22"/>
                <w:szCs w:val="24"/>
                <w:lang w:val="en-US" w:eastAsia="zh-CN" w:bidi="ar-SA"/>
              </w:rPr>
              <w:t>.除谈判文件规定必须提供以外，供应商</w:t>
            </w:r>
            <w:r>
              <w:rPr>
                <w:rFonts w:hint="eastAsia" w:ascii="宋体" w:hAnsi="宋体" w:cs="宋体"/>
                <w:color w:val="0D0D0D"/>
                <w:sz w:val="22"/>
                <w:szCs w:val="24"/>
              </w:rPr>
              <w:t>认为需要提供的其他证明材料；</w:t>
            </w:r>
            <w:r>
              <w:rPr>
                <w:rFonts w:hint="eastAsia" w:ascii="宋体" w:hAnsi="宋体"/>
                <w:b/>
                <w:color w:val="000000"/>
                <w:szCs w:val="21"/>
              </w:rPr>
              <w:t>（根据“第二章 采购需求”</w:t>
            </w:r>
            <w:r>
              <w:rPr>
                <w:rFonts w:hint="eastAsia" w:ascii="宋体" w:hAnsi="宋体"/>
                <w:b/>
                <w:szCs w:val="21"/>
              </w:rPr>
              <w:t>提供</w:t>
            </w:r>
            <w:r>
              <w:rPr>
                <w:rFonts w:hint="eastAsia" w:ascii="宋体" w:hAnsi="宋体"/>
                <w:b/>
                <w:color w:val="000000"/>
                <w:szCs w:val="21"/>
              </w:rPr>
              <w:t>）</w:t>
            </w:r>
          </w:p>
          <w:p w14:paraId="07245D1A">
            <w:pPr>
              <w:snapToGrid w:val="0"/>
              <w:jc w:val="left"/>
              <w:rPr>
                <w:rFonts w:ascii="宋体" w:hAnsi="宋体" w:cs="宋体"/>
                <w:b/>
                <w:color w:val="0D0D0D"/>
                <w:sz w:val="22"/>
                <w:szCs w:val="24"/>
              </w:rPr>
            </w:pPr>
            <w:r>
              <w:rPr>
                <w:rFonts w:hint="eastAsia" w:ascii="宋体" w:hAnsi="宋体" w:cs="宋体"/>
                <w:b/>
                <w:color w:val="0D0D0D"/>
                <w:sz w:val="22"/>
                <w:szCs w:val="24"/>
              </w:rPr>
              <w:t>注：1.以上标明“必须提供”的材料属于复印件的扫描件的，必须加盖供应商电子公章，否则响应文件按无效响应处理。</w:t>
            </w:r>
          </w:p>
        </w:tc>
      </w:tr>
      <w:tr w14:paraId="6D3C5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89" w:type="pct"/>
            <w:vMerge w:val="restart"/>
            <w:tcBorders>
              <w:top w:val="single" w:color="000000" w:sz="4" w:space="0"/>
              <w:left w:val="single" w:color="000000" w:sz="4" w:space="0"/>
              <w:bottom w:val="single" w:color="000000" w:sz="4" w:space="0"/>
              <w:right w:val="single" w:color="000000" w:sz="4" w:space="0"/>
            </w:tcBorders>
            <w:noWrap w:val="0"/>
            <w:vAlign w:val="center"/>
          </w:tcPr>
          <w:p w14:paraId="1BAB9C08">
            <w:pPr>
              <w:jc w:val="center"/>
              <w:rPr>
                <w:rFonts w:ascii="宋体" w:hAnsi="宋体" w:cs="宋体"/>
                <w:color w:val="0D0D0D"/>
                <w:sz w:val="22"/>
                <w:szCs w:val="24"/>
              </w:rPr>
            </w:pPr>
            <w:r>
              <w:rPr>
                <w:rFonts w:hint="eastAsia" w:ascii="宋体" w:hAnsi="宋体" w:cs="宋体"/>
                <w:color w:val="0D0D0D"/>
                <w:sz w:val="22"/>
                <w:szCs w:val="24"/>
              </w:rPr>
              <w:t>12.1.2</w:t>
            </w:r>
          </w:p>
        </w:tc>
        <w:tc>
          <w:tcPr>
            <w:tcW w:w="1270" w:type="pct"/>
            <w:tcBorders>
              <w:top w:val="single" w:color="000000" w:sz="4" w:space="0"/>
              <w:left w:val="single" w:color="000000" w:sz="4" w:space="0"/>
              <w:bottom w:val="single" w:color="000000" w:sz="4" w:space="0"/>
              <w:right w:val="single" w:color="000000" w:sz="4" w:space="0"/>
            </w:tcBorders>
            <w:noWrap w:val="0"/>
            <w:vAlign w:val="center"/>
          </w:tcPr>
          <w:p w14:paraId="4AA87873">
            <w:pPr>
              <w:jc w:val="center"/>
              <w:rPr>
                <w:rFonts w:ascii="宋体" w:hAnsi="宋体" w:cs="宋体"/>
                <w:bCs/>
                <w:color w:val="0D0D0D"/>
                <w:sz w:val="22"/>
                <w:szCs w:val="24"/>
              </w:rPr>
            </w:pPr>
            <w:r>
              <w:rPr>
                <w:rFonts w:hint="eastAsia" w:ascii="宋体" w:hAnsi="宋体" w:cs="宋体"/>
                <w:bCs/>
                <w:color w:val="0D0D0D"/>
                <w:sz w:val="22"/>
                <w:szCs w:val="24"/>
              </w:rPr>
              <w:t>商务文件组成</w:t>
            </w:r>
          </w:p>
        </w:tc>
        <w:tc>
          <w:tcPr>
            <w:tcW w:w="3239" w:type="pct"/>
            <w:tcBorders>
              <w:top w:val="single" w:color="000000" w:sz="4" w:space="0"/>
              <w:left w:val="single" w:color="000000" w:sz="4" w:space="0"/>
              <w:bottom w:val="single" w:color="000000" w:sz="4" w:space="0"/>
              <w:right w:val="single" w:color="000000" w:sz="4" w:space="0"/>
            </w:tcBorders>
            <w:noWrap w:val="0"/>
            <w:vAlign w:val="center"/>
          </w:tcPr>
          <w:p w14:paraId="1C859B69">
            <w:pPr>
              <w:rPr>
                <w:rFonts w:ascii="宋体" w:hAnsi="宋体" w:cs="宋体"/>
                <w:b/>
                <w:color w:val="0D0D0D"/>
                <w:sz w:val="22"/>
                <w:szCs w:val="24"/>
              </w:rPr>
            </w:pPr>
            <w:r>
              <w:rPr>
                <w:rFonts w:hint="eastAsia" w:ascii="宋体" w:hAnsi="宋体" w:cs="宋体"/>
                <w:color w:val="0D0D0D"/>
                <w:sz w:val="22"/>
                <w:szCs w:val="24"/>
              </w:rPr>
              <w:t>1.无串通</w:t>
            </w:r>
            <w:r>
              <w:rPr>
                <w:rFonts w:hint="eastAsia" w:ascii="宋体" w:hAnsi="宋体" w:cs="宋体"/>
                <w:color w:val="0D0D0D"/>
                <w:sz w:val="22"/>
                <w:szCs w:val="24"/>
                <w:lang w:eastAsia="zh-CN"/>
              </w:rPr>
              <w:t>响应</w:t>
            </w:r>
            <w:r>
              <w:rPr>
                <w:rFonts w:hint="eastAsia" w:ascii="宋体" w:hAnsi="宋体" w:cs="宋体"/>
                <w:color w:val="0D0D0D"/>
                <w:sz w:val="22"/>
                <w:szCs w:val="24"/>
              </w:rPr>
              <w:t>行为的承诺函；</w:t>
            </w:r>
            <w:r>
              <w:rPr>
                <w:rFonts w:hint="eastAsia" w:ascii="宋体" w:hAnsi="宋体" w:cs="宋体"/>
                <w:b/>
                <w:color w:val="0D0D0D"/>
                <w:sz w:val="22"/>
                <w:szCs w:val="24"/>
              </w:rPr>
              <w:t>（必须提供，否则响应文件按无效响应处理）</w:t>
            </w:r>
          </w:p>
          <w:p w14:paraId="25322C30">
            <w:pPr>
              <w:snapToGrid w:val="0"/>
              <w:jc w:val="left"/>
              <w:rPr>
                <w:rFonts w:hint="eastAsia" w:ascii="宋体" w:hAnsi="宋体" w:cs="宋体"/>
                <w:color w:val="0D0D0D"/>
                <w:sz w:val="22"/>
                <w:szCs w:val="24"/>
              </w:rPr>
            </w:pPr>
            <w:r>
              <w:rPr>
                <w:rFonts w:hint="eastAsia" w:ascii="宋体" w:hAnsi="宋体" w:cs="宋体"/>
                <w:color w:val="0D0D0D"/>
                <w:sz w:val="22"/>
                <w:szCs w:val="24"/>
              </w:rPr>
              <w:t>2.法定代表人身份证明书及法定代表人有效身份证正反面复印件；</w:t>
            </w:r>
            <w:r>
              <w:rPr>
                <w:rFonts w:hint="eastAsia" w:ascii="宋体" w:hAnsi="宋体" w:cs="宋体"/>
                <w:b/>
                <w:color w:val="0D0D0D"/>
                <w:sz w:val="22"/>
                <w:szCs w:val="24"/>
              </w:rPr>
              <w:t>（</w:t>
            </w:r>
            <w:r>
              <w:rPr>
                <w:rFonts w:hint="eastAsia" w:ascii="宋体" w:hAnsi="宋体" w:cs="宋体"/>
                <w:b/>
                <w:bCs/>
                <w:color w:val="0D0D0D"/>
                <w:sz w:val="22"/>
                <w:szCs w:val="24"/>
              </w:rPr>
              <w:t>除自然人</w:t>
            </w:r>
            <w:r>
              <w:rPr>
                <w:rFonts w:hint="eastAsia" w:ascii="宋体" w:hAnsi="宋体" w:cs="宋体"/>
                <w:b/>
                <w:bCs/>
                <w:color w:val="0D0D0D"/>
                <w:sz w:val="22"/>
                <w:szCs w:val="24"/>
                <w:lang w:eastAsia="zh-CN"/>
              </w:rPr>
              <w:t>响应</w:t>
            </w:r>
            <w:r>
              <w:rPr>
                <w:rFonts w:hint="eastAsia" w:ascii="宋体" w:hAnsi="宋体" w:cs="宋体"/>
                <w:b/>
                <w:bCs/>
                <w:color w:val="0D0D0D"/>
                <w:sz w:val="22"/>
                <w:szCs w:val="24"/>
              </w:rPr>
              <w:t>外</w:t>
            </w:r>
            <w:r>
              <w:rPr>
                <w:rFonts w:hint="eastAsia" w:ascii="宋体" w:hAnsi="宋体" w:cs="宋体"/>
                <w:b/>
                <w:color w:val="0D0D0D"/>
                <w:sz w:val="22"/>
                <w:szCs w:val="24"/>
              </w:rPr>
              <w:t>必须提供，否则响应文件按无效响应处理）</w:t>
            </w:r>
          </w:p>
          <w:p w14:paraId="5942BBAA">
            <w:pPr>
              <w:rPr>
                <w:rFonts w:hint="eastAsia" w:ascii="宋体" w:hAnsi="宋体" w:cs="宋体"/>
                <w:color w:val="0D0D0D"/>
                <w:sz w:val="22"/>
                <w:szCs w:val="24"/>
              </w:rPr>
            </w:pPr>
            <w:r>
              <w:rPr>
                <w:rFonts w:hint="eastAsia" w:ascii="宋体" w:hAnsi="宋体" w:cs="宋体"/>
                <w:color w:val="0D0D0D"/>
                <w:sz w:val="22"/>
                <w:szCs w:val="24"/>
              </w:rPr>
              <w:t>3.法定代表人授权委托书及委托代理人有效身份证正反面复印件；</w:t>
            </w:r>
            <w:r>
              <w:rPr>
                <w:rFonts w:hint="eastAsia" w:ascii="宋体" w:hAnsi="宋体" w:cs="宋体"/>
                <w:b/>
                <w:color w:val="0D0D0D"/>
                <w:sz w:val="22"/>
                <w:szCs w:val="24"/>
              </w:rPr>
              <w:t>（委托时必须提供，否则响应文件按无效响应处理）</w:t>
            </w:r>
          </w:p>
          <w:p w14:paraId="1324DDE4">
            <w:pPr>
              <w:rPr>
                <w:rFonts w:hint="eastAsia" w:ascii="宋体" w:hAnsi="宋体" w:cs="宋体"/>
                <w:b/>
                <w:color w:val="0D0D0D"/>
                <w:sz w:val="22"/>
                <w:szCs w:val="24"/>
              </w:rPr>
            </w:pPr>
            <w:r>
              <w:rPr>
                <w:rFonts w:hint="eastAsia" w:ascii="宋体" w:hAnsi="宋体" w:cs="宋体"/>
                <w:color w:val="0D0D0D"/>
                <w:sz w:val="22"/>
                <w:szCs w:val="24"/>
              </w:rPr>
              <w:t>4.商务条款偏离表；</w:t>
            </w:r>
            <w:r>
              <w:rPr>
                <w:rFonts w:hint="eastAsia" w:ascii="宋体" w:hAnsi="宋体" w:cs="宋体"/>
                <w:b/>
                <w:color w:val="0D0D0D"/>
                <w:sz w:val="22"/>
                <w:szCs w:val="24"/>
              </w:rPr>
              <w:t>（必须提供，否则响应文件按无效响应处理）</w:t>
            </w:r>
          </w:p>
          <w:p w14:paraId="32B2571B">
            <w:pPr>
              <w:snapToGrid w:val="0"/>
              <w:spacing w:line="380" w:lineRule="exact"/>
              <w:jc w:val="left"/>
              <w:rPr>
                <w:rFonts w:hint="eastAsia" w:ascii="宋体" w:hAnsi="宋体"/>
                <w:color w:val="000000"/>
                <w:szCs w:val="21"/>
              </w:rPr>
            </w:pPr>
            <w:r>
              <w:rPr>
                <w:rFonts w:hint="eastAsia" w:ascii="宋体" w:hAnsi="宋体" w:cs="宋体"/>
                <w:color w:val="0D0D0D"/>
                <w:sz w:val="22"/>
                <w:szCs w:val="24"/>
              </w:rPr>
              <w:t>5.</w:t>
            </w:r>
            <w:r>
              <w:rPr>
                <w:rFonts w:hint="eastAsia" w:ascii="宋体" w:hAnsi="宋体" w:cs="宋体"/>
                <w:color w:val="0D0D0D"/>
                <w:sz w:val="22"/>
                <w:szCs w:val="24"/>
                <w:lang w:eastAsia="zh-CN"/>
              </w:rPr>
              <w:t>响应</w:t>
            </w:r>
            <w:r>
              <w:rPr>
                <w:rFonts w:hint="eastAsia" w:ascii="宋体" w:hAnsi="宋体" w:cs="宋体"/>
                <w:color w:val="0D0D0D"/>
                <w:sz w:val="22"/>
                <w:szCs w:val="24"/>
              </w:rPr>
              <w:t>人情况介绍；</w:t>
            </w:r>
            <w:r>
              <w:rPr>
                <w:rFonts w:hint="eastAsia" w:ascii="宋体" w:hAnsi="宋体"/>
                <w:b/>
                <w:color w:val="000000"/>
                <w:szCs w:val="21"/>
              </w:rPr>
              <w:t>（根据“第二章 采购需求”</w:t>
            </w:r>
            <w:r>
              <w:rPr>
                <w:rFonts w:hint="eastAsia" w:ascii="宋体" w:hAnsi="宋体"/>
                <w:b/>
                <w:szCs w:val="21"/>
              </w:rPr>
              <w:t>提供</w:t>
            </w:r>
            <w:r>
              <w:rPr>
                <w:rFonts w:hint="eastAsia" w:ascii="宋体" w:hAnsi="宋体"/>
                <w:b/>
                <w:color w:val="000000"/>
                <w:szCs w:val="21"/>
              </w:rPr>
              <w:t>）</w:t>
            </w:r>
          </w:p>
          <w:p w14:paraId="2C421563">
            <w:pPr>
              <w:rPr>
                <w:rFonts w:hint="eastAsia" w:ascii="宋体" w:hAnsi="宋体" w:cs="宋体"/>
                <w:color w:val="0D0D0D"/>
                <w:sz w:val="22"/>
                <w:szCs w:val="24"/>
              </w:rPr>
            </w:pPr>
            <w:r>
              <w:rPr>
                <w:rFonts w:hint="eastAsia" w:ascii="宋体" w:hAnsi="宋体" w:cs="宋体"/>
                <w:color w:val="0D0D0D"/>
                <w:sz w:val="22"/>
                <w:szCs w:val="24"/>
              </w:rPr>
              <w:t>6.供应商认为需要提供的其他有关资料。</w:t>
            </w:r>
            <w:r>
              <w:rPr>
                <w:rFonts w:hint="eastAsia" w:ascii="宋体" w:hAnsi="宋体"/>
                <w:b/>
                <w:color w:val="000000"/>
                <w:szCs w:val="21"/>
              </w:rPr>
              <w:t>（根据“第二章 采购需求”</w:t>
            </w:r>
            <w:r>
              <w:rPr>
                <w:rFonts w:hint="eastAsia" w:ascii="宋体" w:hAnsi="宋体"/>
                <w:b/>
                <w:szCs w:val="21"/>
              </w:rPr>
              <w:t>提供</w:t>
            </w:r>
            <w:r>
              <w:rPr>
                <w:rFonts w:hint="eastAsia" w:ascii="宋体" w:hAnsi="宋体"/>
                <w:b/>
                <w:color w:val="000000"/>
                <w:szCs w:val="21"/>
              </w:rPr>
              <w:t>）</w:t>
            </w:r>
          </w:p>
          <w:p w14:paraId="046C7F2B">
            <w:pPr>
              <w:snapToGrid w:val="0"/>
              <w:jc w:val="left"/>
              <w:rPr>
                <w:rFonts w:hint="eastAsia" w:ascii="宋体" w:hAnsi="宋体" w:cs="宋体"/>
                <w:b/>
                <w:color w:val="0D0D0D"/>
                <w:sz w:val="22"/>
                <w:szCs w:val="24"/>
              </w:rPr>
            </w:pPr>
            <w:r>
              <w:rPr>
                <w:rFonts w:hint="eastAsia" w:ascii="宋体" w:hAnsi="宋体" w:cs="宋体"/>
                <w:b/>
                <w:color w:val="0D0D0D"/>
                <w:sz w:val="22"/>
                <w:szCs w:val="24"/>
              </w:rPr>
              <w:t>注： 1.法定代表人授权委托书必须由法定代表人及委托代理人签字，并加盖供应商公章，否则响应文件按无效响应处理。</w:t>
            </w:r>
          </w:p>
          <w:p w14:paraId="1A6820B4">
            <w:pPr>
              <w:snapToGrid w:val="0"/>
              <w:jc w:val="left"/>
              <w:rPr>
                <w:rFonts w:ascii="宋体" w:hAnsi="宋体" w:cs="宋体"/>
                <w:b/>
                <w:color w:val="0D0D0D"/>
                <w:sz w:val="22"/>
                <w:szCs w:val="24"/>
              </w:rPr>
            </w:pPr>
            <w:r>
              <w:rPr>
                <w:rFonts w:hint="eastAsia" w:ascii="宋体" w:hAnsi="宋体" w:cs="宋体"/>
                <w:b/>
                <w:color w:val="0D0D0D"/>
                <w:sz w:val="22"/>
                <w:szCs w:val="24"/>
              </w:rPr>
              <w:t>2.以上标明“必须提供”的材料属于复印件的扫描件的，必须加盖供应商电子公章，否则响应文件按无效响应处理。</w:t>
            </w:r>
          </w:p>
        </w:tc>
      </w:tr>
      <w:tr w14:paraId="5F66D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10FE86">
            <w:pPr>
              <w:widowControl/>
              <w:jc w:val="left"/>
              <w:rPr>
                <w:rFonts w:ascii="宋体" w:hAnsi="宋体" w:cs="宋体"/>
                <w:color w:val="0D0D0D"/>
                <w:sz w:val="22"/>
                <w:szCs w:val="24"/>
              </w:rPr>
            </w:pPr>
          </w:p>
        </w:tc>
        <w:tc>
          <w:tcPr>
            <w:tcW w:w="1270" w:type="pct"/>
            <w:tcBorders>
              <w:top w:val="single" w:color="000000" w:sz="4" w:space="0"/>
              <w:left w:val="single" w:color="000000" w:sz="4" w:space="0"/>
              <w:bottom w:val="single" w:color="000000" w:sz="4" w:space="0"/>
              <w:right w:val="single" w:color="000000" w:sz="4" w:space="0"/>
            </w:tcBorders>
            <w:noWrap w:val="0"/>
            <w:vAlign w:val="center"/>
          </w:tcPr>
          <w:p w14:paraId="4811BB6B">
            <w:pPr>
              <w:jc w:val="center"/>
              <w:rPr>
                <w:rFonts w:ascii="宋体" w:hAnsi="宋体" w:cs="宋体"/>
                <w:bCs/>
                <w:color w:val="0D0D0D"/>
                <w:sz w:val="22"/>
                <w:szCs w:val="24"/>
              </w:rPr>
            </w:pPr>
            <w:r>
              <w:rPr>
                <w:rFonts w:hint="eastAsia" w:ascii="宋体" w:hAnsi="宋体" w:cs="宋体"/>
                <w:bCs/>
                <w:color w:val="0D0D0D"/>
                <w:sz w:val="22"/>
                <w:szCs w:val="24"/>
              </w:rPr>
              <w:t>技术文件组成</w:t>
            </w:r>
          </w:p>
        </w:tc>
        <w:tc>
          <w:tcPr>
            <w:tcW w:w="3239" w:type="pct"/>
            <w:tcBorders>
              <w:top w:val="single" w:color="000000" w:sz="4" w:space="0"/>
              <w:left w:val="single" w:color="000000" w:sz="4" w:space="0"/>
              <w:bottom w:val="single" w:color="000000" w:sz="4" w:space="0"/>
              <w:right w:val="single" w:color="000000" w:sz="4" w:space="0"/>
            </w:tcBorders>
            <w:noWrap w:val="0"/>
            <w:vAlign w:val="center"/>
          </w:tcPr>
          <w:p w14:paraId="4E5F2DDA">
            <w:pPr>
              <w:rPr>
                <w:rFonts w:ascii="宋体" w:hAnsi="宋体" w:cs="宋体"/>
                <w:b/>
                <w:color w:val="0D0D0D"/>
                <w:sz w:val="22"/>
                <w:szCs w:val="24"/>
              </w:rPr>
            </w:pPr>
            <w:r>
              <w:rPr>
                <w:rFonts w:hint="eastAsia" w:ascii="宋体" w:hAnsi="宋体" w:cs="宋体"/>
                <w:color w:val="0D0D0D"/>
                <w:sz w:val="22"/>
                <w:szCs w:val="24"/>
              </w:rPr>
              <w:t>1.货物需求偏离表；</w:t>
            </w:r>
            <w:r>
              <w:rPr>
                <w:rFonts w:hint="eastAsia" w:ascii="宋体" w:hAnsi="宋体" w:cs="宋体"/>
                <w:b/>
                <w:color w:val="0D0D0D"/>
                <w:sz w:val="22"/>
                <w:szCs w:val="24"/>
              </w:rPr>
              <w:t>（必须提供，否则响应文件按无效响应处理）</w:t>
            </w:r>
          </w:p>
          <w:p w14:paraId="6E81871C">
            <w:pPr>
              <w:rPr>
                <w:rFonts w:hint="eastAsia" w:ascii="宋体" w:hAnsi="宋体" w:cs="宋体"/>
                <w:color w:val="0D0D0D"/>
                <w:sz w:val="22"/>
                <w:szCs w:val="24"/>
              </w:rPr>
            </w:pPr>
            <w:r>
              <w:rPr>
                <w:rFonts w:hint="eastAsia" w:ascii="宋体" w:hAnsi="宋体" w:cs="宋体"/>
                <w:color w:val="0D0D0D"/>
                <w:sz w:val="22"/>
                <w:szCs w:val="24"/>
              </w:rPr>
              <w:t>2. 配置清单；</w:t>
            </w:r>
            <w:r>
              <w:rPr>
                <w:rFonts w:hint="eastAsia" w:ascii="宋体" w:hAnsi="宋体"/>
                <w:b/>
                <w:color w:val="000000"/>
                <w:szCs w:val="21"/>
              </w:rPr>
              <w:t>（根据“第二章 采购需求”</w:t>
            </w:r>
            <w:r>
              <w:rPr>
                <w:rFonts w:hint="eastAsia" w:ascii="宋体" w:hAnsi="宋体"/>
                <w:b/>
                <w:szCs w:val="21"/>
              </w:rPr>
              <w:t>提供</w:t>
            </w:r>
            <w:r>
              <w:rPr>
                <w:rFonts w:hint="eastAsia" w:ascii="宋体" w:hAnsi="宋体"/>
                <w:b/>
                <w:color w:val="000000"/>
                <w:szCs w:val="21"/>
              </w:rPr>
              <w:t>）</w:t>
            </w:r>
          </w:p>
          <w:p w14:paraId="7FE3575F">
            <w:pPr>
              <w:rPr>
                <w:rFonts w:hint="eastAsia" w:ascii="宋体" w:hAnsi="宋体" w:cs="宋体"/>
                <w:color w:val="0D0D0D"/>
                <w:sz w:val="22"/>
                <w:szCs w:val="24"/>
              </w:rPr>
            </w:pPr>
            <w:r>
              <w:rPr>
                <w:rFonts w:hint="eastAsia" w:ascii="宋体" w:hAnsi="宋体" w:cs="宋体"/>
                <w:color w:val="0D0D0D"/>
                <w:sz w:val="22"/>
                <w:szCs w:val="24"/>
              </w:rPr>
              <w:t>3.售后服务承诺；</w:t>
            </w:r>
            <w:r>
              <w:rPr>
                <w:rFonts w:hint="eastAsia" w:ascii="宋体" w:hAnsi="宋体"/>
                <w:b/>
                <w:color w:val="000000"/>
                <w:szCs w:val="21"/>
              </w:rPr>
              <w:t>（根据“第二章 采购需求”</w:t>
            </w:r>
            <w:r>
              <w:rPr>
                <w:rFonts w:hint="eastAsia" w:ascii="宋体" w:hAnsi="宋体"/>
                <w:b/>
                <w:szCs w:val="21"/>
              </w:rPr>
              <w:t>提供</w:t>
            </w:r>
            <w:r>
              <w:rPr>
                <w:rFonts w:hint="eastAsia" w:ascii="宋体" w:hAnsi="宋体"/>
                <w:b/>
                <w:color w:val="000000"/>
                <w:szCs w:val="21"/>
              </w:rPr>
              <w:t>）</w:t>
            </w:r>
          </w:p>
          <w:p w14:paraId="41264608">
            <w:pPr>
              <w:rPr>
                <w:rFonts w:hint="eastAsia" w:ascii="宋体" w:hAnsi="宋体" w:cs="宋体"/>
                <w:color w:val="0D0D0D"/>
                <w:sz w:val="22"/>
                <w:szCs w:val="24"/>
              </w:rPr>
            </w:pPr>
            <w:r>
              <w:rPr>
                <w:rFonts w:hint="eastAsia" w:ascii="宋体" w:hAnsi="宋体" w:cs="宋体"/>
                <w:color w:val="0D0D0D"/>
                <w:sz w:val="22"/>
                <w:szCs w:val="24"/>
              </w:rPr>
              <w:t>4.项目实施人员一览表；</w:t>
            </w:r>
            <w:r>
              <w:rPr>
                <w:rFonts w:hint="eastAsia" w:ascii="宋体" w:hAnsi="宋体"/>
                <w:b/>
                <w:color w:val="000000"/>
                <w:szCs w:val="21"/>
              </w:rPr>
              <w:t>（根据“第二章 采购需求”</w:t>
            </w:r>
            <w:r>
              <w:rPr>
                <w:rFonts w:hint="eastAsia" w:ascii="宋体" w:hAnsi="宋体"/>
                <w:b/>
                <w:szCs w:val="21"/>
              </w:rPr>
              <w:t>提供</w:t>
            </w:r>
            <w:r>
              <w:rPr>
                <w:rFonts w:hint="eastAsia" w:ascii="宋体" w:hAnsi="宋体"/>
                <w:b/>
                <w:color w:val="000000"/>
                <w:szCs w:val="21"/>
              </w:rPr>
              <w:t>）</w:t>
            </w:r>
          </w:p>
          <w:p w14:paraId="2F776D30">
            <w:pPr>
              <w:rPr>
                <w:rFonts w:hint="eastAsia" w:ascii="宋体" w:hAnsi="宋体" w:cs="宋体"/>
                <w:color w:val="0D0D0D"/>
                <w:sz w:val="22"/>
                <w:szCs w:val="24"/>
              </w:rPr>
            </w:pPr>
            <w:r>
              <w:rPr>
                <w:rFonts w:hint="eastAsia" w:ascii="宋体" w:hAnsi="宋体" w:cs="宋体"/>
                <w:color w:val="0D0D0D"/>
                <w:sz w:val="22"/>
                <w:szCs w:val="24"/>
              </w:rPr>
              <w:t>5.对应采购需求的货物需求、商务条款提供的其他文件资料；</w:t>
            </w:r>
            <w:r>
              <w:rPr>
                <w:rFonts w:hint="eastAsia" w:ascii="宋体" w:hAnsi="宋体"/>
                <w:b/>
                <w:color w:val="000000"/>
                <w:szCs w:val="21"/>
              </w:rPr>
              <w:t>（根据“第二章 采购需求”</w:t>
            </w:r>
            <w:r>
              <w:rPr>
                <w:rFonts w:hint="eastAsia" w:ascii="宋体" w:hAnsi="宋体"/>
                <w:b/>
                <w:szCs w:val="21"/>
              </w:rPr>
              <w:t>提供</w:t>
            </w:r>
            <w:r>
              <w:rPr>
                <w:rFonts w:hint="eastAsia" w:ascii="宋体" w:hAnsi="宋体"/>
                <w:b/>
                <w:color w:val="000000"/>
                <w:szCs w:val="21"/>
              </w:rPr>
              <w:t>）</w:t>
            </w:r>
          </w:p>
          <w:p w14:paraId="73F65453">
            <w:pPr>
              <w:rPr>
                <w:rFonts w:hint="eastAsia" w:ascii="宋体" w:hAnsi="宋体" w:cs="宋体"/>
                <w:color w:val="0D0D0D"/>
                <w:sz w:val="22"/>
                <w:szCs w:val="24"/>
              </w:rPr>
            </w:pPr>
            <w:r>
              <w:rPr>
                <w:rFonts w:hint="eastAsia" w:ascii="宋体" w:hAnsi="宋体" w:cs="宋体"/>
                <w:color w:val="0D0D0D"/>
                <w:sz w:val="22"/>
                <w:szCs w:val="24"/>
              </w:rPr>
              <w:t>6.供应商认为需要提供的其他有关资料。</w:t>
            </w:r>
            <w:r>
              <w:rPr>
                <w:rFonts w:hint="eastAsia" w:ascii="宋体" w:hAnsi="宋体"/>
                <w:b/>
                <w:color w:val="000000"/>
                <w:szCs w:val="21"/>
              </w:rPr>
              <w:t>（根据“第二章 采购需求”</w:t>
            </w:r>
            <w:r>
              <w:rPr>
                <w:rFonts w:hint="eastAsia" w:ascii="宋体" w:hAnsi="宋体"/>
                <w:b/>
                <w:szCs w:val="21"/>
              </w:rPr>
              <w:t>提供</w:t>
            </w:r>
            <w:r>
              <w:rPr>
                <w:rFonts w:hint="eastAsia" w:ascii="宋体" w:hAnsi="宋体"/>
                <w:b/>
                <w:color w:val="000000"/>
                <w:szCs w:val="21"/>
              </w:rPr>
              <w:t>）</w:t>
            </w:r>
          </w:p>
          <w:p w14:paraId="6C829128">
            <w:pPr>
              <w:rPr>
                <w:rFonts w:ascii="宋体" w:hAnsi="宋体" w:cs="宋体"/>
                <w:b/>
                <w:color w:val="0D0D0D"/>
                <w:sz w:val="22"/>
                <w:szCs w:val="24"/>
              </w:rPr>
            </w:pPr>
            <w:r>
              <w:rPr>
                <w:rFonts w:hint="eastAsia" w:ascii="宋体" w:hAnsi="宋体" w:cs="宋体"/>
                <w:b/>
                <w:color w:val="0D0D0D"/>
                <w:sz w:val="22"/>
                <w:szCs w:val="24"/>
              </w:rPr>
              <w:t>注：1.以上标明“必须提供”的材料属于复印件的扫描件的，必须加盖供应商电子公章，否则响应文件按无效响应处理。</w:t>
            </w:r>
          </w:p>
        </w:tc>
      </w:tr>
      <w:tr w14:paraId="04ACD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89" w:type="pct"/>
            <w:tcBorders>
              <w:top w:val="single" w:color="000000" w:sz="4" w:space="0"/>
              <w:left w:val="single" w:color="000000" w:sz="4" w:space="0"/>
              <w:bottom w:val="single" w:color="000000" w:sz="4" w:space="0"/>
              <w:right w:val="single" w:color="000000" w:sz="4" w:space="0"/>
            </w:tcBorders>
            <w:noWrap w:val="0"/>
            <w:vAlign w:val="center"/>
          </w:tcPr>
          <w:p w14:paraId="28A53711">
            <w:pPr>
              <w:jc w:val="center"/>
              <w:rPr>
                <w:rFonts w:ascii="宋体" w:hAnsi="宋体" w:cs="宋体"/>
                <w:color w:val="0D0D0D"/>
                <w:sz w:val="22"/>
                <w:szCs w:val="24"/>
              </w:rPr>
            </w:pPr>
            <w:r>
              <w:rPr>
                <w:rFonts w:hint="eastAsia" w:ascii="宋体" w:hAnsi="宋体" w:cs="宋体"/>
                <w:color w:val="0D0D0D"/>
                <w:sz w:val="22"/>
                <w:szCs w:val="24"/>
              </w:rPr>
              <w:t>12.1.3</w:t>
            </w:r>
          </w:p>
        </w:tc>
        <w:tc>
          <w:tcPr>
            <w:tcW w:w="1270" w:type="pct"/>
            <w:tcBorders>
              <w:top w:val="single" w:color="000000" w:sz="4" w:space="0"/>
              <w:left w:val="single" w:color="000000" w:sz="4" w:space="0"/>
              <w:bottom w:val="single" w:color="000000" w:sz="4" w:space="0"/>
              <w:right w:val="single" w:color="000000" w:sz="4" w:space="0"/>
            </w:tcBorders>
            <w:noWrap w:val="0"/>
            <w:vAlign w:val="center"/>
          </w:tcPr>
          <w:p w14:paraId="21C1358B">
            <w:pPr>
              <w:jc w:val="center"/>
              <w:rPr>
                <w:rFonts w:ascii="宋体" w:hAnsi="宋体" w:cs="宋体"/>
                <w:color w:val="0D0D0D"/>
                <w:sz w:val="22"/>
                <w:szCs w:val="24"/>
              </w:rPr>
            </w:pPr>
            <w:r>
              <w:rPr>
                <w:rFonts w:hint="eastAsia" w:ascii="宋体" w:hAnsi="宋体" w:cs="宋体"/>
                <w:bCs/>
                <w:color w:val="0D0D0D"/>
                <w:sz w:val="22"/>
                <w:szCs w:val="24"/>
              </w:rPr>
              <w:t>报价文件组成</w:t>
            </w:r>
          </w:p>
        </w:tc>
        <w:tc>
          <w:tcPr>
            <w:tcW w:w="3239" w:type="pct"/>
            <w:tcBorders>
              <w:top w:val="single" w:color="000000" w:sz="4" w:space="0"/>
              <w:left w:val="single" w:color="000000" w:sz="4" w:space="0"/>
              <w:bottom w:val="single" w:color="000000" w:sz="4" w:space="0"/>
              <w:right w:val="single" w:color="000000" w:sz="4" w:space="0"/>
            </w:tcBorders>
            <w:noWrap w:val="0"/>
            <w:vAlign w:val="center"/>
          </w:tcPr>
          <w:p w14:paraId="16748203">
            <w:pPr>
              <w:tabs>
                <w:tab w:val="left" w:pos="459"/>
              </w:tabs>
              <w:snapToGrid w:val="0"/>
              <w:jc w:val="left"/>
              <w:rPr>
                <w:rFonts w:ascii="宋体" w:hAnsi="宋体"/>
                <w:color w:val="0D0D0D"/>
                <w:sz w:val="22"/>
                <w:szCs w:val="24"/>
              </w:rPr>
            </w:pPr>
            <w:r>
              <w:rPr>
                <w:rFonts w:hint="eastAsia" w:ascii="宋体" w:hAnsi="宋体"/>
                <w:color w:val="0D0D0D"/>
                <w:sz w:val="22"/>
                <w:szCs w:val="24"/>
              </w:rPr>
              <w:t>1.响应函；</w:t>
            </w:r>
            <w:r>
              <w:rPr>
                <w:rFonts w:hint="eastAsia" w:ascii="宋体" w:hAnsi="宋体"/>
                <w:b/>
                <w:color w:val="0D0D0D"/>
                <w:sz w:val="22"/>
                <w:szCs w:val="24"/>
              </w:rPr>
              <w:t>（必须提供，否则作无效响应处理）</w:t>
            </w:r>
          </w:p>
          <w:p w14:paraId="64B6EE55">
            <w:pPr>
              <w:rPr>
                <w:rFonts w:hint="eastAsia" w:ascii="宋体" w:hAnsi="宋体" w:cs="宋体"/>
                <w:color w:val="0D0D0D"/>
                <w:sz w:val="22"/>
                <w:szCs w:val="24"/>
              </w:rPr>
            </w:pPr>
            <w:r>
              <w:rPr>
                <w:rFonts w:hint="eastAsia" w:ascii="宋体" w:hAnsi="宋体" w:cs="宋体"/>
                <w:color w:val="0D0D0D"/>
                <w:sz w:val="22"/>
                <w:szCs w:val="24"/>
              </w:rPr>
              <w:t>2.响应报价表；</w:t>
            </w:r>
            <w:r>
              <w:rPr>
                <w:rFonts w:hint="eastAsia" w:ascii="宋体" w:hAnsi="宋体" w:cs="宋体"/>
                <w:b/>
                <w:color w:val="0D0D0D"/>
                <w:sz w:val="22"/>
                <w:szCs w:val="24"/>
              </w:rPr>
              <w:t>（必须提供，否则响应文件按无效响应处理）</w:t>
            </w:r>
          </w:p>
          <w:p w14:paraId="10AD5F89">
            <w:pPr>
              <w:snapToGrid w:val="0"/>
              <w:spacing w:line="380" w:lineRule="exact"/>
              <w:jc w:val="left"/>
              <w:rPr>
                <w:rFonts w:hint="eastAsia"/>
                <w:color w:val="000000" w:themeColor="text1"/>
                <w14:textFill>
                  <w14:solidFill>
                    <w14:schemeClr w14:val="tx1"/>
                  </w14:solidFill>
                </w14:textFill>
              </w:rPr>
            </w:pPr>
            <w:bookmarkStart w:id="19" w:name="OLE_LINK93"/>
            <w:bookmarkStart w:id="20" w:name="OLE_LINK94"/>
            <w:r>
              <w:rPr>
                <w:rFonts w:hint="eastAsia" w:ascii="宋体" w:hAnsi="宋体"/>
                <w:b/>
                <w:color w:val="000000" w:themeColor="text1"/>
                <w:szCs w:val="21"/>
                <w:lang w:val="en-US" w:eastAsia="zh-CN"/>
                <w14:textFill>
                  <w14:solidFill>
                    <w14:schemeClr w14:val="tx1"/>
                  </w14:solidFill>
                </w14:textFill>
              </w:rPr>
              <w:t>3</w:t>
            </w:r>
            <w:r>
              <w:rPr>
                <w:rFonts w:hint="eastAsia" w:ascii="宋体" w:hAnsi="宋体"/>
                <w:b/>
                <w:color w:val="000000" w:themeColor="text1"/>
                <w:szCs w:val="21"/>
                <w14:textFill>
                  <w14:solidFill>
                    <w14:schemeClr w14:val="tx1"/>
                  </w14:solidFill>
                </w14:textFill>
              </w:rPr>
              <w:t>.</w:t>
            </w:r>
            <w:r>
              <w:rPr>
                <w:rFonts w:hint="eastAsia"/>
                <w:color w:val="000000" w:themeColor="text1"/>
                <w14:textFill>
                  <w14:solidFill>
                    <w14:schemeClr w14:val="tx1"/>
                  </w14:solidFill>
                </w14:textFill>
              </w:rPr>
              <w:t xml:space="preserve"> 《关于符合本国产品标准的声明函》</w:t>
            </w:r>
            <w:bookmarkStart w:id="21" w:name="OLE_LINK40"/>
            <w:r>
              <w:rPr>
                <w:rFonts w:hint="eastAsia"/>
                <w:b/>
                <w:color w:val="000000" w:themeColor="text1"/>
                <w14:textFill>
                  <w14:solidFill>
                    <w14:schemeClr w14:val="tx1"/>
                  </w14:solidFill>
                </w14:textFill>
              </w:rPr>
              <w:t>（如有请提供）</w:t>
            </w:r>
            <w:bookmarkEnd w:id="21"/>
          </w:p>
          <w:bookmarkEnd w:id="19"/>
          <w:bookmarkEnd w:id="20"/>
          <w:p w14:paraId="00753863">
            <w:pPr>
              <w:rPr>
                <w:rFonts w:ascii="宋体" w:hAnsi="宋体"/>
                <w:color w:val="0D0D0D"/>
                <w:sz w:val="22"/>
                <w:szCs w:val="24"/>
              </w:rPr>
            </w:pPr>
            <w:r>
              <w:rPr>
                <w:rFonts w:hint="eastAsia"/>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 《关于符合本国产品标准的成本占比承诺函》</w:t>
            </w:r>
            <w:r>
              <w:rPr>
                <w:rFonts w:hint="eastAsia"/>
                <w:b/>
                <w:color w:val="000000" w:themeColor="text1"/>
                <w14:textFill>
                  <w14:solidFill>
                    <w14:schemeClr w14:val="tx1"/>
                  </w14:solidFill>
                </w14:textFill>
              </w:rPr>
              <w:t>（如有请提供）</w:t>
            </w:r>
          </w:p>
        </w:tc>
      </w:tr>
      <w:tr w14:paraId="011E69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89" w:type="pct"/>
            <w:tcBorders>
              <w:top w:val="single" w:color="000000" w:sz="4" w:space="0"/>
              <w:left w:val="single" w:color="000000" w:sz="4" w:space="0"/>
              <w:bottom w:val="single" w:color="000000" w:sz="4" w:space="0"/>
              <w:right w:val="single" w:color="000000" w:sz="4" w:space="0"/>
            </w:tcBorders>
            <w:noWrap w:val="0"/>
            <w:vAlign w:val="center"/>
          </w:tcPr>
          <w:p w14:paraId="4B1EAD9C">
            <w:pPr>
              <w:jc w:val="center"/>
              <w:rPr>
                <w:rFonts w:ascii="宋体" w:hAnsi="宋体" w:cs="宋体"/>
                <w:color w:val="0D0D0D"/>
                <w:sz w:val="22"/>
                <w:szCs w:val="24"/>
              </w:rPr>
            </w:pPr>
            <w:r>
              <w:rPr>
                <w:rFonts w:hint="eastAsia" w:ascii="宋体" w:hAnsi="宋体" w:cs="宋体"/>
                <w:color w:val="0D0D0D"/>
                <w:sz w:val="22"/>
                <w:szCs w:val="24"/>
              </w:rPr>
              <w:t>12.2</w:t>
            </w:r>
          </w:p>
        </w:tc>
        <w:tc>
          <w:tcPr>
            <w:tcW w:w="1270" w:type="pct"/>
            <w:tcBorders>
              <w:top w:val="single" w:color="000000" w:sz="4" w:space="0"/>
              <w:left w:val="single" w:color="000000" w:sz="4" w:space="0"/>
              <w:bottom w:val="single" w:color="000000" w:sz="4" w:space="0"/>
              <w:right w:val="single" w:color="000000" w:sz="4" w:space="0"/>
            </w:tcBorders>
            <w:noWrap w:val="0"/>
            <w:vAlign w:val="center"/>
          </w:tcPr>
          <w:p w14:paraId="4CB59BB1">
            <w:pPr>
              <w:jc w:val="center"/>
              <w:rPr>
                <w:rFonts w:ascii="宋体" w:hAnsi="宋体" w:cs="宋体"/>
                <w:color w:val="0D0D0D"/>
                <w:sz w:val="22"/>
                <w:szCs w:val="24"/>
              </w:rPr>
            </w:pPr>
            <w:r>
              <w:rPr>
                <w:rFonts w:hint="eastAsia" w:ascii="宋体" w:hAnsi="宋体" w:cs="宋体"/>
                <w:color w:val="0D0D0D"/>
                <w:sz w:val="22"/>
                <w:szCs w:val="24"/>
              </w:rPr>
              <w:t>响应文件电子版要求</w:t>
            </w:r>
          </w:p>
        </w:tc>
        <w:tc>
          <w:tcPr>
            <w:tcW w:w="3239" w:type="pct"/>
            <w:tcBorders>
              <w:top w:val="single" w:color="000000" w:sz="4" w:space="0"/>
              <w:left w:val="single" w:color="000000" w:sz="4" w:space="0"/>
              <w:bottom w:val="single" w:color="000000" w:sz="4" w:space="0"/>
              <w:right w:val="single" w:color="000000" w:sz="4" w:space="0"/>
            </w:tcBorders>
            <w:noWrap w:val="0"/>
            <w:vAlign w:val="center"/>
          </w:tcPr>
          <w:p w14:paraId="5BA836CC">
            <w:pPr>
              <w:snapToGrid w:val="0"/>
              <w:jc w:val="left"/>
              <w:rPr>
                <w:rFonts w:ascii="宋体" w:hAnsi="宋体" w:cs="宋体"/>
                <w:color w:val="0D0D0D"/>
                <w:sz w:val="22"/>
                <w:szCs w:val="24"/>
              </w:rPr>
            </w:pPr>
            <w:r>
              <w:rPr>
                <w:rFonts w:hint="eastAsia" w:ascii="宋体" w:hAnsi="宋体" w:cs="宋体"/>
                <w:color w:val="0D0D0D"/>
                <w:sz w:val="22"/>
                <w:szCs w:val="24"/>
              </w:rPr>
              <w:t>1.响应文件电子版要求：按照本采购文件“</w:t>
            </w:r>
            <w:r>
              <w:rPr>
                <w:rFonts w:hint="eastAsia" w:ascii="宋体" w:hAnsi="宋体"/>
                <w:color w:val="0D0D0D"/>
                <w:sz w:val="22"/>
                <w:szCs w:val="24"/>
              </w:rPr>
              <w:t>第五章 响应文件格式</w:t>
            </w:r>
            <w:r>
              <w:rPr>
                <w:rFonts w:hint="eastAsia" w:ascii="宋体" w:hAnsi="宋体" w:cs="宋体"/>
                <w:color w:val="0D0D0D"/>
                <w:sz w:val="22"/>
                <w:szCs w:val="24"/>
              </w:rPr>
              <w:t>”编写（第五章未附格式的，由供应商自行拟定），不可涂改并在规定加盖公章处加盖电子公章，否则响应文件按无效响应处理。</w:t>
            </w:r>
          </w:p>
          <w:p w14:paraId="66D4F7D4">
            <w:pPr>
              <w:snapToGrid w:val="0"/>
              <w:jc w:val="left"/>
              <w:rPr>
                <w:rFonts w:ascii="宋体" w:hAnsi="宋体" w:cs="宋体"/>
                <w:color w:val="0D0D0D"/>
                <w:sz w:val="22"/>
                <w:szCs w:val="24"/>
              </w:rPr>
            </w:pPr>
            <w:r>
              <w:rPr>
                <w:rFonts w:hint="eastAsia" w:ascii="宋体" w:hAnsi="宋体" w:cs="宋体"/>
                <w:color w:val="0D0D0D"/>
                <w:sz w:val="22"/>
                <w:szCs w:val="24"/>
              </w:rPr>
              <w:t>2</w:t>
            </w:r>
            <w:r>
              <w:rPr>
                <w:rFonts w:hint="eastAsia" w:ascii="宋体" w:hAnsi="宋体" w:cs="Courier New"/>
                <w:color w:val="0D0D0D"/>
                <w:sz w:val="22"/>
                <w:szCs w:val="24"/>
              </w:rPr>
              <w:t>.响应文件电子版密封方式：电子响应文件通过平台有效CA加密后在“广西政府采购云”平台投送。（操作方式见公告附件“</w:t>
            </w:r>
            <w:r>
              <w:rPr>
                <w:rFonts w:hint="eastAsia" w:ascii="宋体" w:hAnsi="宋体"/>
                <w:color w:val="0D0D0D"/>
                <w:sz w:val="22"/>
                <w:szCs w:val="24"/>
              </w:rPr>
              <w:t>电子响应文件制作与投送教程</w:t>
            </w:r>
            <w:r>
              <w:rPr>
                <w:rFonts w:hint="eastAsia" w:ascii="宋体" w:hAnsi="宋体" w:cs="Courier New"/>
                <w:color w:val="0D0D0D"/>
                <w:sz w:val="22"/>
                <w:szCs w:val="24"/>
              </w:rPr>
              <w:t>” ）</w:t>
            </w:r>
          </w:p>
        </w:tc>
      </w:tr>
      <w:tr w14:paraId="706205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89" w:type="pct"/>
            <w:tcBorders>
              <w:top w:val="single" w:color="000000" w:sz="4" w:space="0"/>
              <w:left w:val="single" w:color="000000" w:sz="4" w:space="0"/>
              <w:bottom w:val="single" w:color="000000" w:sz="4" w:space="0"/>
              <w:right w:val="single" w:color="000000" w:sz="4" w:space="0"/>
            </w:tcBorders>
            <w:noWrap w:val="0"/>
            <w:vAlign w:val="center"/>
          </w:tcPr>
          <w:p w14:paraId="33FBBF17">
            <w:pPr>
              <w:jc w:val="center"/>
              <w:rPr>
                <w:rFonts w:ascii="宋体" w:hAnsi="宋体" w:cs="宋体"/>
                <w:color w:val="0D0D0D"/>
                <w:sz w:val="22"/>
                <w:szCs w:val="24"/>
              </w:rPr>
            </w:pPr>
            <w:r>
              <w:rPr>
                <w:rFonts w:hint="eastAsia" w:ascii="宋体" w:hAnsi="宋体" w:cs="宋体"/>
                <w:color w:val="0D0D0D"/>
                <w:sz w:val="22"/>
                <w:szCs w:val="24"/>
              </w:rPr>
              <w:t>15.2</w:t>
            </w:r>
          </w:p>
        </w:tc>
        <w:tc>
          <w:tcPr>
            <w:tcW w:w="1270" w:type="pct"/>
            <w:tcBorders>
              <w:top w:val="single" w:color="000000" w:sz="4" w:space="0"/>
              <w:left w:val="single" w:color="000000" w:sz="4" w:space="0"/>
              <w:bottom w:val="single" w:color="000000" w:sz="4" w:space="0"/>
              <w:right w:val="single" w:color="000000" w:sz="4" w:space="0"/>
            </w:tcBorders>
            <w:noWrap w:val="0"/>
            <w:vAlign w:val="center"/>
          </w:tcPr>
          <w:p w14:paraId="365E9CE4">
            <w:pPr>
              <w:jc w:val="center"/>
              <w:rPr>
                <w:rFonts w:ascii="宋体" w:hAnsi="宋体" w:cs="宋体"/>
                <w:color w:val="0D0D0D"/>
                <w:sz w:val="22"/>
                <w:szCs w:val="24"/>
              </w:rPr>
            </w:pPr>
            <w:r>
              <w:rPr>
                <w:rFonts w:hint="eastAsia" w:ascii="宋体" w:hAnsi="宋体" w:cs="宋体"/>
                <w:color w:val="0D0D0D"/>
                <w:sz w:val="22"/>
                <w:szCs w:val="24"/>
              </w:rPr>
              <w:t>响应报价要求</w:t>
            </w:r>
          </w:p>
        </w:tc>
        <w:tc>
          <w:tcPr>
            <w:tcW w:w="3239" w:type="pct"/>
            <w:tcBorders>
              <w:top w:val="single" w:color="000000" w:sz="4" w:space="0"/>
              <w:left w:val="single" w:color="000000" w:sz="4" w:space="0"/>
              <w:bottom w:val="single" w:color="000000" w:sz="4" w:space="0"/>
              <w:right w:val="single" w:color="000000" w:sz="4" w:space="0"/>
            </w:tcBorders>
            <w:noWrap w:val="0"/>
            <w:vAlign w:val="center"/>
          </w:tcPr>
          <w:p w14:paraId="3750146E">
            <w:pPr>
              <w:snapToGrid w:val="0"/>
              <w:jc w:val="left"/>
              <w:rPr>
                <w:rFonts w:ascii="宋体" w:hAnsi="宋体" w:cs="宋体"/>
                <w:color w:val="0D0D0D"/>
                <w:sz w:val="22"/>
                <w:szCs w:val="24"/>
              </w:rPr>
            </w:pPr>
            <w:r>
              <w:rPr>
                <w:rFonts w:hint="eastAsia" w:ascii="宋体" w:hAnsi="宋体" w:cs="宋体"/>
                <w:color w:val="0D0D0D"/>
                <w:sz w:val="22"/>
                <w:szCs w:val="24"/>
              </w:rPr>
              <w:t>响应报价必须包含满足本次</w:t>
            </w:r>
            <w:r>
              <w:rPr>
                <w:rFonts w:hint="eastAsia" w:ascii="宋体" w:hAnsi="宋体" w:cs="宋体"/>
                <w:color w:val="0D0D0D"/>
                <w:sz w:val="22"/>
                <w:szCs w:val="24"/>
                <w:lang w:eastAsia="zh-CN"/>
              </w:rPr>
              <w:t>响应</w:t>
            </w:r>
            <w:r>
              <w:rPr>
                <w:rFonts w:hint="eastAsia" w:ascii="宋体" w:hAnsi="宋体" w:cs="宋体"/>
                <w:color w:val="0D0D0D"/>
                <w:sz w:val="22"/>
                <w:szCs w:val="24"/>
              </w:rPr>
              <w:t>全部采购需求所应提供的货物，以及伴随的货物和工程（如有）的价格；包含</w:t>
            </w:r>
            <w:r>
              <w:rPr>
                <w:rFonts w:hint="eastAsia" w:ascii="宋体" w:hAnsi="宋体" w:cs="宋体"/>
                <w:color w:val="0D0D0D"/>
                <w:sz w:val="22"/>
                <w:szCs w:val="24"/>
                <w:lang w:eastAsia="zh-CN"/>
              </w:rPr>
              <w:t>响应</w:t>
            </w:r>
            <w:r>
              <w:rPr>
                <w:rFonts w:hint="eastAsia" w:ascii="宋体" w:hAnsi="宋体" w:cs="宋体"/>
                <w:color w:val="0D0D0D"/>
                <w:sz w:val="22"/>
                <w:szCs w:val="24"/>
              </w:rPr>
              <w:t>货物、货物、工程的成本、运输（含保险）、安装（如有）、调试、检验、技术货物、培训、税费等所有费用。</w:t>
            </w:r>
            <w:r>
              <w:rPr>
                <w:rFonts w:hint="eastAsia" w:ascii="宋体" w:hAnsi="宋体"/>
                <w:color w:val="0D0D0D"/>
                <w:sz w:val="22"/>
                <w:szCs w:val="24"/>
              </w:rPr>
              <w:t>（采购需求另有约定的，从其约定。）</w:t>
            </w:r>
          </w:p>
        </w:tc>
      </w:tr>
      <w:tr w14:paraId="07F934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89" w:type="pct"/>
            <w:tcBorders>
              <w:top w:val="single" w:color="000000" w:sz="4" w:space="0"/>
              <w:left w:val="single" w:color="000000" w:sz="4" w:space="0"/>
              <w:bottom w:val="single" w:color="000000" w:sz="4" w:space="0"/>
              <w:right w:val="single" w:color="000000" w:sz="4" w:space="0"/>
            </w:tcBorders>
            <w:noWrap w:val="0"/>
            <w:vAlign w:val="center"/>
          </w:tcPr>
          <w:p w14:paraId="6317C948">
            <w:pPr>
              <w:jc w:val="center"/>
              <w:rPr>
                <w:rFonts w:ascii="宋体" w:hAnsi="宋体" w:cs="宋体"/>
                <w:color w:val="0D0D0D"/>
                <w:sz w:val="22"/>
                <w:szCs w:val="24"/>
              </w:rPr>
            </w:pPr>
            <w:r>
              <w:rPr>
                <w:rFonts w:hint="eastAsia" w:ascii="宋体" w:hAnsi="宋体" w:cs="宋体"/>
                <w:color w:val="0D0D0D"/>
                <w:sz w:val="22"/>
                <w:szCs w:val="24"/>
              </w:rPr>
              <w:t>16.2</w:t>
            </w:r>
          </w:p>
        </w:tc>
        <w:tc>
          <w:tcPr>
            <w:tcW w:w="1270" w:type="pct"/>
            <w:tcBorders>
              <w:top w:val="single" w:color="000000" w:sz="4" w:space="0"/>
              <w:left w:val="single" w:color="000000" w:sz="4" w:space="0"/>
              <w:bottom w:val="single" w:color="000000" w:sz="4" w:space="0"/>
              <w:right w:val="single" w:color="000000" w:sz="4" w:space="0"/>
            </w:tcBorders>
            <w:noWrap w:val="0"/>
            <w:vAlign w:val="center"/>
          </w:tcPr>
          <w:p w14:paraId="7C582D98">
            <w:pPr>
              <w:jc w:val="center"/>
              <w:rPr>
                <w:rFonts w:ascii="宋体" w:hAnsi="宋体" w:cs="宋体"/>
                <w:color w:val="0D0D0D"/>
                <w:sz w:val="22"/>
                <w:szCs w:val="24"/>
              </w:rPr>
            </w:pPr>
            <w:r>
              <w:rPr>
                <w:rFonts w:hint="eastAsia" w:ascii="宋体" w:hAnsi="宋体" w:cs="宋体"/>
                <w:color w:val="0D0D0D"/>
                <w:sz w:val="22"/>
                <w:szCs w:val="24"/>
                <w:lang w:eastAsia="zh-CN"/>
              </w:rPr>
              <w:t>响应</w:t>
            </w:r>
            <w:r>
              <w:rPr>
                <w:rFonts w:hint="eastAsia" w:ascii="宋体" w:hAnsi="宋体" w:cs="宋体"/>
                <w:color w:val="0D0D0D"/>
                <w:sz w:val="22"/>
                <w:szCs w:val="24"/>
              </w:rPr>
              <w:t>有效期</w:t>
            </w:r>
          </w:p>
        </w:tc>
        <w:tc>
          <w:tcPr>
            <w:tcW w:w="3239" w:type="pct"/>
            <w:tcBorders>
              <w:top w:val="single" w:color="000000" w:sz="4" w:space="0"/>
              <w:left w:val="single" w:color="000000" w:sz="4" w:space="0"/>
              <w:bottom w:val="single" w:color="000000" w:sz="4" w:space="0"/>
              <w:right w:val="single" w:color="000000" w:sz="4" w:space="0"/>
            </w:tcBorders>
            <w:noWrap w:val="0"/>
            <w:vAlign w:val="center"/>
          </w:tcPr>
          <w:p w14:paraId="3BC2F259">
            <w:pPr>
              <w:snapToGrid w:val="0"/>
              <w:spacing w:after="120"/>
              <w:ind w:left="297" w:hanging="297" w:hangingChars="135"/>
              <w:rPr>
                <w:rFonts w:ascii="宋体" w:hAnsi="宋体" w:cs="宋体"/>
                <w:color w:val="0D0D0D"/>
                <w:sz w:val="22"/>
                <w:szCs w:val="24"/>
              </w:rPr>
            </w:pPr>
            <w:r>
              <w:rPr>
                <w:rFonts w:hint="eastAsia" w:ascii="宋体" w:hAnsi="宋体" w:cs="宋体"/>
                <w:color w:val="0D0D0D"/>
                <w:sz w:val="22"/>
                <w:szCs w:val="24"/>
              </w:rPr>
              <w:t>自首次响应文件提交截止之日起</w:t>
            </w:r>
            <w:bookmarkStart w:id="22" w:name="PO_3000001871_PM046"/>
            <w:r>
              <w:rPr>
                <w:rFonts w:hint="eastAsia" w:ascii="宋体" w:hAnsi="宋体" w:cs="宋体"/>
                <w:color w:val="0D0D0D"/>
                <w:sz w:val="22"/>
                <w:szCs w:val="24"/>
                <w:u w:val="single"/>
              </w:rPr>
              <w:t>60日历天</w:t>
            </w:r>
            <w:bookmarkEnd w:id="22"/>
            <w:r>
              <w:rPr>
                <w:rFonts w:hint="eastAsia" w:ascii="宋体" w:hAnsi="宋体" w:cs="宋体"/>
                <w:color w:val="0D0D0D"/>
                <w:sz w:val="22"/>
                <w:szCs w:val="24"/>
              </w:rPr>
              <w:t>。</w:t>
            </w:r>
          </w:p>
        </w:tc>
      </w:tr>
      <w:tr w14:paraId="5483D0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89" w:type="pct"/>
            <w:tcBorders>
              <w:top w:val="single" w:color="000000" w:sz="4" w:space="0"/>
              <w:left w:val="single" w:color="000000" w:sz="4" w:space="0"/>
              <w:bottom w:val="single" w:color="000000" w:sz="4" w:space="0"/>
              <w:right w:val="single" w:color="000000" w:sz="4" w:space="0"/>
            </w:tcBorders>
            <w:noWrap w:val="0"/>
            <w:vAlign w:val="center"/>
          </w:tcPr>
          <w:p w14:paraId="2AE14B60">
            <w:pPr>
              <w:jc w:val="center"/>
              <w:rPr>
                <w:rFonts w:hint="default" w:ascii="宋体" w:hAnsi="宋体" w:eastAsia="宋体" w:cs="宋体"/>
                <w:color w:val="0D0D0D"/>
                <w:sz w:val="22"/>
                <w:szCs w:val="24"/>
                <w:highlight w:val="none"/>
                <w:lang w:val="en-US" w:eastAsia="zh-CN"/>
              </w:rPr>
            </w:pPr>
            <w:r>
              <w:rPr>
                <w:rFonts w:hint="eastAsia" w:ascii="宋体" w:hAnsi="宋体" w:cs="宋体"/>
                <w:color w:val="0D0D0D"/>
                <w:sz w:val="22"/>
                <w:szCs w:val="24"/>
                <w:highlight w:val="none"/>
                <w:lang w:val="en-US" w:eastAsia="zh-CN"/>
              </w:rPr>
              <w:t>17</w:t>
            </w:r>
          </w:p>
        </w:tc>
        <w:tc>
          <w:tcPr>
            <w:tcW w:w="1270" w:type="pct"/>
            <w:tcBorders>
              <w:top w:val="single" w:color="000000" w:sz="4" w:space="0"/>
              <w:left w:val="single" w:color="000000" w:sz="4" w:space="0"/>
              <w:bottom w:val="single" w:color="000000" w:sz="4" w:space="0"/>
              <w:right w:val="single" w:color="000000" w:sz="4" w:space="0"/>
            </w:tcBorders>
            <w:noWrap w:val="0"/>
            <w:vAlign w:val="center"/>
          </w:tcPr>
          <w:p w14:paraId="0E1B34CB">
            <w:pPr>
              <w:jc w:val="center"/>
              <w:rPr>
                <w:rFonts w:ascii="宋体" w:hAnsi="宋体" w:cs="宋体"/>
                <w:color w:val="0D0D0D"/>
                <w:sz w:val="22"/>
                <w:szCs w:val="24"/>
                <w:highlight w:val="none"/>
              </w:rPr>
            </w:pPr>
            <w:r>
              <w:rPr>
                <w:rFonts w:hint="eastAsia" w:ascii="宋体" w:hAnsi="宋体" w:cs="宋体"/>
                <w:color w:val="0D0D0D"/>
                <w:sz w:val="22"/>
                <w:szCs w:val="24"/>
                <w:highlight w:val="none"/>
              </w:rPr>
              <w:t>谈判保证金</w:t>
            </w:r>
          </w:p>
        </w:tc>
        <w:tc>
          <w:tcPr>
            <w:tcW w:w="3239" w:type="pct"/>
            <w:tcBorders>
              <w:top w:val="single" w:color="000000" w:sz="4" w:space="0"/>
              <w:left w:val="single" w:color="000000" w:sz="4" w:space="0"/>
              <w:bottom w:val="single" w:color="000000" w:sz="4" w:space="0"/>
              <w:right w:val="single" w:color="000000" w:sz="4" w:space="0"/>
            </w:tcBorders>
            <w:noWrap w:val="0"/>
            <w:vAlign w:val="center"/>
          </w:tcPr>
          <w:p w14:paraId="54BA0490">
            <w:pPr>
              <w:autoSpaceDE w:val="0"/>
              <w:autoSpaceDN w:val="0"/>
              <w:snapToGrid w:val="0"/>
              <w:textAlignment w:val="bottom"/>
              <w:rPr>
                <w:rFonts w:ascii="宋体" w:hAnsi="宋体"/>
                <w:color w:val="0D0D0D"/>
                <w:sz w:val="22"/>
                <w:szCs w:val="24"/>
                <w:highlight w:val="none"/>
              </w:rPr>
            </w:pPr>
            <w:r>
              <w:rPr>
                <w:rFonts w:hint="eastAsia" w:ascii="宋体" w:hAnsi="宋体"/>
                <w:color w:val="0D0D0D"/>
                <w:sz w:val="22"/>
                <w:szCs w:val="24"/>
                <w:highlight w:val="none"/>
              </w:rPr>
              <w:t>本项目不收取谈判保证金。</w:t>
            </w:r>
          </w:p>
        </w:tc>
      </w:tr>
      <w:tr w14:paraId="2EC7F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489" w:type="pct"/>
            <w:vMerge w:val="restart"/>
            <w:tcBorders>
              <w:top w:val="single" w:color="000000" w:sz="4" w:space="0"/>
              <w:left w:val="single" w:color="000000" w:sz="4" w:space="0"/>
              <w:bottom w:val="single" w:color="000000" w:sz="4" w:space="0"/>
              <w:right w:val="single" w:color="000000" w:sz="4" w:space="0"/>
            </w:tcBorders>
            <w:noWrap w:val="0"/>
            <w:vAlign w:val="center"/>
          </w:tcPr>
          <w:p w14:paraId="2311BF60">
            <w:pPr>
              <w:jc w:val="center"/>
              <w:rPr>
                <w:rFonts w:ascii="宋体" w:hAnsi="宋体" w:cs="宋体"/>
                <w:color w:val="0D0D0D"/>
                <w:sz w:val="22"/>
                <w:szCs w:val="24"/>
              </w:rPr>
            </w:pPr>
            <w:r>
              <w:rPr>
                <w:rFonts w:hint="eastAsia" w:ascii="宋体" w:hAnsi="宋体" w:cs="宋体"/>
                <w:color w:val="0D0D0D"/>
                <w:sz w:val="22"/>
                <w:szCs w:val="24"/>
              </w:rPr>
              <w:t>20.1</w:t>
            </w:r>
          </w:p>
        </w:tc>
        <w:tc>
          <w:tcPr>
            <w:tcW w:w="1270" w:type="pct"/>
            <w:tcBorders>
              <w:top w:val="single" w:color="000000" w:sz="4" w:space="0"/>
              <w:left w:val="single" w:color="000000" w:sz="4" w:space="0"/>
              <w:bottom w:val="single" w:color="000000" w:sz="4" w:space="0"/>
              <w:right w:val="single" w:color="000000" w:sz="4" w:space="0"/>
            </w:tcBorders>
            <w:noWrap w:val="0"/>
            <w:vAlign w:val="center"/>
          </w:tcPr>
          <w:p w14:paraId="565C2997">
            <w:pPr>
              <w:jc w:val="center"/>
              <w:rPr>
                <w:rFonts w:ascii="宋体" w:hAnsi="宋体" w:cs="宋体"/>
                <w:color w:val="0D0D0D"/>
                <w:sz w:val="22"/>
                <w:szCs w:val="24"/>
              </w:rPr>
            </w:pPr>
            <w:r>
              <w:rPr>
                <w:rFonts w:hint="eastAsia" w:ascii="宋体" w:hAnsi="宋体" w:cs="宋体"/>
                <w:color w:val="0D0D0D"/>
                <w:sz w:val="22"/>
                <w:szCs w:val="24"/>
              </w:rPr>
              <w:t>首次响应文件提交起止时间</w:t>
            </w:r>
          </w:p>
        </w:tc>
        <w:tc>
          <w:tcPr>
            <w:tcW w:w="3239" w:type="pct"/>
            <w:tcBorders>
              <w:top w:val="single" w:color="000000" w:sz="4" w:space="0"/>
              <w:left w:val="single" w:color="000000" w:sz="4" w:space="0"/>
              <w:bottom w:val="single" w:color="000000" w:sz="4" w:space="0"/>
              <w:right w:val="single" w:color="000000" w:sz="4" w:space="0"/>
            </w:tcBorders>
            <w:noWrap w:val="0"/>
            <w:vAlign w:val="center"/>
          </w:tcPr>
          <w:p w14:paraId="18F8D00D">
            <w:pPr>
              <w:snapToGrid w:val="0"/>
              <w:jc w:val="left"/>
              <w:rPr>
                <w:rFonts w:ascii="宋体" w:hAnsi="宋体" w:cs="宋体"/>
                <w:color w:val="0D0D0D"/>
                <w:sz w:val="22"/>
                <w:szCs w:val="24"/>
                <w:u w:val="single"/>
              </w:rPr>
            </w:pPr>
            <w:r>
              <w:rPr>
                <w:rFonts w:hint="eastAsia" w:ascii="宋体" w:hAnsi="宋体" w:cs="宋体"/>
                <w:color w:val="0D0D0D"/>
                <w:sz w:val="22"/>
                <w:szCs w:val="24"/>
              </w:rPr>
              <w:t>详见竞争性谈判公告。</w:t>
            </w:r>
          </w:p>
        </w:tc>
      </w:tr>
      <w:tr w14:paraId="5544C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4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5FF1F2">
            <w:pPr>
              <w:widowControl/>
              <w:jc w:val="left"/>
              <w:rPr>
                <w:rFonts w:ascii="宋体" w:hAnsi="宋体" w:cs="宋体"/>
                <w:color w:val="0D0D0D"/>
                <w:sz w:val="22"/>
                <w:szCs w:val="24"/>
              </w:rPr>
            </w:pPr>
          </w:p>
        </w:tc>
        <w:tc>
          <w:tcPr>
            <w:tcW w:w="1270" w:type="pct"/>
            <w:tcBorders>
              <w:top w:val="single" w:color="000000" w:sz="4" w:space="0"/>
              <w:left w:val="single" w:color="000000" w:sz="4" w:space="0"/>
              <w:bottom w:val="single" w:color="000000" w:sz="4" w:space="0"/>
              <w:right w:val="single" w:color="000000" w:sz="4" w:space="0"/>
            </w:tcBorders>
            <w:noWrap w:val="0"/>
            <w:vAlign w:val="center"/>
          </w:tcPr>
          <w:p w14:paraId="14647A4F">
            <w:pPr>
              <w:jc w:val="center"/>
              <w:rPr>
                <w:rFonts w:ascii="宋体" w:hAnsi="宋体" w:cs="宋体"/>
                <w:color w:val="0D0D0D"/>
                <w:sz w:val="22"/>
                <w:szCs w:val="24"/>
              </w:rPr>
            </w:pPr>
            <w:r>
              <w:rPr>
                <w:rFonts w:hint="eastAsia" w:ascii="宋体" w:hAnsi="宋体" w:cs="宋体"/>
                <w:color w:val="0D0D0D"/>
                <w:sz w:val="22"/>
                <w:szCs w:val="24"/>
              </w:rPr>
              <w:t>首次响应文件提交地点</w:t>
            </w:r>
          </w:p>
        </w:tc>
        <w:tc>
          <w:tcPr>
            <w:tcW w:w="3239" w:type="pct"/>
            <w:tcBorders>
              <w:top w:val="single" w:color="000000" w:sz="4" w:space="0"/>
              <w:left w:val="single" w:color="000000" w:sz="4" w:space="0"/>
              <w:bottom w:val="single" w:color="000000" w:sz="4" w:space="0"/>
              <w:right w:val="single" w:color="000000" w:sz="4" w:space="0"/>
            </w:tcBorders>
            <w:noWrap w:val="0"/>
            <w:vAlign w:val="center"/>
          </w:tcPr>
          <w:p w14:paraId="5AF74119">
            <w:pPr>
              <w:snapToGrid w:val="0"/>
              <w:jc w:val="left"/>
              <w:rPr>
                <w:rFonts w:ascii="宋体" w:hAnsi="宋体" w:cs="宋体"/>
                <w:color w:val="0D0D0D"/>
                <w:sz w:val="22"/>
                <w:szCs w:val="24"/>
                <w:u w:val="single"/>
              </w:rPr>
            </w:pPr>
            <w:r>
              <w:rPr>
                <w:rFonts w:hint="eastAsia" w:ascii="宋体" w:hAnsi="宋体" w:cs="宋体"/>
                <w:color w:val="0D0D0D"/>
                <w:sz w:val="22"/>
                <w:szCs w:val="24"/>
              </w:rPr>
              <w:t>详见竞争性谈判公告。</w:t>
            </w:r>
          </w:p>
        </w:tc>
      </w:tr>
      <w:tr w14:paraId="33EB29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489" w:type="pct"/>
            <w:tcBorders>
              <w:top w:val="single" w:color="000000" w:sz="4" w:space="0"/>
              <w:left w:val="single" w:color="000000" w:sz="4" w:space="0"/>
              <w:bottom w:val="single" w:color="000000" w:sz="4" w:space="0"/>
              <w:right w:val="single" w:color="000000" w:sz="4" w:space="0"/>
            </w:tcBorders>
            <w:noWrap w:val="0"/>
            <w:vAlign w:val="center"/>
          </w:tcPr>
          <w:p w14:paraId="002C2079">
            <w:pPr>
              <w:jc w:val="center"/>
              <w:rPr>
                <w:rFonts w:ascii="宋体" w:hAnsi="宋体" w:cs="宋体"/>
                <w:color w:val="0D0D0D"/>
                <w:sz w:val="22"/>
                <w:szCs w:val="24"/>
              </w:rPr>
            </w:pPr>
            <w:r>
              <w:rPr>
                <w:rFonts w:hint="eastAsia" w:ascii="宋体" w:hAnsi="宋体" w:cs="宋体"/>
                <w:color w:val="0D0D0D"/>
                <w:sz w:val="22"/>
                <w:szCs w:val="24"/>
              </w:rPr>
              <w:t>20.6</w:t>
            </w:r>
          </w:p>
        </w:tc>
        <w:tc>
          <w:tcPr>
            <w:tcW w:w="1270" w:type="pct"/>
            <w:tcBorders>
              <w:top w:val="single" w:color="000000" w:sz="4" w:space="0"/>
              <w:left w:val="single" w:color="000000" w:sz="4" w:space="0"/>
              <w:bottom w:val="single" w:color="000000" w:sz="4" w:space="0"/>
              <w:right w:val="single" w:color="000000" w:sz="4" w:space="0"/>
            </w:tcBorders>
            <w:noWrap w:val="0"/>
            <w:vAlign w:val="center"/>
          </w:tcPr>
          <w:p w14:paraId="1C818774">
            <w:pPr>
              <w:jc w:val="center"/>
              <w:rPr>
                <w:rFonts w:ascii="宋体" w:hAnsi="宋体" w:cs="宋体"/>
                <w:color w:val="0D0D0D"/>
                <w:sz w:val="22"/>
                <w:szCs w:val="24"/>
              </w:rPr>
            </w:pPr>
            <w:r>
              <w:rPr>
                <w:rFonts w:hint="eastAsia" w:ascii="宋体" w:hAnsi="宋体" w:cs="宋体"/>
                <w:color w:val="0D0D0D"/>
                <w:sz w:val="22"/>
                <w:szCs w:val="24"/>
              </w:rPr>
              <w:t>备份响应文件</w:t>
            </w:r>
          </w:p>
        </w:tc>
        <w:tc>
          <w:tcPr>
            <w:tcW w:w="3239" w:type="pct"/>
            <w:tcBorders>
              <w:top w:val="single" w:color="000000" w:sz="4" w:space="0"/>
              <w:left w:val="single" w:color="000000" w:sz="4" w:space="0"/>
              <w:bottom w:val="single" w:color="000000" w:sz="4" w:space="0"/>
              <w:right w:val="single" w:color="000000" w:sz="4" w:space="0"/>
            </w:tcBorders>
            <w:noWrap w:val="0"/>
            <w:vAlign w:val="center"/>
          </w:tcPr>
          <w:p w14:paraId="3E0295F3">
            <w:pPr>
              <w:snapToGrid w:val="0"/>
              <w:jc w:val="left"/>
              <w:rPr>
                <w:rFonts w:ascii="宋体" w:hAnsi="宋体" w:cs="宋体"/>
                <w:color w:val="0D0D0D"/>
                <w:sz w:val="22"/>
                <w:szCs w:val="24"/>
              </w:rPr>
            </w:pPr>
            <w:r>
              <w:rPr>
                <w:rFonts w:hint="eastAsia" w:ascii="宋体" w:hAnsi="宋体"/>
                <w:color w:val="0D0D0D"/>
                <w:sz w:val="22"/>
                <w:szCs w:val="24"/>
              </w:rPr>
              <w:t>本项目不接受备份响应文件。</w:t>
            </w:r>
          </w:p>
        </w:tc>
      </w:tr>
      <w:tr w14:paraId="7B01D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489" w:type="pct"/>
            <w:tcBorders>
              <w:top w:val="single" w:color="000000" w:sz="4" w:space="0"/>
              <w:left w:val="single" w:color="000000" w:sz="4" w:space="0"/>
              <w:bottom w:val="single" w:color="000000" w:sz="4" w:space="0"/>
              <w:right w:val="single" w:color="000000" w:sz="4" w:space="0"/>
            </w:tcBorders>
            <w:noWrap w:val="0"/>
            <w:vAlign w:val="center"/>
          </w:tcPr>
          <w:p w14:paraId="45B2361E">
            <w:pPr>
              <w:jc w:val="center"/>
              <w:rPr>
                <w:rFonts w:ascii="宋体" w:hAnsi="宋体" w:cs="宋体"/>
                <w:color w:val="0D0D0D"/>
                <w:sz w:val="22"/>
                <w:szCs w:val="24"/>
              </w:rPr>
            </w:pPr>
            <w:r>
              <w:rPr>
                <w:rFonts w:hint="eastAsia" w:ascii="宋体" w:hAnsi="宋体" w:cs="宋体"/>
                <w:color w:val="0D0D0D"/>
                <w:sz w:val="22"/>
                <w:szCs w:val="24"/>
              </w:rPr>
              <w:t>21</w:t>
            </w:r>
          </w:p>
        </w:tc>
        <w:tc>
          <w:tcPr>
            <w:tcW w:w="1270" w:type="pct"/>
            <w:tcBorders>
              <w:top w:val="single" w:color="000000" w:sz="4" w:space="0"/>
              <w:left w:val="single" w:color="000000" w:sz="4" w:space="0"/>
              <w:bottom w:val="single" w:color="000000" w:sz="4" w:space="0"/>
              <w:right w:val="single" w:color="000000" w:sz="4" w:space="0"/>
            </w:tcBorders>
            <w:noWrap w:val="0"/>
            <w:vAlign w:val="center"/>
          </w:tcPr>
          <w:p w14:paraId="6D16DF85">
            <w:pPr>
              <w:jc w:val="center"/>
              <w:rPr>
                <w:rFonts w:ascii="宋体" w:hAnsi="宋体" w:cs="宋体"/>
                <w:color w:val="0D0D0D"/>
                <w:sz w:val="22"/>
                <w:szCs w:val="24"/>
              </w:rPr>
            </w:pPr>
            <w:r>
              <w:rPr>
                <w:rFonts w:hint="eastAsia" w:ascii="宋体" w:hAnsi="宋体" w:cs="宋体"/>
                <w:color w:val="0D0D0D"/>
                <w:sz w:val="22"/>
                <w:szCs w:val="24"/>
              </w:rPr>
              <w:t>首次响应文件的退回</w:t>
            </w:r>
          </w:p>
        </w:tc>
        <w:tc>
          <w:tcPr>
            <w:tcW w:w="3239" w:type="pct"/>
            <w:tcBorders>
              <w:top w:val="single" w:color="000000" w:sz="4" w:space="0"/>
              <w:left w:val="single" w:color="000000" w:sz="4" w:space="0"/>
              <w:bottom w:val="single" w:color="000000" w:sz="4" w:space="0"/>
              <w:right w:val="single" w:color="000000" w:sz="4" w:space="0"/>
            </w:tcBorders>
            <w:noWrap w:val="0"/>
            <w:vAlign w:val="center"/>
          </w:tcPr>
          <w:p w14:paraId="526E92D4">
            <w:pPr>
              <w:snapToGrid w:val="0"/>
              <w:jc w:val="left"/>
              <w:rPr>
                <w:rFonts w:ascii="宋体" w:hAnsi="宋体" w:cs="宋体"/>
                <w:color w:val="0D0D0D"/>
                <w:sz w:val="22"/>
                <w:szCs w:val="24"/>
              </w:rPr>
            </w:pPr>
            <w:r>
              <w:rPr>
                <w:rFonts w:hint="eastAsia" w:ascii="宋体" w:hAnsi="宋体" w:cs="宋体"/>
                <w:color w:val="0D0D0D"/>
                <w:sz w:val="22"/>
                <w:szCs w:val="24"/>
              </w:rPr>
              <w:t>详见竞争性谈判公告。</w:t>
            </w:r>
          </w:p>
        </w:tc>
      </w:tr>
      <w:tr w14:paraId="3D5DDF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5" w:hRule="atLeast"/>
          <w:jc w:val="center"/>
        </w:trPr>
        <w:tc>
          <w:tcPr>
            <w:tcW w:w="489" w:type="pct"/>
            <w:vMerge w:val="restart"/>
            <w:tcBorders>
              <w:top w:val="single" w:color="000000" w:sz="4" w:space="0"/>
              <w:left w:val="single" w:color="000000" w:sz="4" w:space="0"/>
              <w:right w:val="single" w:color="000000" w:sz="4" w:space="0"/>
            </w:tcBorders>
            <w:noWrap w:val="0"/>
            <w:vAlign w:val="center"/>
          </w:tcPr>
          <w:p w14:paraId="576E0F3B">
            <w:pPr>
              <w:widowControl/>
              <w:jc w:val="left"/>
              <w:rPr>
                <w:rFonts w:ascii="宋体" w:hAnsi="宋体" w:cs="宋体"/>
                <w:color w:val="0D0D0D"/>
                <w:sz w:val="22"/>
                <w:szCs w:val="24"/>
                <w:highlight w:val="none"/>
              </w:rPr>
            </w:pPr>
            <w:r>
              <w:rPr>
                <w:rFonts w:hint="eastAsia" w:ascii="宋体" w:hAnsi="宋体" w:cs="宋体"/>
                <w:color w:val="0D0D0D"/>
                <w:sz w:val="22"/>
                <w:szCs w:val="24"/>
                <w:highlight w:val="none"/>
              </w:rPr>
              <w:t>26.2</w:t>
            </w:r>
          </w:p>
        </w:tc>
        <w:tc>
          <w:tcPr>
            <w:tcW w:w="1270" w:type="pct"/>
            <w:tcBorders>
              <w:top w:val="single" w:color="000000" w:sz="4" w:space="0"/>
              <w:left w:val="single" w:color="000000" w:sz="4" w:space="0"/>
              <w:right w:val="single" w:color="000000" w:sz="4" w:space="0"/>
            </w:tcBorders>
            <w:noWrap w:val="0"/>
            <w:vAlign w:val="center"/>
          </w:tcPr>
          <w:p w14:paraId="74DB18D1">
            <w:pPr>
              <w:jc w:val="center"/>
              <w:rPr>
                <w:rFonts w:ascii="宋体" w:hAnsi="宋体" w:cs="宋体"/>
                <w:b w:val="0"/>
                <w:color w:val="000000"/>
                <w:sz w:val="22"/>
                <w:szCs w:val="24"/>
                <w:highlight w:val="none"/>
              </w:rPr>
            </w:pPr>
            <w:r>
              <w:rPr>
                <w:rFonts w:hint="eastAsia" w:ascii="宋体" w:hAnsi="宋体" w:cs="宋体"/>
                <w:szCs w:val="21"/>
                <w:highlight w:val="none"/>
              </w:rPr>
              <w:t>负偏离要求</w:t>
            </w:r>
          </w:p>
        </w:tc>
        <w:tc>
          <w:tcPr>
            <w:tcW w:w="3239" w:type="pct"/>
            <w:tcBorders>
              <w:top w:val="single" w:color="000000" w:sz="4" w:space="0"/>
              <w:left w:val="single" w:color="000000" w:sz="4" w:space="0"/>
              <w:right w:val="single" w:color="000000" w:sz="4" w:space="0"/>
            </w:tcBorders>
            <w:noWrap w:val="0"/>
            <w:vAlign w:val="center"/>
          </w:tcPr>
          <w:p w14:paraId="32B09B72">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商务条款评审中允许负偏离的条款数为</w:t>
            </w:r>
            <w:r>
              <w:rPr>
                <w:rFonts w:hint="eastAsia" w:ascii="宋体" w:hAnsi="宋体" w:cs="宋体"/>
                <w:color w:val="auto"/>
                <w:szCs w:val="21"/>
                <w:highlight w:val="none"/>
                <w:lang w:val="en-US" w:eastAsia="zh-CN"/>
              </w:rPr>
              <w:t>0</w:t>
            </w:r>
            <w:r>
              <w:rPr>
                <w:rFonts w:hint="eastAsia" w:ascii="宋体" w:hAnsi="宋体" w:cs="宋体"/>
                <w:color w:val="auto"/>
                <w:szCs w:val="21"/>
                <w:highlight w:val="none"/>
              </w:rPr>
              <w:t>项。</w:t>
            </w:r>
          </w:p>
          <w:p w14:paraId="724F6F83">
            <w:pPr>
              <w:snapToGrid w:val="0"/>
              <w:rPr>
                <w:rFonts w:ascii="宋体" w:hAnsi="宋体" w:cs="宋体"/>
                <w:b w:val="0"/>
                <w:color w:val="000000"/>
                <w:sz w:val="22"/>
                <w:szCs w:val="24"/>
                <w:highlight w:val="none"/>
              </w:rPr>
            </w:pPr>
            <w:r>
              <w:rPr>
                <w:rFonts w:hint="eastAsia" w:ascii="宋体" w:hAnsi="宋体" w:cs="宋体"/>
                <w:color w:val="auto"/>
                <w:szCs w:val="21"/>
                <w:highlight w:val="none"/>
              </w:rPr>
              <w:t>货物需求评审中允许负偏离的条款数为</w:t>
            </w:r>
            <w:r>
              <w:rPr>
                <w:rFonts w:hint="eastAsia" w:ascii="宋体" w:hAnsi="宋体" w:cs="宋体"/>
                <w:color w:val="auto"/>
                <w:szCs w:val="21"/>
                <w:highlight w:val="none"/>
                <w:lang w:val="en-US" w:eastAsia="zh-CN"/>
              </w:rPr>
              <w:t>20</w:t>
            </w:r>
            <w:r>
              <w:rPr>
                <w:rFonts w:hint="eastAsia" w:ascii="宋体" w:hAnsi="宋体" w:cs="宋体"/>
                <w:color w:val="auto"/>
                <w:szCs w:val="21"/>
                <w:highlight w:val="none"/>
              </w:rPr>
              <w:t>项。</w:t>
            </w:r>
          </w:p>
        </w:tc>
      </w:tr>
      <w:tr w14:paraId="00ADC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489" w:type="pct"/>
            <w:vMerge w:val="continue"/>
            <w:tcBorders>
              <w:left w:val="single" w:color="000000" w:sz="4" w:space="0"/>
              <w:right w:val="single" w:color="000000" w:sz="4" w:space="0"/>
            </w:tcBorders>
            <w:noWrap w:val="0"/>
            <w:vAlign w:val="center"/>
          </w:tcPr>
          <w:p w14:paraId="7C03721B">
            <w:pPr>
              <w:jc w:val="center"/>
            </w:pPr>
          </w:p>
        </w:tc>
        <w:tc>
          <w:tcPr>
            <w:tcW w:w="1270" w:type="pct"/>
            <w:tcBorders>
              <w:top w:val="single" w:color="000000" w:sz="4" w:space="0"/>
              <w:left w:val="single" w:color="000000" w:sz="4" w:space="0"/>
              <w:right w:val="single" w:color="000000" w:sz="4" w:space="0"/>
            </w:tcBorders>
            <w:noWrap w:val="0"/>
            <w:vAlign w:val="center"/>
          </w:tcPr>
          <w:p w14:paraId="4792CA6D">
            <w:pPr>
              <w:snapToGrid w:val="0"/>
              <w:jc w:val="center"/>
              <w:rPr>
                <w:rFonts w:hint="eastAsia" w:ascii="宋体" w:hAnsi="宋体" w:cs="宋体"/>
                <w:b w:val="0"/>
                <w:color w:val="000000"/>
                <w:sz w:val="22"/>
                <w:szCs w:val="24"/>
              </w:rPr>
            </w:pPr>
          </w:p>
          <w:p w14:paraId="2368A76E">
            <w:pPr>
              <w:snapToGrid w:val="0"/>
              <w:jc w:val="center"/>
              <w:rPr>
                <w:rFonts w:ascii="宋体" w:hAnsi="宋体" w:cs="宋体"/>
                <w:b w:val="0"/>
                <w:color w:val="000000"/>
                <w:sz w:val="22"/>
                <w:szCs w:val="24"/>
              </w:rPr>
            </w:pPr>
            <w:r>
              <w:rPr>
                <w:rFonts w:hint="eastAsia" w:ascii="宋体" w:hAnsi="宋体" w:cs="宋体"/>
                <w:b w:val="0"/>
                <w:color w:val="000000"/>
                <w:sz w:val="22"/>
                <w:szCs w:val="24"/>
              </w:rPr>
              <w:t>谈判的顺序</w:t>
            </w:r>
          </w:p>
          <w:p w14:paraId="50F9A88A">
            <w:pPr>
              <w:jc w:val="center"/>
              <w:rPr>
                <w:rFonts w:ascii="宋体" w:hAnsi="宋体" w:cs="宋体"/>
                <w:b w:val="0"/>
                <w:color w:val="000000"/>
                <w:sz w:val="22"/>
                <w:szCs w:val="24"/>
              </w:rPr>
            </w:pPr>
          </w:p>
        </w:tc>
        <w:tc>
          <w:tcPr>
            <w:tcW w:w="3239" w:type="pct"/>
            <w:tcBorders>
              <w:left w:val="single" w:color="000000" w:sz="4" w:space="0"/>
              <w:bottom w:val="single" w:color="000000" w:sz="4" w:space="0"/>
              <w:right w:val="single" w:color="000000" w:sz="4" w:space="0"/>
            </w:tcBorders>
            <w:noWrap w:val="0"/>
            <w:vAlign w:val="center"/>
          </w:tcPr>
          <w:p w14:paraId="08128555">
            <w:pPr>
              <w:snapToGrid w:val="0"/>
              <w:jc w:val="center"/>
              <w:rPr>
                <w:rFonts w:ascii="宋体" w:hAnsi="宋体" w:cs="宋体"/>
                <w:b w:val="0"/>
                <w:color w:val="000000"/>
                <w:sz w:val="22"/>
                <w:szCs w:val="24"/>
              </w:rPr>
            </w:pPr>
            <w:r>
              <w:rPr>
                <w:rFonts w:hint="eastAsia" w:ascii="宋体" w:hAnsi="宋体" w:cs="宋体"/>
                <w:b w:val="0"/>
                <w:color w:val="000000"/>
                <w:sz w:val="22"/>
                <w:szCs w:val="24"/>
              </w:rPr>
              <w:t>系统自动提取的顺序</w:t>
            </w:r>
          </w:p>
        </w:tc>
      </w:tr>
      <w:tr w14:paraId="6A8FC8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89" w:type="pct"/>
            <w:vMerge w:val="continue"/>
            <w:tcBorders>
              <w:left w:val="single" w:color="000000" w:sz="4" w:space="0"/>
              <w:bottom w:val="single" w:color="000000" w:sz="4" w:space="0"/>
              <w:right w:val="single" w:color="000000" w:sz="4" w:space="0"/>
            </w:tcBorders>
            <w:noWrap w:val="0"/>
            <w:vAlign w:val="center"/>
          </w:tcPr>
          <w:p w14:paraId="169BDD42">
            <w:pPr>
              <w:widowControl/>
              <w:jc w:val="left"/>
              <w:rPr>
                <w:rFonts w:ascii="宋体" w:hAnsi="宋体" w:cs="宋体"/>
                <w:color w:val="0D0D0D"/>
                <w:sz w:val="22"/>
                <w:szCs w:val="24"/>
              </w:rPr>
            </w:pPr>
          </w:p>
        </w:tc>
        <w:tc>
          <w:tcPr>
            <w:tcW w:w="1270" w:type="pct"/>
            <w:tcBorders>
              <w:top w:val="single" w:color="000000" w:sz="4" w:space="0"/>
              <w:left w:val="single" w:color="000000" w:sz="4" w:space="0"/>
              <w:bottom w:val="single" w:color="000000" w:sz="4" w:space="0"/>
              <w:right w:val="single" w:color="000000" w:sz="4" w:space="0"/>
            </w:tcBorders>
            <w:noWrap w:val="0"/>
            <w:vAlign w:val="center"/>
          </w:tcPr>
          <w:p w14:paraId="0319A7A1">
            <w:pPr>
              <w:jc w:val="center"/>
              <w:rPr>
                <w:rFonts w:ascii="宋体" w:hAnsi="宋体" w:cs="宋体"/>
                <w:color w:val="0D0D0D"/>
                <w:sz w:val="22"/>
                <w:szCs w:val="24"/>
              </w:rPr>
            </w:pPr>
            <w:r>
              <w:rPr>
                <w:rFonts w:hint="eastAsia" w:ascii="宋体" w:hAnsi="宋体" w:cs="宋体"/>
                <w:color w:val="0D0D0D"/>
                <w:sz w:val="22"/>
                <w:szCs w:val="24"/>
              </w:rPr>
              <w:t>评审价相同时成交原则</w:t>
            </w:r>
          </w:p>
        </w:tc>
        <w:tc>
          <w:tcPr>
            <w:tcW w:w="3239" w:type="pct"/>
            <w:tcBorders>
              <w:top w:val="single" w:color="000000" w:sz="4" w:space="0"/>
              <w:left w:val="single" w:color="000000" w:sz="4" w:space="0"/>
              <w:bottom w:val="single" w:color="000000" w:sz="4" w:space="0"/>
              <w:right w:val="single" w:color="000000" w:sz="4" w:space="0"/>
            </w:tcBorders>
            <w:noWrap w:val="0"/>
            <w:vAlign w:val="center"/>
          </w:tcPr>
          <w:p w14:paraId="1AAA06A1">
            <w:pPr>
              <w:snapToGrid w:val="0"/>
              <w:rPr>
                <w:rFonts w:ascii="宋体" w:hAnsi="宋体" w:cs="宋体"/>
                <w:color w:val="0D0D0D"/>
                <w:sz w:val="22"/>
                <w:szCs w:val="24"/>
              </w:rPr>
            </w:pPr>
            <w:r>
              <w:rPr>
                <w:rFonts w:hint="eastAsia" w:ascii="宋体" w:hAnsi="宋体" w:cs="宋体"/>
                <w:color w:val="0D0D0D"/>
                <w:sz w:val="22"/>
                <w:szCs w:val="24"/>
              </w:rPr>
              <w:t>评审价相同时，按照最后报价由低到高顺序依次推荐；最后报价相同时，按以下原则确定成交候选人的顺序：</w:t>
            </w:r>
          </w:p>
          <w:p w14:paraId="4A4FD745">
            <w:pPr>
              <w:snapToGrid w:val="0"/>
              <w:rPr>
                <w:rFonts w:hint="eastAsia" w:ascii="宋体" w:hAnsi="宋体" w:cs="宋体"/>
                <w:color w:val="0D0D0D"/>
                <w:sz w:val="22"/>
                <w:szCs w:val="24"/>
              </w:rPr>
            </w:pPr>
            <w:r>
              <w:rPr>
                <w:rFonts w:hint="eastAsia" w:ascii="MS Mincho" w:hAnsi="MS Mincho" w:eastAsia="MS Mincho" w:cs="MS Mincho"/>
                <w:color w:val="0D0D0D"/>
                <w:sz w:val="22"/>
                <w:szCs w:val="24"/>
              </w:rPr>
              <w:t>☑</w:t>
            </w:r>
            <w:r>
              <w:rPr>
                <w:rFonts w:hint="eastAsia" w:ascii="宋体" w:hAnsi="宋体" w:cs="宋体"/>
                <w:color w:val="0D0D0D"/>
                <w:sz w:val="22"/>
                <w:szCs w:val="24"/>
              </w:rPr>
              <w:t>依次按带“▲”的实质性要求正偏离项数多的优先、均无正偏离或者正偏离项数一致时负偏离项数少的优先、质量保证期长优先、交货期短优先、故障响应时间短优先的顺序排列。</w:t>
            </w:r>
          </w:p>
          <w:p w14:paraId="12B4A097">
            <w:pPr>
              <w:snapToGrid w:val="0"/>
              <w:rPr>
                <w:rFonts w:ascii="宋体" w:hAnsi="宋体" w:cs="宋体"/>
                <w:color w:val="0D0D0D"/>
                <w:sz w:val="22"/>
                <w:szCs w:val="24"/>
              </w:rPr>
            </w:pPr>
            <w:r>
              <w:rPr>
                <w:rFonts w:hint="eastAsia" w:ascii="宋体" w:hAnsi="宋体" w:cs="宋体"/>
                <w:color w:val="0D0D0D"/>
                <w:sz w:val="22"/>
                <w:szCs w:val="24"/>
              </w:rPr>
              <w:t>□由谈判小组推荐代表随机抽取。</w:t>
            </w:r>
          </w:p>
        </w:tc>
      </w:tr>
      <w:tr w14:paraId="7C3BF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89" w:type="pct"/>
            <w:tcBorders>
              <w:top w:val="single" w:color="000000" w:sz="4" w:space="0"/>
              <w:left w:val="single" w:color="000000" w:sz="4" w:space="0"/>
              <w:bottom w:val="single" w:color="000000" w:sz="4" w:space="0"/>
              <w:right w:val="single" w:color="000000" w:sz="4" w:space="0"/>
            </w:tcBorders>
            <w:noWrap w:val="0"/>
            <w:vAlign w:val="center"/>
          </w:tcPr>
          <w:p w14:paraId="3AE44E18">
            <w:pPr>
              <w:jc w:val="center"/>
              <w:rPr>
                <w:rFonts w:ascii="宋体" w:hAnsi="宋体" w:cs="宋体"/>
                <w:color w:val="0D0D0D"/>
                <w:sz w:val="22"/>
                <w:szCs w:val="24"/>
              </w:rPr>
            </w:pPr>
            <w:r>
              <w:rPr>
                <w:rFonts w:hint="eastAsia" w:ascii="宋体" w:hAnsi="宋体" w:cs="宋体"/>
                <w:color w:val="0D0D0D"/>
                <w:sz w:val="22"/>
                <w:szCs w:val="24"/>
              </w:rPr>
              <w:t>28</w:t>
            </w:r>
          </w:p>
        </w:tc>
        <w:tc>
          <w:tcPr>
            <w:tcW w:w="1270" w:type="pct"/>
            <w:tcBorders>
              <w:top w:val="single" w:color="000000" w:sz="4" w:space="0"/>
              <w:left w:val="single" w:color="000000" w:sz="4" w:space="0"/>
              <w:bottom w:val="single" w:color="000000" w:sz="4" w:space="0"/>
              <w:right w:val="single" w:color="000000" w:sz="4" w:space="0"/>
            </w:tcBorders>
            <w:noWrap w:val="0"/>
            <w:vAlign w:val="center"/>
          </w:tcPr>
          <w:p w14:paraId="3D27FDAE">
            <w:pPr>
              <w:jc w:val="center"/>
              <w:rPr>
                <w:rFonts w:ascii="宋体" w:hAnsi="宋体" w:cs="宋体"/>
                <w:color w:val="0D0D0D"/>
                <w:sz w:val="22"/>
                <w:szCs w:val="24"/>
              </w:rPr>
            </w:pPr>
            <w:r>
              <w:rPr>
                <w:rFonts w:hint="eastAsia" w:ascii="宋体" w:hAnsi="宋体" w:cs="宋体"/>
                <w:color w:val="0D0D0D"/>
                <w:sz w:val="22"/>
                <w:szCs w:val="24"/>
              </w:rPr>
              <w:t>履约保证金</w:t>
            </w:r>
          </w:p>
        </w:tc>
        <w:tc>
          <w:tcPr>
            <w:tcW w:w="3239" w:type="pct"/>
            <w:tcBorders>
              <w:top w:val="single" w:color="000000" w:sz="4" w:space="0"/>
              <w:left w:val="single" w:color="000000" w:sz="4" w:space="0"/>
              <w:bottom w:val="single" w:color="000000" w:sz="4" w:space="0"/>
              <w:right w:val="single" w:color="000000" w:sz="4" w:space="0"/>
            </w:tcBorders>
            <w:noWrap w:val="0"/>
            <w:vAlign w:val="center"/>
          </w:tcPr>
          <w:p w14:paraId="7993A4D1">
            <w:pPr>
              <w:snapToGrid w:val="0"/>
              <w:rPr>
                <w:rFonts w:ascii="宋体" w:hAnsi="宋体" w:cs="宋体"/>
                <w:color w:val="0D0D0D"/>
                <w:sz w:val="22"/>
                <w:szCs w:val="24"/>
              </w:rPr>
            </w:pPr>
            <w:r>
              <w:rPr>
                <w:rFonts w:hint="eastAsia" w:ascii="宋体" w:hAnsi="宋体" w:cs="宋体"/>
                <w:color w:val="0D0D0D"/>
                <w:sz w:val="22"/>
                <w:szCs w:val="24"/>
              </w:rPr>
              <w:t xml:space="preserve">本项目不收取履约保证金 </w:t>
            </w:r>
          </w:p>
        </w:tc>
      </w:tr>
      <w:tr w14:paraId="224BB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89" w:type="pct"/>
            <w:tcBorders>
              <w:top w:val="single" w:color="000000" w:sz="4" w:space="0"/>
              <w:left w:val="single" w:color="000000" w:sz="4" w:space="0"/>
              <w:bottom w:val="single" w:color="000000" w:sz="4" w:space="0"/>
              <w:right w:val="single" w:color="000000" w:sz="4" w:space="0"/>
            </w:tcBorders>
            <w:noWrap w:val="0"/>
            <w:vAlign w:val="center"/>
          </w:tcPr>
          <w:p w14:paraId="6106CACF">
            <w:pPr>
              <w:jc w:val="center"/>
              <w:rPr>
                <w:rFonts w:ascii="宋体" w:hAnsi="宋体" w:cs="宋体"/>
                <w:color w:val="0D0D0D"/>
                <w:sz w:val="22"/>
                <w:szCs w:val="24"/>
              </w:rPr>
            </w:pPr>
            <w:r>
              <w:rPr>
                <w:rFonts w:hint="eastAsia" w:ascii="宋体" w:hAnsi="宋体" w:cs="宋体"/>
                <w:color w:val="0D0D0D"/>
                <w:sz w:val="22"/>
                <w:szCs w:val="24"/>
              </w:rPr>
              <w:t>29.5</w:t>
            </w:r>
          </w:p>
        </w:tc>
        <w:tc>
          <w:tcPr>
            <w:tcW w:w="1270" w:type="pct"/>
            <w:tcBorders>
              <w:top w:val="single" w:color="000000" w:sz="4" w:space="0"/>
              <w:left w:val="single" w:color="000000" w:sz="4" w:space="0"/>
              <w:bottom w:val="single" w:color="000000" w:sz="4" w:space="0"/>
              <w:right w:val="single" w:color="000000" w:sz="4" w:space="0"/>
            </w:tcBorders>
            <w:noWrap w:val="0"/>
            <w:vAlign w:val="center"/>
          </w:tcPr>
          <w:p w14:paraId="61CDDAA8">
            <w:pPr>
              <w:jc w:val="center"/>
              <w:rPr>
                <w:rFonts w:ascii="宋体" w:hAnsi="宋体" w:cs="宋体"/>
                <w:color w:val="0D0D0D"/>
                <w:sz w:val="22"/>
                <w:szCs w:val="24"/>
              </w:rPr>
            </w:pPr>
            <w:r>
              <w:rPr>
                <w:rFonts w:hint="eastAsia" w:ascii="宋体" w:hAnsi="宋体"/>
                <w:color w:val="0D0D0D"/>
                <w:sz w:val="22"/>
                <w:szCs w:val="24"/>
              </w:rPr>
              <w:t>签订合同携带的材料</w:t>
            </w:r>
          </w:p>
        </w:tc>
        <w:tc>
          <w:tcPr>
            <w:tcW w:w="3239" w:type="pct"/>
            <w:tcBorders>
              <w:top w:val="single" w:color="000000" w:sz="4" w:space="0"/>
              <w:left w:val="single" w:color="000000" w:sz="4" w:space="0"/>
              <w:bottom w:val="single" w:color="000000" w:sz="4" w:space="0"/>
              <w:right w:val="single" w:color="000000" w:sz="4" w:space="0"/>
            </w:tcBorders>
            <w:noWrap w:val="0"/>
            <w:vAlign w:val="center"/>
          </w:tcPr>
          <w:p w14:paraId="6D0348E9">
            <w:pPr>
              <w:snapToGrid w:val="0"/>
              <w:rPr>
                <w:rFonts w:ascii="宋体" w:hAnsi="宋体" w:cs="宋体"/>
                <w:color w:val="0D0D0D"/>
                <w:sz w:val="22"/>
                <w:szCs w:val="24"/>
              </w:rPr>
            </w:pPr>
            <w:r>
              <w:rPr>
                <w:rFonts w:hint="eastAsia" w:ascii="宋体" w:hAnsi="宋体"/>
                <w:color w:val="0D0D0D"/>
                <w:sz w:val="22"/>
                <w:szCs w:val="24"/>
              </w:rPr>
              <w:t>使用的有效CA证书加盖单位电子公章</w:t>
            </w:r>
          </w:p>
        </w:tc>
      </w:tr>
      <w:tr w14:paraId="1EF42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89" w:type="pct"/>
            <w:vMerge w:val="restart"/>
            <w:tcBorders>
              <w:top w:val="single" w:color="000000" w:sz="4" w:space="0"/>
              <w:left w:val="single" w:color="000000" w:sz="4" w:space="0"/>
              <w:bottom w:val="single" w:color="000000" w:sz="4" w:space="0"/>
              <w:right w:val="single" w:color="000000" w:sz="4" w:space="0"/>
            </w:tcBorders>
            <w:noWrap w:val="0"/>
            <w:vAlign w:val="center"/>
          </w:tcPr>
          <w:p w14:paraId="3D949CFA">
            <w:pPr>
              <w:jc w:val="center"/>
              <w:rPr>
                <w:rFonts w:ascii="宋体" w:hAnsi="宋体" w:cs="宋体"/>
                <w:color w:val="0D0D0D"/>
                <w:sz w:val="22"/>
                <w:szCs w:val="24"/>
              </w:rPr>
            </w:pPr>
            <w:r>
              <w:rPr>
                <w:rFonts w:hint="eastAsia" w:ascii="宋体" w:hAnsi="宋体" w:cs="宋体"/>
                <w:color w:val="0D0D0D"/>
                <w:sz w:val="22"/>
                <w:szCs w:val="24"/>
              </w:rPr>
              <w:t>31.2</w:t>
            </w:r>
          </w:p>
        </w:tc>
        <w:tc>
          <w:tcPr>
            <w:tcW w:w="1270" w:type="pct"/>
            <w:tcBorders>
              <w:top w:val="single" w:color="000000" w:sz="4" w:space="0"/>
              <w:left w:val="single" w:color="000000" w:sz="4" w:space="0"/>
              <w:bottom w:val="single" w:color="000000" w:sz="4" w:space="0"/>
              <w:right w:val="single" w:color="000000" w:sz="4" w:space="0"/>
            </w:tcBorders>
            <w:noWrap w:val="0"/>
            <w:vAlign w:val="center"/>
          </w:tcPr>
          <w:p w14:paraId="3A5170E6">
            <w:pPr>
              <w:jc w:val="center"/>
              <w:rPr>
                <w:rFonts w:ascii="宋体" w:hAnsi="宋体"/>
                <w:color w:val="0D0D0D"/>
                <w:sz w:val="22"/>
                <w:szCs w:val="24"/>
              </w:rPr>
            </w:pPr>
            <w:r>
              <w:rPr>
                <w:rFonts w:hint="eastAsia" w:ascii="宋体" w:hAnsi="宋体"/>
                <w:color w:val="0D0D0D"/>
                <w:sz w:val="22"/>
                <w:szCs w:val="24"/>
              </w:rPr>
              <w:t>接收质疑函方式</w:t>
            </w:r>
          </w:p>
        </w:tc>
        <w:tc>
          <w:tcPr>
            <w:tcW w:w="3239" w:type="pct"/>
            <w:tcBorders>
              <w:top w:val="single" w:color="000000" w:sz="4" w:space="0"/>
              <w:left w:val="single" w:color="000000" w:sz="4" w:space="0"/>
              <w:bottom w:val="single" w:color="000000" w:sz="4" w:space="0"/>
              <w:right w:val="single" w:color="000000" w:sz="4" w:space="0"/>
            </w:tcBorders>
            <w:noWrap w:val="0"/>
            <w:vAlign w:val="center"/>
          </w:tcPr>
          <w:p w14:paraId="31D20AA5">
            <w:pPr>
              <w:snapToGrid w:val="0"/>
              <w:rPr>
                <w:rFonts w:ascii="宋体" w:hAnsi="宋体"/>
                <w:color w:val="0D0D0D"/>
                <w:sz w:val="22"/>
                <w:szCs w:val="24"/>
              </w:rPr>
            </w:pPr>
            <w:r>
              <w:rPr>
                <w:rFonts w:hint="eastAsia" w:ascii="宋体" w:hAnsi="宋体"/>
                <w:color w:val="0D0D0D"/>
                <w:sz w:val="22"/>
                <w:szCs w:val="24"/>
              </w:rPr>
              <w:t>以书面形式</w:t>
            </w:r>
          </w:p>
        </w:tc>
      </w:tr>
      <w:tr w14:paraId="47E1C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6F2E22">
            <w:pPr>
              <w:widowControl/>
              <w:jc w:val="left"/>
              <w:rPr>
                <w:rFonts w:ascii="宋体" w:hAnsi="宋体" w:cs="宋体"/>
                <w:color w:val="0D0D0D"/>
                <w:sz w:val="22"/>
                <w:szCs w:val="24"/>
              </w:rPr>
            </w:pPr>
          </w:p>
        </w:tc>
        <w:tc>
          <w:tcPr>
            <w:tcW w:w="1270" w:type="pct"/>
            <w:tcBorders>
              <w:top w:val="single" w:color="000000" w:sz="4" w:space="0"/>
              <w:left w:val="single" w:color="000000" w:sz="4" w:space="0"/>
              <w:bottom w:val="single" w:color="000000" w:sz="4" w:space="0"/>
              <w:right w:val="single" w:color="000000" w:sz="4" w:space="0"/>
            </w:tcBorders>
            <w:noWrap w:val="0"/>
            <w:vAlign w:val="center"/>
          </w:tcPr>
          <w:p w14:paraId="3F1F3651">
            <w:pPr>
              <w:jc w:val="center"/>
              <w:rPr>
                <w:rFonts w:ascii="宋体" w:hAnsi="宋体"/>
                <w:color w:val="0D0D0D"/>
                <w:sz w:val="22"/>
                <w:szCs w:val="24"/>
              </w:rPr>
            </w:pPr>
            <w:r>
              <w:rPr>
                <w:rFonts w:hint="eastAsia" w:ascii="宋体" w:hAnsi="宋体"/>
                <w:color w:val="0D0D0D"/>
                <w:sz w:val="22"/>
                <w:szCs w:val="24"/>
              </w:rPr>
              <w:t>质疑联系部门及联系方式</w:t>
            </w:r>
          </w:p>
        </w:tc>
        <w:tc>
          <w:tcPr>
            <w:tcW w:w="3239" w:type="pct"/>
            <w:tcBorders>
              <w:top w:val="single" w:color="000000" w:sz="4" w:space="0"/>
              <w:left w:val="single" w:color="000000" w:sz="4" w:space="0"/>
              <w:bottom w:val="single" w:color="000000" w:sz="4" w:space="0"/>
              <w:right w:val="single" w:color="000000" w:sz="4" w:space="0"/>
            </w:tcBorders>
            <w:noWrap w:val="0"/>
            <w:vAlign w:val="center"/>
          </w:tcPr>
          <w:p w14:paraId="1A830F81">
            <w:pPr>
              <w:snapToGrid w:val="0"/>
              <w:rPr>
                <w:rFonts w:ascii="宋体" w:hAnsi="宋体"/>
                <w:color w:val="0D0D0D"/>
                <w:sz w:val="22"/>
                <w:szCs w:val="24"/>
              </w:rPr>
            </w:pPr>
            <w:r>
              <w:rPr>
                <w:rFonts w:hint="eastAsia" w:ascii="宋体" w:hAnsi="宋体"/>
                <w:color w:val="0D0D0D"/>
                <w:sz w:val="22"/>
                <w:szCs w:val="24"/>
              </w:rPr>
              <w:t>（1）</w:t>
            </w:r>
            <w:r>
              <w:rPr>
                <w:rFonts w:hint="eastAsia" w:ascii="宋体" w:hAnsi="宋体"/>
                <w:color w:val="0D0D0D"/>
                <w:sz w:val="22"/>
                <w:szCs w:val="24"/>
                <w:lang w:eastAsia="zh-CN"/>
              </w:rPr>
              <w:t>上林县政府集中采购中心</w:t>
            </w:r>
            <w:r>
              <w:rPr>
                <w:rFonts w:hint="eastAsia" w:ascii="宋体" w:hAnsi="宋体"/>
                <w:color w:val="0D0D0D"/>
                <w:sz w:val="22"/>
                <w:szCs w:val="24"/>
              </w:rPr>
              <w:t>；</w:t>
            </w:r>
          </w:p>
          <w:p w14:paraId="0BD92AAD">
            <w:pPr>
              <w:snapToGrid w:val="0"/>
              <w:rPr>
                <w:rFonts w:hint="eastAsia" w:ascii="宋体" w:hAnsi="宋体"/>
                <w:color w:val="0D0D0D"/>
                <w:sz w:val="22"/>
                <w:szCs w:val="24"/>
              </w:rPr>
            </w:pPr>
            <w:r>
              <w:rPr>
                <w:rFonts w:hint="eastAsia" w:ascii="宋体" w:hAnsi="宋体"/>
                <w:color w:val="0D0D0D"/>
                <w:sz w:val="22"/>
                <w:szCs w:val="24"/>
              </w:rPr>
              <w:t>联系电话：</w:t>
            </w:r>
            <w:bookmarkStart w:id="23" w:name="PO_3000001866_PM033_1"/>
            <w:r>
              <w:rPr>
                <w:rFonts w:hint="eastAsia" w:ascii="宋体" w:hAnsi="宋体"/>
                <w:color w:val="0D0D0D"/>
                <w:sz w:val="22"/>
                <w:szCs w:val="24"/>
              </w:rPr>
              <w:t>0771-</w:t>
            </w:r>
            <w:bookmarkEnd w:id="23"/>
            <w:r>
              <w:rPr>
                <w:rFonts w:hint="eastAsia" w:ascii="宋体" w:hAnsi="宋体"/>
                <w:color w:val="0D0D0D"/>
                <w:sz w:val="22"/>
                <w:szCs w:val="24"/>
                <w:lang w:val="en-US" w:eastAsia="zh-CN"/>
              </w:rPr>
              <w:t>5280359</w:t>
            </w:r>
            <w:r>
              <w:rPr>
                <w:rFonts w:hint="eastAsia" w:ascii="宋体" w:hAnsi="宋体"/>
                <w:color w:val="0D0D0D"/>
                <w:sz w:val="22"/>
                <w:szCs w:val="24"/>
              </w:rPr>
              <w:t>，</w:t>
            </w:r>
          </w:p>
          <w:p w14:paraId="7346004F">
            <w:pPr>
              <w:snapToGrid w:val="0"/>
              <w:rPr>
                <w:rFonts w:hint="default" w:ascii="宋体" w:hAnsi="宋体" w:eastAsia="宋体"/>
                <w:color w:val="0D0D0D"/>
                <w:sz w:val="22"/>
                <w:szCs w:val="24"/>
                <w:lang w:val="en-US" w:eastAsia="zh-CN"/>
              </w:rPr>
            </w:pPr>
            <w:r>
              <w:rPr>
                <w:rFonts w:hint="eastAsia" w:ascii="宋体" w:hAnsi="宋体"/>
                <w:color w:val="0D0D0D"/>
                <w:sz w:val="22"/>
                <w:szCs w:val="24"/>
              </w:rPr>
              <w:t>通讯地址：</w:t>
            </w:r>
            <w:r>
              <w:rPr>
                <w:rFonts w:hint="eastAsia" w:ascii="宋体" w:hAnsi="宋体"/>
                <w:color w:val="0D0D0D"/>
                <w:sz w:val="22"/>
                <w:szCs w:val="24"/>
                <w:lang w:eastAsia="zh-CN"/>
              </w:rPr>
              <w:t>上林县林溪路</w:t>
            </w:r>
            <w:r>
              <w:rPr>
                <w:rFonts w:hint="eastAsia" w:ascii="宋体" w:hAnsi="宋体"/>
                <w:color w:val="0D0D0D"/>
                <w:sz w:val="22"/>
                <w:szCs w:val="24"/>
                <w:lang w:val="en-US" w:eastAsia="zh-CN"/>
              </w:rPr>
              <w:t>4号</w:t>
            </w:r>
          </w:p>
          <w:p w14:paraId="46FD11C3">
            <w:pPr>
              <w:snapToGrid w:val="0"/>
              <w:rPr>
                <w:rFonts w:hint="eastAsia" w:ascii="宋体" w:hAnsi="宋体"/>
                <w:color w:val="0D0D0D"/>
                <w:sz w:val="22"/>
                <w:szCs w:val="24"/>
              </w:rPr>
            </w:pPr>
            <w:r>
              <w:rPr>
                <w:rFonts w:hint="eastAsia" w:ascii="宋体" w:hAnsi="宋体"/>
                <w:color w:val="0D0D0D"/>
                <w:sz w:val="22"/>
                <w:szCs w:val="24"/>
              </w:rPr>
              <w:t>（2）</w:t>
            </w:r>
            <w:r>
              <w:rPr>
                <w:rFonts w:hint="eastAsia" w:ascii="宋体" w:hAnsi="宋体"/>
                <w:color w:val="0D0D0D"/>
                <w:sz w:val="22"/>
                <w:szCs w:val="24"/>
                <w:lang w:eastAsia="zh-CN"/>
              </w:rPr>
              <w:t>上林县教育局</w:t>
            </w:r>
            <w:r>
              <w:rPr>
                <w:rFonts w:hint="eastAsia" w:ascii="宋体" w:hAnsi="宋体"/>
                <w:color w:val="0D0D0D"/>
                <w:sz w:val="22"/>
                <w:szCs w:val="24"/>
              </w:rPr>
              <w:t>；</w:t>
            </w:r>
          </w:p>
          <w:p w14:paraId="7FAE5540">
            <w:pPr>
              <w:snapToGrid w:val="0"/>
              <w:spacing w:line="380" w:lineRule="exact"/>
              <w:rPr>
                <w:rFonts w:hint="eastAsia" w:ascii="宋体" w:hAnsi="宋体"/>
                <w:color w:val="000000"/>
                <w:szCs w:val="21"/>
              </w:rPr>
            </w:pPr>
            <w:r>
              <w:rPr>
                <w:rFonts w:hint="eastAsia" w:ascii="宋体" w:hAnsi="宋体"/>
                <w:color w:val="000000"/>
                <w:szCs w:val="21"/>
              </w:rPr>
              <w:t>联系电话：</w:t>
            </w:r>
            <w:bookmarkStart w:id="24" w:name="PO_3000001871_PM028_2"/>
            <w:r>
              <w:rPr>
                <w:rFonts w:hint="eastAsia" w:ascii="Arial" w:hAnsi="Arial" w:cs="Arial"/>
                <w:bCs/>
                <w:kern w:val="0"/>
                <w:szCs w:val="21"/>
                <w:u w:val="single"/>
                <w:lang w:eastAsia="zh-CN"/>
              </w:rPr>
              <w:t>李老师</w:t>
            </w:r>
            <w:r>
              <w:rPr>
                <w:rFonts w:hint="eastAsia" w:ascii="Arial" w:hAnsi="Arial" w:cs="Arial"/>
                <w:bCs/>
                <w:kern w:val="0"/>
                <w:szCs w:val="21"/>
                <w:u w:val="single"/>
                <w:lang w:val="en-US" w:eastAsia="zh-CN"/>
              </w:rPr>
              <w:t xml:space="preserve"> </w:t>
            </w:r>
            <w:bookmarkEnd w:id="24"/>
            <w:r>
              <w:rPr>
                <w:rFonts w:hint="eastAsia" w:ascii="Arial" w:hAnsi="Arial" w:cs="Arial"/>
                <w:bCs/>
                <w:color w:val="000000"/>
                <w:kern w:val="0"/>
                <w:szCs w:val="21"/>
                <w:u w:val="single"/>
              </w:rPr>
              <w:t xml:space="preserve"> </w:t>
            </w:r>
            <w:r>
              <w:rPr>
                <w:rFonts w:hint="eastAsia" w:ascii="Arial" w:hAnsi="Arial" w:cs="Arial"/>
                <w:bCs/>
                <w:kern w:val="0"/>
                <w:szCs w:val="21"/>
                <w:u w:val="single"/>
                <w:lang w:eastAsia="zh-CN"/>
              </w:rPr>
              <w:t>0771-5227026</w:t>
            </w:r>
            <w:r>
              <w:rPr>
                <w:rFonts w:hint="eastAsia" w:ascii="宋体" w:hAnsi="宋体"/>
                <w:color w:val="000000"/>
                <w:szCs w:val="21"/>
              </w:rPr>
              <w:t>，</w:t>
            </w:r>
          </w:p>
          <w:p w14:paraId="21E0384E">
            <w:pPr>
              <w:snapToGrid w:val="0"/>
              <w:rPr>
                <w:rFonts w:ascii="宋体" w:hAnsi="宋体"/>
                <w:color w:val="0D0D0D"/>
                <w:sz w:val="22"/>
                <w:szCs w:val="24"/>
              </w:rPr>
            </w:pPr>
            <w:r>
              <w:rPr>
                <w:rFonts w:hint="eastAsia" w:ascii="宋体" w:hAnsi="宋体"/>
                <w:color w:val="000000"/>
                <w:szCs w:val="21"/>
              </w:rPr>
              <w:t>通讯地址</w:t>
            </w:r>
            <w:r>
              <w:rPr>
                <w:rFonts w:hint="eastAsia" w:ascii="宋体" w:hAnsi="宋体" w:cs="Helvetica"/>
                <w:color w:val="000000"/>
                <w:szCs w:val="21"/>
              </w:rPr>
              <w:t>：</w:t>
            </w:r>
            <w:r>
              <w:rPr>
                <w:rFonts w:ascii="Arial" w:hAnsi="Arial" w:cs="Arial"/>
                <w:bCs/>
                <w:color w:val="000000"/>
                <w:kern w:val="0"/>
                <w:szCs w:val="21"/>
                <w:u w:val="single"/>
              </w:rPr>
              <w:t> </w:t>
            </w:r>
            <w:bookmarkStart w:id="25" w:name="OLE_LINK26"/>
            <w:r>
              <w:rPr>
                <w:rFonts w:hint="eastAsia" w:ascii="Arial" w:hAnsi="Arial" w:cs="Arial"/>
                <w:bCs/>
                <w:color w:val="000000"/>
                <w:kern w:val="0"/>
                <w:szCs w:val="21"/>
                <w:u w:val="single"/>
                <w:lang w:eastAsia="zh-CN"/>
              </w:rPr>
              <w:t>上林县林康路</w:t>
            </w:r>
            <w:r>
              <w:rPr>
                <w:rFonts w:hint="eastAsia" w:ascii="Arial" w:hAnsi="Arial" w:cs="Arial"/>
                <w:bCs/>
                <w:color w:val="000000"/>
                <w:kern w:val="0"/>
                <w:szCs w:val="21"/>
                <w:u w:val="single"/>
                <w:lang w:val="en-US" w:eastAsia="zh-CN"/>
              </w:rPr>
              <w:t>7</w:t>
            </w:r>
            <w:r>
              <w:rPr>
                <w:rFonts w:hint="eastAsia" w:ascii="Arial" w:hAnsi="Arial" w:cs="Arial"/>
                <w:bCs/>
                <w:color w:val="000000"/>
                <w:kern w:val="0"/>
                <w:szCs w:val="21"/>
                <w:u w:val="single"/>
              </w:rPr>
              <w:t>号</w:t>
            </w:r>
            <w:bookmarkEnd w:id="25"/>
            <w:r>
              <w:rPr>
                <w:rFonts w:ascii="Arial" w:hAnsi="Arial" w:cs="Arial"/>
                <w:bCs/>
                <w:kern w:val="0"/>
                <w:szCs w:val="21"/>
                <w:u w:val="single"/>
              </w:rPr>
              <w:t xml:space="preserve"> </w:t>
            </w:r>
            <w:r>
              <w:rPr>
                <w:rFonts w:hint="eastAsia" w:ascii="Arial" w:hAnsi="Arial" w:cs="Arial"/>
                <w:bCs/>
                <w:kern w:val="0"/>
                <w:szCs w:val="21"/>
                <w:u w:val="single"/>
              </w:rPr>
              <w:t xml:space="preserve">  </w:t>
            </w:r>
          </w:p>
        </w:tc>
      </w:tr>
      <w:tr w14:paraId="00848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06B3F5">
            <w:pPr>
              <w:widowControl/>
              <w:jc w:val="left"/>
              <w:rPr>
                <w:rFonts w:ascii="宋体" w:hAnsi="宋体" w:cs="宋体"/>
                <w:color w:val="0D0D0D"/>
                <w:sz w:val="22"/>
                <w:szCs w:val="24"/>
              </w:rPr>
            </w:pPr>
          </w:p>
        </w:tc>
        <w:tc>
          <w:tcPr>
            <w:tcW w:w="1270" w:type="pct"/>
            <w:tcBorders>
              <w:top w:val="single" w:color="000000" w:sz="4" w:space="0"/>
              <w:left w:val="single" w:color="000000" w:sz="4" w:space="0"/>
              <w:bottom w:val="single" w:color="000000" w:sz="4" w:space="0"/>
              <w:right w:val="single" w:color="000000" w:sz="4" w:space="0"/>
            </w:tcBorders>
            <w:noWrap w:val="0"/>
            <w:vAlign w:val="center"/>
          </w:tcPr>
          <w:p w14:paraId="5A2434A2">
            <w:pPr>
              <w:jc w:val="center"/>
              <w:rPr>
                <w:rFonts w:ascii="宋体" w:hAnsi="宋体"/>
                <w:color w:val="0D0D0D"/>
                <w:sz w:val="22"/>
                <w:szCs w:val="24"/>
              </w:rPr>
            </w:pPr>
            <w:r>
              <w:rPr>
                <w:rFonts w:hint="eastAsia" w:hAnsi="宋体"/>
                <w:color w:val="0D0D0D"/>
                <w:sz w:val="22"/>
                <w:szCs w:val="24"/>
              </w:rPr>
              <w:t>现场提交质疑办理业务时间</w:t>
            </w:r>
          </w:p>
        </w:tc>
        <w:tc>
          <w:tcPr>
            <w:tcW w:w="3239" w:type="pct"/>
            <w:tcBorders>
              <w:top w:val="single" w:color="000000" w:sz="4" w:space="0"/>
              <w:left w:val="single" w:color="000000" w:sz="4" w:space="0"/>
              <w:bottom w:val="single" w:color="000000" w:sz="4" w:space="0"/>
              <w:right w:val="single" w:color="000000" w:sz="4" w:space="0"/>
            </w:tcBorders>
            <w:noWrap w:val="0"/>
            <w:vAlign w:val="center"/>
          </w:tcPr>
          <w:p w14:paraId="734A3EB4">
            <w:pPr>
              <w:snapToGrid w:val="0"/>
              <w:rPr>
                <w:rFonts w:ascii="宋体" w:hAnsi="宋体"/>
                <w:color w:val="0D0D0D"/>
                <w:sz w:val="22"/>
                <w:szCs w:val="24"/>
              </w:rPr>
            </w:pPr>
            <w:r>
              <w:rPr>
                <w:rFonts w:hint="eastAsia" w:hAnsi="宋体"/>
                <w:color w:val="0D0D0D"/>
                <w:sz w:val="22"/>
                <w:szCs w:val="24"/>
              </w:rPr>
              <w:t>质疑期内每个工作日</w:t>
            </w:r>
            <w:r>
              <w:rPr>
                <w:rFonts w:hAnsi="宋体"/>
                <w:color w:val="0D0D0D"/>
                <w:sz w:val="22"/>
                <w:szCs w:val="24"/>
                <w:u w:val="single"/>
              </w:rPr>
              <w:t>9</w:t>
            </w:r>
            <w:r>
              <w:rPr>
                <w:rFonts w:hint="eastAsia" w:hAnsi="宋体"/>
                <w:color w:val="0D0D0D"/>
                <w:sz w:val="22"/>
                <w:szCs w:val="24"/>
              </w:rPr>
              <w:t>时</w:t>
            </w:r>
            <w:r>
              <w:rPr>
                <w:rFonts w:hAnsi="宋体"/>
                <w:color w:val="0D0D0D"/>
                <w:sz w:val="22"/>
                <w:szCs w:val="24"/>
                <w:u w:val="single"/>
              </w:rPr>
              <w:t>00</w:t>
            </w:r>
            <w:r>
              <w:rPr>
                <w:rFonts w:hint="eastAsia" w:hAnsi="宋体"/>
                <w:color w:val="0D0D0D"/>
                <w:sz w:val="22"/>
                <w:szCs w:val="24"/>
              </w:rPr>
              <w:t>分到</w:t>
            </w:r>
            <w:r>
              <w:rPr>
                <w:rFonts w:hAnsi="宋体"/>
                <w:color w:val="0D0D0D"/>
                <w:sz w:val="22"/>
                <w:szCs w:val="24"/>
                <w:u w:val="single"/>
              </w:rPr>
              <w:t>12</w:t>
            </w:r>
            <w:r>
              <w:rPr>
                <w:rFonts w:hint="eastAsia" w:hAnsi="宋体"/>
                <w:color w:val="0D0D0D"/>
                <w:sz w:val="22"/>
                <w:szCs w:val="24"/>
              </w:rPr>
              <w:t>时</w:t>
            </w:r>
            <w:r>
              <w:rPr>
                <w:rFonts w:hAnsi="宋体"/>
                <w:color w:val="0D0D0D"/>
                <w:sz w:val="22"/>
                <w:szCs w:val="24"/>
                <w:u w:val="single"/>
              </w:rPr>
              <w:t>00</w:t>
            </w:r>
            <w:r>
              <w:rPr>
                <w:rFonts w:hint="eastAsia" w:hAnsi="宋体"/>
                <w:color w:val="0D0D0D"/>
                <w:sz w:val="22"/>
                <w:szCs w:val="24"/>
              </w:rPr>
              <w:t>分，</w:t>
            </w:r>
            <w:r>
              <w:rPr>
                <w:rFonts w:hAnsi="宋体"/>
                <w:color w:val="0D0D0D"/>
                <w:sz w:val="22"/>
                <w:szCs w:val="24"/>
                <w:u w:val="single"/>
              </w:rPr>
              <w:t>13</w:t>
            </w:r>
            <w:r>
              <w:rPr>
                <w:rFonts w:hint="eastAsia" w:hAnsi="宋体"/>
                <w:color w:val="0D0D0D"/>
                <w:sz w:val="22"/>
                <w:szCs w:val="24"/>
              </w:rPr>
              <w:t>时</w:t>
            </w:r>
            <w:r>
              <w:rPr>
                <w:rFonts w:hAnsi="宋体"/>
                <w:color w:val="0D0D0D"/>
                <w:sz w:val="22"/>
                <w:szCs w:val="24"/>
                <w:u w:val="single"/>
              </w:rPr>
              <w:t>00</w:t>
            </w:r>
            <w:r>
              <w:rPr>
                <w:rFonts w:hint="eastAsia" w:hAnsi="宋体"/>
                <w:color w:val="0D0D0D"/>
                <w:sz w:val="22"/>
                <w:szCs w:val="24"/>
              </w:rPr>
              <w:t>分到</w:t>
            </w:r>
            <w:r>
              <w:rPr>
                <w:rFonts w:hAnsi="宋体"/>
                <w:color w:val="0D0D0D"/>
                <w:sz w:val="22"/>
                <w:szCs w:val="24"/>
                <w:u w:val="single"/>
              </w:rPr>
              <w:t>17</w:t>
            </w:r>
            <w:r>
              <w:rPr>
                <w:rFonts w:hint="eastAsia" w:hAnsi="宋体"/>
                <w:color w:val="0D0D0D"/>
                <w:sz w:val="22"/>
                <w:szCs w:val="24"/>
              </w:rPr>
              <w:t>时</w:t>
            </w:r>
            <w:r>
              <w:rPr>
                <w:rFonts w:hAnsi="宋体"/>
                <w:color w:val="0D0D0D"/>
                <w:sz w:val="22"/>
                <w:szCs w:val="24"/>
                <w:u w:val="single"/>
              </w:rPr>
              <w:t>00</w:t>
            </w:r>
            <w:r>
              <w:rPr>
                <w:rFonts w:hint="eastAsia" w:hAnsi="宋体"/>
                <w:color w:val="0D0D0D"/>
                <w:sz w:val="22"/>
                <w:szCs w:val="24"/>
              </w:rPr>
              <w:t>分</w:t>
            </w:r>
          </w:p>
        </w:tc>
      </w:tr>
      <w:tr w14:paraId="1577E0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89" w:type="pct"/>
            <w:tcBorders>
              <w:top w:val="single" w:color="000000" w:sz="4" w:space="0"/>
              <w:left w:val="single" w:color="000000" w:sz="4" w:space="0"/>
              <w:bottom w:val="single" w:color="000000" w:sz="4" w:space="0"/>
              <w:right w:val="single" w:color="000000" w:sz="4" w:space="0"/>
            </w:tcBorders>
            <w:noWrap w:val="0"/>
            <w:vAlign w:val="center"/>
          </w:tcPr>
          <w:p w14:paraId="34B5F3A2">
            <w:pPr>
              <w:jc w:val="center"/>
              <w:rPr>
                <w:rFonts w:ascii="宋体" w:hAnsi="宋体" w:cs="宋体"/>
                <w:color w:val="0D0D0D"/>
                <w:sz w:val="22"/>
                <w:szCs w:val="24"/>
              </w:rPr>
            </w:pPr>
            <w:r>
              <w:rPr>
                <w:rFonts w:hint="eastAsia" w:ascii="宋体" w:hAnsi="宋体" w:cs="宋体"/>
                <w:color w:val="0D0D0D"/>
                <w:sz w:val="22"/>
                <w:szCs w:val="24"/>
              </w:rPr>
              <w:t>31.6</w:t>
            </w:r>
          </w:p>
        </w:tc>
        <w:tc>
          <w:tcPr>
            <w:tcW w:w="1270" w:type="pct"/>
            <w:tcBorders>
              <w:top w:val="single" w:color="000000" w:sz="4" w:space="0"/>
              <w:left w:val="single" w:color="000000" w:sz="4" w:space="0"/>
              <w:bottom w:val="single" w:color="000000" w:sz="4" w:space="0"/>
              <w:right w:val="single" w:color="000000" w:sz="4" w:space="0"/>
            </w:tcBorders>
            <w:noWrap w:val="0"/>
            <w:vAlign w:val="center"/>
          </w:tcPr>
          <w:p w14:paraId="6D7B1B4A">
            <w:pPr>
              <w:jc w:val="center"/>
              <w:rPr>
                <w:rFonts w:ascii="宋体" w:hAnsi="宋体" w:cs="宋体"/>
                <w:color w:val="0D0D0D"/>
                <w:sz w:val="22"/>
                <w:szCs w:val="24"/>
              </w:rPr>
            </w:pPr>
            <w:r>
              <w:rPr>
                <w:rFonts w:hint="eastAsia" w:ascii="宋体" w:hAnsi="宋体" w:cs="宋体"/>
                <w:color w:val="0D0D0D"/>
                <w:sz w:val="22"/>
                <w:szCs w:val="24"/>
              </w:rPr>
              <w:t>受理投诉方式</w:t>
            </w:r>
          </w:p>
        </w:tc>
        <w:tc>
          <w:tcPr>
            <w:tcW w:w="3239" w:type="pct"/>
            <w:tcBorders>
              <w:top w:val="single" w:color="000000" w:sz="4" w:space="0"/>
              <w:left w:val="single" w:color="000000" w:sz="4" w:space="0"/>
              <w:bottom w:val="single" w:color="000000" w:sz="4" w:space="0"/>
              <w:right w:val="single" w:color="000000" w:sz="4" w:space="0"/>
            </w:tcBorders>
            <w:noWrap w:val="0"/>
            <w:vAlign w:val="center"/>
          </w:tcPr>
          <w:p w14:paraId="28D75187">
            <w:pPr>
              <w:snapToGrid w:val="0"/>
              <w:rPr>
                <w:rFonts w:ascii="宋体" w:hAnsi="宋体"/>
                <w:color w:val="0D0D0D"/>
                <w:sz w:val="22"/>
                <w:szCs w:val="24"/>
              </w:rPr>
            </w:pPr>
            <w:r>
              <w:rPr>
                <w:rFonts w:hint="eastAsia" w:ascii="宋体" w:hAnsi="宋体"/>
                <w:color w:val="0D0D0D"/>
                <w:sz w:val="22"/>
                <w:szCs w:val="24"/>
              </w:rPr>
              <w:t>1、受理方式：纸质方式受理，投诉书正、副本（经过质疑的事项才可投诉）。</w:t>
            </w:r>
          </w:p>
          <w:p w14:paraId="3ECB1E31">
            <w:pPr>
              <w:snapToGrid w:val="0"/>
              <w:rPr>
                <w:rFonts w:hint="eastAsia" w:ascii="宋体" w:hAnsi="宋体"/>
                <w:color w:val="0D0D0D"/>
                <w:sz w:val="22"/>
                <w:szCs w:val="24"/>
              </w:rPr>
            </w:pPr>
            <w:r>
              <w:rPr>
                <w:rFonts w:hint="eastAsia" w:ascii="宋体" w:hAnsi="宋体"/>
                <w:color w:val="0D0D0D"/>
                <w:sz w:val="22"/>
                <w:szCs w:val="24"/>
              </w:rPr>
              <w:t>2、邮寄地址：</w:t>
            </w:r>
          </w:p>
          <w:p w14:paraId="6C13E4A8">
            <w:pPr>
              <w:snapToGrid w:val="0"/>
              <w:rPr>
                <w:rFonts w:hint="eastAsia" w:ascii="宋体" w:hAnsi="宋体"/>
                <w:color w:val="0D0D0D"/>
                <w:sz w:val="22"/>
                <w:szCs w:val="24"/>
              </w:rPr>
            </w:pPr>
            <w:r>
              <w:rPr>
                <w:rFonts w:hint="eastAsia" w:ascii="宋体" w:hAnsi="宋体"/>
                <w:color w:val="0D0D0D"/>
                <w:sz w:val="22"/>
                <w:szCs w:val="24"/>
              </w:rPr>
              <w:t>名称：</w:t>
            </w:r>
            <w:bookmarkStart w:id="26" w:name="PO_3000001871_PM036"/>
            <w:r>
              <w:rPr>
                <w:rFonts w:hint="eastAsia" w:ascii="宋体" w:hAnsi="宋体"/>
                <w:color w:val="0D0D0D"/>
                <w:sz w:val="22"/>
                <w:szCs w:val="24"/>
                <w:lang w:eastAsia="zh-CN"/>
              </w:rPr>
              <w:t>上林县</w:t>
            </w:r>
            <w:r>
              <w:rPr>
                <w:rFonts w:hint="eastAsia" w:ascii="宋体" w:hAnsi="宋体"/>
                <w:color w:val="0D0D0D"/>
                <w:sz w:val="22"/>
                <w:szCs w:val="24"/>
              </w:rPr>
              <w:t>政局政府采购监督管理</w:t>
            </w:r>
            <w:bookmarkEnd w:id="26"/>
            <w:r>
              <w:rPr>
                <w:rFonts w:hint="eastAsia" w:ascii="宋体" w:hAnsi="宋体"/>
                <w:color w:val="0D0D0D"/>
                <w:sz w:val="22"/>
                <w:szCs w:val="24"/>
                <w:lang w:eastAsia="zh-CN"/>
              </w:rPr>
              <w:t>股</w:t>
            </w:r>
            <w:r>
              <w:rPr>
                <w:rFonts w:hint="eastAsia" w:ascii="宋体" w:hAnsi="宋体"/>
                <w:color w:val="0D0D0D"/>
                <w:sz w:val="22"/>
                <w:szCs w:val="24"/>
              </w:rPr>
              <w:t xml:space="preserve"> </w:t>
            </w:r>
          </w:p>
          <w:p w14:paraId="790F5B62">
            <w:pPr>
              <w:snapToGrid w:val="0"/>
              <w:rPr>
                <w:rFonts w:hint="eastAsia" w:ascii="宋体" w:hAnsi="宋体"/>
                <w:color w:val="0D0D0D"/>
                <w:sz w:val="22"/>
                <w:szCs w:val="24"/>
              </w:rPr>
            </w:pPr>
            <w:r>
              <w:rPr>
                <w:rFonts w:hint="eastAsia" w:ascii="宋体" w:hAnsi="宋体"/>
                <w:color w:val="0D0D0D"/>
                <w:sz w:val="22"/>
                <w:szCs w:val="24"/>
              </w:rPr>
              <w:t>地址：</w:t>
            </w:r>
            <w:r>
              <w:rPr>
                <w:rFonts w:hint="eastAsia" w:ascii="宋体" w:hAnsi="宋体"/>
                <w:color w:val="0D0D0D"/>
                <w:sz w:val="22"/>
                <w:szCs w:val="24"/>
                <w:lang w:eastAsia="zh-CN"/>
              </w:rPr>
              <w:t>上林县林溪路</w:t>
            </w:r>
            <w:r>
              <w:rPr>
                <w:rFonts w:hint="eastAsia" w:ascii="宋体" w:hAnsi="宋体"/>
                <w:color w:val="0D0D0D"/>
                <w:sz w:val="22"/>
                <w:szCs w:val="24"/>
                <w:lang w:val="en-US" w:eastAsia="zh-CN"/>
              </w:rPr>
              <w:t>4号</w:t>
            </w:r>
            <w:r>
              <w:rPr>
                <w:rFonts w:hint="eastAsia" w:ascii="宋体" w:hAnsi="宋体"/>
                <w:color w:val="0D0D0D"/>
                <w:sz w:val="22"/>
                <w:szCs w:val="24"/>
              </w:rPr>
              <w:t xml:space="preserve"> </w:t>
            </w:r>
          </w:p>
          <w:p w14:paraId="23E13D86">
            <w:pPr>
              <w:snapToGrid w:val="0"/>
              <w:rPr>
                <w:rFonts w:hint="default" w:hAnsi="宋体" w:eastAsia="宋体" w:cs="宋体"/>
                <w:color w:val="0D0D0D"/>
                <w:sz w:val="22"/>
                <w:szCs w:val="24"/>
                <w:lang w:val="en-US" w:eastAsia="zh-CN"/>
              </w:rPr>
            </w:pPr>
            <w:r>
              <w:rPr>
                <w:rFonts w:hint="eastAsia" w:hAnsi="宋体"/>
                <w:color w:val="0D0D0D"/>
                <w:sz w:val="22"/>
                <w:szCs w:val="24"/>
              </w:rPr>
              <w:t>联系电话：</w:t>
            </w:r>
            <w:bookmarkStart w:id="27" w:name="PO_3000001871_PM038"/>
            <w:r>
              <w:rPr>
                <w:rFonts w:hAnsi="宋体"/>
                <w:color w:val="0D0D0D"/>
                <w:sz w:val="22"/>
                <w:szCs w:val="24"/>
              </w:rPr>
              <w:t>0771-</w:t>
            </w:r>
            <w:bookmarkEnd w:id="27"/>
            <w:r>
              <w:rPr>
                <w:rFonts w:hint="eastAsia" w:hAnsi="宋体"/>
                <w:color w:val="0D0D0D"/>
                <w:sz w:val="22"/>
                <w:szCs w:val="24"/>
                <w:lang w:val="en-US" w:eastAsia="zh-CN"/>
              </w:rPr>
              <w:t>5228447</w:t>
            </w:r>
          </w:p>
        </w:tc>
      </w:tr>
      <w:tr w14:paraId="650F0A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89" w:type="pct"/>
            <w:tcBorders>
              <w:top w:val="single" w:color="000000" w:sz="4" w:space="0"/>
              <w:left w:val="single" w:color="000000" w:sz="4" w:space="0"/>
              <w:bottom w:val="single" w:color="000000" w:sz="4" w:space="0"/>
              <w:right w:val="single" w:color="000000" w:sz="4" w:space="0"/>
            </w:tcBorders>
            <w:noWrap w:val="0"/>
            <w:vAlign w:val="center"/>
          </w:tcPr>
          <w:p w14:paraId="53477D60">
            <w:pPr>
              <w:jc w:val="center"/>
              <w:rPr>
                <w:rFonts w:ascii="宋体" w:hAnsi="宋体" w:cs="宋体"/>
                <w:color w:val="0D0D0D"/>
                <w:sz w:val="22"/>
                <w:szCs w:val="24"/>
              </w:rPr>
            </w:pPr>
            <w:r>
              <w:rPr>
                <w:rFonts w:hint="eastAsia" w:ascii="宋体" w:hAnsi="宋体" w:cs="宋体"/>
                <w:color w:val="0D0D0D"/>
                <w:sz w:val="22"/>
                <w:szCs w:val="24"/>
              </w:rPr>
              <w:t>33</w:t>
            </w:r>
          </w:p>
        </w:tc>
        <w:tc>
          <w:tcPr>
            <w:tcW w:w="1270" w:type="pct"/>
            <w:tcBorders>
              <w:top w:val="single" w:color="000000" w:sz="4" w:space="0"/>
              <w:left w:val="single" w:color="000000" w:sz="4" w:space="0"/>
              <w:bottom w:val="single" w:color="000000" w:sz="4" w:space="0"/>
              <w:right w:val="single" w:color="000000" w:sz="4" w:space="0"/>
            </w:tcBorders>
            <w:noWrap w:val="0"/>
            <w:vAlign w:val="center"/>
          </w:tcPr>
          <w:p w14:paraId="394BF93D">
            <w:pPr>
              <w:jc w:val="center"/>
              <w:rPr>
                <w:rFonts w:ascii="宋体" w:hAnsi="宋体" w:cs="宋体"/>
                <w:color w:val="0D0D0D"/>
                <w:sz w:val="22"/>
                <w:szCs w:val="24"/>
              </w:rPr>
            </w:pPr>
            <w:r>
              <w:rPr>
                <w:rFonts w:hint="eastAsia" w:ascii="宋体" w:hAnsi="宋体" w:cs="宋体"/>
                <w:color w:val="0D0D0D"/>
                <w:sz w:val="22"/>
                <w:szCs w:val="24"/>
              </w:rPr>
              <w:t>采购代理费</w:t>
            </w:r>
          </w:p>
        </w:tc>
        <w:tc>
          <w:tcPr>
            <w:tcW w:w="3239" w:type="pct"/>
            <w:tcBorders>
              <w:top w:val="single" w:color="000000" w:sz="4" w:space="0"/>
              <w:left w:val="single" w:color="000000" w:sz="4" w:space="0"/>
              <w:bottom w:val="single" w:color="000000" w:sz="4" w:space="0"/>
              <w:right w:val="single" w:color="000000" w:sz="4" w:space="0"/>
            </w:tcBorders>
            <w:noWrap w:val="0"/>
            <w:vAlign w:val="center"/>
          </w:tcPr>
          <w:p w14:paraId="085C6E71">
            <w:pPr>
              <w:snapToGrid w:val="0"/>
              <w:rPr>
                <w:rFonts w:hAnsi="宋体" w:cs="宋体"/>
                <w:color w:val="0D0D0D"/>
                <w:sz w:val="22"/>
                <w:szCs w:val="24"/>
              </w:rPr>
            </w:pPr>
            <w:r>
              <w:rPr>
                <w:rFonts w:hint="eastAsia" w:hAnsi="宋体" w:cs="宋体"/>
                <w:color w:val="0D0D0D"/>
                <w:sz w:val="22"/>
                <w:szCs w:val="24"/>
              </w:rPr>
              <w:t>是否收取采购代理费：</w:t>
            </w:r>
          </w:p>
          <w:p w14:paraId="4ED34F0B">
            <w:pPr>
              <w:snapToGrid w:val="0"/>
              <w:rPr>
                <w:rFonts w:hAnsi="宋体" w:cs="宋体"/>
                <w:color w:val="0D0D0D"/>
                <w:sz w:val="22"/>
                <w:szCs w:val="24"/>
              </w:rPr>
            </w:pPr>
            <w:r>
              <w:rPr>
                <w:rFonts w:hint="eastAsia" w:hAnsi="宋体" w:cs="宋体"/>
                <w:color w:val="0D0D0D"/>
                <w:sz w:val="22"/>
                <w:szCs w:val="24"/>
              </w:rPr>
              <w:t>□是</w:t>
            </w:r>
            <w:r>
              <w:rPr>
                <w:rFonts w:hAnsi="宋体" w:cs="宋体"/>
                <w:color w:val="0D0D0D"/>
                <w:sz w:val="22"/>
                <w:szCs w:val="24"/>
              </w:rPr>
              <w:t xml:space="preserve">    </w:t>
            </w:r>
            <w:r>
              <w:rPr>
                <w:rFonts w:hint="eastAsia" w:ascii="MS Mincho" w:hAnsi="MS Mincho" w:eastAsia="MS Mincho" w:cs="MS Mincho"/>
                <w:color w:val="0D0D0D"/>
                <w:sz w:val="22"/>
                <w:szCs w:val="24"/>
              </w:rPr>
              <w:t>☑</w:t>
            </w:r>
            <w:r>
              <w:rPr>
                <w:rFonts w:hAnsi="宋体" w:cs="宋体"/>
                <w:color w:val="0D0D0D"/>
                <w:sz w:val="22"/>
                <w:szCs w:val="24"/>
              </w:rPr>
              <w:t xml:space="preserve"> </w:t>
            </w:r>
            <w:r>
              <w:rPr>
                <w:rFonts w:hint="eastAsia" w:hAnsi="宋体" w:cs="宋体"/>
                <w:color w:val="0D0D0D"/>
                <w:sz w:val="22"/>
                <w:szCs w:val="24"/>
              </w:rPr>
              <w:t>否</w:t>
            </w:r>
          </w:p>
        </w:tc>
      </w:tr>
      <w:tr w14:paraId="38FB7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89" w:type="pct"/>
            <w:tcBorders>
              <w:top w:val="single" w:color="000000" w:sz="4" w:space="0"/>
              <w:left w:val="single" w:color="000000" w:sz="4" w:space="0"/>
              <w:bottom w:val="single" w:color="000000" w:sz="4" w:space="0"/>
              <w:right w:val="single" w:color="000000" w:sz="4" w:space="0"/>
            </w:tcBorders>
            <w:noWrap w:val="0"/>
            <w:vAlign w:val="center"/>
          </w:tcPr>
          <w:p w14:paraId="581DE4C6">
            <w:pPr>
              <w:jc w:val="center"/>
              <w:rPr>
                <w:rFonts w:ascii="宋体" w:hAnsi="宋体" w:cs="宋体"/>
                <w:color w:val="0D0D0D"/>
                <w:sz w:val="22"/>
                <w:szCs w:val="24"/>
              </w:rPr>
            </w:pPr>
            <w:r>
              <w:rPr>
                <w:rFonts w:hint="eastAsia" w:ascii="宋体" w:hAnsi="宋体" w:cs="宋体"/>
                <w:color w:val="0D0D0D"/>
                <w:sz w:val="22"/>
                <w:szCs w:val="24"/>
              </w:rPr>
              <w:t>34.1</w:t>
            </w:r>
          </w:p>
        </w:tc>
        <w:tc>
          <w:tcPr>
            <w:tcW w:w="1270" w:type="pct"/>
            <w:tcBorders>
              <w:top w:val="single" w:color="000000" w:sz="4" w:space="0"/>
              <w:left w:val="single" w:color="000000" w:sz="4" w:space="0"/>
              <w:bottom w:val="single" w:color="000000" w:sz="4" w:space="0"/>
              <w:right w:val="single" w:color="000000" w:sz="4" w:space="0"/>
            </w:tcBorders>
            <w:noWrap w:val="0"/>
            <w:vAlign w:val="center"/>
          </w:tcPr>
          <w:p w14:paraId="0729EC42">
            <w:pPr>
              <w:jc w:val="center"/>
              <w:rPr>
                <w:rFonts w:ascii="宋体" w:hAnsi="宋体" w:cs="宋体"/>
                <w:color w:val="0D0D0D"/>
                <w:sz w:val="22"/>
                <w:szCs w:val="24"/>
              </w:rPr>
            </w:pPr>
            <w:r>
              <w:rPr>
                <w:rFonts w:hint="eastAsia" w:hAnsi="宋体"/>
                <w:color w:val="0D0D0D"/>
                <w:sz w:val="22"/>
                <w:szCs w:val="24"/>
              </w:rPr>
              <w:t>解释</w:t>
            </w:r>
          </w:p>
        </w:tc>
        <w:tc>
          <w:tcPr>
            <w:tcW w:w="3239" w:type="pct"/>
            <w:tcBorders>
              <w:top w:val="single" w:color="000000" w:sz="4" w:space="0"/>
              <w:left w:val="single" w:color="000000" w:sz="4" w:space="0"/>
              <w:bottom w:val="single" w:color="000000" w:sz="4" w:space="0"/>
              <w:right w:val="single" w:color="000000" w:sz="4" w:space="0"/>
            </w:tcBorders>
            <w:noWrap w:val="0"/>
            <w:vAlign w:val="center"/>
          </w:tcPr>
          <w:p w14:paraId="69B8EC94">
            <w:pPr>
              <w:snapToGrid w:val="0"/>
              <w:rPr>
                <w:rFonts w:hAnsi="宋体"/>
                <w:color w:val="0D0D0D"/>
                <w:sz w:val="22"/>
                <w:szCs w:val="24"/>
              </w:rPr>
            </w:pPr>
            <w:r>
              <w:rPr>
                <w:rFonts w:hint="eastAsia" w:hAnsi="宋体"/>
                <w:color w:val="0D0D0D"/>
                <w:sz w:val="22"/>
                <w:szCs w:val="24"/>
              </w:rPr>
              <w:t>解释权：构成本谈判文件的各个组成文件应互为解释，互为说明；除谈判文件中有特别规定外，仅适用于</w:t>
            </w:r>
            <w:r>
              <w:rPr>
                <w:rFonts w:hint="eastAsia" w:hAnsi="宋体"/>
                <w:color w:val="0D0D0D"/>
                <w:sz w:val="22"/>
                <w:szCs w:val="24"/>
                <w:lang w:eastAsia="zh-CN"/>
              </w:rPr>
              <w:t>响应</w:t>
            </w:r>
            <w:r>
              <w:rPr>
                <w:rFonts w:hint="eastAsia" w:hAnsi="宋体"/>
                <w:color w:val="0D0D0D"/>
                <w:sz w:val="22"/>
                <w:szCs w:val="24"/>
              </w:rPr>
              <w:t>阶段的规定，按更正公告（澄清公告）、竞争性谈判公告、供应商须知、采购需求、</w:t>
            </w:r>
            <w:r>
              <w:rPr>
                <w:rFonts w:hint="eastAsia"/>
                <w:color w:val="0D0D0D"/>
                <w:sz w:val="22"/>
                <w:szCs w:val="24"/>
              </w:rPr>
              <w:t>评审程序、评审方法和评审标准</w:t>
            </w:r>
            <w:r>
              <w:rPr>
                <w:rFonts w:hint="eastAsia" w:hAnsi="宋体"/>
                <w:color w:val="0D0D0D"/>
                <w:sz w:val="22"/>
                <w:szCs w:val="24"/>
              </w:rPr>
              <w:t>、响应文件格式、合同文本的先后顺序解释；同一组成文件中就同一事项的规定或者约定不一致的，以编排顺序在后者为准；同一组成文件不同版本之间有不一致的，以形成时间在后者为准；更正公告（澄清公告）与同步更新的谈判文件不一致时以更正公告（澄清公告）为准。按本款前述规定仍不能形成结论的，由采购人或者采购代理机构负责解释。</w:t>
            </w:r>
          </w:p>
          <w:p w14:paraId="0F041864">
            <w:pPr>
              <w:tabs>
                <w:tab w:val="left" w:pos="1080"/>
              </w:tabs>
              <w:rPr>
                <w:rFonts w:ascii="宋体" w:hAnsi="宋体"/>
                <w:color w:val="0D0D0D"/>
                <w:kern w:val="0"/>
                <w:sz w:val="22"/>
                <w:szCs w:val="24"/>
              </w:rPr>
            </w:pPr>
            <w:r>
              <w:rPr>
                <w:rFonts w:hint="eastAsia" w:ascii="宋体" w:hAnsi="宋体"/>
                <w:color w:val="0D0D0D"/>
                <w:kern w:val="0"/>
                <w:sz w:val="22"/>
                <w:szCs w:val="24"/>
              </w:rPr>
              <w:t>法律责任：</w:t>
            </w:r>
          </w:p>
          <w:p w14:paraId="72402809">
            <w:pPr>
              <w:tabs>
                <w:tab w:val="left" w:pos="1080"/>
              </w:tabs>
              <w:rPr>
                <w:rFonts w:ascii="宋体" w:hAnsi="宋体" w:cs="宋体"/>
                <w:color w:val="0D0D0D"/>
                <w:sz w:val="22"/>
                <w:szCs w:val="24"/>
              </w:rPr>
            </w:pPr>
            <w:r>
              <w:rPr>
                <w:rFonts w:hint="eastAsia" w:ascii="宋体" w:hAnsi="宋体"/>
                <w:color w:val="0D0D0D"/>
                <w:kern w:val="0"/>
                <w:sz w:val="22"/>
                <w:szCs w:val="24"/>
              </w:rPr>
              <w:t>1.本采购文件根据《中华人民共和国政府采购法》、《中华人民共和国民法典》；《中华人民共和国政府采购法实施条例》、《政府采购非招标采购方式管理办法》等有关法律、法规编制，参与本项目的各政府采购当事人依法享有上述法律法规所赋予的权利与义务。</w:t>
            </w:r>
          </w:p>
        </w:tc>
      </w:tr>
      <w:tr w14:paraId="759666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89" w:type="pct"/>
            <w:tcBorders>
              <w:top w:val="single" w:color="000000" w:sz="4" w:space="0"/>
              <w:left w:val="single" w:color="000000" w:sz="4" w:space="0"/>
              <w:bottom w:val="single" w:color="000000" w:sz="4" w:space="0"/>
              <w:right w:val="single" w:color="000000" w:sz="4" w:space="0"/>
            </w:tcBorders>
            <w:noWrap w:val="0"/>
            <w:vAlign w:val="center"/>
          </w:tcPr>
          <w:p w14:paraId="46762319">
            <w:pPr>
              <w:jc w:val="center"/>
              <w:rPr>
                <w:rFonts w:ascii="宋体" w:hAnsi="宋体" w:cs="宋体"/>
                <w:color w:val="0D0D0D"/>
                <w:sz w:val="22"/>
                <w:szCs w:val="24"/>
              </w:rPr>
            </w:pPr>
            <w:r>
              <w:rPr>
                <w:rFonts w:hint="eastAsia" w:ascii="宋体" w:hAnsi="宋体" w:cs="宋体"/>
                <w:color w:val="0D0D0D"/>
                <w:sz w:val="22"/>
                <w:szCs w:val="24"/>
              </w:rPr>
              <w:t>34.2</w:t>
            </w:r>
          </w:p>
        </w:tc>
        <w:tc>
          <w:tcPr>
            <w:tcW w:w="1270" w:type="pct"/>
            <w:tcBorders>
              <w:top w:val="single" w:color="000000" w:sz="4" w:space="0"/>
              <w:left w:val="single" w:color="000000" w:sz="4" w:space="0"/>
              <w:bottom w:val="single" w:color="000000" w:sz="4" w:space="0"/>
              <w:right w:val="single" w:color="000000" w:sz="4" w:space="0"/>
            </w:tcBorders>
            <w:noWrap w:val="0"/>
            <w:vAlign w:val="center"/>
          </w:tcPr>
          <w:p w14:paraId="2BCF713D">
            <w:pPr>
              <w:jc w:val="center"/>
              <w:rPr>
                <w:rFonts w:ascii="宋体" w:hAnsi="宋体" w:cs="宋体"/>
                <w:color w:val="0D0D0D"/>
                <w:sz w:val="22"/>
                <w:szCs w:val="24"/>
              </w:rPr>
            </w:pPr>
            <w:r>
              <w:rPr>
                <w:rFonts w:hint="eastAsia" w:ascii="宋体" w:hAnsi="宋体" w:cs="宋体"/>
                <w:color w:val="0D0D0D"/>
                <w:sz w:val="22"/>
                <w:szCs w:val="24"/>
              </w:rPr>
              <w:t>其他</w:t>
            </w:r>
          </w:p>
        </w:tc>
        <w:tc>
          <w:tcPr>
            <w:tcW w:w="3239" w:type="pct"/>
            <w:tcBorders>
              <w:top w:val="single" w:color="000000" w:sz="4" w:space="0"/>
              <w:left w:val="single" w:color="000000" w:sz="4" w:space="0"/>
              <w:bottom w:val="single" w:color="000000" w:sz="4" w:space="0"/>
              <w:right w:val="single" w:color="000000" w:sz="4" w:space="0"/>
            </w:tcBorders>
            <w:noWrap w:val="0"/>
            <w:vAlign w:val="center"/>
          </w:tcPr>
          <w:p w14:paraId="520E3C97">
            <w:pPr>
              <w:snapToGrid w:val="0"/>
              <w:rPr>
                <w:rFonts w:hAnsi="宋体" w:cs="宋体"/>
                <w:color w:val="0D0D0D"/>
                <w:sz w:val="22"/>
                <w:szCs w:val="24"/>
              </w:rPr>
            </w:pPr>
            <w:r>
              <w:rPr>
                <w:rFonts w:hAnsi="宋体" w:cs="宋体"/>
                <w:color w:val="0D0D0D"/>
                <w:sz w:val="22"/>
                <w:szCs w:val="24"/>
              </w:rPr>
              <w:t>1.</w:t>
            </w:r>
            <w:r>
              <w:rPr>
                <w:rFonts w:hint="eastAsia" w:hAnsi="宋体" w:cs="宋体"/>
                <w:color w:val="0D0D0D"/>
                <w:sz w:val="22"/>
                <w:szCs w:val="24"/>
              </w:rPr>
              <w:t>本谈判文件中描述供应商的“公章”是指供应商通过指定电子化政府采购平台办理数字证书（</w:t>
            </w:r>
            <w:r>
              <w:rPr>
                <w:rFonts w:hAnsi="宋体" w:cs="宋体"/>
                <w:color w:val="0D0D0D"/>
                <w:sz w:val="22"/>
                <w:szCs w:val="24"/>
              </w:rPr>
              <w:t>CA</w:t>
            </w:r>
            <w:r>
              <w:rPr>
                <w:rFonts w:hint="eastAsia" w:hAnsi="宋体" w:cs="宋体"/>
                <w:color w:val="0D0D0D"/>
                <w:sz w:val="22"/>
                <w:szCs w:val="24"/>
              </w:rPr>
              <w:t>认证）获得的以法定主体行为名称制作的电子印章。</w:t>
            </w:r>
          </w:p>
          <w:p w14:paraId="1BA670F7">
            <w:pPr>
              <w:snapToGrid w:val="0"/>
              <w:rPr>
                <w:rFonts w:hAnsi="宋体" w:cs="宋体"/>
                <w:color w:val="0D0D0D"/>
                <w:sz w:val="22"/>
                <w:szCs w:val="24"/>
              </w:rPr>
            </w:pPr>
            <w:r>
              <w:rPr>
                <w:rFonts w:hAnsi="宋体" w:cs="宋体"/>
                <w:color w:val="0D0D0D"/>
                <w:sz w:val="22"/>
                <w:szCs w:val="24"/>
              </w:rPr>
              <w:t>2.</w:t>
            </w:r>
            <w:r>
              <w:rPr>
                <w:rFonts w:hint="eastAsia" w:hAnsi="宋体" w:cs="宋体"/>
                <w:color w:val="0D0D0D"/>
                <w:sz w:val="22"/>
                <w:szCs w:val="24"/>
              </w:rPr>
              <w:t>本谈判文件中描述供应商的“签字”是指供应商通过指定电子化政府采购平台办理数字证书（</w:t>
            </w:r>
            <w:r>
              <w:rPr>
                <w:rFonts w:hAnsi="宋体" w:cs="宋体"/>
                <w:color w:val="0D0D0D"/>
                <w:sz w:val="22"/>
                <w:szCs w:val="24"/>
              </w:rPr>
              <w:t>CA</w:t>
            </w:r>
            <w:r>
              <w:rPr>
                <w:rFonts w:hint="eastAsia" w:hAnsi="宋体" w:cs="宋体"/>
                <w:color w:val="0D0D0D"/>
                <w:sz w:val="22"/>
                <w:szCs w:val="24"/>
              </w:rPr>
              <w:t>认证）获得的以供应商法定代表人或者委托代理人姓名制作的电子印章或手写签字。</w:t>
            </w:r>
          </w:p>
          <w:p w14:paraId="2C639CDC">
            <w:pPr>
              <w:snapToGrid w:val="0"/>
              <w:rPr>
                <w:rFonts w:hAnsi="宋体" w:cs="宋体"/>
                <w:color w:val="0D0D0D"/>
                <w:sz w:val="22"/>
                <w:szCs w:val="24"/>
              </w:rPr>
            </w:pPr>
            <w:r>
              <w:rPr>
                <w:rFonts w:hAnsi="宋体" w:cs="宋体"/>
                <w:color w:val="0D0D0D"/>
                <w:sz w:val="22"/>
                <w:szCs w:val="24"/>
              </w:rPr>
              <w:t>3.</w:t>
            </w:r>
            <w:r>
              <w:rPr>
                <w:rFonts w:hint="eastAsia" w:hAnsi="宋体" w:cs="宋体"/>
                <w:color w:val="0D0D0D"/>
                <w:sz w:val="22"/>
                <w:szCs w:val="24"/>
              </w:rPr>
              <w:t>供应商为其他组织或者自然人时，本谈判文件规定的法定代表人指负责人或者自然人。本谈判文件所称负责人是指参加</w:t>
            </w:r>
            <w:r>
              <w:rPr>
                <w:rFonts w:hint="eastAsia" w:hAnsi="宋体" w:cs="宋体"/>
                <w:color w:val="0D0D0D"/>
                <w:sz w:val="22"/>
                <w:szCs w:val="24"/>
                <w:lang w:eastAsia="zh-CN"/>
              </w:rPr>
              <w:t>响应</w:t>
            </w:r>
            <w:r>
              <w:rPr>
                <w:rFonts w:hint="eastAsia" w:hAnsi="宋体" w:cs="宋体"/>
                <w:color w:val="0D0D0D"/>
                <w:sz w:val="22"/>
                <w:szCs w:val="24"/>
              </w:rPr>
              <w:t>的其他组织营业执照上的负责人，本谈判文件所称自然人指参与</w:t>
            </w:r>
            <w:r>
              <w:rPr>
                <w:rFonts w:hint="eastAsia" w:hAnsi="宋体" w:cs="宋体"/>
                <w:color w:val="0D0D0D"/>
                <w:sz w:val="22"/>
                <w:szCs w:val="24"/>
                <w:lang w:eastAsia="zh-CN"/>
              </w:rPr>
              <w:t>响应</w:t>
            </w:r>
            <w:r>
              <w:rPr>
                <w:rFonts w:hint="eastAsia" w:hAnsi="宋体" w:cs="宋体"/>
                <w:color w:val="0D0D0D"/>
                <w:sz w:val="22"/>
                <w:szCs w:val="24"/>
              </w:rPr>
              <w:t>的自然人本人。</w:t>
            </w:r>
          </w:p>
          <w:p w14:paraId="03277B75">
            <w:pPr>
              <w:snapToGrid w:val="0"/>
              <w:rPr>
                <w:rFonts w:hAnsi="宋体" w:cs="宋体"/>
                <w:color w:val="0D0D0D"/>
                <w:sz w:val="22"/>
                <w:szCs w:val="24"/>
              </w:rPr>
            </w:pPr>
            <w:r>
              <w:rPr>
                <w:rFonts w:hAnsi="宋体" w:cs="宋体"/>
                <w:color w:val="0D0D0D"/>
                <w:sz w:val="22"/>
                <w:szCs w:val="24"/>
              </w:rPr>
              <w:t>4.</w:t>
            </w:r>
            <w:r>
              <w:rPr>
                <w:rFonts w:hint="eastAsia" w:hAnsi="宋体" w:cs="宋体"/>
                <w:color w:val="0D0D0D"/>
                <w:sz w:val="22"/>
                <w:szCs w:val="24"/>
              </w:rPr>
              <w:t>自然人</w:t>
            </w:r>
            <w:r>
              <w:rPr>
                <w:rFonts w:hint="eastAsia" w:hAnsi="宋体" w:cs="宋体"/>
                <w:color w:val="0D0D0D"/>
                <w:sz w:val="22"/>
                <w:szCs w:val="24"/>
                <w:lang w:eastAsia="zh-CN"/>
              </w:rPr>
              <w:t>响应</w:t>
            </w:r>
            <w:r>
              <w:rPr>
                <w:rFonts w:hint="eastAsia" w:hAnsi="宋体" w:cs="宋体"/>
                <w:color w:val="0D0D0D"/>
                <w:sz w:val="22"/>
                <w:szCs w:val="24"/>
              </w:rPr>
              <w:t>的，谈判文件规定盖公章处由自然人摁手指指印。</w:t>
            </w:r>
          </w:p>
          <w:p w14:paraId="13B4108F">
            <w:pPr>
              <w:snapToGrid w:val="0"/>
              <w:rPr>
                <w:rFonts w:hAnsi="宋体" w:cs="宋体"/>
                <w:color w:val="0D0D0D"/>
                <w:sz w:val="22"/>
                <w:szCs w:val="24"/>
              </w:rPr>
            </w:pPr>
            <w:r>
              <w:rPr>
                <w:rFonts w:hAnsi="宋体" w:cs="宋体"/>
                <w:color w:val="0D0D0D"/>
                <w:sz w:val="22"/>
                <w:szCs w:val="24"/>
              </w:rPr>
              <w:t>5.</w:t>
            </w:r>
            <w:r>
              <w:rPr>
                <w:rFonts w:hint="eastAsia" w:hAnsi="宋体" w:cs="宋体"/>
                <w:color w:val="0D0D0D"/>
                <w:sz w:val="22"/>
                <w:szCs w:val="24"/>
              </w:rPr>
              <w:t>本谈判文件所称的“以上”“以下”“以内”“届满”，包括本数；所称的“不满”“超过”“以外”，不包括本数。</w:t>
            </w:r>
          </w:p>
        </w:tc>
      </w:tr>
    </w:tbl>
    <w:p w14:paraId="117B2BB2">
      <w:pPr>
        <w:spacing w:before="260" w:after="260" w:line="420" w:lineRule="exact"/>
        <w:jc w:val="center"/>
        <w:outlineLvl w:val="1"/>
        <w:rPr>
          <w:rFonts w:hint="eastAsia" w:ascii="宋体" w:hAnsi="宋体" w:cs="宋体"/>
          <w:bCs/>
          <w:sz w:val="32"/>
          <w:szCs w:val="32"/>
        </w:rPr>
      </w:pPr>
      <w:r>
        <w:rPr>
          <w:rFonts w:hint="eastAsia" w:ascii="宋体" w:hAnsi="宋体"/>
          <w:bCs/>
          <w:kern w:val="0"/>
          <w:sz w:val="32"/>
          <w:szCs w:val="32"/>
        </w:rPr>
        <w:br w:type="page"/>
      </w:r>
      <w:bookmarkStart w:id="28" w:name="_Toc179528705"/>
      <w:r>
        <w:rPr>
          <w:rFonts w:hint="eastAsia" w:ascii="宋体" w:hAnsi="宋体"/>
          <w:bCs/>
          <w:sz w:val="32"/>
          <w:szCs w:val="32"/>
        </w:rPr>
        <w:t>第二节 供应商须知正文</w:t>
      </w:r>
      <w:bookmarkEnd w:id="28"/>
    </w:p>
    <w:p w14:paraId="7021F40A">
      <w:pPr>
        <w:spacing w:line="360" w:lineRule="auto"/>
        <w:ind w:firstLine="640" w:firstLineChars="200"/>
        <w:outlineLvl w:val="2"/>
        <w:rPr>
          <w:rFonts w:hint="eastAsia" w:ascii="宋体" w:hAnsi="宋体" w:eastAsia="等线"/>
          <w:bCs/>
          <w:sz w:val="32"/>
          <w:szCs w:val="32"/>
        </w:rPr>
      </w:pPr>
      <w:bookmarkStart w:id="29" w:name="_Toc179528706"/>
      <w:r>
        <w:rPr>
          <w:rFonts w:hint="eastAsia" w:ascii="宋体" w:hAnsi="宋体"/>
          <w:bCs/>
          <w:sz w:val="32"/>
          <w:szCs w:val="32"/>
        </w:rPr>
        <w:t>一、总则</w:t>
      </w:r>
      <w:bookmarkEnd w:id="29"/>
    </w:p>
    <w:p w14:paraId="2E807983">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1.适用范围</w:t>
      </w:r>
    </w:p>
    <w:p w14:paraId="10F55470">
      <w:pPr>
        <w:spacing w:line="360" w:lineRule="auto"/>
        <w:ind w:firstLine="420" w:firstLineChars="200"/>
        <w:rPr>
          <w:rFonts w:hint="eastAsia" w:ascii="宋体" w:hAnsi="宋体" w:eastAsia="等线" w:cs="宋体"/>
          <w:color w:val="000000"/>
          <w:szCs w:val="21"/>
        </w:rPr>
      </w:pPr>
      <w:r>
        <w:rPr>
          <w:rFonts w:hint="eastAsia" w:ascii="宋体" w:hAnsi="宋体" w:cs="宋体"/>
          <w:color w:val="000000"/>
          <w:szCs w:val="21"/>
        </w:rPr>
        <w:t>1.1适用法律：本项目采购人、采购代理机构、供应商、谈判小组的相关行为均受《中华人民共和国政府采购法》《中华人民共和国政府采购法实施条例》《政府采购非招标采购方式管理办法》及本项目本级和上级财政部门政府采购有关规定的约束和保护。</w:t>
      </w:r>
    </w:p>
    <w:p w14:paraId="5C32BBAD">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1.2</w:t>
      </w:r>
      <w:r>
        <w:rPr>
          <w:rFonts w:hint="eastAsia" w:ascii="宋体" w:hAnsi="宋体" w:cs="宋体"/>
          <w:color w:val="000000"/>
          <w:spacing w:val="-6"/>
          <w:szCs w:val="21"/>
        </w:rPr>
        <w:t>本竞争性谈判文件（以下简称谈判文件）适用于本项目的所有采购程序和环节（法律、法规另有规定的，从其规定）。</w:t>
      </w:r>
    </w:p>
    <w:p w14:paraId="070BAD2E">
      <w:pPr>
        <w:spacing w:line="360" w:lineRule="auto"/>
        <w:ind w:firstLine="482" w:firstLineChars="200"/>
        <w:rPr>
          <w:rFonts w:hint="eastAsia" w:ascii="宋体" w:hAnsi="宋体" w:cs="宋体"/>
          <w:szCs w:val="21"/>
        </w:rPr>
      </w:pPr>
      <w:r>
        <w:rPr>
          <w:rFonts w:hint="eastAsia" w:ascii="黑体" w:hAnsi="黑体" w:eastAsia="黑体" w:cs="宋体"/>
          <w:b/>
          <w:bCs/>
          <w:sz w:val="24"/>
          <w:szCs w:val="24"/>
        </w:rPr>
        <w:t>2.定义</w:t>
      </w:r>
    </w:p>
    <w:p w14:paraId="44F8BDBB">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2.1“采购人”是指依法进行采购的国家机关、事业单位、团体组织。</w:t>
      </w:r>
    </w:p>
    <w:p w14:paraId="3C0EBA0C">
      <w:pPr>
        <w:spacing w:line="360" w:lineRule="auto"/>
        <w:ind w:firstLine="420" w:firstLineChars="200"/>
        <w:rPr>
          <w:rFonts w:hint="eastAsia" w:ascii="宋体" w:hAnsi="宋体"/>
          <w:b/>
          <w:color w:val="FF0000"/>
          <w:szCs w:val="21"/>
        </w:rPr>
      </w:pPr>
      <w:r>
        <w:rPr>
          <w:rFonts w:hint="eastAsia" w:ascii="宋体" w:hAnsi="宋体" w:cs="宋体"/>
          <w:color w:val="000000"/>
          <w:szCs w:val="21"/>
        </w:rPr>
        <w:t>2.2“采购代理机构”是指政府采购集中采购机构和集中采购机构以外的采购代理机构。</w:t>
      </w:r>
    </w:p>
    <w:p w14:paraId="6BD0784D">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2.3“供应商”是指向采购人提供货物、工程或者服务的法人、其他组织或者自然人。</w:t>
      </w:r>
    </w:p>
    <w:p w14:paraId="2C657E05">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2.4“货物”是指各种形态和种类的物品，包括原材料、燃料、设备、产品等。</w:t>
      </w:r>
    </w:p>
    <w:p w14:paraId="336D94A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2.5“</w:t>
      </w:r>
      <w:r>
        <w:rPr>
          <w:rFonts w:hint="eastAsia" w:ascii="宋体" w:hAnsi="宋体" w:cs="宋体"/>
          <w:color w:val="000000"/>
          <w:szCs w:val="21"/>
          <w:lang w:eastAsia="zh-CN"/>
        </w:rPr>
        <w:t>响应</w:t>
      </w:r>
      <w:r>
        <w:rPr>
          <w:rFonts w:hint="eastAsia" w:ascii="宋体" w:hAnsi="宋体" w:cs="宋体"/>
          <w:color w:val="000000"/>
          <w:szCs w:val="21"/>
        </w:rPr>
        <w:t>”是指按照本项目竞争性谈判公告或者邀请函规定的方式供应商获取谈判文件、提交响应文件并希望获得标的的行为。</w:t>
      </w:r>
    </w:p>
    <w:p w14:paraId="7446809E">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2.6“售后服务” 是指包含但不限于供应商须承担的备品备件、包装、运输、装卸、保险、货到就位以及安装、调试、培训、保修和其他类似的义务。</w:t>
      </w:r>
    </w:p>
    <w:p w14:paraId="03A34905">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2.7“书面形式”是指合同书、信件和数据电文（包括电报、电传、传真、电子数据交换和电子邮件）等可以有形地表现所载内容的形式。</w:t>
      </w:r>
    </w:p>
    <w:p w14:paraId="75EFD22E">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2.8“响应文件”</w:t>
      </w:r>
      <w:r>
        <w:rPr>
          <w:rFonts w:hint="eastAsia" w:ascii="宋体" w:hAnsi="宋体" w:cs="宋体"/>
          <w:color w:val="000000"/>
          <w:spacing w:val="-6"/>
          <w:szCs w:val="21"/>
        </w:rPr>
        <w:t>是指：供应商根据本文件要求，编制包含报价、技术和货物等所有内容的文件。</w:t>
      </w:r>
    </w:p>
    <w:p w14:paraId="77699E38">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2.9 “实质性要求”是指采购需求中带“▲”的条款或者不能负偏离的条款或者已经指明不满足按响应文件作无效处理的条款。</w:t>
      </w:r>
    </w:p>
    <w:p w14:paraId="216F3F7C">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2.10“正偏离”，是指响应文件对谈判文件“采购需求”中有关条款作出优于条款要求并有利于采购人的响应情形；</w:t>
      </w:r>
    </w:p>
    <w:p w14:paraId="2274701E">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2.11“负偏离”，是指响应文件对谈判文件“采购需求”中有关条款作出的响应不满足条款要求，导致采购人要求不能得到满足的情形。</w:t>
      </w:r>
    </w:p>
    <w:p w14:paraId="7D28A0A8">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2.12“允许负偏离的条款”是指采购需求中的不属于“实质性要求”的条款。</w:t>
      </w:r>
    </w:p>
    <w:p w14:paraId="3F96C4C5">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2.13“首次报价”是指供应商提交的首次响应文件中的</w:t>
      </w:r>
      <w:r>
        <w:rPr>
          <w:rFonts w:hint="eastAsia" w:ascii="宋体" w:hAnsi="宋体" w:cs="宋体"/>
          <w:color w:val="000000"/>
          <w:szCs w:val="21"/>
          <w:lang w:eastAsia="zh-CN"/>
        </w:rPr>
        <w:t>响应</w:t>
      </w:r>
      <w:r>
        <w:rPr>
          <w:rFonts w:hint="eastAsia" w:ascii="宋体" w:hAnsi="宋体" w:cs="宋体"/>
          <w:color w:val="000000"/>
          <w:szCs w:val="21"/>
        </w:rPr>
        <w:t>报价。</w:t>
      </w:r>
    </w:p>
    <w:p w14:paraId="5FA033F4">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3.供应商的资格条件</w:t>
      </w:r>
    </w:p>
    <w:p w14:paraId="4451043D">
      <w:pPr>
        <w:spacing w:line="360" w:lineRule="auto"/>
        <w:ind w:firstLine="420" w:firstLineChars="200"/>
        <w:rPr>
          <w:rFonts w:hint="eastAsia" w:ascii="宋体" w:hAnsi="宋体" w:eastAsia="等线" w:cs="宋体"/>
          <w:color w:val="000000"/>
          <w:szCs w:val="21"/>
        </w:rPr>
      </w:pPr>
      <w:r>
        <w:rPr>
          <w:rFonts w:hint="eastAsia" w:ascii="宋体" w:hAnsi="宋体" w:cs="宋体"/>
          <w:color w:val="000000"/>
          <w:szCs w:val="21"/>
        </w:rPr>
        <w:t>供应商的资格条件详见“供应商须知前附表”。</w:t>
      </w:r>
    </w:p>
    <w:p w14:paraId="59B1B7D8">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4.谈判费用</w:t>
      </w:r>
    </w:p>
    <w:p w14:paraId="317978FE">
      <w:pPr>
        <w:spacing w:line="360" w:lineRule="auto"/>
        <w:ind w:firstLine="420" w:firstLineChars="200"/>
        <w:rPr>
          <w:rFonts w:hint="eastAsia" w:ascii="宋体" w:hAnsi="宋体" w:eastAsia="等线" w:cs="宋体"/>
          <w:szCs w:val="21"/>
        </w:rPr>
      </w:pPr>
      <w:r>
        <w:rPr>
          <w:rFonts w:hint="eastAsia" w:ascii="宋体" w:hAnsi="宋体" w:cs="宋体"/>
          <w:szCs w:val="21"/>
        </w:rPr>
        <w:t>供应商应承担参与本次采购活动有关的所有费用，包括但不限于、勘查现场、编制和提交响应文件、参加谈判与应答、签订合同等，不论</w:t>
      </w:r>
      <w:r>
        <w:rPr>
          <w:rFonts w:hint="eastAsia" w:ascii="宋体" w:hAnsi="宋体" w:cs="宋体"/>
          <w:szCs w:val="21"/>
          <w:lang w:eastAsia="zh-CN"/>
        </w:rPr>
        <w:t>响应</w:t>
      </w:r>
      <w:r>
        <w:rPr>
          <w:rFonts w:hint="eastAsia" w:ascii="宋体" w:hAnsi="宋体" w:cs="宋体"/>
          <w:szCs w:val="21"/>
        </w:rPr>
        <w:t>结果如何，均应自行承担。</w:t>
      </w:r>
    </w:p>
    <w:p w14:paraId="18FE3DE4">
      <w:pPr>
        <w:spacing w:line="360" w:lineRule="auto"/>
        <w:ind w:firstLine="482" w:firstLineChars="200"/>
        <w:rPr>
          <w:rFonts w:hint="eastAsia" w:ascii="黑体" w:hAnsi="黑体" w:eastAsia="黑体" w:cs="宋体"/>
          <w:b/>
          <w:bCs/>
          <w:sz w:val="24"/>
          <w:lang w:eastAsia="zh-CN"/>
        </w:rPr>
      </w:pPr>
      <w:r>
        <w:rPr>
          <w:rFonts w:hint="eastAsia" w:ascii="黑体" w:hAnsi="黑体" w:eastAsia="黑体" w:cs="宋体"/>
          <w:b/>
          <w:bCs/>
          <w:sz w:val="24"/>
          <w:szCs w:val="24"/>
        </w:rPr>
        <w:t>5.联合体</w:t>
      </w:r>
      <w:r>
        <w:rPr>
          <w:rFonts w:hint="eastAsia" w:ascii="黑体" w:hAnsi="黑体" w:eastAsia="黑体" w:cs="宋体"/>
          <w:b/>
          <w:bCs/>
          <w:sz w:val="24"/>
          <w:szCs w:val="24"/>
          <w:lang w:eastAsia="zh-CN"/>
        </w:rPr>
        <w:t>响应</w:t>
      </w:r>
    </w:p>
    <w:p w14:paraId="00821AED">
      <w:pPr>
        <w:spacing w:line="360" w:lineRule="auto"/>
        <w:ind w:firstLine="420" w:firstLineChars="200"/>
        <w:rPr>
          <w:rFonts w:hint="eastAsia" w:ascii="宋体" w:hAnsi="宋体" w:eastAsia="等线" w:cs="宋体"/>
          <w:szCs w:val="21"/>
        </w:rPr>
      </w:pPr>
      <w:r>
        <w:rPr>
          <w:rFonts w:hint="eastAsia" w:ascii="宋体" w:hAnsi="宋体" w:cs="宋体"/>
          <w:szCs w:val="21"/>
        </w:rPr>
        <w:t>5.1本项目是否接受联合体</w:t>
      </w:r>
      <w:r>
        <w:rPr>
          <w:rFonts w:hint="eastAsia" w:ascii="宋体" w:hAnsi="宋体" w:cs="宋体"/>
          <w:szCs w:val="21"/>
          <w:lang w:eastAsia="zh-CN"/>
        </w:rPr>
        <w:t>响应</w:t>
      </w:r>
      <w:r>
        <w:rPr>
          <w:rFonts w:hint="eastAsia" w:ascii="宋体" w:hAnsi="宋体" w:cs="宋体"/>
          <w:szCs w:val="21"/>
        </w:rPr>
        <w:t>，详见“供应商须知前附表”。</w:t>
      </w:r>
    </w:p>
    <w:p w14:paraId="38B4FCEF">
      <w:pPr>
        <w:spacing w:line="360" w:lineRule="auto"/>
        <w:ind w:firstLine="420" w:firstLineChars="200"/>
        <w:rPr>
          <w:rFonts w:hint="eastAsia" w:ascii="宋体" w:hAnsi="宋体" w:cs="宋体"/>
          <w:szCs w:val="21"/>
        </w:rPr>
      </w:pPr>
      <w:r>
        <w:rPr>
          <w:rFonts w:hint="eastAsia" w:ascii="宋体" w:hAnsi="宋体" w:cs="宋体"/>
          <w:szCs w:val="21"/>
        </w:rPr>
        <w:t>5.2</w:t>
      </w:r>
      <w:r>
        <w:rPr>
          <w:rFonts w:hint="eastAsia" w:ascii="宋体" w:hAnsi="宋体"/>
          <w:szCs w:val="24"/>
        </w:rPr>
        <w:t>如接受联合体</w:t>
      </w:r>
      <w:r>
        <w:rPr>
          <w:rFonts w:hint="eastAsia" w:ascii="宋体" w:hAnsi="宋体"/>
          <w:szCs w:val="24"/>
          <w:lang w:eastAsia="zh-CN"/>
        </w:rPr>
        <w:t>响应</w:t>
      </w:r>
      <w:r>
        <w:rPr>
          <w:rFonts w:hint="eastAsia" w:ascii="宋体" w:hAnsi="宋体"/>
          <w:szCs w:val="24"/>
        </w:rPr>
        <w:t>，</w:t>
      </w:r>
      <w:r>
        <w:rPr>
          <w:rFonts w:hint="eastAsia" w:ascii="宋体" w:hAnsi="宋体" w:cs="宋体"/>
          <w:szCs w:val="21"/>
        </w:rPr>
        <w:t>联合体</w:t>
      </w:r>
      <w:r>
        <w:rPr>
          <w:rFonts w:hint="eastAsia" w:ascii="宋体" w:hAnsi="宋体" w:cs="宋体"/>
          <w:szCs w:val="21"/>
          <w:lang w:eastAsia="zh-CN"/>
        </w:rPr>
        <w:t>响应</w:t>
      </w:r>
      <w:r>
        <w:rPr>
          <w:rFonts w:hint="eastAsia" w:ascii="宋体" w:hAnsi="宋体" w:cs="宋体"/>
          <w:szCs w:val="21"/>
        </w:rPr>
        <w:t>要求详见“供应商须知前附表”。</w:t>
      </w:r>
    </w:p>
    <w:p w14:paraId="49327932">
      <w:pPr>
        <w:spacing w:line="360" w:lineRule="auto"/>
        <w:ind w:firstLine="420" w:firstLineChars="200"/>
        <w:rPr>
          <w:rFonts w:hint="eastAsia" w:ascii="宋体" w:hAnsi="宋体"/>
          <w:bCs/>
          <w:szCs w:val="21"/>
        </w:rPr>
      </w:pPr>
      <w:r>
        <w:rPr>
          <w:rFonts w:hint="eastAsia" w:ascii="宋体" w:hAnsi="宋体" w:cs="宋体"/>
          <w:szCs w:val="21"/>
        </w:rPr>
        <w:t>5.3</w:t>
      </w:r>
      <w:r>
        <w:rPr>
          <w:rFonts w:hint="eastAsia" w:ascii="宋体" w:hAnsi="宋体"/>
          <w:bCs/>
          <w:szCs w:val="21"/>
        </w:rPr>
        <w:t>根据《政府采购促进中小企业发展管理办法》（财库[2020]46号）第九条及《广西壮族自治区财政厅关于进一步发挥政府采购政策功能促进企业发展的通知》（桂财采〔2022〕30号）、</w:t>
      </w:r>
      <w:r>
        <w:rPr>
          <w:rFonts w:hint="eastAsia"/>
          <w:szCs w:val="24"/>
        </w:rPr>
        <w:t>《广西壮族自治区财政厅关于贯彻落实政府采购支持中小企业发展政策的通知》（桂财采〔</w:t>
      </w:r>
      <w:r>
        <w:rPr>
          <w:szCs w:val="24"/>
        </w:rPr>
        <w:t>2022</w:t>
      </w:r>
      <w:r>
        <w:rPr>
          <w:rFonts w:hint="eastAsia"/>
          <w:szCs w:val="24"/>
        </w:rPr>
        <w:t>〕</w:t>
      </w:r>
      <w:r>
        <w:rPr>
          <w:szCs w:val="24"/>
        </w:rPr>
        <w:t>31</w:t>
      </w:r>
      <w:r>
        <w:rPr>
          <w:rFonts w:hint="eastAsia"/>
          <w:szCs w:val="24"/>
        </w:rPr>
        <w:t>号）</w:t>
      </w:r>
      <w:r>
        <w:rPr>
          <w:rFonts w:hint="eastAsia" w:ascii="宋体" w:hAnsi="宋体"/>
          <w:bCs/>
          <w:szCs w:val="21"/>
        </w:rPr>
        <w:t>规定，接受大中型企业与小微企业组成联合体的采购项目，对于联合协议约定小微企业的合同份额占到合同总金额 30%以上的，采购人、采购代理机构应当对联合体的报价给予 6%（工程项目为 1%—2%）的扣除，用扣除后的价格参加评审。组成联合体的小微企业与联合体内其他企业、分包企业之间存在直接控股、管理关系的，不享受价格扣除优惠政策。</w:t>
      </w:r>
    </w:p>
    <w:p w14:paraId="4AA795C6">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 xml:space="preserve">6.转包与分包             </w:t>
      </w:r>
    </w:p>
    <w:p w14:paraId="4749FDDE">
      <w:pPr>
        <w:spacing w:line="360" w:lineRule="auto"/>
        <w:ind w:firstLine="420" w:firstLineChars="200"/>
        <w:rPr>
          <w:rFonts w:hint="eastAsia" w:ascii="宋体" w:hAnsi="宋体" w:eastAsia="等线" w:cs="宋体"/>
          <w:szCs w:val="21"/>
        </w:rPr>
      </w:pPr>
      <w:r>
        <w:rPr>
          <w:rFonts w:hint="eastAsia" w:ascii="宋体" w:hAnsi="宋体" w:cs="宋体"/>
          <w:szCs w:val="21"/>
        </w:rPr>
        <w:t>6.1本项目是否允许分包详见“供应商须知前附表”，本项目不允许违法分包。</w:t>
      </w:r>
    </w:p>
    <w:p w14:paraId="10AC2000">
      <w:pPr>
        <w:spacing w:line="360" w:lineRule="auto"/>
        <w:ind w:firstLine="420" w:firstLineChars="200"/>
        <w:rPr>
          <w:rFonts w:hint="eastAsia" w:ascii="宋体" w:hAnsi="宋体" w:cs="宋体"/>
          <w:szCs w:val="21"/>
        </w:rPr>
      </w:pPr>
      <w:r>
        <w:rPr>
          <w:rFonts w:hint="eastAsia" w:ascii="宋体" w:hAnsi="宋体" w:cs="宋体"/>
          <w:szCs w:val="21"/>
        </w:rPr>
        <w:t>6.2</w:t>
      </w:r>
      <w:r>
        <w:rPr>
          <w:rFonts w:hint="eastAsia" w:ascii="宋体" w:hAnsi="宋体"/>
          <w:bCs/>
          <w:szCs w:val="21"/>
        </w:rPr>
        <w:t>根据《政府采购促进中小企业发展</w:t>
      </w:r>
      <w:r>
        <w:rPr>
          <w:rFonts w:hint="eastAsia"/>
          <w:szCs w:val="24"/>
        </w:rPr>
        <w:t>管理</w:t>
      </w:r>
      <w:r>
        <w:rPr>
          <w:rFonts w:hint="eastAsia" w:ascii="宋体" w:hAnsi="宋体"/>
          <w:bCs/>
          <w:szCs w:val="21"/>
        </w:rPr>
        <w:t>办法》（财库[2020]46号）第九条及《广西壮族自治区财政厅关于进一步发挥政府采购政策功能促进企业发展的通知》（桂财采〔2022〕30号</w:t>
      </w:r>
      <w:r>
        <w:rPr>
          <w:rFonts w:hint="eastAsia" w:ascii="仿宋_GB2312" w:eastAsia="仿宋_GB2312"/>
          <w:sz w:val="24"/>
          <w:szCs w:val="24"/>
        </w:rPr>
        <w:t>）、</w:t>
      </w:r>
      <w:r>
        <w:rPr>
          <w:rFonts w:hint="eastAsia"/>
          <w:szCs w:val="24"/>
        </w:rPr>
        <w:t>《广西壮族自治区财政厅关于贯彻落实政府采购支持中小企业发展政策的通知》（桂财采〔</w:t>
      </w:r>
      <w:r>
        <w:rPr>
          <w:szCs w:val="24"/>
        </w:rPr>
        <w:t>2022</w:t>
      </w:r>
      <w:r>
        <w:rPr>
          <w:rFonts w:hint="eastAsia"/>
          <w:szCs w:val="24"/>
        </w:rPr>
        <w:t>〕</w:t>
      </w:r>
      <w:r>
        <w:rPr>
          <w:szCs w:val="24"/>
        </w:rPr>
        <w:t>31</w:t>
      </w:r>
      <w:r>
        <w:rPr>
          <w:rFonts w:hint="eastAsia"/>
          <w:szCs w:val="24"/>
        </w:rPr>
        <w:t>号）</w:t>
      </w:r>
      <w:r>
        <w:rPr>
          <w:rFonts w:hint="eastAsia" w:ascii="宋体" w:hAnsi="宋体"/>
          <w:bCs/>
          <w:szCs w:val="21"/>
        </w:rPr>
        <w:t>规定，允许大中型企业向一家或者多家小微企业分包的采购项目，对于分包意向协议约定小微企业的合同份额占到合同总金额 30%以上的，采购人、采购代理机构应当对大中型企业的报价给予 6%的扣除，用扣除后的价格参加评审。接受分包的小微企业与分包企业之间存在直接控股、管理关系的，不享受价格扣除优惠政策。</w:t>
      </w:r>
    </w:p>
    <w:p w14:paraId="5D87EF8A">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7.特别说明</w:t>
      </w:r>
    </w:p>
    <w:p w14:paraId="33392B1B">
      <w:pPr>
        <w:spacing w:line="360" w:lineRule="auto"/>
        <w:ind w:firstLine="420" w:firstLineChars="200"/>
        <w:rPr>
          <w:rFonts w:hint="eastAsia" w:ascii="宋体" w:hAnsi="宋体" w:eastAsia="等线" w:cs="宋体"/>
          <w:color w:val="000000"/>
          <w:szCs w:val="21"/>
        </w:rPr>
      </w:pPr>
      <w:r>
        <w:rPr>
          <w:rFonts w:hint="eastAsia" w:ascii="宋体" w:hAnsi="宋体" w:cs="宋体"/>
          <w:color w:val="000000"/>
          <w:szCs w:val="21"/>
        </w:rPr>
        <w:t>7.1如果本谈判文件要求提供供应商或制造商的资格、信誉、荣誉、业绩与企业认证等材料的，资格、信誉、荣誉、业绩与企业认证等必须为供应商或者制造商所拥有或自身获得 。</w:t>
      </w:r>
    </w:p>
    <w:p w14:paraId="3E791EFC">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7.2供应商应仔细阅读谈判文件的所有内容，按照谈判文件的要求提交响应文件，并对所提供的全部资料的真实性承担法律责任。</w:t>
      </w:r>
    </w:p>
    <w:p w14:paraId="5EA8F3B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7.3供应商在</w:t>
      </w:r>
      <w:r>
        <w:rPr>
          <w:rFonts w:hint="eastAsia" w:ascii="宋体" w:hAnsi="宋体" w:cs="宋体"/>
          <w:color w:val="000000"/>
          <w:szCs w:val="21"/>
          <w:lang w:eastAsia="zh-CN"/>
        </w:rPr>
        <w:t>响应</w:t>
      </w:r>
      <w:r>
        <w:rPr>
          <w:rFonts w:hint="eastAsia" w:ascii="宋体" w:hAnsi="宋体" w:cs="宋体"/>
          <w:color w:val="000000"/>
          <w:szCs w:val="21"/>
        </w:rPr>
        <w:t>活动中提供任何虚假材料,其响应文件作无效处理，并报监管部门查处；签订合同后发现的,成交供应商须依照《中华人民共和国消费者权益保护法》规定赔偿采购人，且民事赔偿并不免除违法供应商的行政与刑事责任。</w:t>
      </w:r>
    </w:p>
    <w:p w14:paraId="7E20658F">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7.4在政府采购活动中，采购人员及相关人员与供应商有下列利害关系之一的，应当回避：</w:t>
      </w:r>
    </w:p>
    <w:p w14:paraId="73D3AF28">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（1）参加采购活动前3年内与供应商存在劳动关系；</w:t>
      </w:r>
    </w:p>
    <w:p w14:paraId="507E050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（2）参加采购活动前3年内担任供应商的董事、监事；</w:t>
      </w:r>
    </w:p>
    <w:p w14:paraId="6F6AEA28">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（3）参加采购活动前3年内是供应商的控股股东或者实际控制人；</w:t>
      </w:r>
    </w:p>
    <w:p w14:paraId="7605ABB8">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（4）与供应商的法定代表人或者负责人有夫妻、直系血亲、三代以内旁系血亲或者近姻亲关系；</w:t>
      </w:r>
    </w:p>
    <w:p w14:paraId="0090F76D">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（5）与供应商有其他可能影响政府采购活动公平、公正进行的关系。</w:t>
      </w:r>
    </w:p>
    <w:p w14:paraId="56A568A9">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3599B3A8">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7.5有下列情形之一的视为供应商相互串通</w:t>
      </w:r>
      <w:r>
        <w:rPr>
          <w:rFonts w:hint="eastAsia" w:ascii="宋体" w:hAnsi="宋体" w:cs="宋体"/>
          <w:color w:val="000000"/>
          <w:szCs w:val="21"/>
          <w:lang w:eastAsia="zh-CN"/>
        </w:rPr>
        <w:t>响应</w:t>
      </w:r>
      <w:r>
        <w:rPr>
          <w:rFonts w:hint="eastAsia" w:ascii="宋体" w:hAnsi="宋体" w:cs="宋体"/>
          <w:color w:val="000000"/>
          <w:szCs w:val="21"/>
        </w:rPr>
        <w:t>，响应文件将被视为无效：</w:t>
      </w:r>
    </w:p>
    <w:p w14:paraId="79F054A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（1）不同供应商的响应文件由同一单位或者个人编制；或者不同供应商报名的IP地址一致的；或者编制响应文件硬件设备CPU编号、硬盘编号、网卡地址一致的情况。</w:t>
      </w:r>
    </w:p>
    <w:p w14:paraId="4FD38A44">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（2）不同供应商委托同一单位或者个人办理</w:t>
      </w:r>
      <w:r>
        <w:rPr>
          <w:rFonts w:hint="eastAsia" w:ascii="宋体" w:hAnsi="宋体" w:cs="宋体"/>
          <w:color w:val="000000"/>
          <w:szCs w:val="21"/>
          <w:lang w:eastAsia="zh-CN"/>
        </w:rPr>
        <w:t>响应</w:t>
      </w:r>
      <w:r>
        <w:rPr>
          <w:rFonts w:hint="eastAsia" w:ascii="宋体" w:hAnsi="宋体" w:cs="宋体"/>
          <w:color w:val="000000"/>
          <w:szCs w:val="21"/>
        </w:rPr>
        <w:t>事宜；</w:t>
      </w:r>
    </w:p>
    <w:p w14:paraId="3E3CC01E">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（3）不同的供应商的响应文件载明的项目管理员为同一个人；</w:t>
      </w:r>
    </w:p>
    <w:p w14:paraId="257E081F">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（4）不同供应商的响应文件异常一致或者报价呈规律性差异；</w:t>
      </w:r>
    </w:p>
    <w:p w14:paraId="5351A955">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（5）不同供应商的响应文件相互混装；</w:t>
      </w:r>
    </w:p>
    <w:p w14:paraId="67105FD2">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（6）不同供应商的</w:t>
      </w:r>
      <w:r>
        <w:rPr>
          <w:rFonts w:hint="eastAsia" w:ascii="宋体" w:hAnsi="宋体" w:cs="宋体"/>
          <w:color w:val="000000"/>
          <w:szCs w:val="21"/>
          <w:lang w:eastAsia="zh-CN"/>
        </w:rPr>
        <w:t>响应</w:t>
      </w:r>
      <w:r>
        <w:rPr>
          <w:rFonts w:hint="eastAsia" w:ascii="宋体" w:hAnsi="宋体" w:cs="宋体"/>
          <w:color w:val="000000"/>
          <w:szCs w:val="21"/>
        </w:rPr>
        <w:t>保证金从同一单位或者个人账户转出。</w:t>
      </w:r>
    </w:p>
    <w:p w14:paraId="6F37FC9E">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7.6供应商有下列情形之一的，属于恶意串通行为，将报同级监督管理部门：</w:t>
      </w:r>
    </w:p>
    <w:p w14:paraId="7F23A4E6">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（1）供应商直接或者间接从采购人或者采购代理机构处获得其他供应商的相关信息并修改其响应文件；</w:t>
      </w:r>
    </w:p>
    <w:p w14:paraId="25E29915">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（2）供应商按照采购人或者采购代理机构的授意撤换、修改响应文件；</w:t>
      </w:r>
    </w:p>
    <w:p w14:paraId="2E32178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（3）供应商之间协商报价、技术方案等响应文件或者响应文件的实质性内容；</w:t>
      </w:r>
    </w:p>
    <w:p w14:paraId="1BF2A02E">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（4）属于同一集团、协会、商会等组织成员的供应商按照该组织要求协同参加政府采购活动；</w:t>
      </w:r>
    </w:p>
    <w:p w14:paraId="2F81A16C">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（5）供应商之间事先约定一致抬高或者压低报价,或者在政府采购活动中事先约定轮流以高价位或者低价位成交,或者事先约定由某一特定供应商成交,然后再参加</w:t>
      </w:r>
      <w:r>
        <w:rPr>
          <w:rFonts w:hint="eastAsia" w:ascii="宋体" w:hAnsi="宋体" w:cs="宋体"/>
          <w:color w:val="000000"/>
          <w:szCs w:val="21"/>
          <w:lang w:eastAsia="zh-CN"/>
        </w:rPr>
        <w:t>响应</w:t>
      </w:r>
      <w:r>
        <w:rPr>
          <w:rFonts w:hint="eastAsia" w:ascii="宋体" w:hAnsi="宋体" w:cs="宋体"/>
          <w:color w:val="000000"/>
          <w:szCs w:val="21"/>
        </w:rPr>
        <w:t>；</w:t>
      </w:r>
    </w:p>
    <w:p w14:paraId="27626D9F">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（6）供应商之间商定部分供应商放弃参加政府采购活动或者放弃成交；</w:t>
      </w:r>
    </w:p>
    <w:p w14:paraId="15672006">
      <w:pPr>
        <w:spacing w:line="360" w:lineRule="auto"/>
        <w:ind w:firstLine="420" w:firstLineChars="200"/>
        <w:rPr>
          <w:rFonts w:hint="eastAsia" w:ascii="等线" w:hAnsi="等线"/>
        </w:rPr>
      </w:pPr>
      <w:r>
        <w:rPr>
          <w:rFonts w:hint="eastAsia"/>
          <w:szCs w:val="24"/>
        </w:rPr>
        <w:t>（</w:t>
      </w:r>
      <w:r>
        <w:rPr>
          <w:szCs w:val="24"/>
        </w:rPr>
        <w:t>7</w:t>
      </w:r>
      <w:r>
        <w:rPr>
          <w:rFonts w:hint="eastAsia"/>
          <w:szCs w:val="24"/>
        </w:rPr>
        <w:t>）供应商与采购人或者采购代理机构之间、供应商相互之间，为谋求特定供应商成交或者排斥其他供应商的其他串通行为。</w:t>
      </w:r>
    </w:p>
    <w:p w14:paraId="49671BD7">
      <w:pPr>
        <w:spacing w:line="360" w:lineRule="auto"/>
        <w:ind w:firstLine="640" w:firstLineChars="200"/>
        <w:outlineLvl w:val="2"/>
        <w:rPr>
          <w:rFonts w:hint="eastAsia" w:ascii="宋体" w:hAnsi="宋体"/>
          <w:sz w:val="32"/>
          <w:szCs w:val="32"/>
        </w:rPr>
      </w:pPr>
      <w:bookmarkStart w:id="30" w:name="_Toc179528707"/>
      <w:r>
        <w:rPr>
          <w:rFonts w:hint="eastAsia" w:ascii="宋体" w:hAnsi="宋体"/>
          <w:sz w:val="32"/>
          <w:szCs w:val="32"/>
        </w:rPr>
        <w:t>二、谈判文件</w:t>
      </w:r>
      <w:bookmarkEnd w:id="30"/>
    </w:p>
    <w:p w14:paraId="7A068308">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8.谈判文件的构成</w:t>
      </w:r>
    </w:p>
    <w:p w14:paraId="35639CF2">
      <w:pPr>
        <w:spacing w:line="360" w:lineRule="auto"/>
        <w:ind w:firstLine="420" w:firstLineChars="200"/>
        <w:jc w:val="left"/>
        <w:rPr>
          <w:rFonts w:hint="eastAsia" w:ascii="宋体" w:hAnsi="宋体" w:eastAsia="等线"/>
          <w:szCs w:val="21"/>
        </w:rPr>
      </w:pPr>
      <w:r>
        <w:rPr>
          <w:rFonts w:hint="eastAsia" w:ascii="宋体" w:hAnsi="宋体"/>
          <w:szCs w:val="21"/>
        </w:rPr>
        <w:t>第一章 竞争性谈判公告；</w:t>
      </w:r>
    </w:p>
    <w:p w14:paraId="272F8254">
      <w:pPr>
        <w:spacing w:line="360" w:lineRule="auto"/>
        <w:ind w:firstLine="420" w:firstLineChars="200"/>
        <w:jc w:val="left"/>
        <w:rPr>
          <w:rFonts w:hint="eastAsia" w:ascii="宋体" w:hAnsi="宋体"/>
          <w:szCs w:val="21"/>
        </w:rPr>
      </w:pPr>
      <w:r>
        <w:rPr>
          <w:rFonts w:hint="eastAsia" w:ascii="宋体" w:hAnsi="宋体"/>
          <w:szCs w:val="21"/>
        </w:rPr>
        <w:t>第二章 采购需求；</w:t>
      </w:r>
    </w:p>
    <w:p w14:paraId="61334444">
      <w:pPr>
        <w:spacing w:line="360" w:lineRule="auto"/>
        <w:ind w:firstLine="420" w:firstLineChars="200"/>
        <w:jc w:val="left"/>
        <w:rPr>
          <w:rFonts w:hint="eastAsia" w:ascii="宋体" w:hAnsi="宋体"/>
          <w:szCs w:val="21"/>
        </w:rPr>
      </w:pPr>
      <w:r>
        <w:rPr>
          <w:rFonts w:hint="eastAsia" w:ascii="宋体" w:hAnsi="宋体"/>
          <w:szCs w:val="21"/>
        </w:rPr>
        <w:t xml:space="preserve">第三章 供应商须知； </w:t>
      </w:r>
    </w:p>
    <w:p w14:paraId="3A2831E9">
      <w:pPr>
        <w:spacing w:line="360" w:lineRule="auto"/>
        <w:ind w:firstLine="420" w:firstLineChars="200"/>
        <w:jc w:val="left"/>
        <w:rPr>
          <w:rFonts w:hint="eastAsia" w:ascii="宋体" w:hAnsi="宋体"/>
          <w:szCs w:val="21"/>
        </w:rPr>
      </w:pPr>
      <w:r>
        <w:rPr>
          <w:rFonts w:hint="eastAsia" w:ascii="宋体" w:hAnsi="宋体"/>
          <w:szCs w:val="21"/>
        </w:rPr>
        <w:t>第四章 评审程序、评审方法和成交标准；</w:t>
      </w:r>
    </w:p>
    <w:p w14:paraId="00E8D155">
      <w:pPr>
        <w:spacing w:line="360" w:lineRule="auto"/>
        <w:ind w:firstLine="420" w:firstLineChars="200"/>
        <w:jc w:val="left"/>
        <w:rPr>
          <w:rFonts w:hint="eastAsia" w:ascii="宋体" w:hAnsi="宋体"/>
          <w:szCs w:val="21"/>
        </w:rPr>
      </w:pPr>
      <w:r>
        <w:rPr>
          <w:rFonts w:hint="eastAsia" w:ascii="宋体" w:hAnsi="宋体"/>
          <w:szCs w:val="21"/>
        </w:rPr>
        <w:t>第五章 响应文件格式；</w:t>
      </w:r>
    </w:p>
    <w:p w14:paraId="541D1C3F">
      <w:pPr>
        <w:spacing w:line="360" w:lineRule="auto"/>
        <w:ind w:firstLine="420" w:firstLineChars="200"/>
        <w:jc w:val="left"/>
        <w:rPr>
          <w:rFonts w:hint="eastAsia" w:ascii="宋体" w:hAnsi="宋体"/>
          <w:szCs w:val="21"/>
        </w:rPr>
      </w:pPr>
      <w:r>
        <w:rPr>
          <w:rFonts w:hint="eastAsia" w:ascii="宋体" w:hAnsi="宋体"/>
          <w:szCs w:val="21"/>
        </w:rPr>
        <w:t>第六章 合同文本；</w:t>
      </w:r>
    </w:p>
    <w:p w14:paraId="6FF5BB00">
      <w:pPr>
        <w:spacing w:line="360" w:lineRule="auto"/>
        <w:ind w:firstLine="420" w:firstLineChars="200"/>
        <w:jc w:val="left"/>
        <w:rPr>
          <w:rFonts w:hint="eastAsia" w:ascii="宋体" w:hAnsi="宋体"/>
          <w:szCs w:val="21"/>
        </w:rPr>
      </w:pPr>
      <w:r>
        <w:rPr>
          <w:rFonts w:hint="eastAsia" w:ascii="宋体" w:hAnsi="宋体"/>
          <w:szCs w:val="21"/>
        </w:rPr>
        <w:t>第七章 质疑、投诉材料格式。</w:t>
      </w:r>
    </w:p>
    <w:p w14:paraId="36AC86BB">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9.供应商的询问</w:t>
      </w:r>
    </w:p>
    <w:p w14:paraId="16FE6A3F">
      <w:pPr>
        <w:spacing w:line="360" w:lineRule="auto"/>
        <w:ind w:firstLine="420" w:firstLineChars="200"/>
        <w:rPr>
          <w:rFonts w:hint="eastAsia" w:ascii="宋体" w:hAnsi="宋体" w:eastAsia="等线"/>
          <w:szCs w:val="21"/>
        </w:rPr>
      </w:pPr>
      <w:r>
        <w:rPr>
          <w:rFonts w:hint="eastAsia" w:ascii="宋体" w:hAnsi="宋体"/>
          <w:szCs w:val="21"/>
        </w:rPr>
        <w:t>供应商应认真阅读谈判文件的采购需求，如供应商对谈判文件有疑问的，如要求采购人作出澄清或者修改的，供应商尽应在提交首次响应文件截止之日前，以书面形式向采购人、采购代理机构提出。</w:t>
      </w:r>
    </w:p>
    <w:p w14:paraId="7E6FDC37">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10.谈判文件的澄清和修改</w:t>
      </w:r>
    </w:p>
    <w:p w14:paraId="0D21CAEE">
      <w:pPr>
        <w:spacing w:line="360" w:lineRule="auto"/>
        <w:ind w:firstLine="420" w:firstLineChars="200"/>
        <w:rPr>
          <w:rFonts w:hint="eastAsia" w:ascii="宋体" w:hAnsi="宋体" w:eastAsia="等线"/>
          <w:szCs w:val="21"/>
        </w:rPr>
      </w:pPr>
      <w:r>
        <w:rPr>
          <w:rFonts w:hint="eastAsia" w:ascii="宋体" w:hAnsi="宋体"/>
          <w:szCs w:val="21"/>
        </w:rPr>
        <w:t>10.1已获取谈判文件的潜在供应商，若有问题需要澄清，应于应标截止时间前，以书面形式向采购代理机构提出，采购代理机构与采购人研究后，对认为有必要回答的问题，按照本章10.3的内容处理。</w:t>
      </w:r>
    </w:p>
    <w:p w14:paraId="0702AB0E">
      <w:pPr>
        <w:spacing w:line="360" w:lineRule="auto"/>
        <w:ind w:firstLine="422" w:firstLineChars="200"/>
        <w:rPr>
          <w:rFonts w:hint="eastAsia" w:ascii="宋体" w:hAnsi="宋体"/>
          <w:b/>
          <w:szCs w:val="21"/>
        </w:rPr>
      </w:pPr>
      <w:r>
        <w:rPr>
          <w:rFonts w:hint="eastAsia" w:ascii="宋体" w:hAnsi="宋体"/>
          <w:b/>
          <w:szCs w:val="21"/>
        </w:rPr>
        <w:t>10.2采购人或者采购代理机构可以对已发出的谈判文件进行必要的澄清或者修改，但不得改变采购标的和资格条件。澄清或者修改应当在原公告发布媒体上发布澄清公告。澄清或者修改的内容为谈判文件的组成部分。</w:t>
      </w:r>
    </w:p>
    <w:p w14:paraId="7742E2E0">
      <w:pPr>
        <w:spacing w:line="360" w:lineRule="auto"/>
        <w:ind w:firstLine="420" w:firstLineChars="200"/>
        <w:rPr>
          <w:rFonts w:hint="eastAsia" w:ascii="宋体" w:hAnsi="宋体"/>
          <w:szCs w:val="21"/>
        </w:rPr>
      </w:pPr>
      <w:r>
        <w:rPr>
          <w:rFonts w:hint="eastAsia" w:ascii="宋体" w:hAnsi="宋体"/>
          <w:szCs w:val="21"/>
        </w:rPr>
        <w:t>10.3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或者谈判小组在提交首次响应文件截止之</w:t>
      </w:r>
      <w:r>
        <w:rPr>
          <w:rFonts w:hint="eastAsia" w:ascii="宋体" w:hAnsi="宋体"/>
          <w:szCs w:val="21"/>
          <w:highlight w:val="none"/>
        </w:rPr>
        <w:t>日3个工作日</w:t>
      </w:r>
      <w:r>
        <w:rPr>
          <w:rFonts w:hint="eastAsia" w:ascii="宋体" w:hAnsi="宋体"/>
          <w:szCs w:val="21"/>
        </w:rPr>
        <w:t>前，以书面形式（目前为网上公告和系统短信等形式）通知所有获取谈判文件的供应商，不足</w:t>
      </w:r>
      <w:r>
        <w:rPr>
          <w:rFonts w:hint="eastAsia" w:ascii="宋体" w:hAnsi="宋体"/>
          <w:szCs w:val="21"/>
          <w:highlight w:val="none"/>
        </w:rPr>
        <w:t>3个工作日</w:t>
      </w:r>
      <w:r>
        <w:rPr>
          <w:rFonts w:hint="eastAsia" w:ascii="宋体" w:hAnsi="宋体"/>
          <w:szCs w:val="21"/>
        </w:rPr>
        <w:t>的，应当顺延提交首次响应文件截止之日。</w:t>
      </w:r>
    </w:p>
    <w:p w14:paraId="1DB82B15">
      <w:pPr>
        <w:spacing w:line="360" w:lineRule="auto"/>
        <w:ind w:firstLine="420" w:firstLineChars="200"/>
        <w:rPr>
          <w:rFonts w:hint="eastAsia" w:ascii="宋体" w:hAnsi="宋体"/>
          <w:szCs w:val="21"/>
        </w:rPr>
      </w:pPr>
      <w:r>
        <w:rPr>
          <w:rFonts w:hint="eastAsia" w:ascii="宋体" w:hAnsi="宋体"/>
          <w:szCs w:val="21"/>
        </w:rPr>
        <w:t>10.4</w:t>
      </w:r>
      <w:r>
        <w:rPr>
          <w:rFonts w:hint="eastAsia" w:ascii="Arial" w:hAnsi="Arial" w:cs="Arial"/>
          <w:szCs w:val="24"/>
          <w:shd w:val="clear" w:color="auto" w:fill="FFFFFF"/>
        </w:rPr>
        <w:t>采购信息更正公告的内容应当包括采购人和采购代理机构名称、地址、联系方式，原公告的采购项目名称及首次公告日期，更正事项、内容及日期，采购项目联系人和电话。</w:t>
      </w:r>
    </w:p>
    <w:p w14:paraId="61AA4575">
      <w:pPr>
        <w:spacing w:line="360" w:lineRule="auto"/>
        <w:ind w:firstLine="420" w:firstLineChars="200"/>
        <w:rPr>
          <w:rFonts w:hint="eastAsia" w:ascii="等线" w:hAnsi="等线"/>
        </w:rPr>
      </w:pPr>
      <w:r>
        <w:rPr>
          <w:rFonts w:hAnsi="宋体"/>
          <w:szCs w:val="24"/>
        </w:rPr>
        <w:t xml:space="preserve">10.5  </w:t>
      </w:r>
      <w:r>
        <w:rPr>
          <w:rFonts w:hint="eastAsia"/>
          <w:szCs w:val="24"/>
        </w:rPr>
        <w:t>采购人和采购代理机构可以视采购具体情况，变更</w:t>
      </w:r>
      <w:r>
        <w:rPr>
          <w:rFonts w:hint="eastAsia" w:hAnsi="宋体"/>
          <w:szCs w:val="24"/>
        </w:rPr>
        <w:t>提交首次响应文件</w:t>
      </w:r>
      <w:r>
        <w:rPr>
          <w:rFonts w:hint="eastAsia"/>
          <w:szCs w:val="24"/>
        </w:rPr>
        <w:t>截止时间和竞谈时间，将变更时间将在</w:t>
      </w:r>
      <w:r>
        <w:rPr>
          <w:rFonts w:hint="eastAsia" w:hAnsi="宋体"/>
          <w:szCs w:val="24"/>
        </w:rPr>
        <w:t>“采购文件公告”中“七、其他补充事宜</w:t>
      </w:r>
      <w:r>
        <w:rPr>
          <w:rFonts w:hAnsi="宋体"/>
          <w:szCs w:val="24"/>
        </w:rPr>
        <w:t>3.</w:t>
      </w:r>
      <w:r>
        <w:rPr>
          <w:rFonts w:hint="eastAsia" w:hAnsi="宋体"/>
          <w:szCs w:val="24"/>
        </w:rPr>
        <w:t>网上查询地址”</w:t>
      </w:r>
      <w:r>
        <w:rPr>
          <w:rFonts w:hint="eastAsia" w:cs="宋体"/>
          <w:szCs w:val="24"/>
        </w:rPr>
        <w:t>规定的政府采购信息发布媒体上</w:t>
      </w:r>
      <w:r>
        <w:rPr>
          <w:rFonts w:hint="eastAsia"/>
          <w:szCs w:val="24"/>
        </w:rPr>
        <w:t>发布更正公告。</w:t>
      </w:r>
    </w:p>
    <w:p w14:paraId="3A7A8043">
      <w:pPr>
        <w:spacing w:line="360" w:lineRule="auto"/>
        <w:ind w:firstLine="400" w:firstLineChars="200"/>
        <w:rPr>
          <w:rFonts w:hint="eastAsia" w:ascii="宋体" w:hAnsi="Courier New"/>
          <w:kern w:val="0"/>
          <w:sz w:val="20"/>
          <w:szCs w:val="21"/>
        </w:rPr>
      </w:pPr>
      <w:r>
        <w:rPr>
          <w:rFonts w:hint="eastAsia" w:ascii="宋体" w:hAnsi="Courier New"/>
          <w:kern w:val="0"/>
          <w:sz w:val="20"/>
          <w:szCs w:val="21"/>
        </w:rPr>
        <w:t>▲</w:t>
      </w:r>
      <w:r>
        <w:rPr>
          <w:rFonts w:hint="eastAsia" w:ascii="宋体" w:hAnsi="Courier New"/>
          <w:b/>
          <w:kern w:val="0"/>
          <w:sz w:val="20"/>
          <w:szCs w:val="21"/>
        </w:rPr>
        <w:t>响应文件未按谈判文件的澄清、修改的内容编制，又不符合实质性要求的，其响应文件作无效处理。</w:t>
      </w:r>
    </w:p>
    <w:p w14:paraId="3F1ECC65">
      <w:pPr>
        <w:spacing w:line="360" w:lineRule="auto"/>
        <w:ind w:firstLine="640" w:firstLineChars="200"/>
        <w:outlineLvl w:val="2"/>
        <w:rPr>
          <w:rFonts w:hint="eastAsia" w:ascii="宋体" w:hAnsi="宋体"/>
          <w:sz w:val="32"/>
          <w:szCs w:val="32"/>
        </w:rPr>
      </w:pPr>
      <w:bookmarkStart w:id="31" w:name="_Toc179528708"/>
      <w:r>
        <w:rPr>
          <w:rFonts w:hint="eastAsia" w:ascii="宋体" w:hAnsi="宋体"/>
          <w:sz w:val="32"/>
          <w:szCs w:val="32"/>
        </w:rPr>
        <w:t>三、响应文件的编制</w:t>
      </w:r>
      <w:bookmarkEnd w:id="31"/>
    </w:p>
    <w:p w14:paraId="1CC7785B">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11.响应文件的编制原则</w:t>
      </w:r>
    </w:p>
    <w:p w14:paraId="15F6D4F9">
      <w:pPr>
        <w:spacing w:line="360" w:lineRule="auto"/>
        <w:ind w:firstLine="420" w:firstLineChars="200"/>
        <w:rPr>
          <w:rFonts w:hint="eastAsia" w:ascii="宋体" w:hAnsi="宋体" w:eastAsia="等线" w:cs="宋体"/>
          <w:szCs w:val="21"/>
        </w:rPr>
      </w:pPr>
      <w:r>
        <w:rPr>
          <w:rFonts w:hint="eastAsia" w:ascii="宋体" w:hAnsi="宋体" w:cs="宋体"/>
          <w:szCs w:val="21"/>
        </w:rPr>
        <w:t>供应商必须按照谈判文件的要求编制响应文件，并对其提交的响应文件的真实性、合法性承担法律责任。响应文件必须对谈判文件作出实质性响应。</w:t>
      </w:r>
    </w:p>
    <w:p w14:paraId="46AF5D61">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12.响应文件的组成</w:t>
      </w:r>
    </w:p>
    <w:p w14:paraId="244228A0">
      <w:pPr>
        <w:spacing w:line="360" w:lineRule="auto"/>
        <w:ind w:firstLine="420" w:firstLineChars="200"/>
        <w:rPr>
          <w:rFonts w:hint="eastAsia" w:ascii="宋体" w:hAnsi="宋体" w:eastAsia="等线" w:cs="宋体"/>
          <w:szCs w:val="21"/>
        </w:rPr>
      </w:pPr>
      <w:r>
        <w:rPr>
          <w:rFonts w:hint="eastAsia" w:ascii="宋体" w:hAnsi="宋体" w:cs="宋体"/>
          <w:szCs w:val="21"/>
        </w:rPr>
        <w:t>12.1响应文件由资格证明文件、报价文件、商务和技术文件三部分组成。</w:t>
      </w:r>
    </w:p>
    <w:p w14:paraId="53DBF68B">
      <w:pPr>
        <w:spacing w:line="360" w:lineRule="auto"/>
        <w:ind w:left="420" w:leftChars="200" w:firstLine="420" w:firstLineChars="200"/>
        <w:rPr>
          <w:rFonts w:hint="eastAsia" w:ascii="宋体" w:hAnsi="宋体" w:cs="宋体"/>
          <w:szCs w:val="21"/>
        </w:rPr>
      </w:pPr>
      <w:r>
        <w:rPr>
          <w:rFonts w:hint="eastAsia" w:ascii="宋体" w:hAnsi="宋体" w:cs="宋体"/>
          <w:szCs w:val="21"/>
        </w:rPr>
        <w:t>12.1.1资格证明文件：详见须知前附表</w:t>
      </w:r>
    </w:p>
    <w:p w14:paraId="2F79CDEB">
      <w:pPr>
        <w:spacing w:line="360" w:lineRule="auto"/>
        <w:ind w:left="420" w:leftChars="200" w:firstLine="420" w:firstLineChars="200"/>
        <w:rPr>
          <w:rFonts w:hint="eastAsia" w:ascii="宋体" w:hAnsi="宋体" w:cs="宋体"/>
          <w:szCs w:val="21"/>
        </w:rPr>
      </w:pPr>
      <w:r>
        <w:rPr>
          <w:rFonts w:hint="eastAsia" w:ascii="宋体" w:hAnsi="宋体" w:cs="宋体"/>
          <w:szCs w:val="21"/>
        </w:rPr>
        <w:t>12.1.2商务技术文件：详见须知前附表</w:t>
      </w:r>
    </w:p>
    <w:p w14:paraId="2D513080">
      <w:pPr>
        <w:spacing w:line="360" w:lineRule="auto"/>
        <w:ind w:left="420" w:leftChars="200" w:firstLine="420" w:firstLineChars="200"/>
        <w:rPr>
          <w:rFonts w:hint="eastAsia" w:ascii="宋体" w:hAnsi="宋体" w:cs="宋体"/>
          <w:szCs w:val="21"/>
        </w:rPr>
      </w:pPr>
      <w:r>
        <w:rPr>
          <w:rFonts w:hint="eastAsia" w:ascii="宋体" w:hAnsi="宋体" w:cs="宋体"/>
          <w:szCs w:val="21"/>
        </w:rPr>
        <w:t>12.1.3报价文件：详见须知前附表</w:t>
      </w:r>
    </w:p>
    <w:p w14:paraId="17B5F7B5">
      <w:pPr>
        <w:spacing w:line="360" w:lineRule="auto"/>
        <w:ind w:left="420" w:leftChars="200" w:firstLine="420" w:firstLineChars="200"/>
        <w:rPr>
          <w:rFonts w:hint="eastAsia" w:ascii="宋体" w:hAnsi="宋体" w:cs="宋体"/>
          <w:szCs w:val="21"/>
        </w:rPr>
      </w:pPr>
      <w:r>
        <w:rPr>
          <w:rFonts w:hint="eastAsia" w:ascii="宋体" w:hAnsi="宋体" w:cs="宋体"/>
          <w:szCs w:val="21"/>
        </w:rPr>
        <w:t>12.2响应文件电子版：详见须知前附表</w:t>
      </w:r>
    </w:p>
    <w:p w14:paraId="106C92C6">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13.计量单位</w:t>
      </w:r>
    </w:p>
    <w:p w14:paraId="6B562B15">
      <w:pPr>
        <w:spacing w:line="360" w:lineRule="auto"/>
        <w:ind w:firstLine="420" w:firstLineChars="200"/>
        <w:rPr>
          <w:rFonts w:hint="eastAsia" w:ascii="宋体" w:hAnsi="宋体" w:eastAsia="等线" w:cs="宋体"/>
          <w:szCs w:val="21"/>
        </w:rPr>
      </w:pPr>
      <w:r>
        <w:rPr>
          <w:rFonts w:hint="eastAsia" w:ascii="宋体" w:hAnsi="宋体" w:cs="宋体"/>
          <w:szCs w:val="21"/>
        </w:rPr>
        <w:t>谈判文件已有明确规定的，使用谈判文件规定的计量单位；谈判文件没有规定的，应采用中华人民共和国法定计量单位，货币种类为人民币，否则视同未响应。</w:t>
      </w:r>
    </w:p>
    <w:p w14:paraId="135D3CBE">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14.</w:t>
      </w:r>
      <w:r>
        <w:rPr>
          <w:rFonts w:hint="eastAsia" w:ascii="黑体" w:hAnsi="黑体" w:eastAsia="黑体" w:cs="宋体"/>
          <w:b/>
          <w:bCs/>
          <w:sz w:val="24"/>
          <w:szCs w:val="24"/>
          <w:lang w:eastAsia="zh-CN"/>
        </w:rPr>
        <w:t>响应</w:t>
      </w:r>
      <w:r>
        <w:rPr>
          <w:rFonts w:hint="eastAsia" w:ascii="黑体" w:hAnsi="黑体" w:eastAsia="黑体" w:cs="宋体"/>
          <w:b/>
          <w:bCs/>
          <w:sz w:val="24"/>
          <w:szCs w:val="24"/>
        </w:rPr>
        <w:t>的风险</w:t>
      </w:r>
    </w:p>
    <w:p w14:paraId="2C471F99">
      <w:pPr>
        <w:spacing w:line="360" w:lineRule="auto"/>
        <w:ind w:firstLine="420" w:firstLineChars="200"/>
        <w:rPr>
          <w:rFonts w:hint="eastAsia" w:ascii="宋体" w:hAnsi="宋体" w:eastAsia="等线" w:cs="宋体"/>
          <w:szCs w:val="21"/>
        </w:rPr>
      </w:pPr>
      <w:r>
        <w:rPr>
          <w:rFonts w:hint="eastAsia" w:ascii="宋体" w:hAnsi="宋体" w:cs="宋体"/>
          <w:szCs w:val="21"/>
        </w:rPr>
        <w:t>供应商没有按照谈判文件要求提供全部资料，或者供应商没有对谈判文件在各方面作出实质性响应可能导致其响应无效，是供应商应当考虑的风险。</w:t>
      </w:r>
    </w:p>
    <w:p w14:paraId="60FCD516">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15.响应报价要求和构成</w:t>
      </w:r>
    </w:p>
    <w:p w14:paraId="270983BC">
      <w:pPr>
        <w:tabs>
          <w:tab w:val="left" w:pos="2492"/>
        </w:tabs>
        <w:spacing w:line="360" w:lineRule="auto"/>
        <w:ind w:firstLine="420" w:firstLineChars="200"/>
        <w:rPr>
          <w:rFonts w:hint="eastAsia" w:ascii="宋体" w:hAnsi="宋体" w:eastAsia="等线" w:cs="宋体"/>
          <w:szCs w:val="21"/>
        </w:rPr>
      </w:pPr>
      <w:r>
        <w:rPr>
          <w:rFonts w:hint="eastAsia" w:ascii="宋体" w:hAnsi="宋体" w:cs="宋体"/>
          <w:szCs w:val="21"/>
        </w:rPr>
        <w:t>15.1响应报价应按“第五章 响应文件格式”中“响应报价表”格式填写。</w:t>
      </w:r>
    </w:p>
    <w:p w14:paraId="16629CB0">
      <w:pPr>
        <w:tabs>
          <w:tab w:val="left" w:pos="2492"/>
        </w:tabs>
        <w:spacing w:line="360" w:lineRule="auto"/>
        <w:ind w:firstLine="420" w:firstLineChars="200"/>
        <w:rPr>
          <w:rFonts w:hint="eastAsia" w:ascii="宋体" w:hAnsi="宋体" w:cs="宋体"/>
          <w:szCs w:val="21"/>
        </w:rPr>
      </w:pPr>
      <w:r>
        <w:rPr>
          <w:rFonts w:hint="eastAsia" w:ascii="宋体" w:hAnsi="宋体" w:cs="宋体"/>
          <w:szCs w:val="21"/>
        </w:rPr>
        <w:t>15.2响应报价的价格构成见“供应商须知前附表”。</w:t>
      </w:r>
    </w:p>
    <w:p w14:paraId="0D48B723">
      <w:pPr>
        <w:spacing w:line="360" w:lineRule="auto"/>
        <w:ind w:firstLine="420" w:firstLineChars="200"/>
        <w:rPr>
          <w:rFonts w:hint="eastAsia" w:ascii="宋体" w:hAnsi="宋体" w:cs="宋体"/>
          <w:szCs w:val="21"/>
        </w:rPr>
      </w:pPr>
      <w:r>
        <w:rPr>
          <w:rFonts w:hint="eastAsia" w:ascii="宋体" w:hAnsi="宋体" w:cs="宋体"/>
          <w:szCs w:val="21"/>
        </w:rPr>
        <w:t>15.3响应报价要求</w:t>
      </w:r>
    </w:p>
    <w:p w14:paraId="4D34FE90">
      <w:pPr>
        <w:spacing w:line="360" w:lineRule="auto"/>
        <w:ind w:firstLine="420" w:firstLineChars="200"/>
        <w:rPr>
          <w:rFonts w:hint="eastAsia" w:ascii="宋体" w:hAnsi="宋体" w:cs="宋体"/>
          <w:szCs w:val="21"/>
        </w:rPr>
      </w:pPr>
      <w:r>
        <w:rPr>
          <w:rFonts w:hint="eastAsia" w:ascii="宋体" w:hAnsi="宋体" w:cs="宋体"/>
          <w:szCs w:val="21"/>
        </w:rPr>
        <w:t>15.3.1供应商的响应报价应符合以下要求，否则响应文件按无效响应处理：</w:t>
      </w:r>
    </w:p>
    <w:p w14:paraId="5942614C">
      <w:pPr>
        <w:spacing w:line="360" w:lineRule="auto"/>
        <w:ind w:left="420" w:leftChars="200"/>
        <w:rPr>
          <w:rFonts w:hint="eastAsia" w:ascii="宋体" w:hAnsi="宋体" w:cs="宋体"/>
          <w:szCs w:val="21"/>
        </w:rPr>
      </w:pPr>
      <w:r>
        <w:rPr>
          <w:rFonts w:hint="eastAsia" w:ascii="宋体" w:hAnsi="宋体" w:cs="宋体"/>
          <w:szCs w:val="21"/>
        </w:rPr>
        <w:t>（1）供应商必须就“采购需求”中所</w:t>
      </w:r>
      <w:r>
        <w:rPr>
          <w:rFonts w:hint="eastAsia" w:ascii="宋体" w:hAnsi="宋体" w:cs="宋体"/>
          <w:szCs w:val="21"/>
          <w:lang w:eastAsia="zh-CN"/>
        </w:rPr>
        <w:t>响应</w:t>
      </w:r>
      <w:r>
        <w:rPr>
          <w:rFonts w:hint="eastAsia" w:ascii="宋体" w:hAnsi="宋体" w:cs="宋体"/>
          <w:szCs w:val="21"/>
        </w:rPr>
        <w:t>的每个分标的全部内容分别作完整唯一总价报价，不得存在漏项报价；</w:t>
      </w:r>
    </w:p>
    <w:p w14:paraId="204C3491">
      <w:pPr>
        <w:spacing w:line="360" w:lineRule="auto"/>
        <w:ind w:firstLine="420" w:firstLineChars="200"/>
        <w:rPr>
          <w:rFonts w:hint="eastAsia" w:ascii="宋体" w:hAnsi="宋体" w:cs="宋体"/>
          <w:szCs w:val="21"/>
        </w:rPr>
      </w:pPr>
      <w:r>
        <w:rPr>
          <w:rFonts w:hint="eastAsia" w:ascii="宋体" w:hAnsi="宋体" w:cs="宋体"/>
          <w:szCs w:val="21"/>
        </w:rPr>
        <w:t>（2）供应商必须就所</w:t>
      </w:r>
      <w:r>
        <w:rPr>
          <w:rFonts w:hint="eastAsia" w:ascii="宋体" w:hAnsi="宋体" w:cs="宋体"/>
          <w:szCs w:val="21"/>
          <w:lang w:eastAsia="zh-CN"/>
        </w:rPr>
        <w:t>响应</w:t>
      </w:r>
      <w:r>
        <w:rPr>
          <w:rFonts w:hint="eastAsia" w:ascii="宋体" w:hAnsi="宋体" w:cs="宋体"/>
          <w:szCs w:val="21"/>
        </w:rPr>
        <w:t>的分标的单项内容作唯一报价。</w:t>
      </w:r>
    </w:p>
    <w:p w14:paraId="1063E5B0">
      <w:pPr>
        <w:spacing w:line="360" w:lineRule="auto"/>
        <w:ind w:firstLine="420" w:firstLineChars="200"/>
        <w:rPr>
          <w:rFonts w:hint="eastAsia" w:ascii="宋体" w:hAnsi="宋体" w:cs="宋体"/>
          <w:szCs w:val="21"/>
        </w:rPr>
      </w:pPr>
      <w:r>
        <w:rPr>
          <w:rFonts w:hint="eastAsia" w:ascii="宋体" w:hAnsi="宋体" w:cs="宋体"/>
          <w:szCs w:val="21"/>
        </w:rPr>
        <w:t>15.3.2响应报价（包含首次报价、最后报价）超过所</w:t>
      </w:r>
      <w:r>
        <w:rPr>
          <w:rFonts w:hint="eastAsia" w:ascii="宋体" w:hAnsi="宋体" w:cs="宋体"/>
          <w:szCs w:val="21"/>
          <w:lang w:eastAsia="zh-CN"/>
        </w:rPr>
        <w:t>响应</w:t>
      </w:r>
      <w:r>
        <w:rPr>
          <w:rFonts w:hint="eastAsia" w:ascii="宋体" w:hAnsi="宋体" w:cs="宋体"/>
          <w:szCs w:val="21"/>
        </w:rPr>
        <w:t>分标规定的采购预算金额或者最高限价的，其响应文件将作无效处理。</w:t>
      </w:r>
    </w:p>
    <w:p w14:paraId="6DE39B7D">
      <w:pPr>
        <w:spacing w:line="360" w:lineRule="auto"/>
        <w:ind w:firstLine="420" w:firstLineChars="200"/>
        <w:rPr>
          <w:rFonts w:hint="eastAsia" w:ascii="宋体" w:hAnsi="宋体" w:cs="宋体"/>
          <w:szCs w:val="21"/>
        </w:rPr>
      </w:pPr>
      <w:r>
        <w:rPr>
          <w:rFonts w:hint="eastAsia" w:ascii="宋体" w:hAnsi="宋体" w:cs="宋体"/>
          <w:szCs w:val="21"/>
        </w:rPr>
        <w:t>15.3.3响应报价（包含首次报价、最后报价）超过分项采购预算金额或者最高限价的，其响应文件将作无效处理。</w:t>
      </w:r>
    </w:p>
    <w:p w14:paraId="4422A28B">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16.</w:t>
      </w:r>
      <w:r>
        <w:rPr>
          <w:rFonts w:hint="eastAsia" w:ascii="黑体" w:hAnsi="黑体" w:eastAsia="黑体" w:cs="宋体"/>
          <w:b/>
          <w:bCs/>
          <w:sz w:val="24"/>
          <w:szCs w:val="24"/>
          <w:lang w:eastAsia="zh-CN"/>
        </w:rPr>
        <w:t>响应</w:t>
      </w:r>
      <w:r>
        <w:rPr>
          <w:rFonts w:hint="eastAsia" w:ascii="黑体" w:hAnsi="黑体" w:eastAsia="黑体" w:cs="宋体"/>
          <w:b/>
          <w:bCs/>
          <w:sz w:val="24"/>
          <w:szCs w:val="24"/>
        </w:rPr>
        <w:t>有效期</w:t>
      </w:r>
    </w:p>
    <w:p w14:paraId="2569630E">
      <w:pPr>
        <w:spacing w:line="360" w:lineRule="auto"/>
        <w:ind w:firstLine="420" w:firstLineChars="200"/>
        <w:rPr>
          <w:rFonts w:hint="eastAsia" w:ascii="宋体" w:hAnsi="宋体" w:eastAsia="等线" w:cs="宋体"/>
          <w:szCs w:val="21"/>
        </w:rPr>
      </w:pPr>
      <w:r>
        <w:rPr>
          <w:rFonts w:hint="eastAsia" w:ascii="宋体" w:hAnsi="宋体" w:cs="宋体"/>
          <w:szCs w:val="21"/>
        </w:rPr>
        <w:t>16.1</w:t>
      </w:r>
      <w:r>
        <w:rPr>
          <w:rFonts w:hint="eastAsia" w:ascii="宋体" w:hAnsi="宋体" w:cs="宋体"/>
          <w:szCs w:val="21"/>
          <w:lang w:eastAsia="zh-CN"/>
        </w:rPr>
        <w:t>响应</w:t>
      </w:r>
      <w:r>
        <w:rPr>
          <w:rFonts w:hint="eastAsia" w:ascii="宋体" w:hAnsi="宋体" w:cs="宋体"/>
          <w:szCs w:val="21"/>
        </w:rPr>
        <w:t>有效期是指为保证采购人有足够的时间在提交响应文件后完成评审、确定成交供应商、合同签订等工作而要求供应商提交的响应文件在一定时间内保持有效的期限。</w:t>
      </w:r>
    </w:p>
    <w:p w14:paraId="6376D7FF">
      <w:pPr>
        <w:spacing w:line="360" w:lineRule="auto"/>
        <w:ind w:firstLine="420" w:firstLineChars="200"/>
        <w:rPr>
          <w:rFonts w:hint="eastAsia" w:ascii="宋体" w:hAnsi="宋体" w:cs="宋体"/>
          <w:szCs w:val="21"/>
        </w:rPr>
      </w:pPr>
      <w:r>
        <w:rPr>
          <w:rFonts w:hint="eastAsia" w:ascii="宋体" w:hAnsi="宋体" w:cs="宋体"/>
          <w:szCs w:val="21"/>
        </w:rPr>
        <w:t xml:space="preserve">16.2 </w:t>
      </w:r>
      <w:r>
        <w:rPr>
          <w:rFonts w:hint="eastAsia" w:ascii="宋体" w:hAnsi="宋体" w:cs="宋体"/>
          <w:szCs w:val="21"/>
          <w:lang w:eastAsia="zh-CN"/>
        </w:rPr>
        <w:t>响应</w:t>
      </w:r>
      <w:r>
        <w:rPr>
          <w:rFonts w:hint="eastAsia" w:ascii="宋体" w:hAnsi="宋体" w:cs="宋体"/>
          <w:szCs w:val="21"/>
        </w:rPr>
        <w:t>有效期应由供应商按“供应商须知前附表”规定的期限作出响应。</w:t>
      </w:r>
    </w:p>
    <w:p w14:paraId="70422FA8">
      <w:pPr>
        <w:spacing w:line="360" w:lineRule="auto"/>
        <w:ind w:firstLine="420" w:firstLineChars="200"/>
        <w:rPr>
          <w:rFonts w:hint="eastAsia" w:ascii="宋体" w:hAnsi="宋体" w:cs="宋体"/>
          <w:szCs w:val="21"/>
        </w:rPr>
      </w:pPr>
      <w:r>
        <w:rPr>
          <w:rFonts w:hint="eastAsia" w:ascii="宋体" w:hAnsi="宋体" w:cs="宋体"/>
          <w:szCs w:val="21"/>
        </w:rPr>
        <w:t>16.3供应商的响应文件在</w:t>
      </w:r>
      <w:r>
        <w:rPr>
          <w:rFonts w:hint="eastAsia" w:ascii="宋体" w:hAnsi="宋体" w:cs="宋体"/>
          <w:szCs w:val="21"/>
          <w:lang w:eastAsia="zh-CN"/>
        </w:rPr>
        <w:t>响应</w:t>
      </w:r>
      <w:r>
        <w:rPr>
          <w:rFonts w:hint="eastAsia" w:ascii="宋体" w:hAnsi="宋体" w:cs="宋体"/>
          <w:szCs w:val="21"/>
        </w:rPr>
        <w:t>有效期内均保持有效。</w:t>
      </w:r>
    </w:p>
    <w:p w14:paraId="1477EB39">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17.谈判保证金</w:t>
      </w:r>
    </w:p>
    <w:p w14:paraId="0834870A">
      <w:pPr>
        <w:spacing w:line="360" w:lineRule="auto"/>
        <w:ind w:firstLine="420" w:firstLineChars="200"/>
        <w:rPr>
          <w:rFonts w:hint="eastAsia" w:ascii="宋体" w:hAnsi="宋体" w:eastAsia="等线" w:cs="宋体"/>
          <w:szCs w:val="21"/>
        </w:rPr>
      </w:pPr>
      <w:r>
        <w:rPr>
          <w:rFonts w:hint="eastAsia" w:ascii="宋体" w:hAnsi="宋体" w:cs="宋体"/>
          <w:szCs w:val="21"/>
        </w:rPr>
        <w:t>详见“供应商须知前附表”。</w:t>
      </w:r>
    </w:p>
    <w:p w14:paraId="5E517335">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18.响应文件编制的要求</w:t>
      </w:r>
    </w:p>
    <w:p w14:paraId="59249158">
      <w:pPr>
        <w:spacing w:line="360" w:lineRule="auto"/>
        <w:ind w:firstLine="420" w:firstLineChars="200"/>
        <w:rPr>
          <w:rFonts w:hint="eastAsia" w:ascii="宋体" w:hAnsi="宋体" w:eastAsia="等线" w:cs="宋体"/>
          <w:szCs w:val="21"/>
        </w:rPr>
      </w:pPr>
      <w:r>
        <w:rPr>
          <w:rFonts w:hint="eastAsia" w:ascii="宋体" w:hAnsi="宋体" w:cs="宋体"/>
          <w:szCs w:val="21"/>
        </w:rPr>
        <w:t>18.1各供应商在编制响应文件时请按照谈判文件“第五章 响应文件格式”规定的格式进行，混乱的编排导致响应文件被误读或谈判小组查找不到有效文件是供应商的风险。不完整、编排混乱导致响应文件被误读、漏读或者查找不到相关内容的，</w:t>
      </w:r>
      <w:r>
        <w:rPr>
          <w:rFonts w:hint="eastAsia" w:ascii="宋体" w:hAnsi="宋体" w:cs="宋体"/>
          <w:szCs w:val="24"/>
        </w:rPr>
        <w:t>由此引发的</w:t>
      </w:r>
      <w:r>
        <w:rPr>
          <w:rFonts w:hint="eastAsia" w:ascii="宋体" w:hAnsi="宋体" w:cs="宋体"/>
          <w:szCs w:val="21"/>
        </w:rPr>
        <w:t>后果由供应商承担。</w:t>
      </w:r>
    </w:p>
    <w:p w14:paraId="6D116B40">
      <w:pPr>
        <w:spacing w:line="360" w:lineRule="auto"/>
        <w:ind w:firstLine="420" w:firstLineChars="200"/>
        <w:rPr>
          <w:rFonts w:hint="eastAsia" w:ascii="宋体" w:hAnsi="宋体" w:cs="宋体"/>
          <w:szCs w:val="21"/>
        </w:rPr>
      </w:pPr>
      <w:r>
        <w:rPr>
          <w:rFonts w:hint="eastAsia" w:ascii="宋体" w:hAnsi="宋体" w:cs="宋体"/>
          <w:szCs w:val="21"/>
        </w:rPr>
        <w:t>18.2响应文件应按资格证明、报价分别编制，商务技术文件合并编制，本谈判只接收电子版响应文件，要求见本章“12.2响应文件电子版要求”。</w:t>
      </w:r>
    </w:p>
    <w:p w14:paraId="483A32D7">
      <w:pPr>
        <w:spacing w:line="360" w:lineRule="auto"/>
        <w:ind w:firstLine="420" w:firstLineChars="200"/>
        <w:rPr>
          <w:rFonts w:hint="eastAsia" w:ascii="宋体" w:hAnsi="宋体" w:cs="宋体"/>
          <w:szCs w:val="21"/>
        </w:rPr>
      </w:pPr>
      <w:r>
        <w:rPr>
          <w:rFonts w:hint="eastAsia" w:ascii="宋体" w:hAnsi="宋体" w:cs="宋体"/>
          <w:szCs w:val="21"/>
        </w:rPr>
        <w:t>18.3</w:t>
      </w:r>
      <w:r>
        <w:rPr>
          <w:rFonts w:hint="eastAsia" w:ascii="宋体" w:hAnsi="宋体"/>
          <w:szCs w:val="21"/>
        </w:rPr>
        <w:t>响应文件须由供应商在</w:t>
      </w:r>
      <w:r>
        <w:rPr>
          <w:rFonts w:hint="eastAsia" w:ascii="宋体" w:hAnsi="宋体" w:cs="仿宋_GB2312"/>
          <w:kern w:val="0"/>
          <w:szCs w:val="21"/>
          <w:lang w:val="zh-CN"/>
        </w:rPr>
        <w:t>“</w:t>
      </w:r>
      <w:r>
        <w:rPr>
          <w:rFonts w:hint="eastAsia" w:ascii="宋体" w:hAnsi="宋体"/>
          <w:szCs w:val="21"/>
        </w:rPr>
        <w:t>第五章 响应文件格式</w:t>
      </w:r>
      <w:r>
        <w:rPr>
          <w:rFonts w:hint="eastAsia" w:ascii="宋体" w:hAnsi="宋体" w:cs="仿宋_GB2312"/>
          <w:kern w:val="0"/>
          <w:szCs w:val="21"/>
          <w:lang w:val="zh-CN"/>
        </w:rPr>
        <w:t>”</w:t>
      </w:r>
      <w:r>
        <w:rPr>
          <w:rFonts w:hint="eastAsia" w:ascii="宋体" w:hAnsi="宋体"/>
          <w:szCs w:val="21"/>
        </w:rPr>
        <w:t>规定位置</w:t>
      </w:r>
      <w:r>
        <w:rPr>
          <w:rFonts w:hint="eastAsia" w:ascii="宋体" w:hAnsi="宋体" w:cs="仿宋_GB2312"/>
          <w:szCs w:val="21"/>
        </w:rPr>
        <w:t>进行签署、盖章</w:t>
      </w:r>
      <w:r>
        <w:rPr>
          <w:rFonts w:hint="eastAsia" w:ascii="宋体" w:hAnsi="宋体" w:cs="宋体"/>
          <w:szCs w:val="21"/>
        </w:rPr>
        <w:t>，否则其响应文件按无效响应处理。骑缝盖公章不视为在规定位置盖章。</w:t>
      </w:r>
    </w:p>
    <w:p w14:paraId="47273ACB">
      <w:pPr>
        <w:spacing w:line="360" w:lineRule="auto"/>
        <w:ind w:firstLine="420" w:firstLineChars="200"/>
        <w:rPr>
          <w:rFonts w:hint="eastAsia" w:ascii="宋体" w:hAnsi="宋体" w:cs="宋体"/>
          <w:szCs w:val="21"/>
        </w:rPr>
      </w:pPr>
      <w:r>
        <w:rPr>
          <w:rFonts w:hint="eastAsia" w:ascii="宋体" w:hAnsi="宋体" w:cs="宋体"/>
          <w:szCs w:val="21"/>
        </w:rPr>
        <w:t>18.4响应文件</w:t>
      </w:r>
      <w:r>
        <w:rPr>
          <w:rFonts w:hint="eastAsia" w:ascii="宋体" w:hAnsi="宋体" w:cs="宋体"/>
          <w:szCs w:val="21"/>
          <w:lang w:eastAsia="zh-CN"/>
        </w:rPr>
        <w:t>成交</w:t>
      </w:r>
      <w:r>
        <w:rPr>
          <w:rFonts w:hint="eastAsia" w:ascii="宋体" w:hAnsi="宋体" w:cs="宋体"/>
          <w:szCs w:val="21"/>
        </w:rPr>
        <w:t>注的供应商名称应与营业执照（事业单位法人证书、执业许可证、自然人身份证）及电子公章一致，否则其响应文件按无效响应处理。</w:t>
      </w:r>
    </w:p>
    <w:p w14:paraId="660D58FA">
      <w:pPr>
        <w:spacing w:line="360" w:lineRule="auto"/>
        <w:ind w:firstLine="420" w:firstLineChars="200"/>
        <w:rPr>
          <w:rFonts w:hint="eastAsia" w:ascii="宋体" w:hAnsi="宋体" w:cs="宋体"/>
          <w:szCs w:val="21"/>
        </w:rPr>
      </w:pPr>
      <w:r>
        <w:rPr>
          <w:rFonts w:hint="eastAsia" w:ascii="宋体" w:hAnsi="宋体" w:cs="宋体"/>
          <w:szCs w:val="21"/>
        </w:rPr>
        <w:t>18.5响应文件应避免涂改、行间插字或者删除，否则其响应文件按无效响应处理。</w:t>
      </w:r>
    </w:p>
    <w:p w14:paraId="319B81E8">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19.响应文件的密封和标记</w:t>
      </w:r>
    </w:p>
    <w:p w14:paraId="6C47E08E">
      <w:pPr>
        <w:spacing w:line="360" w:lineRule="auto"/>
        <w:ind w:firstLine="420" w:firstLineChars="200"/>
        <w:rPr>
          <w:rFonts w:hint="eastAsia" w:ascii="宋体" w:hAnsi="宋体" w:eastAsia="等线" w:cs="仿宋_GB2312"/>
          <w:kern w:val="0"/>
          <w:szCs w:val="21"/>
          <w:lang w:val="zh-CN"/>
        </w:rPr>
      </w:pPr>
      <w:r>
        <w:rPr>
          <w:rFonts w:hint="eastAsia" w:ascii="宋体" w:hAnsi="宋体" w:cs="仿宋_GB2312"/>
          <w:kern w:val="0"/>
          <w:szCs w:val="21"/>
          <w:lang w:val="zh-CN"/>
        </w:rPr>
        <w:t>19.1供应商进行电子交易应安装客户端软件—“政采云电子交易客户端”，并按照谈判文件和电子交易平台的要求编制并加密响应文件。供应商未按规定加密的响应文件，电子交易平台将拒收并提示。</w:t>
      </w:r>
    </w:p>
    <w:p w14:paraId="32521909">
      <w:pPr>
        <w:spacing w:line="360" w:lineRule="auto"/>
        <w:ind w:firstLine="420" w:firstLineChars="200"/>
        <w:rPr>
          <w:rFonts w:hint="eastAsia" w:ascii="宋体" w:hAnsi="宋体" w:cs="仿宋_GB2312"/>
          <w:kern w:val="0"/>
          <w:szCs w:val="21"/>
          <w:lang w:val="zh-CN"/>
        </w:rPr>
      </w:pPr>
      <w:r>
        <w:rPr>
          <w:rFonts w:hint="eastAsia" w:ascii="宋体" w:hAnsi="宋体" w:cs="仿宋_GB2312"/>
          <w:kern w:val="0"/>
          <w:szCs w:val="21"/>
          <w:lang w:val="zh-CN"/>
        </w:rPr>
        <w:t>19.2使用“政采云电子交易客户端”需要提前申领CA数字证书，申领流程见该项目采购公告附件。</w:t>
      </w:r>
    </w:p>
    <w:p w14:paraId="2A9162A0">
      <w:pPr>
        <w:spacing w:line="360" w:lineRule="auto"/>
        <w:ind w:firstLine="420" w:firstLineChars="200"/>
        <w:rPr>
          <w:rFonts w:hint="eastAsia" w:ascii="等线" w:hAnsi="宋体" w:cs="仿宋_GB2312"/>
        </w:rPr>
      </w:pPr>
      <w:r>
        <w:rPr>
          <w:rFonts w:hAnsi="宋体" w:cs="仿宋_GB2312"/>
          <w:szCs w:val="24"/>
        </w:rPr>
        <w:t>19.3</w:t>
      </w:r>
      <w:r>
        <w:rPr>
          <w:rFonts w:hint="eastAsia" w:hAnsi="宋体" w:cs="仿宋_GB2312"/>
          <w:szCs w:val="24"/>
        </w:rPr>
        <w:t>为确保网上操作合法、有效和安全，供应商应当在响应文件提交截止时间前完成在“政府采购云平台”的身份认证，确保在电子交易过程中能够对相关数据电文进行加密和使用电子签名。</w:t>
      </w:r>
    </w:p>
    <w:p w14:paraId="77667A1B">
      <w:pPr>
        <w:spacing w:line="360" w:lineRule="auto"/>
        <w:ind w:firstLine="482" w:firstLineChars="200"/>
        <w:rPr>
          <w:rFonts w:hint="eastAsia" w:ascii="黑体" w:hAnsi="黑体" w:eastAsia="黑体" w:cs="宋体"/>
          <w:b/>
          <w:bCs/>
          <w:sz w:val="24"/>
          <w:szCs w:val="24"/>
        </w:rPr>
      </w:pPr>
      <w:r>
        <w:rPr>
          <w:rFonts w:hint="eastAsia" w:ascii="黑体" w:hAnsi="黑体" w:eastAsia="黑体" w:cs="宋体"/>
          <w:b/>
          <w:bCs/>
          <w:sz w:val="24"/>
          <w:szCs w:val="24"/>
        </w:rPr>
        <w:t>20.响应文件的提交</w:t>
      </w:r>
    </w:p>
    <w:p w14:paraId="42511A55">
      <w:pPr>
        <w:spacing w:line="360" w:lineRule="auto"/>
        <w:ind w:firstLine="420" w:firstLineChars="200"/>
        <w:rPr>
          <w:rFonts w:hint="eastAsia" w:ascii="宋体" w:hAnsi="宋体" w:eastAsia="等线" w:cs="宋体"/>
          <w:szCs w:val="21"/>
        </w:rPr>
      </w:pPr>
      <w:r>
        <w:rPr>
          <w:rFonts w:hint="eastAsia" w:ascii="宋体" w:hAnsi="宋体" w:cs="宋体"/>
          <w:szCs w:val="21"/>
        </w:rPr>
        <w:t>20.1供应商必须在“供应商须知前附表”规定的时间和地点提交响应文件。</w:t>
      </w:r>
    </w:p>
    <w:p w14:paraId="7BD2E6E3">
      <w:pPr>
        <w:spacing w:line="360" w:lineRule="auto"/>
        <w:ind w:firstLine="420" w:firstLineChars="200"/>
        <w:rPr>
          <w:rFonts w:hint="eastAsia" w:ascii="宋体" w:hAnsi="宋体"/>
          <w:szCs w:val="21"/>
        </w:rPr>
      </w:pPr>
      <w:r>
        <w:rPr>
          <w:rFonts w:hint="eastAsia" w:ascii="宋体" w:hAnsi="宋体" w:cs="宋体"/>
          <w:szCs w:val="21"/>
        </w:rPr>
        <w:t>20</w:t>
      </w:r>
      <w:r>
        <w:rPr>
          <w:rFonts w:hint="eastAsia" w:ascii="宋体" w:hAnsi="宋体"/>
          <w:szCs w:val="21"/>
        </w:rPr>
        <w:t>.2 在响应文件提交截止时间以后，不能补充、修改响应文件。</w:t>
      </w:r>
    </w:p>
    <w:p w14:paraId="0A34C894">
      <w:pPr>
        <w:spacing w:line="360" w:lineRule="auto"/>
        <w:ind w:firstLine="420" w:firstLineChars="200"/>
        <w:rPr>
          <w:rFonts w:hint="eastAsia" w:ascii="宋体" w:hAnsi="宋体"/>
          <w:szCs w:val="21"/>
        </w:rPr>
      </w:pPr>
      <w:r>
        <w:rPr>
          <w:rFonts w:hint="eastAsia" w:ascii="宋体" w:hAnsi="宋体"/>
          <w:szCs w:val="21"/>
        </w:rPr>
        <w:t>20.3 在提交“最后报价”后，供应商不能退出谈判。</w:t>
      </w:r>
    </w:p>
    <w:p w14:paraId="04F88409">
      <w:pPr>
        <w:spacing w:line="360" w:lineRule="auto"/>
        <w:ind w:firstLine="420" w:firstLineChars="200"/>
        <w:rPr>
          <w:rFonts w:hint="eastAsia" w:ascii="宋体" w:hAnsi="宋体"/>
          <w:szCs w:val="21"/>
        </w:rPr>
      </w:pPr>
      <w:r>
        <w:rPr>
          <w:rFonts w:hint="eastAsia" w:ascii="宋体" w:hAnsi="宋体"/>
          <w:szCs w:val="21"/>
        </w:rPr>
        <w:t>20.4 电子交易平台收到响应文件，将妥善保存并即时向供应商发出确认回执通知。在响应文件提交截止时间前，除供应商补充、修改或者撤回响应文件外，任何单位和个人不得解密或提取响应文件。</w:t>
      </w:r>
    </w:p>
    <w:p w14:paraId="5E59A173">
      <w:pPr>
        <w:spacing w:line="360" w:lineRule="auto"/>
        <w:ind w:firstLine="420" w:firstLineChars="200"/>
        <w:rPr>
          <w:rFonts w:hint="eastAsia" w:ascii="宋体" w:hAnsi="宋体"/>
          <w:szCs w:val="21"/>
        </w:rPr>
      </w:pPr>
      <w:r>
        <w:rPr>
          <w:rFonts w:hint="eastAsia" w:ascii="宋体" w:hAnsi="宋体"/>
          <w:szCs w:val="21"/>
        </w:rPr>
        <w:t>20.5 采购机构不可视情况延长提交响应文件的截止时</w:t>
      </w:r>
      <w:r>
        <w:rPr>
          <w:rFonts w:hint="eastAsia" w:ascii="宋体" w:hAnsi="宋体"/>
          <w:strike w:val="0"/>
          <w:dstrike w:val="0"/>
          <w:szCs w:val="21"/>
        </w:rPr>
        <w:t>间</w:t>
      </w:r>
      <w:r>
        <w:rPr>
          <w:rFonts w:hint="eastAsia" w:ascii="宋体" w:hAnsi="宋体"/>
          <w:szCs w:val="21"/>
        </w:rPr>
        <w:t>。</w:t>
      </w:r>
    </w:p>
    <w:p w14:paraId="53DC51CC">
      <w:pPr>
        <w:spacing w:line="360" w:lineRule="auto"/>
        <w:ind w:firstLine="420" w:firstLineChars="200"/>
        <w:rPr>
          <w:rFonts w:hint="eastAsia" w:ascii="黑体" w:hAnsi="黑体" w:eastAsia="黑体"/>
          <w:color w:val="000000"/>
          <w:sz w:val="24"/>
        </w:rPr>
      </w:pPr>
      <w:r>
        <w:rPr>
          <w:rFonts w:hint="eastAsia" w:ascii="宋体" w:hAnsi="宋体"/>
          <w:szCs w:val="21"/>
        </w:rPr>
        <w:t>20.6备份响应文件。</w:t>
      </w:r>
      <w:r>
        <w:rPr>
          <w:rFonts w:hint="eastAsia" w:hAnsi="宋体"/>
          <w:bCs/>
          <w:color w:val="000000"/>
          <w:szCs w:val="21"/>
        </w:rPr>
        <w:t>详见在“供应商须知前附表”。</w:t>
      </w:r>
    </w:p>
    <w:p w14:paraId="74EBAC73">
      <w:pPr>
        <w:spacing w:line="360" w:lineRule="auto"/>
        <w:ind w:firstLine="482" w:firstLineChars="200"/>
        <w:rPr>
          <w:rFonts w:hint="eastAsia" w:ascii="黑体" w:hAnsi="黑体" w:eastAsia="黑体" w:cs="宋体"/>
          <w:b/>
          <w:bCs/>
          <w:sz w:val="24"/>
          <w:szCs w:val="24"/>
        </w:rPr>
      </w:pPr>
      <w:r>
        <w:rPr>
          <w:rFonts w:hint="eastAsia" w:ascii="黑体" w:hAnsi="黑体" w:eastAsia="黑体" w:cs="宋体"/>
          <w:b/>
          <w:bCs/>
          <w:sz w:val="24"/>
          <w:szCs w:val="24"/>
        </w:rPr>
        <w:t>21.首次响应文件的补充、修改与撤回</w:t>
      </w:r>
    </w:p>
    <w:p w14:paraId="27511D84">
      <w:pPr>
        <w:ind w:firstLine="420"/>
        <w:rPr>
          <w:rFonts w:hint="eastAsia" w:ascii="宋体" w:hAnsi="宋体" w:eastAsia="等线" w:cs="仿宋_GB2312"/>
          <w:szCs w:val="21"/>
        </w:rPr>
      </w:pPr>
      <w:r>
        <w:rPr>
          <w:rFonts w:hint="eastAsia" w:ascii="宋体" w:hAnsi="宋体" w:cs="仿宋_GB2312"/>
          <w:szCs w:val="21"/>
        </w:rPr>
        <w:t>供应商应当在提交响应文件截止时间前完成响应文件的传输提交，并可以补充、修改或者撤回响应文件。补充或者修改响应文件的，应当先行撤回原文件，补充、修改后重新传输提交。提交响应文件截止时间前未完成传输的，视为撤回响应文件。响应文件提交截止时间后提交的响应文件，电子交易平台将拒收。</w:t>
      </w:r>
    </w:p>
    <w:p w14:paraId="06210BC3">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22. 首次响应文件的退回</w:t>
      </w:r>
    </w:p>
    <w:p w14:paraId="44DEBEEB">
      <w:pPr>
        <w:spacing w:line="360" w:lineRule="auto"/>
        <w:ind w:firstLine="420" w:firstLineChars="200"/>
        <w:rPr>
          <w:rFonts w:hint="eastAsia" w:ascii="宋体" w:hAnsi="宋体" w:eastAsia="等线" w:cs="宋体"/>
          <w:szCs w:val="21"/>
        </w:rPr>
      </w:pPr>
      <w:r>
        <w:rPr>
          <w:rFonts w:hint="eastAsia" w:ascii="宋体" w:hAnsi="宋体" w:cs="宋体"/>
          <w:szCs w:val="21"/>
        </w:rPr>
        <w:t>详见“供应商须知前附表”。</w:t>
      </w:r>
    </w:p>
    <w:p w14:paraId="5181319B">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23. 截止时间后的撤回</w:t>
      </w:r>
    </w:p>
    <w:p w14:paraId="4016EB6E">
      <w:pPr>
        <w:spacing w:line="360" w:lineRule="auto"/>
        <w:ind w:firstLine="420" w:firstLineChars="200"/>
        <w:rPr>
          <w:rFonts w:hint="eastAsia" w:ascii="宋体" w:hAnsi="宋体" w:eastAsia="等线"/>
          <w:szCs w:val="21"/>
        </w:rPr>
      </w:pPr>
      <w:r>
        <w:rPr>
          <w:rFonts w:hint="eastAsia" w:ascii="宋体" w:hAnsi="宋体" w:cs="宋体"/>
          <w:szCs w:val="21"/>
        </w:rPr>
        <w:t>本项目不收取谈判保证金，供应商在首次响应文件提交截止时间后可向采购人、采购代理机构书面申请撤回响应文件。</w:t>
      </w:r>
    </w:p>
    <w:p w14:paraId="23461888">
      <w:pPr>
        <w:spacing w:line="360" w:lineRule="auto"/>
        <w:ind w:firstLine="640" w:firstLineChars="200"/>
        <w:outlineLvl w:val="2"/>
        <w:rPr>
          <w:rFonts w:hint="eastAsia" w:ascii="宋体" w:hAnsi="宋体"/>
          <w:sz w:val="32"/>
          <w:szCs w:val="32"/>
        </w:rPr>
      </w:pPr>
      <w:bookmarkStart w:id="32" w:name="_Toc179528709"/>
      <w:r>
        <w:rPr>
          <w:rFonts w:hint="eastAsia" w:ascii="宋体" w:hAnsi="宋体"/>
          <w:sz w:val="32"/>
          <w:szCs w:val="32"/>
        </w:rPr>
        <w:t>四、评审及谈判</w:t>
      </w:r>
      <w:bookmarkEnd w:id="32"/>
    </w:p>
    <w:p w14:paraId="4CA79AAB">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24.谈判小组成立</w:t>
      </w:r>
    </w:p>
    <w:p w14:paraId="193A7F78">
      <w:pPr>
        <w:spacing w:line="360" w:lineRule="auto"/>
        <w:ind w:firstLine="420" w:firstLineChars="200"/>
        <w:rPr>
          <w:rFonts w:hint="eastAsia" w:ascii="宋体" w:hAnsi="宋体" w:eastAsia="等线" w:cs="宋体"/>
          <w:szCs w:val="21"/>
        </w:rPr>
      </w:pPr>
      <w:r>
        <w:rPr>
          <w:rFonts w:hint="eastAsia" w:ascii="宋体" w:hAnsi="宋体" w:cs="宋体"/>
          <w:szCs w:val="21"/>
        </w:rPr>
        <w:t>24.1谈判小组由采购人代表和评审专家共3人以上单数组成，其中评审专家人数不得少于谈判小组成员总数的2/3。采购人代表不得以评审专家身份参加本部门或者本单位采购项目的评审。采购代理机构人员不得参加本机构代理的采购项目的评审。达到公开招标数额标准的货物或者货物采购项目，或者达到公开招标规模标准的政府采购工程，经批准采用竞争性谈判方式采购的，谈判小组由5人以上单数组成。</w:t>
      </w:r>
    </w:p>
    <w:p w14:paraId="6C2A01D2">
      <w:pPr>
        <w:spacing w:line="360" w:lineRule="auto"/>
        <w:ind w:firstLine="420" w:firstLineChars="200"/>
        <w:rPr>
          <w:rFonts w:hint="eastAsia" w:ascii="宋体" w:hAnsi="宋体" w:cs="宋体"/>
          <w:szCs w:val="21"/>
        </w:rPr>
      </w:pPr>
      <w:r>
        <w:rPr>
          <w:rFonts w:hint="eastAsia" w:ascii="宋体" w:hAnsi="宋体" w:cs="宋体"/>
          <w:szCs w:val="21"/>
        </w:rPr>
        <w:t>24.2评审专家应当从政府采购评审专家库内相关专业的专家名单中随机抽取。技术复杂、专业性强的竞争性谈判采购项目，评审专家中应当包含1名法律专家。</w:t>
      </w:r>
    </w:p>
    <w:p w14:paraId="089564BE">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25.首次响应文件的开启</w:t>
      </w:r>
    </w:p>
    <w:p w14:paraId="3F1935D1">
      <w:pPr>
        <w:spacing w:line="360" w:lineRule="auto"/>
        <w:ind w:firstLine="420" w:firstLineChars="200"/>
        <w:rPr>
          <w:rFonts w:hint="eastAsia" w:ascii="宋体" w:hAnsi="宋体" w:eastAsia="等线" w:cs="宋体"/>
          <w:szCs w:val="21"/>
        </w:rPr>
      </w:pPr>
      <w:r>
        <w:rPr>
          <w:rFonts w:hint="eastAsia" w:ascii="宋体" w:hAnsi="宋体" w:cs="宋体"/>
          <w:szCs w:val="21"/>
        </w:rPr>
        <w:t>25.1首次响应文件由谈判小组或者采购代理机构在“供应商须知前附表”规定的时间开启。</w:t>
      </w:r>
    </w:p>
    <w:p w14:paraId="6715C2A2">
      <w:pPr>
        <w:spacing w:line="360" w:lineRule="auto"/>
        <w:ind w:firstLine="420" w:firstLineChars="200"/>
        <w:rPr>
          <w:rFonts w:hint="eastAsia" w:ascii="等线" w:hAnsi="宋体"/>
          <w:bCs/>
        </w:rPr>
      </w:pPr>
      <w:r>
        <w:rPr>
          <w:rFonts w:hAnsi="宋体" w:cs="宋体"/>
          <w:szCs w:val="24"/>
        </w:rPr>
        <w:t xml:space="preserve">25.2 </w:t>
      </w:r>
      <w:r>
        <w:rPr>
          <w:rFonts w:hint="eastAsia" w:hAnsi="宋体"/>
          <w:bCs/>
          <w:szCs w:val="24"/>
        </w:rPr>
        <w:t>响应文件解密</w:t>
      </w:r>
    </w:p>
    <w:p w14:paraId="09964874">
      <w:pPr>
        <w:snapToGrid w:val="0"/>
        <w:spacing w:line="360" w:lineRule="auto"/>
        <w:ind w:firstLine="420" w:firstLineChars="200"/>
        <w:rPr>
          <w:rFonts w:hint="eastAsia" w:hAnsi="宋体"/>
          <w:szCs w:val="24"/>
        </w:rPr>
      </w:pPr>
      <w:r>
        <w:rPr>
          <w:rFonts w:hint="eastAsia" w:hAnsi="宋体"/>
          <w:bCs/>
          <w:szCs w:val="24"/>
        </w:rPr>
        <w:t>采购代理机构将在“供应商须知前附表”规定的时</w:t>
      </w:r>
      <w:r>
        <w:rPr>
          <w:rFonts w:hint="eastAsia" w:hAnsi="宋体"/>
          <w:szCs w:val="24"/>
        </w:rPr>
        <w:t>间通过电子交易平台组织响应文件开启，采购机构依托电子交易平台发起开始解密指令，供应商的法定代表人或其委托代理人</w:t>
      </w:r>
      <w:r>
        <w:rPr>
          <w:rFonts w:hint="eastAsia" w:hAnsi="宋体"/>
          <w:b/>
          <w:szCs w:val="24"/>
        </w:rPr>
        <w:t>须携带加密时所用的</w:t>
      </w:r>
      <w:r>
        <w:rPr>
          <w:rFonts w:hAnsi="宋体"/>
          <w:b/>
          <w:szCs w:val="24"/>
        </w:rPr>
        <w:t>CA</w:t>
      </w:r>
      <w:r>
        <w:rPr>
          <w:rFonts w:hint="eastAsia" w:hAnsi="宋体"/>
          <w:b/>
          <w:szCs w:val="24"/>
        </w:rPr>
        <w:t>锁按平台提示和采购文件的规定登录到“政采云”平台电子开标大厅签到并在发起解密指令之时起</w:t>
      </w:r>
      <w:r>
        <w:rPr>
          <w:rFonts w:hAnsi="宋体"/>
          <w:b/>
          <w:szCs w:val="24"/>
        </w:rPr>
        <w:t>30</w:t>
      </w:r>
      <w:r>
        <w:rPr>
          <w:rFonts w:hint="eastAsia" w:hAnsi="宋体"/>
          <w:b/>
          <w:szCs w:val="24"/>
        </w:rPr>
        <w:t>分钟内完成对电子响应文件在线解密</w:t>
      </w:r>
      <w:r>
        <w:rPr>
          <w:rFonts w:hint="eastAsia" w:hAnsi="宋体"/>
          <w:szCs w:val="24"/>
        </w:rPr>
        <w:t>。发起解密指令之时起</w:t>
      </w:r>
      <w:r>
        <w:rPr>
          <w:rFonts w:hAnsi="宋体"/>
          <w:szCs w:val="24"/>
        </w:rPr>
        <w:t>5</w:t>
      </w:r>
      <w:r>
        <w:rPr>
          <w:rFonts w:hint="eastAsia" w:hAnsi="宋体"/>
          <w:szCs w:val="24"/>
        </w:rPr>
        <w:t>分钟内供应商还未进行解密的，代理机构要通知供应商，供应商没预留联系方式或预留联系方式无效，导致代理机构无法联系到供应商进行解密的，</w:t>
      </w:r>
      <w:r>
        <w:rPr>
          <w:rFonts w:hint="eastAsia" w:hAnsi="宋体"/>
          <w:b/>
          <w:szCs w:val="24"/>
        </w:rPr>
        <w:t>视为响应文件无效。</w:t>
      </w:r>
      <w:r>
        <w:rPr>
          <w:rFonts w:hint="eastAsia" w:hAnsi="宋体"/>
          <w:szCs w:val="24"/>
        </w:rPr>
        <w:t>（解密</w:t>
      </w:r>
      <w:r>
        <w:rPr>
          <w:rFonts w:hint="eastAsia" w:hAnsi="宋体"/>
          <w:bCs/>
          <w:color w:val="000000"/>
          <w:szCs w:val="24"/>
        </w:rPr>
        <w:t>异常情况处理：详见本章</w:t>
      </w:r>
      <w:r>
        <w:rPr>
          <w:rFonts w:hAnsi="宋体"/>
          <w:color w:val="000000"/>
          <w:szCs w:val="24"/>
        </w:rPr>
        <w:t xml:space="preserve">26.3 </w:t>
      </w:r>
      <w:r>
        <w:rPr>
          <w:rFonts w:hint="eastAsia" w:hAnsi="宋体"/>
          <w:color w:val="000000"/>
          <w:szCs w:val="24"/>
        </w:rPr>
        <w:t>电子交易活动的中止。</w:t>
      </w:r>
      <w:r>
        <w:rPr>
          <w:rFonts w:hint="eastAsia" w:hAnsi="宋体"/>
          <w:szCs w:val="24"/>
        </w:rPr>
        <w:t>）</w:t>
      </w:r>
    </w:p>
    <w:p w14:paraId="6A3E5FDF">
      <w:pPr>
        <w:spacing w:line="360" w:lineRule="auto"/>
        <w:ind w:firstLine="420" w:firstLineChars="200"/>
        <w:rPr>
          <w:rFonts w:hAnsi="宋体"/>
          <w:szCs w:val="24"/>
        </w:rPr>
      </w:pPr>
      <w:r>
        <w:rPr>
          <w:rFonts w:hint="eastAsia" w:hAnsi="宋体"/>
          <w:szCs w:val="24"/>
        </w:rPr>
        <w:t>如</w:t>
      </w:r>
      <w:r>
        <w:rPr>
          <w:rFonts w:hint="eastAsia" w:hAnsi="宋体"/>
          <w:bCs/>
          <w:szCs w:val="24"/>
        </w:rPr>
        <w:t>供应商成功解密响应文件，但未在“政采云”电子开标大厅参加谈判的，视同认可谈判过程和结果，</w:t>
      </w:r>
      <w:r>
        <w:rPr>
          <w:rFonts w:hint="eastAsia" w:hAnsi="宋体"/>
          <w:szCs w:val="24"/>
        </w:rPr>
        <w:t>由此产生的后果由供应商自行负责。</w:t>
      </w:r>
      <w:r>
        <w:rPr>
          <w:rFonts w:hAnsi="宋体"/>
          <w:szCs w:val="24"/>
        </w:rPr>
        <w:t xml:space="preserve"> </w:t>
      </w:r>
      <w:r>
        <w:rPr>
          <w:rFonts w:hint="eastAsia" w:hAnsi="宋体"/>
          <w:szCs w:val="24"/>
        </w:rPr>
        <w:t>参与谈判的供应商不足</w:t>
      </w:r>
      <w:r>
        <w:rPr>
          <w:rFonts w:hAnsi="宋体"/>
          <w:szCs w:val="24"/>
        </w:rPr>
        <w:t>3</w:t>
      </w:r>
      <w:r>
        <w:rPr>
          <w:rFonts w:hint="eastAsia" w:hAnsi="宋体"/>
          <w:szCs w:val="24"/>
        </w:rPr>
        <w:t>家的，不得谈判。</w:t>
      </w:r>
    </w:p>
    <w:p w14:paraId="35DFE180">
      <w:pPr>
        <w:spacing w:line="360" w:lineRule="auto"/>
        <w:ind w:firstLine="422" w:firstLineChars="200"/>
        <w:rPr>
          <w:rFonts w:ascii="宋体" w:hAnsi="宋体" w:cs="宋体"/>
          <w:b/>
          <w:bCs/>
          <w:szCs w:val="21"/>
        </w:rPr>
      </w:pPr>
      <w:r>
        <w:rPr>
          <w:rFonts w:hint="eastAsia" w:ascii="宋体" w:hAnsi="宋体" w:cs="宋体"/>
          <w:b/>
          <w:bCs/>
          <w:szCs w:val="21"/>
        </w:rPr>
        <w:t>26.评审程序、评审方法和成交标准</w:t>
      </w:r>
    </w:p>
    <w:p w14:paraId="05DD3783">
      <w:pPr>
        <w:spacing w:line="360" w:lineRule="auto"/>
        <w:ind w:firstLine="420" w:firstLineChars="200"/>
        <w:rPr>
          <w:rFonts w:hint="eastAsia" w:ascii="宋体" w:hAnsi="宋体" w:cs="宋体"/>
          <w:szCs w:val="21"/>
        </w:rPr>
      </w:pPr>
      <w:r>
        <w:rPr>
          <w:rFonts w:hint="eastAsia" w:ascii="宋体" w:hAnsi="宋体" w:cs="宋体"/>
          <w:szCs w:val="21"/>
        </w:rPr>
        <w:t>26.1谈判小组按照“第四章 评审程序、评审方法和成交标准”规定的方法、评审因素、标准和程序对响应文件进行评审。</w:t>
      </w:r>
    </w:p>
    <w:p w14:paraId="55A9AB67">
      <w:pPr>
        <w:spacing w:line="360" w:lineRule="auto"/>
        <w:ind w:firstLine="420" w:firstLineChars="200"/>
        <w:rPr>
          <w:rFonts w:hint="eastAsia" w:ascii="宋体" w:hAnsi="宋体"/>
          <w:szCs w:val="21"/>
        </w:rPr>
      </w:pPr>
      <w:r>
        <w:rPr>
          <w:rFonts w:hint="eastAsia" w:ascii="宋体" w:hAnsi="宋体"/>
          <w:szCs w:val="21"/>
        </w:rPr>
        <w:t>26.2 采购需求负偏离要求及谈判顺序详见 “供应商须知前附表”。</w:t>
      </w:r>
    </w:p>
    <w:p w14:paraId="2F248BAB">
      <w:pPr>
        <w:spacing w:line="360" w:lineRule="auto"/>
        <w:ind w:firstLine="420" w:firstLineChars="200"/>
        <w:rPr>
          <w:rFonts w:hint="eastAsia" w:ascii="等线" w:hAnsi="宋体"/>
          <w:color w:val="000000"/>
        </w:rPr>
      </w:pPr>
      <w:r>
        <w:rPr>
          <w:rFonts w:hAnsi="宋体"/>
          <w:szCs w:val="24"/>
        </w:rPr>
        <w:t>26.3</w:t>
      </w:r>
      <w:r>
        <w:rPr>
          <w:rFonts w:hint="eastAsia" w:hAnsi="宋体"/>
          <w:color w:val="000000"/>
          <w:szCs w:val="24"/>
        </w:rPr>
        <w:t>电子交易活动的中止。采购过程中出现以下情形，导致电子交易平台无法正常运行，或者无法保证电子交易的公平、公正和安全时，采购机构可中止电子交易活动：</w:t>
      </w:r>
    </w:p>
    <w:p w14:paraId="346189D5">
      <w:pPr>
        <w:spacing w:line="360" w:lineRule="auto"/>
        <w:ind w:firstLine="420" w:firstLineChars="200"/>
        <w:rPr>
          <w:rFonts w:hint="eastAsia" w:hAnsi="宋体"/>
          <w:color w:val="000000"/>
          <w:szCs w:val="24"/>
        </w:rPr>
      </w:pPr>
      <w:r>
        <w:rPr>
          <w:rFonts w:hint="eastAsia" w:hAnsi="宋体"/>
          <w:color w:val="000000"/>
          <w:szCs w:val="24"/>
        </w:rPr>
        <w:t>（</w:t>
      </w:r>
      <w:r>
        <w:rPr>
          <w:rFonts w:hAnsi="宋体"/>
          <w:color w:val="000000"/>
          <w:szCs w:val="24"/>
        </w:rPr>
        <w:t>1</w:t>
      </w:r>
      <w:r>
        <w:rPr>
          <w:rFonts w:hint="eastAsia" w:hAnsi="宋体"/>
          <w:color w:val="000000"/>
          <w:szCs w:val="24"/>
        </w:rPr>
        <w:t>）电子交易平台发生故障而无法登录访问的；</w:t>
      </w:r>
      <w:r>
        <w:rPr>
          <w:rFonts w:hAnsi="宋体"/>
          <w:color w:val="000000"/>
          <w:szCs w:val="24"/>
        </w:rPr>
        <w:t xml:space="preserve"> </w:t>
      </w:r>
    </w:p>
    <w:p w14:paraId="5DACF4F3">
      <w:pPr>
        <w:spacing w:line="360" w:lineRule="auto"/>
        <w:ind w:firstLine="420" w:firstLineChars="200"/>
        <w:rPr>
          <w:rFonts w:hAnsi="宋体"/>
          <w:color w:val="000000"/>
          <w:szCs w:val="24"/>
        </w:rPr>
      </w:pPr>
      <w:r>
        <w:rPr>
          <w:rFonts w:hint="eastAsia" w:hAnsi="宋体"/>
          <w:color w:val="000000"/>
          <w:szCs w:val="24"/>
        </w:rPr>
        <w:t>（</w:t>
      </w:r>
      <w:r>
        <w:rPr>
          <w:rFonts w:hAnsi="宋体"/>
          <w:color w:val="000000"/>
          <w:szCs w:val="24"/>
        </w:rPr>
        <w:t>2</w:t>
      </w:r>
      <w:r>
        <w:rPr>
          <w:rFonts w:hint="eastAsia" w:hAnsi="宋体"/>
          <w:color w:val="000000"/>
          <w:szCs w:val="24"/>
        </w:rPr>
        <w:t>）电子交易平台应用或数据库出现错误，不能进行正常操作的；</w:t>
      </w:r>
    </w:p>
    <w:p w14:paraId="73A9B474">
      <w:pPr>
        <w:spacing w:line="360" w:lineRule="auto"/>
        <w:ind w:firstLine="420" w:firstLineChars="200"/>
        <w:rPr>
          <w:rFonts w:hAnsi="宋体"/>
          <w:color w:val="000000"/>
          <w:szCs w:val="24"/>
        </w:rPr>
      </w:pPr>
      <w:r>
        <w:rPr>
          <w:rFonts w:hint="eastAsia" w:hAnsi="宋体"/>
          <w:color w:val="000000"/>
          <w:szCs w:val="24"/>
        </w:rPr>
        <w:t>（</w:t>
      </w:r>
      <w:r>
        <w:rPr>
          <w:rFonts w:hAnsi="宋体"/>
          <w:color w:val="000000"/>
          <w:szCs w:val="24"/>
        </w:rPr>
        <w:t>3</w:t>
      </w:r>
      <w:r>
        <w:rPr>
          <w:rFonts w:hint="eastAsia" w:hAnsi="宋体"/>
          <w:color w:val="000000"/>
          <w:szCs w:val="24"/>
        </w:rPr>
        <w:t>）电子交易平台发现严重安全漏洞，有潜在泄密危险的；</w:t>
      </w:r>
    </w:p>
    <w:p w14:paraId="3E1C97CF">
      <w:pPr>
        <w:spacing w:line="360" w:lineRule="auto"/>
        <w:ind w:firstLine="420" w:firstLineChars="200"/>
        <w:rPr>
          <w:rFonts w:hAnsi="宋体"/>
          <w:color w:val="000000"/>
          <w:szCs w:val="24"/>
        </w:rPr>
      </w:pPr>
      <w:r>
        <w:rPr>
          <w:rFonts w:hint="eastAsia" w:hAnsi="宋体"/>
          <w:color w:val="000000"/>
          <w:szCs w:val="24"/>
        </w:rPr>
        <w:t>（</w:t>
      </w:r>
      <w:r>
        <w:rPr>
          <w:rFonts w:hAnsi="宋体"/>
          <w:color w:val="000000"/>
          <w:szCs w:val="24"/>
        </w:rPr>
        <w:t>4</w:t>
      </w:r>
      <w:r>
        <w:rPr>
          <w:rFonts w:hint="eastAsia" w:hAnsi="宋体"/>
          <w:color w:val="000000"/>
          <w:szCs w:val="24"/>
        </w:rPr>
        <w:t>）病毒发作导致不能进行正常操作的；</w:t>
      </w:r>
      <w:r>
        <w:rPr>
          <w:rFonts w:hAnsi="宋体"/>
          <w:color w:val="000000"/>
          <w:szCs w:val="24"/>
        </w:rPr>
        <w:t xml:space="preserve"> </w:t>
      </w:r>
    </w:p>
    <w:p w14:paraId="3F3FC4F8">
      <w:pPr>
        <w:spacing w:line="360" w:lineRule="auto"/>
        <w:ind w:firstLine="420" w:firstLineChars="200"/>
        <w:rPr>
          <w:rFonts w:hAnsi="宋体"/>
          <w:color w:val="000000"/>
          <w:szCs w:val="24"/>
        </w:rPr>
      </w:pPr>
      <w:r>
        <w:rPr>
          <w:rFonts w:hint="eastAsia" w:hAnsi="宋体"/>
          <w:color w:val="000000"/>
          <w:szCs w:val="24"/>
        </w:rPr>
        <w:t>（</w:t>
      </w:r>
      <w:r>
        <w:rPr>
          <w:rFonts w:hAnsi="宋体"/>
          <w:color w:val="000000"/>
          <w:szCs w:val="24"/>
        </w:rPr>
        <w:t>4</w:t>
      </w:r>
      <w:r>
        <w:rPr>
          <w:rFonts w:hint="eastAsia" w:hAnsi="宋体"/>
          <w:color w:val="000000"/>
          <w:szCs w:val="24"/>
        </w:rPr>
        <w:t>）其他无法保证电子交易的公平、公正和安全的情况。</w:t>
      </w:r>
    </w:p>
    <w:p w14:paraId="3C786FFD">
      <w:pPr>
        <w:spacing w:line="360" w:lineRule="auto"/>
        <w:ind w:firstLine="420" w:firstLineChars="200"/>
        <w:rPr>
          <w:rFonts w:hint="eastAsia" w:hAnsi="宋体"/>
          <w:color w:val="000000"/>
          <w:szCs w:val="24"/>
        </w:rPr>
      </w:pPr>
      <w:r>
        <w:rPr>
          <w:rFonts w:hAnsi="宋体"/>
          <w:szCs w:val="24"/>
        </w:rPr>
        <w:t>26.4</w:t>
      </w:r>
      <w:r>
        <w:rPr>
          <w:rFonts w:hint="eastAsia" w:hAnsi="宋体"/>
          <w:color w:val="000000"/>
          <w:szCs w:val="24"/>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50B7E5DE">
      <w:pPr>
        <w:shd w:val="clear" w:color="auto" w:fill="FFFFFF"/>
        <w:spacing w:line="360" w:lineRule="auto"/>
        <w:ind w:firstLine="640"/>
        <w:rPr>
          <w:rFonts w:ascii="宋体" w:hAnsi="宋体"/>
          <w:color w:val="auto"/>
          <w:szCs w:val="24"/>
        </w:rPr>
      </w:pPr>
      <w:r>
        <w:rPr>
          <w:rFonts w:ascii="宋体" w:hAnsi="宋体"/>
          <w:color w:val="auto"/>
          <w:szCs w:val="24"/>
        </w:rPr>
        <w:t>2</w:t>
      </w:r>
      <w:r>
        <w:rPr>
          <w:rFonts w:hint="eastAsia" w:ascii="宋体" w:hAnsi="宋体"/>
          <w:color w:val="auto"/>
          <w:szCs w:val="24"/>
        </w:rPr>
        <w:t>6</w:t>
      </w:r>
      <w:r>
        <w:rPr>
          <w:rFonts w:ascii="宋体" w:hAnsi="宋体"/>
          <w:color w:val="auto"/>
          <w:szCs w:val="24"/>
        </w:rPr>
        <w:t>.</w:t>
      </w:r>
      <w:r>
        <w:rPr>
          <w:rFonts w:hint="eastAsia" w:ascii="宋体" w:hAnsi="宋体"/>
          <w:color w:val="auto"/>
          <w:szCs w:val="24"/>
        </w:rPr>
        <w:t>5</w:t>
      </w:r>
      <w:r>
        <w:rPr>
          <w:rFonts w:hint="eastAsia" w:ascii="宋体" w:hAnsi="宋体" w:cs="宋体"/>
          <w:color w:val="auto"/>
          <w:szCs w:val="21"/>
        </w:rPr>
        <w:t>对通过报价符合性审查的</w:t>
      </w:r>
      <w:r>
        <w:rPr>
          <w:rFonts w:hint="eastAsia" w:ascii="宋体" w:hAnsi="宋体" w:cs="宋体"/>
          <w:color w:val="auto"/>
          <w:szCs w:val="21"/>
          <w:lang w:eastAsia="zh-CN"/>
        </w:rPr>
        <w:t>响应</w:t>
      </w:r>
      <w:r>
        <w:rPr>
          <w:rFonts w:hint="eastAsia" w:ascii="宋体" w:hAnsi="宋体" w:cs="宋体"/>
          <w:color w:val="auto"/>
          <w:szCs w:val="21"/>
        </w:rPr>
        <w:t>，如触发下列情形</w:t>
      </w:r>
      <w:r>
        <w:rPr>
          <w:rFonts w:hint="eastAsia" w:ascii="宋体" w:hAnsi="宋体"/>
          <w:color w:val="auto"/>
          <w:szCs w:val="24"/>
        </w:rPr>
        <w:t>之一的</w:t>
      </w:r>
      <w:r>
        <w:rPr>
          <w:rFonts w:hint="eastAsia" w:ascii="宋体" w:hAnsi="宋体" w:cs="宋体"/>
          <w:color w:val="auto"/>
          <w:szCs w:val="21"/>
        </w:rPr>
        <w:t>，</w:t>
      </w:r>
      <w:r>
        <w:rPr>
          <w:rFonts w:hint="eastAsia" w:ascii="宋体" w:hAnsi="宋体"/>
          <w:color w:val="auto"/>
          <w:szCs w:val="24"/>
        </w:rPr>
        <w:t>评审委员会应当启动异常低价</w:t>
      </w:r>
      <w:r>
        <w:rPr>
          <w:rFonts w:hint="eastAsia" w:ascii="宋体" w:hAnsi="宋体"/>
          <w:color w:val="auto"/>
          <w:szCs w:val="24"/>
          <w:lang w:eastAsia="zh-CN"/>
        </w:rPr>
        <w:t>响应</w:t>
      </w:r>
      <w:r>
        <w:rPr>
          <w:rFonts w:hint="eastAsia" w:ascii="宋体" w:hAnsi="宋体"/>
          <w:color w:val="auto"/>
          <w:szCs w:val="24"/>
        </w:rPr>
        <w:t>审查程序：</w:t>
      </w:r>
    </w:p>
    <w:p w14:paraId="0014799D">
      <w:pPr>
        <w:widowControl/>
        <w:shd w:val="clear" w:color="auto" w:fill="FFFFFF"/>
        <w:spacing w:line="360" w:lineRule="auto"/>
        <w:ind w:firstLine="315" w:firstLineChars="150"/>
        <w:rPr>
          <w:rFonts w:ascii="宋体" w:hAnsi="宋体"/>
          <w:color w:val="auto"/>
          <w:szCs w:val="24"/>
        </w:rPr>
      </w:pPr>
      <w:r>
        <w:rPr>
          <w:rFonts w:hint="eastAsia" w:ascii="宋体" w:hAnsi="宋体"/>
          <w:color w:val="auto"/>
          <w:szCs w:val="24"/>
        </w:rPr>
        <w:t>（一）</w:t>
      </w:r>
      <w:r>
        <w:rPr>
          <w:rFonts w:hint="eastAsia" w:ascii="宋体" w:hAnsi="宋体"/>
          <w:color w:val="auto"/>
          <w:szCs w:val="24"/>
          <w:lang w:eastAsia="zh-CN"/>
        </w:rPr>
        <w:t>响应</w:t>
      </w:r>
      <w:r>
        <w:rPr>
          <w:rFonts w:hint="eastAsia" w:ascii="宋体" w:hAnsi="宋体"/>
          <w:color w:val="auto"/>
          <w:szCs w:val="24"/>
        </w:rPr>
        <w:t>报价低于全部通过符合性审查供应商</w:t>
      </w:r>
      <w:r>
        <w:rPr>
          <w:rFonts w:hint="eastAsia" w:ascii="宋体" w:hAnsi="宋体"/>
          <w:color w:val="auto"/>
          <w:szCs w:val="24"/>
          <w:lang w:eastAsia="zh-CN"/>
        </w:rPr>
        <w:t>响应</w:t>
      </w:r>
      <w:r>
        <w:rPr>
          <w:rFonts w:hint="eastAsia" w:ascii="宋体" w:hAnsi="宋体"/>
          <w:color w:val="auto"/>
          <w:szCs w:val="24"/>
        </w:rPr>
        <w:t>报价平均值60%的，即</w:t>
      </w:r>
      <w:r>
        <w:rPr>
          <w:rFonts w:hint="eastAsia" w:ascii="宋体" w:hAnsi="宋体"/>
          <w:color w:val="auto"/>
          <w:szCs w:val="24"/>
          <w:lang w:eastAsia="zh-CN"/>
        </w:rPr>
        <w:t>响应</w:t>
      </w:r>
      <w:r>
        <w:rPr>
          <w:rFonts w:hint="eastAsia" w:ascii="宋体" w:hAnsi="宋体"/>
          <w:color w:val="auto"/>
          <w:szCs w:val="24"/>
        </w:rPr>
        <w:t>报价&lt;全部通过符合性审查供应商</w:t>
      </w:r>
      <w:r>
        <w:rPr>
          <w:rFonts w:hint="eastAsia" w:ascii="宋体" w:hAnsi="宋体"/>
          <w:color w:val="auto"/>
          <w:szCs w:val="24"/>
          <w:lang w:eastAsia="zh-CN"/>
        </w:rPr>
        <w:t>响应</w:t>
      </w:r>
      <w:r>
        <w:rPr>
          <w:rFonts w:hint="eastAsia" w:ascii="宋体" w:hAnsi="宋体"/>
          <w:color w:val="auto"/>
          <w:szCs w:val="24"/>
        </w:rPr>
        <w:t>报价平均值×60%；</w:t>
      </w:r>
    </w:p>
    <w:p w14:paraId="65B56D81">
      <w:pPr>
        <w:widowControl/>
        <w:shd w:val="clear" w:color="auto" w:fill="FFFFFF"/>
        <w:spacing w:line="360" w:lineRule="auto"/>
        <w:ind w:firstLine="315" w:firstLineChars="150"/>
        <w:rPr>
          <w:rFonts w:ascii="宋体" w:hAnsi="宋体"/>
          <w:color w:val="auto"/>
          <w:szCs w:val="24"/>
        </w:rPr>
      </w:pPr>
      <w:r>
        <w:rPr>
          <w:rFonts w:hint="eastAsia" w:ascii="宋体" w:hAnsi="宋体"/>
          <w:color w:val="auto"/>
          <w:szCs w:val="24"/>
        </w:rPr>
        <w:t>（二）</w:t>
      </w:r>
      <w:r>
        <w:rPr>
          <w:rFonts w:hint="eastAsia" w:ascii="宋体" w:hAnsi="宋体"/>
          <w:color w:val="auto"/>
          <w:szCs w:val="24"/>
          <w:lang w:eastAsia="zh-CN"/>
        </w:rPr>
        <w:t>响应</w:t>
      </w:r>
      <w:r>
        <w:rPr>
          <w:rFonts w:hint="eastAsia" w:ascii="宋体" w:hAnsi="宋体"/>
          <w:color w:val="auto"/>
          <w:szCs w:val="24"/>
        </w:rPr>
        <w:t>报价低于通过符合性审查的次低报价供应商</w:t>
      </w:r>
      <w:r>
        <w:rPr>
          <w:rFonts w:hint="eastAsia" w:ascii="宋体" w:hAnsi="宋体"/>
          <w:color w:val="auto"/>
          <w:szCs w:val="24"/>
          <w:lang w:eastAsia="zh-CN"/>
        </w:rPr>
        <w:t>响应</w:t>
      </w:r>
      <w:r>
        <w:rPr>
          <w:rFonts w:hint="eastAsia" w:ascii="宋体" w:hAnsi="宋体"/>
          <w:color w:val="auto"/>
          <w:szCs w:val="24"/>
        </w:rPr>
        <w:t>报价60%的，即</w:t>
      </w:r>
      <w:r>
        <w:rPr>
          <w:rFonts w:hint="eastAsia" w:ascii="宋体" w:hAnsi="宋体"/>
          <w:color w:val="auto"/>
          <w:szCs w:val="24"/>
          <w:lang w:eastAsia="zh-CN"/>
        </w:rPr>
        <w:t>响应</w:t>
      </w:r>
      <w:r>
        <w:rPr>
          <w:rFonts w:hint="eastAsia" w:ascii="宋体" w:hAnsi="宋体"/>
          <w:color w:val="auto"/>
          <w:szCs w:val="24"/>
        </w:rPr>
        <w:t>报价&lt;通过符合性审查的次低报价供应商</w:t>
      </w:r>
      <w:r>
        <w:rPr>
          <w:rFonts w:hint="eastAsia" w:ascii="宋体" w:hAnsi="宋体"/>
          <w:color w:val="auto"/>
          <w:szCs w:val="24"/>
          <w:lang w:eastAsia="zh-CN"/>
        </w:rPr>
        <w:t>响应</w:t>
      </w:r>
      <w:r>
        <w:rPr>
          <w:rFonts w:hint="eastAsia" w:ascii="宋体" w:hAnsi="宋体"/>
          <w:color w:val="auto"/>
          <w:szCs w:val="24"/>
        </w:rPr>
        <w:t>报价×60%；</w:t>
      </w:r>
    </w:p>
    <w:p w14:paraId="2C4CA7FC">
      <w:pPr>
        <w:widowControl/>
        <w:shd w:val="clear" w:color="auto" w:fill="FFFFFF"/>
        <w:spacing w:line="360" w:lineRule="auto"/>
        <w:ind w:firstLine="315" w:firstLineChars="150"/>
        <w:rPr>
          <w:rFonts w:ascii="宋体" w:hAnsi="宋体"/>
          <w:color w:val="auto"/>
          <w:szCs w:val="24"/>
        </w:rPr>
      </w:pPr>
      <w:r>
        <w:rPr>
          <w:rFonts w:hint="eastAsia" w:ascii="宋体" w:hAnsi="宋体"/>
          <w:color w:val="auto"/>
          <w:szCs w:val="24"/>
        </w:rPr>
        <w:t>（三）</w:t>
      </w:r>
      <w:r>
        <w:rPr>
          <w:rFonts w:hint="eastAsia" w:ascii="宋体" w:hAnsi="宋体"/>
          <w:color w:val="auto"/>
          <w:szCs w:val="24"/>
          <w:lang w:eastAsia="zh-CN"/>
        </w:rPr>
        <w:t>响应</w:t>
      </w:r>
      <w:r>
        <w:rPr>
          <w:rFonts w:hint="eastAsia" w:ascii="宋体" w:hAnsi="宋体"/>
          <w:color w:val="auto"/>
          <w:szCs w:val="24"/>
        </w:rPr>
        <w:t>报价低于采购项目最高限价60%的，即</w:t>
      </w:r>
      <w:r>
        <w:rPr>
          <w:rFonts w:hint="eastAsia" w:ascii="宋体" w:hAnsi="宋体"/>
          <w:color w:val="auto"/>
          <w:szCs w:val="24"/>
          <w:lang w:eastAsia="zh-CN"/>
        </w:rPr>
        <w:t>响应</w:t>
      </w:r>
      <w:r>
        <w:rPr>
          <w:rFonts w:hint="eastAsia" w:ascii="宋体" w:hAnsi="宋体"/>
          <w:color w:val="auto"/>
          <w:szCs w:val="24"/>
        </w:rPr>
        <w:t>报价&lt;采购项目最高限价×60%；</w:t>
      </w:r>
    </w:p>
    <w:p w14:paraId="720053BE">
      <w:pPr>
        <w:widowControl/>
        <w:shd w:val="clear" w:color="auto" w:fill="FFFFFF"/>
        <w:spacing w:line="360" w:lineRule="auto"/>
        <w:ind w:firstLine="315" w:firstLineChars="150"/>
        <w:rPr>
          <w:rFonts w:ascii="宋体" w:hAnsi="宋体"/>
          <w:color w:val="auto"/>
          <w:szCs w:val="24"/>
        </w:rPr>
      </w:pPr>
      <w:r>
        <w:rPr>
          <w:rFonts w:hint="eastAsia" w:ascii="宋体" w:hAnsi="宋体"/>
          <w:color w:val="auto"/>
          <w:szCs w:val="24"/>
        </w:rPr>
        <w:t>（四）评审委员会基于专业判断，认为供应商报价过低，有可能影响产品质量或者不能诚信履约的其他情形。</w:t>
      </w:r>
    </w:p>
    <w:p w14:paraId="3073ACB5">
      <w:pPr>
        <w:spacing w:line="360" w:lineRule="auto"/>
        <w:ind w:firstLine="525" w:firstLineChars="250"/>
        <w:rPr>
          <w:rFonts w:hint="eastAsia" w:ascii="Times New Roman" w:hAnsi="Times New Roman"/>
          <w:color w:val="auto"/>
          <w:szCs w:val="24"/>
        </w:rPr>
      </w:pPr>
      <w:r>
        <w:rPr>
          <w:rFonts w:hint="eastAsia" w:ascii="宋体" w:hAnsi="宋体"/>
          <w:color w:val="auto"/>
          <w:szCs w:val="24"/>
        </w:rPr>
        <w:t>评审委员会启动异常低价</w:t>
      </w:r>
      <w:r>
        <w:rPr>
          <w:rFonts w:hint="eastAsia" w:ascii="宋体" w:hAnsi="宋体"/>
          <w:color w:val="auto"/>
          <w:szCs w:val="24"/>
          <w:lang w:eastAsia="zh-CN"/>
        </w:rPr>
        <w:t>响应</w:t>
      </w:r>
      <w:r>
        <w:rPr>
          <w:rFonts w:hint="eastAsia" w:ascii="宋体" w:hAnsi="宋体"/>
          <w:color w:val="auto"/>
          <w:szCs w:val="24"/>
        </w:rPr>
        <w:t>审查后，属于前述第（一）项至第（四）项情形的，应当要求相关供应商在评审现场合理的时间内对</w:t>
      </w:r>
      <w:r>
        <w:rPr>
          <w:rFonts w:hint="eastAsia" w:ascii="宋体" w:hAnsi="宋体"/>
          <w:color w:val="auto"/>
          <w:szCs w:val="24"/>
          <w:lang w:eastAsia="zh-CN"/>
        </w:rPr>
        <w:t>响应</w:t>
      </w:r>
      <w:r>
        <w:rPr>
          <w:rFonts w:hint="eastAsia" w:ascii="宋体" w:hAnsi="宋体"/>
          <w:color w:val="auto"/>
          <w:szCs w:val="24"/>
        </w:rPr>
        <w:t>价格作出解释，提供项目具体成本测算等与报价合理性相关的书面说明及必要的证明材料，包括但不限于原材料成本、人工成本、制造费用等，给予相关供应商的合理时间一般不少于30分钟。其中，属于第（三）项情形，供应商已随</w:t>
      </w:r>
      <w:r>
        <w:rPr>
          <w:rFonts w:hint="eastAsia" w:ascii="宋体" w:hAnsi="宋体"/>
          <w:color w:val="auto"/>
          <w:szCs w:val="24"/>
          <w:lang w:eastAsia="zh-CN"/>
        </w:rPr>
        <w:t>响应</w:t>
      </w:r>
      <w:r>
        <w:rPr>
          <w:rFonts w:hint="eastAsia" w:ascii="宋体" w:hAnsi="宋体"/>
          <w:color w:val="auto"/>
          <w:szCs w:val="24"/>
        </w:rPr>
        <w:t>文件一并提交相关书面说明及必要的证明材料的，在评审现场可不再重复提交。</w:t>
      </w:r>
    </w:p>
    <w:p w14:paraId="64212A44">
      <w:pPr>
        <w:spacing w:line="360" w:lineRule="auto"/>
        <w:ind w:firstLine="640" w:firstLineChars="200"/>
        <w:outlineLvl w:val="2"/>
        <w:rPr>
          <w:rFonts w:ascii="宋体" w:hAnsi="宋体"/>
          <w:sz w:val="32"/>
          <w:szCs w:val="32"/>
        </w:rPr>
      </w:pPr>
      <w:bookmarkStart w:id="33" w:name="_Toc179528710"/>
      <w:r>
        <w:rPr>
          <w:rFonts w:hint="eastAsia" w:ascii="宋体" w:hAnsi="宋体"/>
          <w:sz w:val="32"/>
          <w:szCs w:val="32"/>
        </w:rPr>
        <w:t>五、成交及合同</w:t>
      </w:r>
      <w:bookmarkEnd w:id="33"/>
    </w:p>
    <w:p w14:paraId="149AC016">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27.确定成交供应商及结果公告</w:t>
      </w:r>
    </w:p>
    <w:p w14:paraId="46F40648">
      <w:pPr>
        <w:spacing w:line="360" w:lineRule="auto"/>
        <w:ind w:firstLine="420" w:firstLineChars="200"/>
        <w:rPr>
          <w:rFonts w:hint="eastAsia" w:ascii="宋体" w:hAnsi="宋体" w:eastAsia="等线" w:cs="宋体"/>
          <w:szCs w:val="21"/>
        </w:rPr>
      </w:pPr>
      <w:r>
        <w:rPr>
          <w:rFonts w:hint="eastAsia" w:ascii="宋体" w:hAnsi="宋体" w:cs="宋体"/>
          <w:szCs w:val="21"/>
        </w:rPr>
        <w:t>27.1确定成交供应商。</w:t>
      </w:r>
      <w:r>
        <w:rPr>
          <w:rFonts w:hint="eastAsia" w:ascii="宋体" w:hAnsi="宋体" w:cs="宋体"/>
          <w:kern w:val="0"/>
          <w:szCs w:val="21"/>
          <w:u w:val="single"/>
        </w:rPr>
        <w:t xml:space="preserve"> 由采购人直接委托评审专家确定，评审报告提出的排序第一的供应商为成交供应商。</w:t>
      </w:r>
    </w:p>
    <w:p w14:paraId="2D4625FF">
      <w:pPr>
        <w:spacing w:line="360" w:lineRule="auto"/>
        <w:ind w:firstLine="420" w:firstLineChars="200"/>
        <w:rPr>
          <w:rFonts w:hint="eastAsia" w:ascii="宋体" w:hAnsi="宋体" w:cs="宋体"/>
          <w:kern w:val="0"/>
          <w:szCs w:val="21"/>
        </w:rPr>
      </w:pPr>
      <w:r>
        <w:rPr>
          <w:rFonts w:hint="eastAsia" w:ascii="宋体" w:hAnsi="宋体" w:cs="宋体"/>
          <w:szCs w:val="21"/>
        </w:rPr>
        <w:t>27.2成交通知及成交结果公告。</w:t>
      </w:r>
      <w:r>
        <w:rPr>
          <w:rFonts w:hint="eastAsia" w:ascii="宋体" w:hAnsi="宋体" w:cs="宋体"/>
          <w:kern w:val="0"/>
          <w:szCs w:val="21"/>
        </w:rPr>
        <w:t>成交供应商确定后2个工作日内，在省级以上财政部门指定的媒体上公告成交结果（成交通知及成交结果公告应使用南宁市模板进行公告，公告内容除包含《政府采购公告和公示信息格式规范（2020年版）》要求内容外，还应包含采购人专门面向中小企业预留份额情况及成交供应商评审价格、优惠率等内容），同时向成交供应商发出成交通知书，成交通知书规定签订合同的时间不得超过25日。</w:t>
      </w:r>
    </w:p>
    <w:p w14:paraId="34E6AACD">
      <w:pPr>
        <w:spacing w:line="360" w:lineRule="auto"/>
        <w:ind w:firstLine="420" w:firstLineChars="200"/>
        <w:rPr>
          <w:rFonts w:hint="eastAsia" w:ascii="宋体" w:hAnsi="宋体" w:cs="Courier New"/>
          <w:szCs w:val="21"/>
        </w:rPr>
      </w:pPr>
      <w:r>
        <w:rPr>
          <w:rFonts w:hint="eastAsia" w:ascii="宋体" w:hAnsi="宋体" w:cs="宋体"/>
          <w:szCs w:val="21"/>
        </w:rPr>
        <w:t>27.3采购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谈判文件一并保存。</w:t>
      </w:r>
      <w:r>
        <w:rPr>
          <w:rFonts w:hint="eastAsia" w:ascii="宋体" w:hAnsi="宋体" w:cs="Courier New"/>
          <w:szCs w:val="21"/>
        </w:rPr>
        <w:t>成交供应商享受</w:t>
      </w:r>
      <w:r>
        <w:rPr>
          <w:rFonts w:hint="eastAsia" w:ascii="宋体" w:hAnsi="宋体"/>
          <w:szCs w:val="21"/>
        </w:rPr>
        <w:t>《政府采购促进中小企业发展管理办法》（财库〔2020〕46号）规定的中小企业扶持</w:t>
      </w:r>
      <w:r>
        <w:rPr>
          <w:rFonts w:hint="eastAsia" w:ascii="宋体" w:hAnsi="宋体" w:cs="Courier New"/>
          <w:szCs w:val="21"/>
        </w:rPr>
        <w:t>政策的，采购人、采购代理机构应当随成交结果公开成交供应商的《中小企业声明函》。</w:t>
      </w:r>
    </w:p>
    <w:p w14:paraId="1FAD6D19">
      <w:pPr>
        <w:spacing w:line="360" w:lineRule="auto"/>
        <w:ind w:firstLine="420" w:firstLineChars="200"/>
        <w:rPr>
          <w:rFonts w:hint="eastAsia" w:ascii="宋体" w:hAnsi="宋体" w:cs="宋体"/>
          <w:szCs w:val="21"/>
        </w:rPr>
      </w:pPr>
      <w:r>
        <w:rPr>
          <w:rFonts w:hint="eastAsia" w:ascii="宋体" w:hAnsi="宋体" w:cs="宋体"/>
          <w:szCs w:val="21"/>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5B9F48BB">
      <w:pPr>
        <w:spacing w:line="360" w:lineRule="auto"/>
        <w:ind w:firstLine="420" w:firstLineChars="200"/>
        <w:rPr>
          <w:rFonts w:hint="eastAsia" w:ascii="宋体" w:hAnsi="宋体" w:cs="宋体"/>
          <w:szCs w:val="21"/>
        </w:rPr>
      </w:pPr>
      <w:r>
        <w:rPr>
          <w:rFonts w:hint="eastAsia" w:ascii="宋体" w:hAnsi="宋体"/>
          <w:bCs/>
          <w:szCs w:val="21"/>
        </w:rPr>
        <w:t>27.5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6FC2F3FF">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28.履约保证金</w:t>
      </w:r>
    </w:p>
    <w:p w14:paraId="5065A734">
      <w:pPr>
        <w:spacing w:line="360" w:lineRule="auto"/>
        <w:ind w:firstLine="420" w:firstLineChars="200"/>
        <w:rPr>
          <w:rFonts w:hint="eastAsia" w:ascii="黑体" w:hAnsi="黑体" w:eastAsia="黑体" w:cs="宋体"/>
          <w:b/>
          <w:bCs/>
          <w:sz w:val="24"/>
          <w:szCs w:val="24"/>
        </w:rPr>
      </w:pPr>
      <w:r>
        <w:rPr>
          <w:rFonts w:hint="eastAsia" w:ascii="宋体" w:hAnsi="宋体" w:cs="宋体"/>
          <w:szCs w:val="21"/>
        </w:rPr>
        <w:t>详见 “供应商须知前附表”</w:t>
      </w:r>
    </w:p>
    <w:p w14:paraId="0B348F74">
      <w:pPr>
        <w:spacing w:line="360" w:lineRule="auto"/>
        <w:ind w:firstLine="482" w:firstLineChars="200"/>
        <w:rPr>
          <w:rFonts w:hint="eastAsia" w:ascii="黑体" w:hAnsi="黑体" w:eastAsia="黑体" w:cs="宋体"/>
          <w:b/>
          <w:bCs/>
          <w:sz w:val="24"/>
          <w:szCs w:val="24"/>
        </w:rPr>
      </w:pPr>
      <w:r>
        <w:rPr>
          <w:rFonts w:hint="eastAsia" w:ascii="黑体" w:hAnsi="黑体" w:eastAsia="黑体" w:cs="宋体"/>
          <w:b/>
          <w:bCs/>
          <w:sz w:val="24"/>
          <w:szCs w:val="24"/>
        </w:rPr>
        <w:t>29.签订合同</w:t>
      </w:r>
    </w:p>
    <w:p w14:paraId="53BE2EA1">
      <w:pPr>
        <w:snapToGrid w:val="0"/>
        <w:ind w:firstLine="420"/>
        <w:rPr>
          <w:rFonts w:hint="eastAsia" w:ascii="宋体" w:hAnsi="宋体" w:eastAsia="等线"/>
          <w:szCs w:val="21"/>
          <w:lang w:val="zh-CN"/>
        </w:rPr>
      </w:pPr>
      <w:r>
        <w:rPr>
          <w:rFonts w:hint="eastAsia" w:ascii="宋体" w:hAnsi="宋体" w:cs="宋体"/>
          <w:szCs w:val="21"/>
        </w:rPr>
        <w:t>29.1</w:t>
      </w:r>
      <w:r>
        <w:rPr>
          <w:rFonts w:hint="eastAsia" w:ascii="宋体" w:hAnsi="宋体"/>
          <w:szCs w:val="21"/>
        </w:rPr>
        <w:t>采购人与成交供应商应当在</w:t>
      </w:r>
      <w:r>
        <w:rPr>
          <w:rFonts w:hint="eastAsia" w:ascii="宋体" w:hAnsi="宋体" w:cs="宋体"/>
          <w:szCs w:val="21"/>
        </w:rPr>
        <w:t>成交通知书规定的时间内</w:t>
      </w:r>
      <w:r>
        <w:rPr>
          <w:rFonts w:hint="eastAsia" w:ascii="宋体" w:hAnsi="宋体"/>
          <w:szCs w:val="21"/>
        </w:rPr>
        <w:t>，按照谈判文件确定的合同文本以及采购标的、货物技术、采购金额、采购数量、技术和货物要求等事项签订政府采购合同。</w:t>
      </w:r>
      <w:r>
        <w:rPr>
          <w:rFonts w:hint="eastAsia" w:ascii="宋体" w:hAnsi="宋体"/>
          <w:szCs w:val="21"/>
          <w:lang w:val="zh-CN"/>
        </w:rPr>
        <w:t>如成交供应商为联合体的，由联合体成员各方法定代表人或其授权代表与采购人代表签订合同。</w:t>
      </w:r>
    </w:p>
    <w:p w14:paraId="1E8D7B0A">
      <w:pPr>
        <w:spacing w:line="360" w:lineRule="auto"/>
        <w:ind w:firstLine="420" w:firstLineChars="200"/>
        <w:rPr>
          <w:rFonts w:hint="eastAsia" w:ascii="宋体" w:hAnsi="宋体"/>
          <w:szCs w:val="21"/>
        </w:rPr>
      </w:pPr>
      <w:r>
        <w:rPr>
          <w:rFonts w:hint="eastAsia" w:ascii="宋体" w:hAnsi="宋体"/>
          <w:szCs w:val="21"/>
        </w:rPr>
        <w:t>29.2采购人不得向成交供应商提出超出谈判文件以外的任何要求作为签订合同的条件，不得与成交供应商订立背离谈判文件确定的合同文本以及采购标的、货物技术、采购金额、采购数量、技术和货物要求等实质性内容的协议。</w:t>
      </w:r>
    </w:p>
    <w:p w14:paraId="388594F7">
      <w:pPr>
        <w:spacing w:line="360" w:lineRule="auto"/>
        <w:ind w:firstLine="420" w:firstLineChars="200"/>
        <w:rPr>
          <w:rFonts w:hint="eastAsia" w:ascii="宋体" w:hAnsi="宋体"/>
          <w:szCs w:val="21"/>
        </w:rPr>
      </w:pPr>
      <w:r>
        <w:rPr>
          <w:rFonts w:hint="eastAsia" w:ascii="宋体" w:hAnsi="宋体"/>
          <w:szCs w:val="21"/>
        </w:rPr>
        <w:t>29.3成交供应商拒绝签订政府采购合同的，</w:t>
      </w:r>
      <w:r>
        <w:rPr>
          <w:rFonts w:hint="eastAsia" w:ascii="宋体" w:hAnsi="宋体" w:cs="宋体"/>
          <w:szCs w:val="21"/>
        </w:rPr>
        <w:t>采购人可以按照评审报告推荐的成交候选人名单排序，确定下一候选人为成交供应商</w:t>
      </w:r>
      <w:r>
        <w:rPr>
          <w:rFonts w:hint="eastAsia" w:ascii="宋体" w:hAnsi="宋体"/>
          <w:szCs w:val="21"/>
        </w:rPr>
        <w:t>，也可以重新开展采购活动。拒绝签订政府采购合同的成交供应商不得参加对该项目重新开展的采购活动。</w:t>
      </w:r>
    </w:p>
    <w:p w14:paraId="72767CFF">
      <w:pPr>
        <w:spacing w:line="360" w:lineRule="auto"/>
        <w:ind w:firstLine="420" w:firstLineChars="200"/>
        <w:rPr>
          <w:rFonts w:hint="eastAsia" w:ascii="宋体" w:hAnsi="宋体"/>
          <w:szCs w:val="21"/>
        </w:rPr>
      </w:pPr>
      <w:r>
        <w:rPr>
          <w:rFonts w:hint="eastAsia" w:ascii="宋体" w:hAnsi="宋体"/>
          <w:szCs w:val="21"/>
        </w:rPr>
        <w:t>29.4如签订合同并生效后，供应商无故拒绝或延期，除按照合同条款处理外，列入不良行为记录，并给予通报。</w:t>
      </w:r>
    </w:p>
    <w:p w14:paraId="28618839">
      <w:pPr>
        <w:ind w:firstLine="420"/>
        <w:rPr>
          <w:rFonts w:hint="eastAsia" w:ascii="宋体" w:hAnsi="宋体" w:cs="宋体"/>
          <w:szCs w:val="21"/>
        </w:rPr>
      </w:pPr>
      <w:r>
        <w:rPr>
          <w:rFonts w:hint="eastAsia" w:ascii="宋体" w:hAnsi="宋体" w:cs="仿宋_GB2312"/>
          <w:szCs w:val="21"/>
        </w:rPr>
        <w:t>29.5采购合同由采购人与成交供应商根据</w:t>
      </w:r>
      <w:r>
        <w:rPr>
          <w:rFonts w:hint="eastAsia" w:ascii="宋体" w:hAnsi="宋体"/>
          <w:szCs w:val="21"/>
        </w:rPr>
        <w:t>谈判</w:t>
      </w:r>
      <w:r>
        <w:rPr>
          <w:rFonts w:hint="eastAsia" w:ascii="宋体" w:hAnsi="宋体" w:cs="仿宋_GB2312"/>
          <w:szCs w:val="21"/>
        </w:rPr>
        <w:t>文件、响应文件等内容通过政府采购电子交易平台在线签订，自动备案，在线签订须携带的材料见“</w:t>
      </w:r>
      <w:r>
        <w:rPr>
          <w:szCs w:val="24"/>
        </w:rPr>
        <w:t xml:space="preserve"> </w:t>
      </w:r>
      <w:r>
        <w:rPr>
          <w:rFonts w:hint="eastAsia" w:ascii="宋体" w:hAnsi="宋体" w:cs="仿宋_GB2312"/>
          <w:szCs w:val="21"/>
        </w:rPr>
        <w:t>供应商须</w:t>
      </w:r>
      <w:r>
        <w:rPr>
          <w:rFonts w:hint="eastAsia" w:ascii="宋体" w:hAnsi="宋体"/>
          <w:szCs w:val="21"/>
        </w:rPr>
        <w:t>知前附表</w:t>
      </w:r>
      <w:r>
        <w:rPr>
          <w:rFonts w:hint="eastAsia" w:ascii="宋体" w:hAnsi="宋体" w:cs="仿宋_GB2312"/>
          <w:szCs w:val="21"/>
        </w:rPr>
        <w:t>”。</w:t>
      </w:r>
    </w:p>
    <w:p w14:paraId="35BB184A">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30.政府采购合同公告</w:t>
      </w:r>
    </w:p>
    <w:p w14:paraId="4927FDFE">
      <w:pPr>
        <w:spacing w:line="360" w:lineRule="auto"/>
        <w:ind w:firstLine="420" w:firstLineChars="200"/>
        <w:rPr>
          <w:rFonts w:hint="eastAsia" w:ascii="宋体" w:hAnsi="宋体" w:eastAsia="等线" w:cs="宋体"/>
          <w:szCs w:val="21"/>
        </w:rPr>
      </w:pPr>
      <w:r>
        <w:rPr>
          <w:rFonts w:hint="eastAsia" w:ascii="宋体" w:hAnsi="宋体" w:cs="宋体"/>
          <w:szCs w:val="21"/>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211502C9">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31. 询问、质疑和投诉</w:t>
      </w:r>
    </w:p>
    <w:p w14:paraId="40FE6694">
      <w:pPr>
        <w:spacing w:line="360" w:lineRule="auto"/>
        <w:ind w:firstLine="420" w:firstLineChars="200"/>
        <w:rPr>
          <w:rFonts w:hint="eastAsia" w:ascii="宋体" w:hAnsi="宋体" w:eastAsia="等线" w:cs="宋体"/>
          <w:szCs w:val="24"/>
        </w:rPr>
      </w:pPr>
      <w:r>
        <w:rPr>
          <w:rFonts w:hint="eastAsia" w:ascii="宋体" w:hAnsi="宋体" w:cs="宋体"/>
          <w:szCs w:val="24"/>
        </w:rPr>
        <w:t>31.1供应商对政府采购活动事项有疑问的，可以向采购人、采购代理机构提出询问，采购人或者采购代理机构应当在3个工作日内对供应商依法提出的询问作出答复。</w:t>
      </w:r>
    </w:p>
    <w:p w14:paraId="1F63BA08">
      <w:pPr>
        <w:spacing w:line="360" w:lineRule="auto"/>
        <w:ind w:firstLine="420" w:firstLineChars="200"/>
        <w:rPr>
          <w:rFonts w:hint="eastAsia" w:ascii="宋体" w:hAnsi="宋体"/>
          <w:b/>
          <w:color w:val="000000"/>
          <w:szCs w:val="21"/>
        </w:rPr>
      </w:pPr>
      <w:r>
        <w:rPr>
          <w:rFonts w:hint="eastAsia" w:ascii="宋体" w:hAnsi="宋体" w:cs="宋体"/>
          <w:szCs w:val="24"/>
        </w:rPr>
        <w:t>31.2供应商认为谈判文件、采购过程或者成交结果使自己的合法权益受到损害的，应当在知道或者应知其权益受到损害之日起7个工作日内，以书面形式向采购人、采购代理机构提出质疑，</w:t>
      </w:r>
      <w:r>
        <w:rPr>
          <w:rFonts w:hint="eastAsia" w:ascii="宋体" w:hAnsi="宋体" w:cs="Arial"/>
          <w:szCs w:val="24"/>
          <w:shd w:val="clear" w:color="auto" w:fill="FFFFFF"/>
        </w:rPr>
        <w:t>接收质疑函的方式、联系部门、联系电话和通讯地址等信息详见</w:t>
      </w:r>
      <w:r>
        <w:rPr>
          <w:rFonts w:hint="eastAsia" w:ascii="宋体" w:hAnsi="宋体" w:cs="宋体"/>
          <w:szCs w:val="21"/>
        </w:rPr>
        <w:t>“供应商须知前附表”</w:t>
      </w:r>
      <w:r>
        <w:rPr>
          <w:rFonts w:hint="eastAsia" w:ascii="宋体" w:hAnsi="宋体" w:cs="宋体"/>
          <w:szCs w:val="24"/>
        </w:rPr>
        <w:t>。</w:t>
      </w:r>
      <w:r>
        <w:rPr>
          <w:rFonts w:hint="eastAsia" w:ascii="宋体" w:hAnsi="宋体"/>
          <w:b/>
          <w:color w:val="000000"/>
          <w:szCs w:val="21"/>
        </w:rPr>
        <w:t xml:space="preserve">具体质疑起算时间及处理方式如下： </w:t>
      </w:r>
    </w:p>
    <w:p w14:paraId="580EC9F4">
      <w:pPr>
        <w:spacing w:line="360" w:lineRule="auto"/>
        <w:ind w:firstLine="420" w:firstLineChars="200"/>
        <w:rPr>
          <w:rFonts w:hint="eastAsia" w:ascii="等线" w:hAnsi="宋体"/>
          <w:bCs/>
        </w:rPr>
      </w:pPr>
      <w:r>
        <w:rPr>
          <w:rFonts w:hint="eastAsia" w:hAnsi="宋体"/>
          <w:bCs/>
          <w:szCs w:val="24"/>
        </w:rPr>
        <w:t>（</w:t>
      </w:r>
      <w:r>
        <w:rPr>
          <w:rFonts w:hAnsi="宋体"/>
          <w:bCs/>
          <w:szCs w:val="24"/>
        </w:rPr>
        <w:t>1</w:t>
      </w:r>
      <w:r>
        <w:rPr>
          <w:rFonts w:hint="eastAsia" w:hAnsi="宋体"/>
          <w:bCs/>
          <w:szCs w:val="24"/>
        </w:rPr>
        <w:t>）潜在供应商依法获取采购文件后，认为采购文件使自己的权益受到损害的，应当在竞争性谈判采购文件公告期限届满之日起</w:t>
      </w:r>
      <w:r>
        <w:rPr>
          <w:rFonts w:hAnsi="宋体"/>
          <w:bCs/>
          <w:szCs w:val="24"/>
        </w:rPr>
        <w:t>7</w:t>
      </w:r>
      <w:r>
        <w:rPr>
          <w:rFonts w:hint="eastAsia" w:hAnsi="宋体"/>
          <w:bCs/>
          <w:szCs w:val="24"/>
        </w:rPr>
        <w:t>个工作日内提出质疑。</w:t>
      </w:r>
      <w:r>
        <w:rPr>
          <w:rFonts w:hint="eastAsia"/>
          <w:szCs w:val="24"/>
        </w:rPr>
        <w:t>委托代理协议无特殊约定的，</w:t>
      </w:r>
      <w:r>
        <w:rPr>
          <w:rFonts w:hint="eastAsia" w:hAnsi="宋体"/>
          <w:bCs/>
          <w:szCs w:val="24"/>
        </w:rPr>
        <w:t>对竞争性谈判文件中采购需求（含资格要求、采购预算和评分办法）的质疑由采购人受理并负责答复；对竞争性谈判文件中的采购执行程序的质疑由采购代理机构受理并负责答复。</w:t>
      </w:r>
    </w:p>
    <w:p w14:paraId="472D3B17">
      <w:pPr>
        <w:spacing w:line="360" w:lineRule="auto"/>
        <w:ind w:firstLine="420" w:firstLineChars="200"/>
        <w:rPr>
          <w:rFonts w:hint="eastAsia" w:hAnsi="宋体"/>
          <w:bCs/>
          <w:szCs w:val="24"/>
        </w:rPr>
      </w:pPr>
      <w:r>
        <w:rPr>
          <w:rFonts w:hint="eastAsia" w:hAnsi="宋体"/>
          <w:bCs/>
          <w:szCs w:val="24"/>
        </w:rPr>
        <w:t>（</w:t>
      </w:r>
      <w:r>
        <w:rPr>
          <w:rFonts w:hAnsi="宋体"/>
          <w:bCs/>
          <w:szCs w:val="24"/>
        </w:rPr>
        <w:t>2</w:t>
      </w:r>
      <w:r>
        <w:rPr>
          <w:rFonts w:hint="eastAsia" w:hAnsi="宋体"/>
          <w:bCs/>
          <w:szCs w:val="24"/>
        </w:rPr>
        <w:t>）供应商认为采购过程使自己的权益受到损害的，应当在各采购程序环节结束之日起</w:t>
      </w:r>
      <w:r>
        <w:rPr>
          <w:rFonts w:hAnsi="宋体"/>
          <w:bCs/>
          <w:szCs w:val="24"/>
        </w:rPr>
        <w:t>7</w:t>
      </w:r>
      <w:r>
        <w:rPr>
          <w:rFonts w:hint="eastAsia" w:hAnsi="宋体"/>
          <w:bCs/>
          <w:szCs w:val="24"/>
        </w:rPr>
        <w:t>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47A156B8">
      <w:pPr>
        <w:spacing w:line="360" w:lineRule="auto"/>
        <w:ind w:firstLine="420" w:firstLineChars="200"/>
        <w:rPr>
          <w:rFonts w:hAnsi="宋体"/>
          <w:bCs/>
          <w:szCs w:val="24"/>
        </w:rPr>
      </w:pPr>
      <w:r>
        <w:rPr>
          <w:rFonts w:hint="eastAsia" w:hAnsi="宋体"/>
          <w:bCs/>
          <w:szCs w:val="24"/>
        </w:rPr>
        <w:t>（</w:t>
      </w:r>
      <w:r>
        <w:rPr>
          <w:rFonts w:hAnsi="宋体"/>
          <w:bCs/>
          <w:szCs w:val="24"/>
        </w:rPr>
        <w:t>3</w:t>
      </w:r>
      <w:r>
        <w:rPr>
          <w:rFonts w:hint="eastAsia" w:hAnsi="宋体"/>
          <w:bCs/>
          <w:szCs w:val="24"/>
        </w:rPr>
        <w:t>）供应商认为成交结果使自己的权益受到损害的，应当在成交结果公告期限届满之日起</w:t>
      </w:r>
      <w:r>
        <w:rPr>
          <w:rFonts w:hAnsi="宋体"/>
          <w:bCs/>
          <w:szCs w:val="24"/>
        </w:rPr>
        <w:t>7</w:t>
      </w:r>
      <w:r>
        <w:rPr>
          <w:rFonts w:hint="eastAsia" w:hAnsi="宋体"/>
          <w:bCs/>
          <w:szCs w:val="24"/>
        </w:rPr>
        <w:t>个工作日内提出质疑，由采购人受理并负责答复。</w:t>
      </w:r>
    </w:p>
    <w:p w14:paraId="165B1FB2">
      <w:pPr>
        <w:spacing w:line="360" w:lineRule="auto"/>
        <w:ind w:firstLine="420" w:firstLineChars="200"/>
        <w:rPr>
          <w:rFonts w:ascii="宋体" w:hAnsi="宋体" w:cs="宋体"/>
          <w:szCs w:val="24"/>
        </w:rPr>
      </w:pPr>
      <w:r>
        <w:rPr>
          <w:rFonts w:hint="eastAsia" w:ascii="宋体" w:hAnsi="宋体" w:cs="宋体"/>
          <w:szCs w:val="24"/>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67AE646B">
      <w:pPr>
        <w:spacing w:line="360" w:lineRule="auto"/>
        <w:ind w:firstLine="420" w:firstLineChars="200"/>
        <w:rPr>
          <w:rFonts w:hint="eastAsia" w:ascii="宋体" w:hAnsi="宋体" w:cs="宋体"/>
          <w:szCs w:val="24"/>
        </w:rPr>
      </w:pPr>
      <w:r>
        <w:rPr>
          <w:rFonts w:hint="eastAsia" w:ascii="宋体" w:hAnsi="宋体" w:cs="宋体"/>
          <w:szCs w:val="24"/>
        </w:rPr>
        <w:t>31.4 供应商提出质疑应当提交质疑函和必要的证明材料，针对同一采购程序环节的质疑必须在法定质疑期内一次性提出。质疑函应当包括下列内容</w:t>
      </w:r>
      <w:r>
        <w:rPr>
          <w:rFonts w:hint="eastAsia" w:hAnsi="宋体"/>
          <w:bCs/>
          <w:szCs w:val="24"/>
        </w:rPr>
        <w:t>（质疑函格式后附）</w:t>
      </w:r>
      <w:r>
        <w:rPr>
          <w:rFonts w:hint="eastAsia" w:ascii="宋体" w:hAnsi="宋体" w:cs="宋体"/>
          <w:szCs w:val="24"/>
        </w:rPr>
        <w:t>：</w:t>
      </w:r>
    </w:p>
    <w:p w14:paraId="77A829B7">
      <w:pPr>
        <w:spacing w:line="360" w:lineRule="auto"/>
        <w:ind w:firstLine="420" w:firstLineChars="200"/>
        <w:rPr>
          <w:rFonts w:hint="eastAsia" w:ascii="宋体" w:hAnsi="宋体" w:cs="宋体"/>
          <w:szCs w:val="24"/>
        </w:rPr>
      </w:pPr>
      <w:r>
        <w:rPr>
          <w:rFonts w:hint="eastAsia" w:ascii="宋体" w:hAnsi="宋体" w:cs="宋体"/>
          <w:szCs w:val="24"/>
        </w:rPr>
        <w:t>（1）供应商的姓名或者名称、地址、邮编、联系人及联系电话；</w:t>
      </w:r>
    </w:p>
    <w:p w14:paraId="19FFF40B">
      <w:pPr>
        <w:spacing w:line="360" w:lineRule="auto"/>
        <w:ind w:firstLine="420" w:firstLineChars="200"/>
        <w:rPr>
          <w:rFonts w:hint="eastAsia" w:ascii="宋体" w:hAnsi="宋体" w:cs="宋体"/>
          <w:szCs w:val="24"/>
        </w:rPr>
      </w:pPr>
      <w:r>
        <w:rPr>
          <w:rFonts w:hint="eastAsia" w:ascii="宋体" w:hAnsi="宋体" w:cs="宋体"/>
          <w:szCs w:val="24"/>
        </w:rPr>
        <w:t>（2）质疑项目的名称、编号；</w:t>
      </w:r>
    </w:p>
    <w:p w14:paraId="07346834">
      <w:pPr>
        <w:spacing w:line="360" w:lineRule="auto"/>
        <w:ind w:firstLine="420" w:firstLineChars="200"/>
        <w:rPr>
          <w:rFonts w:hint="eastAsia" w:ascii="宋体" w:hAnsi="宋体" w:cs="宋体"/>
          <w:szCs w:val="24"/>
        </w:rPr>
      </w:pPr>
      <w:r>
        <w:rPr>
          <w:rFonts w:hint="eastAsia" w:ascii="宋体" w:hAnsi="宋体" w:cs="宋体"/>
          <w:szCs w:val="24"/>
        </w:rPr>
        <w:t>（3）具体、明确的质疑事项和与质疑事项相关的请求；</w:t>
      </w:r>
    </w:p>
    <w:p w14:paraId="109DD959">
      <w:pPr>
        <w:spacing w:line="360" w:lineRule="auto"/>
        <w:ind w:firstLine="420" w:firstLineChars="200"/>
        <w:rPr>
          <w:rFonts w:hint="eastAsia" w:ascii="宋体" w:hAnsi="宋体" w:cs="宋体"/>
          <w:szCs w:val="24"/>
        </w:rPr>
      </w:pPr>
      <w:r>
        <w:rPr>
          <w:rFonts w:hint="eastAsia" w:ascii="宋体" w:hAnsi="宋体" w:cs="宋体"/>
          <w:szCs w:val="24"/>
        </w:rPr>
        <w:t>（4）事实依据；</w:t>
      </w:r>
    </w:p>
    <w:p w14:paraId="551820E6">
      <w:pPr>
        <w:spacing w:line="360" w:lineRule="auto"/>
        <w:ind w:firstLine="420" w:firstLineChars="200"/>
        <w:rPr>
          <w:rFonts w:hint="eastAsia" w:ascii="宋体" w:hAnsi="宋体" w:cs="宋体"/>
          <w:szCs w:val="24"/>
        </w:rPr>
      </w:pPr>
      <w:r>
        <w:rPr>
          <w:rFonts w:hint="eastAsia" w:ascii="宋体" w:hAnsi="宋体" w:cs="宋体"/>
          <w:szCs w:val="24"/>
        </w:rPr>
        <w:t>（5）必要的法律依据；</w:t>
      </w:r>
    </w:p>
    <w:p w14:paraId="2E9C7DB1">
      <w:pPr>
        <w:spacing w:line="360" w:lineRule="auto"/>
        <w:ind w:firstLine="420" w:firstLineChars="200"/>
        <w:rPr>
          <w:rFonts w:hint="eastAsia" w:ascii="宋体" w:hAnsi="宋体" w:cs="宋体"/>
          <w:szCs w:val="24"/>
        </w:rPr>
      </w:pPr>
      <w:r>
        <w:rPr>
          <w:rFonts w:hint="eastAsia" w:ascii="宋体" w:hAnsi="宋体" w:cs="宋体"/>
          <w:szCs w:val="24"/>
        </w:rPr>
        <w:t>（6）提出质疑的日期。</w:t>
      </w:r>
    </w:p>
    <w:p w14:paraId="3ECE57C4">
      <w:pPr>
        <w:spacing w:line="360" w:lineRule="auto"/>
        <w:ind w:firstLine="420" w:firstLineChars="200"/>
        <w:rPr>
          <w:rFonts w:hint="eastAsia" w:ascii="宋体" w:hAnsi="宋体" w:cs="宋体"/>
          <w:szCs w:val="24"/>
        </w:rPr>
      </w:pPr>
      <w:r>
        <w:rPr>
          <w:rFonts w:hint="eastAsia" w:ascii="宋体" w:hAnsi="宋体" w:cs="宋体"/>
          <w:szCs w:val="24"/>
        </w:rPr>
        <w:t>供应商为自然人的，应当由本人签字；供应商为法人或者其他组织的，应当由法定代表人、主要负责人，或者其委托代理人签字或者盖章，并加盖公章。</w:t>
      </w:r>
    </w:p>
    <w:p w14:paraId="26A367E8">
      <w:pPr>
        <w:spacing w:line="360" w:lineRule="auto"/>
        <w:ind w:firstLine="420" w:firstLineChars="200"/>
        <w:rPr>
          <w:rFonts w:hint="eastAsia" w:ascii="宋体" w:hAnsi="宋体" w:cs="宋体"/>
          <w:szCs w:val="24"/>
        </w:rPr>
      </w:pPr>
      <w:r>
        <w:rPr>
          <w:rFonts w:hint="eastAsia" w:ascii="宋体" w:hAnsi="宋体" w:cs="宋体"/>
          <w:szCs w:val="24"/>
        </w:rPr>
        <w:t>31.5采购人、采购代理机构认为供应商质疑不成立，或者成立但未对成交结果构成影响的，继续开展采购活动；认为供应商质疑成立且影响或者可能影响成交结果的，按照下列情况处理：</w:t>
      </w:r>
    </w:p>
    <w:p w14:paraId="52596924">
      <w:pPr>
        <w:spacing w:line="360" w:lineRule="auto"/>
        <w:ind w:firstLine="420" w:firstLineChars="200"/>
        <w:rPr>
          <w:rFonts w:hint="eastAsia" w:ascii="宋体" w:hAnsi="宋体" w:cs="宋体"/>
          <w:szCs w:val="24"/>
        </w:rPr>
      </w:pPr>
      <w:r>
        <w:rPr>
          <w:rFonts w:hint="eastAsia" w:ascii="宋体" w:hAnsi="宋体" w:cs="宋体"/>
          <w:szCs w:val="24"/>
        </w:rPr>
        <w:t>（一）对采购文件提出的质疑，依法通过澄清或者修改可以继续开展采购活动的，澄清或者修改采购文件后继续开展采购活动；否则应当修改采购文件后重新开展采购活动。</w:t>
      </w:r>
    </w:p>
    <w:p w14:paraId="40A09D17">
      <w:pPr>
        <w:spacing w:line="360" w:lineRule="auto"/>
        <w:ind w:firstLine="420" w:firstLineChars="200"/>
        <w:rPr>
          <w:rFonts w:hint="eastAsia" w:ascii="宋体" w:hAnsi="宋体" w:cs="宋体"/>
          <w:szCs w:val="24"/>
        </w:rPr>
      </w:pPr>
      <w:r>
        <w:rPr>
          <w:rFonts w:hint="eastAsia" w:ascii="宋体" w:hAnsi="宋体" w:cs="宋体"/>
          <w:szCs w:val="24"/>
        </w:rPr>
        <w:t>（二）对采购过程或者成交结果提出的质疑，合格供应商符合法定数量时，可以从合格的成交候选人中另行确定成交供应商的，应当依法另行确定成交供应商；否则应当重新开展采购活动。</w:t>
      </w:r>
    </w:p>
    <w:p w14:paraId="2C0319F1">
      <w:pPr>
        <w:spacing w:line="360" w:lineRule="auto"/>
        <w:ind w:firstLine="420" w:firstLineChars="200"/>
        <w:rPr>
          <w:rFonts w:hint="eastAsia" w:ascii="宋体" w:hAnsi="宋体" w:cs="宋体"/>
          <w:szCs w:val="24"/>
        </w:rPr>
      </w:pPr>
      <w:r>
        <w:rPr>
          <w:rFonts w:hint="eastAsia" w:ascii="宋体" w:hAnsi="宋体" w:cs="宋体"/>
          <w:szCs w:val="24"/>
        </w:rPr>
        <w:t>质疑答复导致成交结果改变的，采购人或者采购代理机构应当将有关情况书面报告本级财政部门。</w:t>
      </w:r>
    </w:p>
    <w:p w14:paraId="6D2B7DF2">
      <w:pPr>
        <w:spacing w:line="360" w:lineRule="auto"/>
        <w:ind w:firstLine="420" w:firstLineChars="200"/>
        <w:rPr>
          <w:rFonts w:hint="eastAsia" w:ascii="宋体" w:hAnsi="宋体" w:cs="宋体"/>
          <w:szCs w:val="24"/>
        </w:rPr>
      </w:pPr>
      <w:r>
        <w:rPr>
          <w:rFonts w:hint="eastAsia" w:ascii="宋体" w:hAnsi="宋体" w:cs="宋体"/>
          <w:szCs w:val="24"/>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p>
    <w:p w14:paraId="6E0C16B0">
      <w:pPr>
        <w:spacing w:line="360" w:lineRule="auto"/>
        <w:ind w:firstLine="643" w:firstLineChars="200"/>
        <w:outlineLvl w:val="2"/>
        <w:rPr>
          <w:rFonts w:hint="eastAsia" w:ascii="宋体" w:hAnsi="宋体"/>
          <w:bCs/>
          <w:sz w:val="32"/>
          <w:szCs w:val="32"/>
        </w:rPr>
      </w:pPr>
      <w:bookmarkStart w:id="34" w:name="_Toc179528711"/>
      <w:r>
        <w:rPr>
          <w:rFonts w:hint="eastAsia" w:ascii="宋体" w:hAnsi="宋体"/>
          <w:b/>
          <w:bCs/>
          <w:sz w:val="32"/>
          <w:szCs w:val="32"/>
        </w:rPr>
        <w:t>六</w:t>
      </w:r>
      <w:r>
        <w:rPr>
          <w:rFonts w:hint="eastAsia" w:ascii="宋体" w:hAnsi="宋体"/>
          <w:bCs/>
          <w:sz w:val="32"/>
          <w:szCs w:val="32"/>
        </w:rPr>
        <w:t>、验收</w:t>
      </w:r>
      <w:bookmarkEnd w:id="34"/>
    </w:p>
    <w:p w14:paraId="7C02D6FD">
      <w:pPr>
        <w:tabs>
          <w:tab w:val="left" w:pos="0"/>
        </w:tabs>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32.验收</w:t>
      </w:r>
    </w:p>
    <w:p w14:paraId="7C054E07">
      <w:pPr>
        <w:tabs>
          <w:tab w:val="left" w:pos="0"/>
        </w:tabs>
        <w:spacing w:line="360" w:lineRule="auto"/>
        <w:ind w:firstLine="420" w:firstLineChars="200"/>
        <w:rPr>
          <w:rFonts w:hint="eastAsia" w:ascii="宋体" w:hAnsi="宋体" w:eastAsia="等线" w:cs="Helvetica"/>
          <w:kern w:val="0"/>
          <w:szCs w:val="21"/>
        </w:rPr>
      </w:pPr>
      <w:r>
        <w:rPr>
          <w:rFonts w:hint="eastAsia" w:ascii="宋体" w:hAnsi="宋体" w:cs="Helvetica"/>
          <w:kern w:val="0"/>
          <w:szCs w:val="21"/>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0B556696">
      <w:pPr>
        <w:tabs>
          <w:tab w:val="left" w:pos="0"/>
        </w:tabs>
        <w:spacing w:line="360" w:lineRule="auto"/>
        <w:ind w:firstLine="420" w:firstLineChars="200"/>
        <w:rPr>
          <w:rFonts w:hint="eastAsia" w:ascii="宋体" w:hAnsi="宋体" w:cs="Helvetica"/>
          <w:kern w:val="0"/>
          <w:szCs w:val="21"/>
        </w:rPr>
      </w:pPr>
      <w:r>
        <w:rPr>
          <w:rFonts w:hint="eastAsia" w:ascii="宋体" w:hAnsi="宋体" w:cs="Helvetica"/>
          <w:kern w:val="0"/>
          <w:szCs w:val="21"/>
        </w:rPr>
        <w:t>32.2采购人可以邀请参加本项目的其他供应商或者第三方机构参与验收。参与验收的供应商或者第三方机构的意见作为验收书的参考资料一并存档。</w:t>
      </w:r>
    </w:p>
    <w:p w14:paraId="221FB778">
      <w:pPr>
        <w:tabs>
          <w:tab w:val="left" w:pos="0"/>
        </w:tabs>
        <w:spacing w:line="360" w:lineRule="auto"/>
        <w:ind w:firstLine="420" w:firstLineChars="200"/>
        <w:rPr>
          <w:rFonts w:hint="eastAsia" w:ascii="宋体" w:hAnsi="宋体" w:cs="Helvetica"/>
          <w:kern w:val="0"/>
          <w:szCs w:val="21"/>
        </w:rPr>
      </w:pPr>
      <w:r>
        <w:rPr>
          <w:rFonts w:hint="eastAsia" w:ascii="宋体" w:hAnsi="宋体" w:cs="Helvetica"/>
          <w:kern w:val="0"/>
          <w:szCs w:val="21"/>
        </w:rPr>
        <w:t>32.3严格按照采购合同开展履约验收。采购人成立验收小组，按照采购合同的约定对供应商履约情况进行验收。验收时，按照采购合同的约定对每一项技术、货物、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1498EBCB">
      <w:pPr>
        <w:tabs>
          <w:tab w:val="left" w:pos="0"/>
        </w:tabs>
        <w:spacing w:line="360" w:lineRule="auto"/>
        <w:ind w:firstLine="420" w:firstLineChars="200"/>
        <w:rPr>
          <w:rFonts w:hint="eastAsia" w:ascii="宋体" w:hAnsi="宋体" w:cs="宋体"/>
          <w:szCs w:val="21"/>
        </w:rPr>
      </w:pPr>
      <w:r>
        <w:rPr>
          <w:rFonts w:hint="eastAsia" w:ascii="宋体" w:hAnsi="宋体" w:cs="Helvetica"/>
          <w:kern w:val="0"/>
          <w:szCs w:val="21"/>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3A90F36F">
      <w:pPr>
        <w:spacing w:line="360" w:lineRule="auto"/>
        <w:ind w:firstLine="640" w:firstLineChars="200"/>
        <w:outlineLvl w:val="2"/>
        <w:rPr>
          <w:rFonts w:hint="eastAsia" w:ascii="宋体" w:hAnsi="宋体"/>
          <w:sz w:val="32"/>
          <w:szCs w:val="32"/>
        </w:rPr>
      </w:pPr>
      <w:bookmarkStart w:id="35" w:name="_Toc179528712"/>
      <w:r>
        <w:rPr>
          <w:rFonts w:hint="eastAsia" w:ascii="宋体" w:hAnsi="宋体"/>
          <w:sz w:val="32"/>
          <w:szCs w:val="32"/>
        </w:rPr>
        <w:t>七、其他事项</w:t>
      </w:r>
      <w:bookmarkEnd w:id="35"/>
    </w:p>
    <w:p w14:paraId="53C48D0A">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33.代理服务费</w:t>
      </w:r>
    </w:p>
    <w:p w14:paraId="2648B11D">
      <w:pPr>
        <w:tabs>
          <w:tab w:val="left" w:pos="2835"/>
        </w:tabs>
        <w:spacing w:line="360" w:lineRule="auto"/>
        <w:ind w:firstLine="420" w:firstLineChars="200"/>
        <w:rPr>
          <w:rFonts w:hint="eastAsia" w:ascii="宋体" w:hAnsi="宋体" w:eastAsia="等线" w:cs="宋体"/>
          <w:szCs w:val="21"/>
        </w:rPr>
      </w:pPr>
      <w:r>
        <w:rPr>
          <w:rFonts w:hint="eastAsia" w:ascii="宋体" w:hAnsi="宋体" w:cs="宋体"/>
          <w:szCs w:val="21"/>
        </w:rPr>
        <w:t>代理服务收费标准及缴费账户详见“供应商须知前附表”，供应商为联合体的，可以由联合体中的一方或者多方共同交纳代理服务费。</w:t>
      </w:r>
    </w:p>
    <w:p w14:paraId="76BBCF1D">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34.需要补充的其他内容</w:t>
      </w:r>
    </w:p>
    <w:p w14:paraId="2DF7526C">
      <w:pPr>
        <w:spacing w:line="360" w:lineRule="auto"/>
        <w:ind w:firstLine="420" w:firstLineChars="200"/>
        <w:rPr>
          <w:rFonts w:hint="eastAsia" w:ascii="等线" w:hAnsi="宋体" w:eastAsia="等线"/>
          <w:color w:val="000000"/>
          <w:szCs w:val="24"/>
        </w:rPr>
      </w:pPr>
      <w:r>
        <w:rPr>
          <w:rFonts w:hAnsi="宋体"/>
          <w:color w:val="000000"/>
          <w:szCs w:val="24"/>
        </w:rPr>
        <w:t>34.1</w:t>
      </w:r>
      <w:r>
        <w:rPr>
          <w:rFonts w:hint="eastAsia" w:hAnsi="宋体" w:cs="宋体"/>
          <w:color w:val="000000"/>
          <w:szCs w:val="24"/>
        </w:rPr>
        <w:t>本谈判文件解释规则详见</w:t>
      </w:r>
      <w:r>
        <w:rPr>
          <w:rFonts w:hint="eastAsia" w:hAnsi="宋体"/>
          <w:color w:val="000000"/>
          <w:szCs w:val="24"/>
        </w:rPr>
        <w:t>“供应商须知前附表”。</w:t>
      </w:r>
    </w:p>
    <w:p w14:paraId="5A3865B7">
      <w:pPr>
        <w:spacing w:line="360" w:lineRule="auto"/>
        <w:ind w:firstLine="420" w:firstLineChars="200"/>
        <w:rPr>
          <w:rFonts w:hint="eastAsia" w:hAnsi="宋体"/>
          <w:color w:val="000000"/>
          <w:szCs w:val="24"/>
        </w:rPr>
      </w:pPr>
      <w:r>
        <w:rPr>
          <w:rFonts w:hint="eastAsia" w:ascii="宋体" w:hAnsi="宋体" w:cs="宋体"/>
          <w:color w:val="000000"/>
          <w:kern w:val="0"/>
          <w:szCs w:val="21"/>
        </w:rPr>
        <w:t>34.2 其他事</w:t>
      </w:r>
      <w:r>
        <w:rPr>
          <w:rFonts w:hint="eastAsia" w:hAnsi="宋体"/>
          <w:color w:val="000000"/>
          <w:szCs w:val="24"/>
        </w:rPr>
        <w:t>项详见“供应商须知前附表”。</w:t>
      </w:r>
    </w:p>
    <w:p w14:paraId="79EAD68C">
      <w:pPr>
        <w:spacing w:line="360" w:lineRule="auto"/>
        <w:ind w:firstLine="420" w:firstLineChars="200"/>
        <w:rPr>
          <w:rFonts w:hAnsi="宋体"/>
          <w:color w:val="000000"/>
          <w:szCs w:val="24"/>
        </w:rPr>
      </w:pPr>
      <w:r>
        <w:rPr>
          <w:rFonts w:hAnsi="宋体"/>
          <w:color w:val="000000"/>
          <w:szCs w:val="24"/>
        </w:rPr>
        <w:t>34.3</w:t>
      </w:r>
      <w:r>
        <w:rPr>
          <w:rFonts w:hint="eastAsia" w:hAnsi="宋体"/>
          <w:color w:val="000000"/>
          <w:szCs w:val="24"/>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货物符合下列情形的，享受本文件规定的中小企业扶持政策：</w:t>
      </w:r>
    </w:p>
    <w:p w14:paraId="48AB7511">
      <w:pPr>
        <w:spacing w:line="360" w:lineRule="auto"/>
        <w:ind w:firstLine="420" w:firstLineChars="200"/>
        <w:rPr>
          <w:rFonts w:hAnsi="宋体"/>
          <w:color w:val="000000"/>
          <w:szCs w:val="24"/>
          <w:highlight w:val="none"/>
        </w:rPr>
      </w:pPr>
      <w:r>
        <w:rPr>
          <w:rFonts w:hint="eastAsia" w:hAnsi="宋体"/>
          <w:color w:val="000000"/>
          <w:szCs w:val="24"/>
          <w:highlight w:val="none"/>
        </w:rPr>
        <w:t>在货物采购项目中，货物由中小企业制造，即货物由中小企业生产且使用该中小企业商号或者注册商标，不对其中涉及的工程承建商和货物的承接商作出要求；</w:t>
      </w:r>
    </w:p>
    <w:p w14:paraId="040ED477">
      <w:pPr>
        <w:spacing w:line="360" w:lineRule="auto"/>
        <w:ind w:firstLine="420" w:firstLineChars="200"/>
        <w:rPr>
          <w:rFonts w:hAnsi="宋体"/>
          <w:color w:val="000000"/>
          <w:szCs w:val="24"/>
        </w:rPr>
      </w:pPr>
      <w:r>
        <w:rPr>
          <w:rFonts w:hint="eastAsia" w:hAnsi="宋体"/>
          <w:color w:val="000000"/>
          <w:szCs w:val="24"/>
        </w:rPr>
        <w:t>在货物采购项目中，供应商提供的货物既有中小企业制造货物，也有大型企业制造货物的，不享受本文件规定的中小企业扶持政策。以联合体形式参加政府采购活动，联合体各方均为中小企业的，联合体视同中小企业。其中，联合体各方均为小微企业的，联合体视同小微企业。</w:t>
      </w:r>
    </w:p>
    <w:p w14:paraId="3B01EE3E">
      <w:pPr>
        <w:spacing w:line="360" w:lineRule="auto"/>
        <w:ind w:firstLine="420" w:firstLineChars="200"/>
        <w:textAlignment w:val="center"/>
        <w:rPr>
          <w:rFonts w:hAnsi="宋体"/>
          <w:color w:val="000000"/>
          <w:szCs w:val="24"/>
        </w:rPr>
      </w:pPr>
      <w:r>
        <w:rPr>
          <w:rFonts w:hint="eastAsia" w:hAnsi="宋体"/>
          <w:color w:val="000000"/>
          <w:szCs w:val="24"/>
        </w:rPr>
        <w:t>依据本文件规定享受扶持政策获得政府采购合同的，小微企业不得将合同分包给大中型企业，中型企业不得将合同分包给大型企业。</w:t>
      </w:r>
    </w:p>
    <w:p w14:paraId="4C313785">
      <w:pPr>
        <w:spacing w:line="360" w:lineRule="auto"/>
        <w:ind w:firstLine="480" w:firstLineChars="200"/>
        <w:rPr>
          <w:rFonts w:ascii="黑体" w:hAnsi="黑体" w:eastAsia="黑体"/>
          <w:sz w:val="24"/>
          <w:szCs w:val="24"/>
        </w:rPr>
      </w:pPr>
      <w:r>
        <w:rPr>
          <w:rFonts w:hint="eastAsia" w:ascii="黑体" w:hAnsi="黑体" w:eastAsia="黑体"/>
          <w:sz w:val="24"/>
          <w:szCs w:val="24"/>
        </w:rPr>
        <w:t>35. 政采贷相关说明</w:t>
      </w:r>
    </w:p>
    <w:p w14:paraId="68C28CFF">
      <w:pPr>
        <w:spacing w:line="360" w:lineRule="auto"/>
        <w:ind w:firstLine="420" w:firstLineChars="200"/>
        <w:rPr>
          <w:rFonts w:hint="eastAsia" w:ascii="等线" w:hAnsi="宋体" w:eastAsia="等线"/>
          <w:color w:val="000000"/>
          <w:szCs w:val="24"/>
        </w:rPr>
      </w:pPr>
      <w:r>
        <w:rPr>
          <w:rFonts w:hint="eastAsia" w:hAnsi="宋体"/>
          <w:color w:val="000000"/>
          <w:szCs w:val="24"/>
        </w:rPr>
        <w:t>为优化政府采购营商环境，缓解供应商资金难题，南宁市政府采购试行政府采购信用融资制度，成交供应商如有融资需求，可凭政府采购合同通过以下方式申请政府采购信用融资贷款：</w:t>
      </w:r>
    </w:p>
    <w:p w14:paraId="244CF2E2">
      <w:pPr>
        <w:tabs>
          <w:tab w:val="left" w:pos="360"/>
        </w:tabs>
        <w:spacing w:line="360" w:lineRule="auto"/>
        <w:ind w:firstLine="420" w:firstLineChars="200"/>
        <w:rPr>
          <w:rFonts w:hint="eastAsia" w:hAnsi="宋体"/>
          <w:color w:val="000000"/>
          <w:szCs w:val="24"/>
        </w:rPr>
      </w:pPr>
      <w:r>
        <w:rPr>
          <w:rFonts w:hint="eastAsia" w:hAnsi="宋体"/>
          <w:color w:val="000000"/>
          <w:szCs w:val="24"/>
        </w:rPr>
        <w:t>线下渠道：在“南宁市公共资源交易中心”官网（网址：</w:t>
      </w:r>
      <w:r>
        <w:rPr>
          <w:rFonts w:hAnsi="宋体"/>
          <w:color w:val="000000"/>
          <w:szCs w:val="24"/>
        </w:rPr>
        <w:fldChar w:fldCharType="begin"/>
      </w:r>
      <w:r>
        <w:rPr>
          <w:rFonts w:hAnsi="宋体"/>
          <w:color w:val="000000"/>
          <w:szCs w:val="24"/>
        </w:rPr>
        <w:instrText xml:space="preserve"> HYPERLINK "http://www.nnggzy.org.cn）\“交易信息-政府采购-政府采购信用融资\”中融资银行和南宁市企业融资货物中心专栏信息申请政府采购信用融资。" </w:instrText>
      </w:r>
      <w:r>
        <w:rPr>
          <w:rFonts w:hAnsi="宋体"/>
          <w:color w:val="000000"/>
          <w:szCs w:val="24"/>
        </w:rPr>
        <w:fldChar w:fldCharType="separate"/>
      </w:r>
      <w:r>
        <w:rPr>
          <w:rFonts w:hAnsi="宋体"/>
          <w:color w:val="0000FF"/>
          <w:szCs w:val="24"/>
          <w:u w:val="single"/>
        </w:rPr>
        <w:t>http://www.nnggzy.org.cn</w:t>
      </w:r>
      <w:r>
        <w:rPr>
          <w:rFonts w:hint="eastAsia" w:hAnsi="宋体"/>
          <w:color w:val="0000FF"/>
          <w:szCs w:val="24"/>
          <w:u w:val="single"/>
        </w:rPr>
        <w:t>）“交易信息</w:t>
      </w:r>
      <w:r>
        <w:rPr>
          <w:rFonts w:hAnsi="宋体"/>
          <w:color w:val="0000FF"/>
          <w:szCs w:val="24"/>
          <w:u w:val="single"/>
        </w:rPr>
        <w:t>-</w:t>
      </w:r>
      <w:r>
        <w:rPr>
          <w:rFonts w:hint="eastAsia" w:hAnsi="宋体"/>
          <w:color w:val="0000FF"/>
          <w:szCs w:val="24"/>
          <w:u w:val="single"/>
        </w:rPr>
        <w:t>政府采购</w:t>
      </w:r>
      <w:r>
        <w:rPr>
          <w:rFonts w:hAnsi="宋体"/>
          <w:color w:val="0000FF"/>
          <w:szCs w:val="24"/>
          <w:u w:val="single"/>
        </w:rPr>
        <w:t>-</w:t>
      </w:r>
      <w:r>
        <w:rPr>
          <w:rFonts w:hint="eastAsia" w:hAnsi="宋体"/>
          <w:color w:val="0000FF"/>
          <w:szCs w:val="24"/>
          <w:u w:val="single"/>
        </w:rPr>
        <w:t>政府采购信用融资”中融资银行和南宁市企业融资货物中心专栏信息申请政府采购信用融资。</w:t>
      </w:r>
      <w:r>
        <w:rPr>
          <w:rFonts w:hAnsi="宋体"/>
          <w:color w:val="000000"/>
          <w:szCs w:val="24"/>
        </w:rPr>
        <w:fldChar w:fldCharType="end"/>
      </w:r>
    </w:p>
    <w:p w14:paraId="0D325DE6">
      <w:pPr>
        <w:tabs>
          <w:tab w:val="left" w:pos="360"/>
        </w:tabs>
        <w:spacing w:line="360" w:lineRule="auto"/>
        <w:ind w:firstLine="422" w:firstLineChars="200"/>
        <w:rPr>
          <w:rFonts w:hAnsi="等线"/>
          <w:szCs w:val="24"/>
        </w:rPr>
      </w:pPr>
      <w:r>
        <w:rPr>
          <w:rFonts w:hint="eastAsia" w:hAnsi="宋体"/>
          <w:b/>
          <w:szCs w:val="24"/>
        </w:rPr>
        <w:t>（</w:t>
      </w:r>
      <w:r>
        <w:rPr>
          <w:rFonts w:hAnsi="宋体"/>
          <w:b/>
          <w:szCs w:val="24"/>
        </w:rPr>
        <w:t>2</w:t>
      </w:r>
      <w:r>
        <w:rPr>
          <w:rFonts w:hint="eastAsia" w:hAnsi="宋体"/>
          <w:b/>
          <w:szCs w:val="24"/>
        </w:rPr>
        <w:t>）线上渠道：登录中征应收账款融资服务平台（网址：</w:t>
      </w:r>
      <w:r>
        <w:rPr>
          <w:rFonts w:hAnsi="宋体"/>
          <w:b/>
          <w:szCs w:val="24"/>
        </w:rPr>
        <w:t>https://www.crcrfsp.com</w:t>
      </w:r>
      <w:r>
        <w:rPr>
          <w:rFonts w:hint="eastAsia" w:hAnsi="宋体"/>
          <w:b/>
          <w:szCs w:val="24"/>
        </w:rPr>
        <w:t>，客服电话：</w:t>
      </w:r>
      <w:r>
        <w:rPr>
          <w:rFonts w:hAnsi="宋体"/>
          <w:b/>
          <w:szCs w:val="24"/>
        </w:rPr>
        <w:t>400-009-0001</w:t>
      </w:r>
      <w:r>
        <w:rPr>
          <w:rFonts w:hint="eastAsia" w:hAnsi="宋体"/>
          <w:b/>
          <w:szCs w:val="24"/>
        </w:rPr>
        <w:t>），选择相关金融产品和银行业金融机构金融融资贷款。具体操作方式见《中国人民银行南宁中心支行广西壮族自治区财政厅关于推广线上“政采贷”融资模式的通知》（南宁银发〔</w:t>
      </w:r>
      <w:r>
        <w:rPr>
          <w:rFonts w:hAnsi="宋体"/>
          <w:b/>
          <w:szCs w:val="24"/>
        </w:rPr>
        <w:t>2021</w:t>
      </w:r>
      <w:r>
        <w:rPr>
          <w:rFonts w:hint="eastAsia" w:hAnsi="宋体"/>
          <w:b/>
          <w:szCs w:val="24"/>
        </w:rPr>
        <w:t>〕</w:t>
      </w:r>
      <w:r>
        <w:rPr>
          <w:rFonts w:hAnsi="宋体"/>
          <w:b/>
          <w:szCs w:val="24"/>
        </w:rPr>
        <w:t>258</w:t>
      </w:r>
      <w:r>
        <w:rPr>
          <w:rFonts w:hint="eastAsia" w:hAnsi="宋体"/>
          <w:b/>
          <w:szCs w:val="24"/>
        </w:rPr>
        <w:t>号）文（文件公开网址详情见：“广西政府采购网”——</w:t>
      </w:r>
      <w:r>
        <w:rPr>
          <w:rFonts w:hAnsi="宋体"/>
          <w:b/>
          <w:szCs w:val="24"/>
        </w:rPr>
        <w:t>http://www.ccgp-guangxi.gov.cn/AdministrativeRegulations/AutonomousRegion/9830442.html</w:t>
      </w:r>
      <w:r>
        <w:rPr>
          <w:rFonts w:hint="eastAsia" w:hAnsi="宋体"/>
          <w:b/>
          <w:szCs w:val="24"/>
        </w:rPr>
        <w:t>）</w:t>
      </w:r>
      <w:r>
        <w:rPr>
          <w:rFonts w:hAnsi="宋体"/>
          <w:b/>
          <w:szCs w:val="24"/>
        </w:rPr>
        <w:br w:type="page"/>
      </w:r>
    </w:p>
    <w:p w14:paraId="1D6B3EF6">
      <w:pPr>
        <w:spacing w:before="340" w:after="330" w:line="576" w:lineRule="auto"/>
        <w:jc w:val="center"/>
        <w:outlineLvl w:val="0"/>
        <w:rPr>
          <w:b/>
          <w:bCs/>
          <w:kern w:val="44"/>
          <w:sz w:val="44"/>
          <w:szCs w:val="44"/>
        </w:rPr>
      </w:pPr>
      <w:bookmarkStart w:id="36" w:name="_Toc179528713"/>
      <w:r>
        <w:rPr>
          <w:rFonts w:hint="eastAsia"/>
          <w:b/>
          <w:bCs/>
          <w:kern w:val="44"/>
          <w:sz w:val="44"/>
          <w:szCs w:val="44"/>
        </w:rPr>
        <w:t>第四章</w:t>
      </w:r>
      <w:r>
        <w:rPr>
          <w:b/>
          <w:bCs/>
          <w:kern w:val="44"/>
          <w:sz w:val="44"/>
          <w:szCs w:val="44"/>
        </w:rPr>
        <w:t xml:space="preserve">  </w:t>
      </w:r>
      <w:r>
        <w:rPr>
          <w:rFonts w:hint="eastAsia"/>
          <w:b/>
          <w:bCs/>
          <w:kern w:val="44"/>
          <w:sz w:val="44"/>
          <w:szCs w:val="44"/>
        </w:rPr>
        <w:t>评审程序、评审方法和成交标准</w:t>
      </w:r>
      <w:bookmarkEnd w:id="36"/>
    </w:p>
    <w:p w14:paraId="7B96863B">
      <w:pPr>
        <w:spacing w:line="360" w:lineRule="auto"/>
        <w:ind w:firstLine="640" w:firstLineChars="200"/>
        <w:jc w:val="center"/>
        <w:outlineLvl w:val="1"/>
        <w:rPr>
          <w:rFonts w:ascii="宋体" w:hAnsi="宋体"/>
          <w:bCs/>
          <w:sz w:val="32"/>
          <w:szCs w:val="32"/>
        </w:rPr>
      </w:pPr>
      <w:bookmarkStart w:id="37" w:name="_Toc179528714"/>
      <w:r>
        <w:rPr>
          <w:rFonts w:hint="eastAsia" w:ascii="宋体" w:hAnsi="宋体"/>
          <w:bCs/>
          <w:sz w:val="32"/>
          <w:szCs w:val="32"/>
        </w:rPr>
        <w:t>第一节 评审程序和评审方法</w:t>
      </w:r>
      <w:bookmarkEnd w:id="37"/>
    </w:p>
    <w:p w14:paraId="5D7C77E5">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1.确认谈判文件</w:t>
      </w:r>
    </w:p>
    <w:p w14:paraId="4EFF98CE">
      <w:pPr>
        <w:spacing w:line="360" w:lineRule="auto"/>
        <w:ind w:firstLine="420" w:firstLineChars="200"/>
        <w:rPr>
          <w:rFonts w:hint="eastAsia" w:ascii="宋体" w:hAnsi="宋体" w:eastAsia="等线" w:cs="宋体"/>
          <w:color w:val="000000"/>
          <w:szCs w:val="21"/>
        </w:rPr>
      </w:pPr>
      <w:r>
        <w:rPr>
          <w:rFonts w:hint="eastAsia" w:ascii="宋体" w:hAnsi="宋体" w:cs="宋体"/>
          <w:color w:val="000000"/>
          <w:szCs w:val="21"/>
        </w:rPr>
        <w:t>由谈判小组确认谈判文件。</w:t>
      </w:r>
    </w:p>
    <w:p w14:paraId="76B18910">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2.资格审查</w:t>
      </w:r>
    </w:p>
    <w:p w14:paraId="6CFD227E">
      <w:pPr>
        <w:snapToGrid w:val="0"/>
        <w:spacing w:line="360" w:lineRule="auto"/>
        <w:ind w:firstLine="420" w:firstLineChars="200"/>
        <w:rPr>
          <w:rFonts w:hint="eastAsia" w:ascii="宋体" w:hAnsi="宋体" w:eastAsia="等线"/>
          <w:szCs w:val="21"/>
        </w:rPr>
      </w:pPr>
      <w:r>
        <w:rPr>
          <w:rFonts w:hint="eastAsia" w:ascii="宋体" w:hAnsi="宋体" w:cs="宋体"/>
          <w:szCs w:val="21"/>
        </w:rPr>
        <w:t>2.1</w:t>
      </w:r>
      <w:r>
        <w:rPr>
          <w:rFonts w:hint="eastAsia" w:ascii="宋体" w:hAnsi="宋体"/>
          <w:szCs w:val="21"/>
        </w:rPr>
        <w:t>响应文件开启后，谈判小组依法对供应商的资格证明文件进行审查。</w:t>
      </w:r>
    </w:p>
    <w:p w14:paraId="314032AE">
      <w:pPr>
        <w:snapToGrid w:val="0"/>
        <w:spacing w:line="360" w:lineRule="auto"/>
        <w:ind w:firstLine="420" w:firstLineChars="200"/>
        <w:rPr>
          <w:rFonts w:hint="eastAsia" w:ascii="宋体" w:hAnsi="宋体" w:cs="宋体"/>
          <w:szCs w:val="21"/>
        </w:rPr>
      </w:pPr>
      <w:r>
        <w:rPr>
          <w:rFonts w:hint="eastAsia" w:ascii="宋体" w:hAnsi="宋体" w:cs="宋体"/>
          <w:szCs w:val="21"/>
        </w:rPr>
        <w:t>注：采购人代表或者采购代理机构在资格审查结束前，对供应商进行信用查询。</w:t>
      </w:r>
    </w:p>
    <w:p w14:paraId="12A0A587">
      <w:pPr>
        <w:snapToGrid w:val="0"/>
        <w:spacing w:line="360" w:lineRule="auto"/>
        <w:ind w:firstLine="420" w:firstLineChars="200"/>
        <w:jc w:val="left"/>
        <w:rPr>
          <w:rFonts w:hint="eastAsia" w:ascii="宋体" w:hAnsi="宋体" w:cs="宋体"/>
          <w:szCs w:val="21"/>
        </w:rPr>
      </w:pPr>
      <w:r>
        <w:rPr>
          <w:rFonts w:hint="eastAsia" w:ascii="宋体" w:hAnsi="宋体" w:cs="宋体"/>
          <w:szCs w:val="21"/>
        </w:rPr>
        <w:t>（1）查询渠道：“政采云”平台“信用中国”网站(</w:t>
      </w:r>
      <w:r>
        <w:rPr>
          <w:rFonts w:ascii="宋体" w:hAnsi="宋体" w:cs="宋体"/>
          <w:szCs w:val="21"/>
        </w:rPr>
        <w:fldChar w:fldCharType="begin"/>
      </w:r>
      <w:r>
        <w:rPr>
          <w:rFonts w:ascii="宋体" w:hAnsi="宋体" w:cs="宋体"/>
          <w:szCs w:val="21"/>
        </w:rPr>
        <w:instrText xml:space="preserve"> HYPERLINK "http://www.creditchina.gov.cn" </w:instrText>
      </w:r>
      <w:r>
        <w:rPr>
          <w:rFonts w:ascii="宋体" w:hAnsi="宋体" w:cs="宋体"/>
          <w:szCs w:val="21"/>
        </w:rPr>
        <w:fldChar w:fldCharType="separate"/>
      </w:r>
      <w:r>
        <w:rPr>
          <w:rFonts w:hint="eastAsia" w:ascii="宋体" w:hAnsi="宋体" w:cs="宋体"/>
          <w:color w:val="0000FF"/>
          <w:szCs w:val="24"/>
          <w:u w:val="single"/>
        </w:rPr>
        <w:t>www.creditchina.gov.cn</w:t>
      </w:r>
      <w:r>
        <w:rPr>
          <w:rFonts w:ascii="宋体" w:hAnsi="宋体" w:cs="宋体"/>
          <w:szCs w:val="21"/>
        </w:rPr>
        <w:fldChar w:fldCharType="end"/>
      </w:r>
      <w:r>
        <w:rPr>
          <w:rFonts w:hint="eastAsia" w:ascii="宋体" w:hAnsi="宋体" w:cs="宋体"/>
          <w:szCs w:val="21"/>
        </w:rPr>
        <w:t>)、中国政府采购网(</w:t>
      </w:r>
      <w:r>
        <w:rPr>
          <w:rFonts w:ascii="宋体" w:hAnsi="宋体" w:cs="宋体"/>
          <w:szCs w:val="21"/>
        </w:rPr>
        <w:fldChar w:fldCharType="begin"/>
      </w:r>
      <w:r>
        <w:rPr>
          <w:rFonts w:ascii="宋体" w:hAnsi="宋体" w:cs="宋体"/>
          <w:szCs w:val="21"/>
        </w:rPr>
        <w:instrText xml:space="preserve"> HYPERLINK "http://www.ccgp.gov.cn" </w:instrText>
      </w:r>
      <w:r>
        <w:rPr>
          <w:rFonts w:ascii="宋体" w:hAnsi="宋体" w:cs="宋体"/>
          <w:szCs w:val="21"/>
        </w:rPr>
        <w:fldChar w:fldCharType="separate"/>
      </w:r>
      <w:r>
        <w:rPr>
          <w:rFonts w:hint="eastAsia" w:ascii="宋体" w:hAnsi="宋体" w:cs="宋体"/>
          <w:color w:val="0000FF"/>
          <w:szCs w:val="24"/>
          <w:u w:val="single"/>
        </w:rPr>
        <w:t>www.ccgp.gov.cn</w:t>
      </w:r>
      <w:r>
        <w:rPr>
          <w:rFonts w:ascii="宋体" w:hAnsi="宋体" w:cs="宋体"/>
          <w:szCs w:val="21"/>
        </w:rPr>
        <w:fldChar w:fldCharType="end"/>
      </w:r>
      <w:r>
        <w:rPr>
          <w:rFonts w:hint="eastAsia" w:ascii="宋体" w:hAnsi="宋体" w:cs="宋体"/>
          <w:szCs w:val="21"/>
        </w:rPr>
        <w:t>)链接入口。</w:t>
      </w:r>
    </w:p>
    <w:p w14:paraId="6F0E031B">
      <w:pPr>
        <w:snapToGrid w:val="0"/>
        <w:spacing w:line="360" w:lineRule="auto"/>
        <w:ind w:firstLine="420" w:firstLineChars="200"/>
        <w:rPr>
          <w:rFonts w:hint="eastAsia" w:ascii="宋体" w:hAnsi="宋体" w:cs="宋体"/>
          <w:szCs w:val="21"/>
        </w:rPr>
      </w:pPr>
      <w:r>
        <w:rPr>
          <w:rFonts w:hint="eastAsia" w:ascii="宋体" w:hAnsi="宋体" w:cs="宋体"/>
          <w:szCs w:val="21"/>
        </w:rPr>
        <w:t>（2）信用查询截止时点：资格审查结束前。</w:t>
      </w:r>
    </w:p>
    <w:p w14:paraId="19AF46EA">
      <w:pPr>
        <w:snapToGrid w:val="0"/>
        <w:spacing w:line="360" w:lineRule="auto"/>
        <w:ind w:firstLine="420" w:firstLineChars="200"/>
        <w:rPr>
          <w:rFonts w:hint="eastAsia" w:ascii="宋体" w:hAnsi="宋体" w:cs="宋体"/>
          <w:szCs w:val="21"/>
        </w:rPr>
      </w:pPr>
      <w:r>
        <w:rPr>
          <w:rFonts w:hint="eastAsia" w:ascii="宋体" w:hAnsi="宋体" w:cs="宋体"/>
          <w:szCs w:val="21"/>
        </w:rPr>
        <w:t>查询记录和证据留存方式：在查询网站中直接打印查询记录，截图另存为电子文档作为评审资料保存。</w:t>
      </w:r>
    </w:p>
    <w:p w14:paraId="012ED58C">
      <w:pPr>
        <w:spacing w:line="360" w:lineRule="auto"/>
        <w:ind w:firstLine="420" w:firstLineChars="200"/>
        <w:rPr>
          <w:rFonts w:hint="eastAsia" w:ascii="宋体" w:hAnsi="宋体" w:cs="宋体"/>
          <w:szCs w:val="21"/>
        </w:rPr>
      </w:pPr>
      <w:r>
        <w:rPr>
          <w:rFonts w:hint="eastAsia" w:ascii="宋体" w:hAnsi="宋体" w:cs="宋体"/>
          <w:szCs w:val="21"/>
        </w:rPr>
        <w:t>（3）信用信息使用规则：对在“信用中国”网站(www.creditchina.gov.cn)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32456C61">
      <w:pPr>
        <w:spacing w:line="360" w:lineRule="auto"/>
        <w:ind w:firstLine="420" w:firstLineChars="200"/>
        <w:rPr>
          <w:rFonts w:hint="eastAsia" w:ascii="宋体" w:hAnsi="宋体" w:cs="宋体"/>
          <w:szCs w:val="21"/>
        </w:rPr>
      </w:pPr>
      <w:r>
        <w:rPr>
          <w:rFonts w:hint="eastAsia" w:ascii="宋体" w:hAnsi="宋体" w:cs="宋体"/>
          <w:szCs w:val="21"/>
        </w:rPr>
        <w:t>2.2资格审查标准为本谈判文件中载明对供应商资格要求的条件。资格审查采用合格制，凡符合谈判文件规定的供应商资格要求的响应文件均通过资格审查。</w:t>
      </w:r>
    </w:p>
    <w:p w14:paraId="4A36E947">
      <w:pPr>
        <w:spacing w:line="360" w:lineRule="auto"/>
        <w:ind w:firstLine="420" w:firstLineChars="200"/>
        <w:rPr>
          <w:rFonts w:hint="eastAsia" w:ascii="宋体" w:hAnsi="宋体" w:cs="宋体"/>
          <w:szCs w:val="21"/>
        </w:rPr>
      </w:pPr>
      <w:r>
        <w:rPr>
          <w:rFonts w:hint="eastAsia" w:ascii="宋体" w:hAnsi="宋体" w:cs="宋体"/>
          <w:szCs w:val="21"/>
        </w:rPr>
        <w:t>2.3供应商有下列情形之一的，资格审查不通过，其响应文件按无效响应处理：</w:t>
      </w:r>
    </w:p>
    <w:p w14:paraId="68017152">
      <w:pPr>
        <w:snapToGrid w:val="0"/>
        <w:spacing w:line="360" w:lineRule="auto"/>
        <w:ind w:firstLine="420" w:firstLineChars="200"/>
        <w:rPr>
          <w:rFonts w:hint="eastAsia" w:ascii="宋体" w:hAnsi="宋体" w:cs="宋体"/>
          <w:szCs w:val="21"/>
        </w:rPr>
      </w:pPr>
      <w:r>
        <w:rPr>
          <w:rFonts w:hint="eastAsia" w:ascii="宋体" w:hAnsi="宋体" w:cs="宋体"/>
          <w:szCs w:val="21"/>
        </w:rPr>
        <w:t>（1）不具备谈判文件中规定的资格要求的；</w:t>
      </w:r>
    </w:p>
    <w:p w14:paraId="66FC650F">
      <w:pPr>
        <w:spacing w:line="360" w:lineRule="auto"/>
        <w:ind w:firstLine="420" w:firstLineChars="200"/>
        <w:rPr>
          <w:rFonts w:hint="eastAsia" w:ascii="宋体" w:hAnsi="宋体" w:cs="宋体"/>
          <w:szCs w:val="21"/>
        </w:rPr>
      </w:pPr>
      <w:r>
        <w:rPr>
          <w:rFonts w:hint="eastAsia" w:ascii="宋体" w:hAnsi="宋体" w:cs="宋体"/>
          <w:szCs w:val="21"/>
        </w:rPr>
        <w:t>（2）响应文件未提供任一项“供应商须知前附表”资格证明文件规定的“必须提供”的文件资料的；</w:t>
      </w:r>
    </w:p>
    <w:p w14:paraId="61647A2C">
      <w:pPr>
        <w:spacing w:line="360" w:lineRule="auto"/>
        <w:ind w:firstLine="420" w:firstLineChars="200"/>
        <w:rPr>
          <w:rFonts w:hint="eastAsia" w:ascii="宋体" w:hAnsi="宋体" w:cs="宋体"/>
          <w:szCs w:val="21"/>
        </w:rPr>
      </w:pPr>
      <w:r>
        <w:rPr>
          <w:rFonts w:hint="eastAsia" w:ascii="宋体" w:hAnsi="宋体" w:cs="宋体"/>
          <w:szCs w:val="21"/>
        </w:rPr>
        <w:t>（3）响应文件提供的资格证明文件出现任一项不符合“供应商须知前附表”资格证明文件规定的“必须提供”的文件资料要求或者无效的。</w:t>
      </w:r>
    </w:p>
    <w:p w14:paraId="40C16F44">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（4）同一合同项下的不同供应商，单位负责人为同一人或者存在直接控股、管理关系的；为本项目提供过整体设计、规范编制或者项目管理、监理、检测等货物的。</w:t>
      </w:r>
    </w:p>
    <w:p w14:paraId="01E2D095">
      <w:pPr>
        <w:spacing w:line="360" w:lineRule="auto"/>
        <w:ind w:firstLine="420" w:firstLineChars="200"/>
        <w:rPr>
          <w:rFonts w:hint="eastAsia" w:ascii="宋体" w:hAnsi="宋体" w:cs="宋体"/>
          <w:szCs w:val="21"/>
        </w:rPr>
      </w:pPr>
      <w:r>
        <w:rPr>
          <w:rFonts w:hint="eastAsia" w:ascii="宋体" w:hAnsi="宋体" w:cs="宋体"/>
          <w:szCs w:val="21"/>
        </w:rPr>
        <w:t>2.4通过资格审查的合格供应商不足3家的，不得进入符合性审查环节，</w:t>
      </w:r>
      <w:r>
        <w:rPr>
          <w:rFonts w:hint="eastAsia" w:ascii="宋体" w:hAnsi="宋体"/>
          <w:szCs w:val="21"/>
        </w:rPr>
        <w:t>采购人或者采购代理机构应当重新开展采购活动。</w:t>
      </w:r>
    </w:p>
    <w:p w14:paraId="5E0D796D">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3.符合性审查</w:t>
      </w:r>
    </w:p>
    <w:p w14:paraId="06989187">
      <w:pPr>
        <w:spacing w:line="360" w:lineRule="auto"/>
        <w:ind w:firstLine="420" w:firstLineChars="200"/>
        <w:rPr>
          <w:rFonts w:hint="eastAsia" w:ascii="宋体" w:hAnsi="宋体" w:eastAsia="等线" w:cs="宋体"/>
          <w:szCs w:val="21"/>
        </w:rPr>
      </w:pPr>
      <w:r>
        <w:rPr>
          <w:rFonts w:hint="eastAsia" w:ascii="宋体" w:hAnsi="宋体" w:cs="宋体"/>
          <w:szCs w:val="21"/>
        </w:rPr>
        <w:t>3.1由谈判小组对</w:t>
      </w:r>
      <w:r>
        <w:rPr>
          <w:rFonts w:hint="eastAsia" w:ascii="宋体" w:hAnsi="宋体"/>
          <w:szCs w:val="21"/>
        </w:rPr>
        <w:t>通过资格审查的合格供应商</w:t>
      </w:r>
      <w:r>
        <w:rPr>
          <w:rFonts w:hint="eastAsia" w:ascii="宋体" w:hAnsi="宋体" w:cs="宋体"/>
          <w:szCs w:val="21"/>
        </w:rPr>
        <w:t>的响应文件的响应报价、商务、技术等实质性要求进行符合性审查，以确定其是否满足谈判文件的实质性要求。</w:t>
      </w:r>
    </w:p>
    <w:p w14:paraId="3430386C">
      <w:pPr>
        <w:spacing w:line="360" w:lineRule="auto"/>
        <w:ind w:firstLine="420" w:firstLineChars="200"/>
        <w:rPr>
          <w:rFonts w:hint="eastAsia" w:ascii="宋体" w:hAnsi="宋体" w:cs="宋体"/>
          <w:szCs w:val="21"/>
        </w:rPr>
      </w:pPr>
      <w:r>
        <w:rPr>
          <w:rFonts w:hint="eastAsia" w:ascii="宋体" w:hAnsi="宋体" w:cs="宋体"/>
          <w:szCs w:val="21"/>
        </w:rPr>
        <w:t>3.2谈判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16DD844">
      <w:pPr>
        <w:spacing w:line="360" w:lineRule="auto"/>
        <w:ind w:firstLine="420" w:firstLineChars="200"/>
        <w:rPr>
          <w:rFonts w:hint="eastAsia" w:ascii="宋体" w:hAnsi="宋体" w:cs="宋体"/>
          <w:spacing w:val="-6"/>
          <w:szCs w:val="21"/>
        </w:rPr>
      </w:pPr>
      <w:r>
        <w:rPr>
          <w:rFonts w:hint="eastAsia" w:ascii="宋体" w:hAnsi="宋体" w:cs="宋体"/>
          <w:szCs w:val="21"/>
        </w:rPr>
        <w:t>3.3谈判小组要求供应商澄清、说明或者更正响应文件应当以电子澄清函形式作出。供应商的澄清、说明或者更正应当以电子回函形式按照谈判小组的要求作出明确的澄清、说明或者更正，未按谈判小组的要求作出明确澄清、说明或者更正的供应商的响应文件将按照有利于采购人的原则由谈判小组进行判定。供应商的澄清、说明或者更正必须加盖电子公章</w:t>
      </w:r>
      <w:r>
        <w:rPr>
          <w:rFonts w:hint="eastAsia" w:ascii="宋体" w:hAnsi="宋体" w:cs="宋体"/>
          <w:spacing w:val="-6"/>
          <w:szCs w:val="21"/>
        </w:rPr>
        <w:t>。供应商为自然人的，必须由本人签字并附身份证明。</w:t>
      </w:r>
    </w:p>
    <w:p w14:paraId="503A3314">
      <w:pPr>
        <w:spacing w:line="360" w:lineRule="auto"/>
        <w:ind w:firstLine="396" w:firstLineChars="200"/>
        <w:rPr>
          <w:rFonts w:hint="eastAsia" w:ascii="宋体" w:hAnsi="宋体" w:cs="宋体"/>
          <w:szCs w:val="21"/>
        </w:rPr>
      </w:pPr>
      <w:r>
        <w:rPr>
          <w:rFonts w:hint="eastAsia" w:ascii="宋体" w:hAnsi="宋体" w:cs="宋体"/>
          <w:spacing w:val="-6"/>
          <w:szCs w:val="21"/>
        </w:rPr>
        <w:t>3.4</w:t>
      </w:r>
      <w:r>
        <w:rPr>
          <w:rFonts w:hint="eastAsia" w:ascii="宋体" w:hAnsi="宋体" w:cs="宋体"/>
          <w:szCs w:val="21"/>
        </w:rPr>
        <w:t xml:space="preserve">首次响应文件报价出现前后不一致的，按照下列规定修正： </w:t>
      </w:r>
    </w:p>
    <w:p w14:paraId="0575F99B">
      <w:pPr>
        <w:spacing w:line="360" w:lineRule="auto"/>
        <w:ind w:firstLine="420" w:firstLineChars="200"/>
        <w:rPr>
          <w:rFonts w:hint="eastAsia" w:ascii="宋体" w:hAnsi="宋体" w:cs="宋体"/>
          <w:szCs w:val="21"/>
        </w:rPr>
      </w:pPr>
      <w:r>
        <w:rPr>
          <w:rFonts w:hint="eastAsia" w:ascii="宋体" w:hAnsi="宋体" w:cs="宋体"/>
          <w:szCs w:val="21"/>
        </w:rPr>
        <w:t>（1）响应文件中报价表内容与响应文件中相应内容不一致的，以报价表为准；</w:t>
      </w:r>
    </w:p>
    <w:p w14:paraId="33CE5075">
      <w:pPr>
        <w:spacing w:line="360" w:lineRule="auto"/>
        <w:ind w:firstLine="420" w:firstLineChars="200"/>
        <w:rPr>
          <w:rFonts w:hint="eastAsia" w:ascii="宋体" w:hAnsi="宋体" w:cs="宋体"/>
          <w:szCs w:val="21"/>
        </w:rPr>
      </w:pPr>
      <w:r>
        <w:rPr>
          <w:rFonts w:hint="eastAsia" w:ascii="宋体" w:hAnsi="宋体" w:cs="宋体"/>
          <w:szCs w:val="21"/>
        </w:rPr>
        <w:t>（2）大写金额和小写金额不一致的，以大写金额为准；</w:t>
      </w:r>
    </w:p>
    <w:p w14:paraId="3D8E0FA2">
      <w:pPr>
        <w:spacing w:line="360" w:lineRule="auto"/>
        <w:ind w:firstLine="420" w:firstLineChars="200"/>
        <w:rPr>
          <w:rFonts w:hint="eastAsia" w:ascii="宋体" w:hAnsi="宋体" w:cs="宋体"/>
          <w:szCs w:val="21"/>
        </w:rPr>
      </w:pPr>
      <w:r>
        <w:rPr>
          <w:rFonts w:hint="eastAsia" w:ascii="宋体" w:hAnsi="宋体" w:cs="宋体"/>
          <w:szCs w:val="21"/>
        </w:rPr>
        <w:t>（3）单价金额小数点或者百分比有明显错位的，以报价表的总价为准，并修改单价；</w:t>
      </w:r>
    </w:p>
    <w:p w14:paraId="7D15AB80">
      <w:pPr>
        <w:spacing w:line="360" w:lineRule="auto"/>
        <w:ind w:firstLine="420" w:firstLineChars="200"/>
        <w:rPr>
          <w:rFonts w:hint="eastAsia" w:ascii="宋体" w:hAnsi="宋体" w:cs="宋体"/>
          <w:szCs w:val="21"/>
        </w:rPr>
      </w:pPr>
      <w:r>
        <w:rPr>
          <w:rFonts w:hint="eastAsia" w:ascii="宋体" w:hAnsi="宋体" w:cs="宋体"/>
          <w:szCs w:val="21"/>
        </w:rPr>
        <w:t>（4）总价金额与按单价汇总金额不一致的，以单价金额计算结果为准。</w:t>
      </w:r>
    </w:p>
    <w:p w14:paraId="19208BFF">
      <w:pPr>
        <w:spacing w:line="360" w:lineRule="auto"/>
        <w:ind w:firstLine="420" w:firstLineChars="200"/>
        <w:rPr>
          <w:rFonts w:hint="eastAsia" w:ascii="宋体" w:hAnsi="宋体" w:cs="宋体"/>
          <w:szCs w:val="21"/>
        </w:rPr>
      </w:pPr>
      <w:r>
        <w:rPr>
          <w:rFonts w:hint="eastAsia" w:ascii="宋体" w:hAnsi="宋体" w:cs="宋体"/>
          <w:szCs w:val="21"/>
        </w:rPr>
        <w:t>同时出现两种以上不一致的，按照以上（1）-（4）规定的顺序逐条进行修正。修正后的报价经供应商确认后产生约束力，供应商不确认的，其响应文件按无效响应处理。</w:t>
      </w:r>
    </w:p>
    <w:p w14:paraId="6FAD0074">
      <w:pPr>
        <w:spacing w:line="360" w:lineRule="auto"/>
        <w:ind w:firstLine="420" w:firstLineChars="200"/>
        <w:rPr>
          <w:rFonts w:hint="eastAsia" w:ascii="宋体" w:hAnsi="宋体" w:cs="宋体"/>
          <w:szCs w:val="21"/>
        </w:rPr>
      </w:pPr>
      <w:r>
        <w:rPr>
          <w:rFonts w:hint="eastAsia" w:ascii="宋体" w:hAnsi="宋体" w:cs="宋体"/>
          <w:szCs w:val="21"/>
        </w:rPr>
        <w:t>3.5商务技术、报价评审</w:t>
      </w:r>
    </w:p>
    <w:p w14:paraId="6CC6692C">
      <w:pPr>
        <w:spacing w:line="360" w:lineRule="auto"/>
        <w:ind w:firstLine="420" w:firstLineChars="200"/>
        <w:rPr>
          <w:rFonts w:hint="eastAsia" w:ascii="宋体" w:hAnsi="宋体" w:cs="宋体"/>
          <w:szCs w:val="21"/>
        </w:rPr>
      </w:pPr>
      <w:r>
        <w:rPr>
          <w:rFonts w:hint="eastAsia" w:ascii="宋体" w:hAnsi="宋体" w:cs="宋体"/>
          <w:szCs w:val="21"/>
        </w:rPr>
        <w:t>在评审时，如发现下列情形之一的，将被视为响应文件无效处理：</w:t>
      </w:r>
    </w:p>
    <w:p w14:paraId="33189D9A">
      <w:pPr>
        <w:spacing w:line="360" w:lineRule="auto"/>
        <w:ind w:firstLine="420" w:firstLineChars="200"/>
        <w:rPr>
          <w:rFonts w:hint="eastAsia" w:ascii="宋体" w:hAnsi="宋体" w:cs="宋体"/>
          <w:szCs w:val="21"/>
        </w:rPr>
      </w:pPr>
      <w:r>
        <w:rPr>
          <w:rFonts w:hint="eastAsia" w:ascii="宋体" w:hAnsi="宋体" w:cs="宋体"/>
          <w:szCs w:val="21"/>
        </w:rPr>
        <w:t>（1）商务技术评审</w:t>
      </w:r>
    </w:p>
    <w:p w14:paraId="71B1813E">
      <w:pPr>
        <w:spacing w:line="360" w:lineRule="auto"/>
        <w:ind w:firstLine="420" w:firstLineChars="200"/>
        <w:rPr>
          <w:rFonts w:hint="eastAsia" w:ascii="宋体" w:hAnsi="宋体" w:cs="宋体"/>
          <w:szCs w:val="21"/>
        </w:rPr>
      </w:pPr>
      <w:r>
        <w:rPr>
          <w:rFonts w:hint="eastAsia" w:ascii="宋体" w:hAnsi="宋体" w:cs="宋体"/>
          <w:szCs w:val="21"/>
        </w:rPr>
        <w:t>1）响应文件未按谈判文件要求签署、盖章；</w:t>
      </w:r>
    </w:p>
    <w:p w14:paraId="0B05528F">
      <w:pPr>
        <w:spacing w:line="360" w:lineRule="auto"/>
        <w:ind w:firstLine="420" w:firstLineChars="200"/>
        <w:rPr>
          <w:rFonts w:hint="eastAsia" w:ascii="宋体" w:hAnsi="宋体" w:cs="宋体"/>
          <w:szCs w:val="21"/>
        </w:rPr>
      </w:pPr>
      <w:r>
        <w:rPr>
          <w:rFonts w:hint="eastAsia" w:ascii="宋体" w:hAnsi="宋体" w:cs="宋体"/>
          <w:szCs w:val="21"/>
        </w:rPr>
        <w:t xml:space="preserve">2）委托代理人未能出具有效身份证明或者出具的身份证明与授权委托书中的信息不符； </w:t>
      </w:r>
    </w:p>
    <w:p w14:paraId="21932AEA">
      <w:pPr>
        <w:spacing w:line="360" w:lineRule="auto"/>
        <w:ind w:firstLine="420" w:firstLineChars="200"/>
        <w:rPr>
          <w:rFonts w:hint="eastAsia" w:ascii="宋体" w:hAnsi="宋体" w:cs="宋体"/>
          <w:szCs w:val="21"/>
        </w:rPr>
      </w:pPr>
      <w:r>
        <w:rPr>
          <w:rFonts w:hint="eastAsia" w:ascii="宋体" w:hAnsi="宋体" w:cs="宋体"/>
          <w:szCs w:val="21"/>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40022B6E">
      <w:pPr>
        <w:spacing w:line="360" w:lineRule="auto"/>
        <w:ind w:firstLine="420" w:firstLineChars="200"/>
        <w:rPr>
          <w:rFonts w:hint="eastAsia" w:ascii="宋体" w:hAnsi="宋体" w:cs="宋体"/>
          <w:szCs w:val="21"/>
        </w:rPr>
      </w:pPr>
      <w:r>
        <w:rPr>
          <w:rFonts w:hint="eastAsia" w:ascii="宋体" w:hAnsi="宋体" w:cs="宋体"/>
          <w:szCs w:val="21"/>
        </w:rPr>
        <w:t>4）商务条款</w:t>
      </w:r>
      <w:r>
        <w:rPr>
          <w:rFonts w:hint="eastAsia" w:ascii="宋体" w:hAnsi="宋体" w:cs="宋体"/>
          <w:szCs w:val="21"/>
          <w:lang w:eastAsia="zh-CN"/>
        </w:rPr>
        <w:t>成交</w:t>
      </w:r>
      <w:r>
        <w:rPr>
          <w:rFonts w:hint="eastAsia" w:ascii="宋体" w:hAnsi="宋体" w:cs="宋体"/>
          <w:szCs w:val="21"/>
        </w:rPr>
        <w:t>“▲”的条款发生负偏离的或者允许负偏离的条款数超过“供应商须知前附表”规定项数的或者标明实质性的要求发生负偏离；</w:t>
      </w:r>
    </w:p>
    <w:p w14:paraId="2EB06E0D">
      <w:pPr>
        <w:spacing w:line="360" w:lineRule="auto"/>
        <w:ind w:firstLine="420" w:firstLineChars="200"/>
        <w:rPr>
          <w:rFonts w:hint="eastAsia" w:ascii="宋体" w:hAnsi="宋体" w:cs="宋体"/>
          <w:szCs w:val="21"/>
        </w:rPr>
      </w:pPr>
      <w:r>
        <w:rPr>
          <w:rFonts w:hint="eastAsia" w:ascii="宋体" w:hAnsi="宋体" w:cs="宋体"/>
          <w:szCs w:val="21"/>
        </w:rPr>
        <w:t>5）未对</w:t>
      </w:r>
      <w:r>
        <w:rPr>
          <w:rFonts w:hint="eastAsia" w:ascii="宋体" w:hAnsi="宋体" w:cs="宋体"/>
          <w:szCs w:val="21"/>
          <w:lang w:eastAsia="zh-CN"/>
        </w:rPr>
        <w:t>响应</w:t>
      </w:r>
      <w:r>
        <w:rPr>
          <w:rFonts w:hint="eastAsia" w:ascii="宋体" w:hAnsi="宋体" w:cs="宋体"/>
          <w:szCs w:val="21"/>
        </w:rPr>
        <w:t>有效期作出响应或者响应文件承诺的</w:t>
      </w:r>
      <w:r>
        <w:rPr>
          <w:rFonts w:hint="eastAsia" w:ascii="宋体" w:hAnsi="宋体" w:cs="宋体"/>
          <w:szCs w:val="21"/>
          <w:lang w:eastAsia="zh-CN"/>
        </w:rPr>
        <w:t>响应</w:t>
      </w:r>
      <w:r>
        <w:rPr>
          <w:rFonts w:hint="eastAsia" w:ascii="宋体" w:hAnsi="宋体" w:cs="宋体"/>
          <w:szCs w:val="21"/>
        </w:rPr>
        <w:t>有效期不满足谈判文件要求；</w:t>
      </w:r>
    </w:p>
    <w:p w14:paraId="6B8D19BA">
      <w:pPr>
        <w:spacing w:line="360" w:lineRule="auto"/>
        <w:ind w:firstLine="420" w:firstLineChars="200"/>
        <w:rPr>
          <w:rFonts w:hint="eastAsia" w:ascii="宋体" w:hAnsi="宋体" w:cs="宋体"/>
          <w:szCs w:val="21"/>
        </w:rPr>
      </w:pPr>
      <w:r>
        <w:rPr>
          <w:rFonts w:hint="eastAsia" w:ascii="宋体" w:hAnsi="宋体" w:cs="宋体"/>
          <w:szCs w:val="21"/>
        </w:rPr>
        <w:t>6）响应文件的实质性内容未使用中文表述、使用计量单位不符合谈判文件要求；</w:t>
      </w:r>
    </w:p>
    <w:p w14:paraId="611ADB82">
      <w:pPr>
        <w:spacing w:line="360" w:lineRule="auto"/>
        <w:ind w:firstLine="420" w:firstLineChars="200"/>
        <w:rPr>
          <w:rFonts w:hint="eastAsia" w:ascii="宋体" w:hAnsi="宋体" w:cs="宋体"/>
          <w:szCs w:val="21"/>
        </w:rPr>
      </w:pPr>
      <w:r>
        <w:rPr>
          <w:rFonts w:hint="eastAsia" w:ascii="宋体" w:hAnsi="宋体" w:cs="宋体"/>
          <w:szCs w:val="21"/>
        </w:rPr>
        <w:t>7）响应文件中的文件资料因填写不齐全或者内容虚假或者出现其他情形而导致被谈判小组认定无效；</w:t>
      </w:r>
    </w:p>
    <w:p w14:paraId="69354647">
      <w:pPr>
        <w:spacing w:line="360" w:lineRule="auto"/>
        <w:ind w:firstLine="420" w:firstLineChars="200"/>
        <w:rPr>
          <w:rFonts w:hint="eastAsia" w:ascii="宋体" w:hAnsi="宋体" w:cs="宋体"/>
          <w:szCs w:val="21"/>
        </w:rPr>
      </w:pPr>
      <w:r>
        <w:rPr>
          <w:rFonts w:hint="eastAsia" w:ascii="宋体" w:hAnsi="宋体" w:cs="宋体"/>
          <w:szCs w:val="21"/>
        </w:rPr>
        <w:t>8）响应文件含有采购人不能接受的附加条件；</w:t>
      </w:r>
    </w:p>
    <w:p w14:paraId="69B3C178">
      <w:pPr>
        <w:spacing w:line="360" w:lineRule="auto"/>
        <w:ind w:firstLine="420" w:firstLineChars="200"/>
        <w:rPr>
          <w:rFonts w:hint="eastAsia" w:ascii="宋体" w:hAnsi="宋体" w:cs="宋体"/>
          <w:szCs w:val="21"/>
        </w:rPr>
      </w:pPr>
      <w:r>
        <w:rPr>
          <w:rFonts w:hint="eastAsia" w:ascii="宋体" w:hAnsi="宋体" w:cs="宋体"/>
          <w:szCs w:val="21"/>
        </w:rPr>
        <w:t>9）属于“供应商须知正文”第7.5条情形；</w:t>
      </w:r>
    </w:p>
    <w:p w14:paraId="719B2889">
      <w:pPr>
        <w:spacing w:line="360" w:lineRule="auto"/>
        <w:ind w:firstLine="420" w:firstLineChars="200"/>
        <w:rPr>
          <w:rFonts w:hint="eastAsia" w:ascii="宋体" w:hAnsi="宋体" w:cs="宋体"/>
          <w:szCs w:val="21"/>
        </w:rPr>
      </w:pPr>
      <w:r>
        <w:rPr>
          <w:rFonts w:hint="eastAsia" w:ascii="宋体" w:hAnsi="宋体" w:cs="宋体"/>
          <w:szCs w:val="21"/>
        </w:rPr>
        <w:t>10）技术需求允许负偏离的条款数超过“供应商须知前附表”规定项数；</w:t>
      </w:r>
    </w:p>
    <w:p w14:paraId="5B666579">
      <w:pPr>
        <w:spacing w:line="360" w:lineRule="auto"/>
        <w:ind w:firstLine="420" w:firstLineChars="200"/>
        <w:rPr>
          <w:rFonts w:hint="eastAsia" w:ascii="宋体" w:hAnsi="宋体" w:cs="宋体"/>
          <w:szCs w:val="21"/>
        </w:rPr>
      </w:pPr>
      <w:r>
        <w:rPr>
          <w:rFonts w:hint="eastAsia" w:ascii="宋体" w:hAnsi="宋体" w:cs="宋体"/>
          <w:szCs w:val="21"/>
        </w:rPr>
        <w:t>11）虚假</w:t>
      </w:r>
      <w:r>
        <w:rPr>
          <w:rFonts w:hint="eastAsia" w:ascii="宋体" w:hAnsi="宋体" w:cs="宋体"/>
          <w:szCs w:val="21"/>
          <w:lang w:eastAsia="zh-CN"/>
        </w:rPr>
        <w:t>响应</w:t>
      </w:r>
      <w:r>
        <w:rPr>
          <w:rFonts w:hint="eastAsia" w:ascii="宋体" w:hAnsi="宋体" w:cs="宋体"/>
          <w:szCs w:val="21"/>
        </w:rPr>
        <w:t>，或者出现其他情形而导致被谈判小组认定无效；</w:t>
      </w:r>
    </w:p>
    <w:p w14:paraId="25575109">
      <w:pPr>
        <w:spacing w:line="360" w:lineRule="auto"/>
        <w:ind w:firstLine="420" w:firstLineChars="200"/>
        <w:rPr>
          <w:rFonts w:hint="eastAsia" w:ascii="宋体" w:hAnsi="宋体" w:cs="宋体"/>
          <w:szCs w:val="21"/>
        </w:rPr>
      </w:pPr>
      <w:r>
        <w:rPr>
          <w:rFonts w:hint="eastAsia" w:ascii="宋体" w:hAnsi="宋体" w:cs="宋体"/>
          <w:szCs w:val="21"/>
        </w:rPr>
        <w:t>12）</w:t>
      </w:r>
      <w:r>
        <w:rPr>
          <w:rFonts w:hint="eastAsia" w:ascii="宋体" w:hAnsi="宋体" w:cs="宋体"/>
          <w:szCs w:val="21"/>
          <w:lang w:eastAsia="zh-CN"/>
        </w:rPr>
        <w:t>响应</w:t>
      </w:r>
      <w:r>
        <w:rPr>
          <w:rFonts w:hint="eastAsia" w:ascii="宋体" w:hAnsi="宋体" w:cs="宋体"/>
          <w:szCs w:val="21"/>
        </w:rPr>
        <w:t>技术方案不明确，谈判文件未允许</w:t>
      </w:r>
      <w:r>
        <w:rPr>
          <w:rFonts w:hint="eastAsia" w:ascii="宋体" w:hAnsi="宋体"/>
          <w:szCs w:val="21"/>
        </w:rPr>
        <w:t>但响应文件中</w:t>
      </w:r>
      <w:r>
        <w:rPr>
          <w:rFonts w:hint="eastAsia" w:ascii="宋体" w:hAnsi="宋体" w:cs="宋体"/>
          <w:szCs w:val="21"/>
        </w:rPr>
        <w:t>存在一个或者一个以上备选（替代）</w:t>
      </w:r>
      <w:r>
        <w:rPr>
          <w:rFonts w:hint="eastAsia" w:ascii="宋体" w:hAnsi="宋体" w:cs="宋体"/>
          <w:szCs w:val="21"/>
          <w:lang w:eastAsia="zh-CN"/>
        </w:rPr>
        <w:t>响应</w:t>
      </w:r>
      <w:r>
        <w:rPr>
          <w:rFonts w:hint="eastAsia" w:ascii="宋体" w:hAnsi="宋体" w:cs="宋体"/>
          <w:szCs w:val="21"/>
        </w:rPr>
        <w:t>方案；</w:t>
      </w:r>
    </w:p>
    <w:p w14:paraId="6FF5FEFA">
      <w:pPr>
        <w:spacing w:line="360" w:lineRule="auto"/>
        <w:ind w:firstLine="420" w:firstLineChars="200"/>
        <w:rPr>
          <w:rFonts w:hint="eastAsia" w:ascii="宋体" w:hAnsi="宋体" w:cs="宋体"/>
          <w:szCs w:val="21"/>
        </w:rPr>
      </w:pPr>
      <w:r>
        <w:rPr>
          <w:rFonts w:hint="eastAsia" w:ascii="宋体" w:hAnsi="宋体" w:cs="宋体"/>
          <w:szCs w:val="21"/>
        </w:rPr>
        <w:t>13）响应文件标注的项目名称或者项目编号与竞争性谈判文件标注的项目名称或者项目编号不一致的；</w:t>
      </w:r>
    </w:p>
    <w:p w14:paraId="4B4E301B">
      <w:pPr>
        <w:spacing w:line="360" w:lineRule="auto"/>
        <w:ind w:firstLine="420" w:firstLineChars="200"/>
        <w:rPr>
          <w:rFonts w:hint="eastAsia" w:ascii="宋体" w:hAnsi="宋体" w:cs="宋体"/>
          <w:szCs w:val="21"/>
        </w:rPr>
      </w:pPr>
      <w:r>
        <w:rPr>
          <w:rFonts w:hint="eastAsia" w:ascii="宋体" w:hAnsi="宋体" w:cs="宋体"/>
          <w:szCs w:val="21"/>
        </w:rPr>
        <w:t>14）未响应谈判文件实质性要求；</w:t>
      </w:r>
    </w:p>
    <w:p w14:paraId="27A202ED">
      <w:pPr>
        <w:spacing w:line="360" w:lineRule="auto"/>
        <w:ind w:firstLine="420" w:firstLineChars="200"/>
        <w:rPr>
          <w:rFonts w:hint="eastAsia" w:ascii="宋体" w:hAnsi="宋体" w:cs="宋体"/>
          <w:szCs w:val="21"/>
        </w:rPr>
      </w:pPr>
      <w:r>
        <w:rPr>
          <w:rFonts w:hint="eastAsia" w:ascii="宋体" w:hAnsi="宋体" w:cs="宋体"/>
          <w:szCs w:val="21"/>
        </w:rPr>
        <w:t>15）法律、法规和谈判文件规定的其他无效情形。</w:t>
      </w:r>
    </w:p>
    <w:p w14:paraId="6E6E1257">
      <w:pPr>
        <w:spacing w:line="360" w:lineRule="auto"/>
        <w:ind w:firstLine="420" w:firstLineChars="200"/>
        <w:rPr>
          <w:rFonts w:hint="eastAsia" w:ascii="宋体" w:hAnsi="宋体" w:cs="宋体"/>
          <w:szCs w:val="21"/>
        </w:rPr>
      </w:pPr>
      <w:r>
        <w:rPr>
          <w:rFonts w:hint="eastAsia" w:ascii="宋体" w:hAnsi="宋体" w:cs="宋体"/>
          <w:szCs w:val="21"/>
        </w:rPr>
        <w:t>（2）报价评审</w:t>
      </w:r>
    </w:p>
    <w:p w14:paraId="5BCFC373">
      <w:pPr>
        <w:spacing w:line="360" w:lineRule="auto"/>
        <w:ind w:firstLine="420" w:firstLineChars="200"/>
        <w:rPr>
          <w:rFonts w:hint="eastAsia" w:ascii="宋体" w:hAnsi="宋体" w:cs="宋体"/>
          <w:szCs w:val="21"/>
        </w:rPr>
      </w:pPr>
      <w:r>
        <w:rPr>
          <w:rFonts w:hint="eastAsia" w:ascii="宋体" w:hAnsi="宋体" w:cs="宋体"/>
          <w:szCs w:val="21"/>
        </w:rPr>
        <w:t>1) 响应文件未提供“供应商须知前附表” 报价文件中规定的“响应报价表”；</w:t>
      </w:r>
    </w:p>
    <w:p w14:paraId="29D30BEC">
      <w:pPr>
        <w:spacing w:line="360" w:lineRule="auto"/>
        <w:ind w:firstLine="420" w:firstLineChars="200"/>
        <w:rPr>
          <w:rFonts w:hint="eastAsia" w:ascii="宋体" w:hAnsi="宋体" w:cs="宋体"/>
          <w:szCs w:val="21"/>
        </w:rPr>
      </w:pPr>
      <w:r>
        <w:rPr>
          <w:rFonts w:hint="eastAsia" w:ascii="宋体" w:hAnsi="宋体" w:cs="宋体"/>
          <w:szCs w:val="21"/>
        </w:rPr>
        <w:t>2）未采用人民币报价或者未按照谈判文件标明的币种报价；</w:t>
      </w:r>
    </w:p>
    <w:p w14:paraId="4F65135C">
      <w:pPr>
        <w:spacing w:line="360" w:lineRule="auto"/>
        <w:ind w:firstLine="420" w:firstLineChars="200"/>
        <w:rPr>
          <w:rFonts w:hint="eastAsia" w:ascii="宋体" w:hAnsi="宋体" w:cs="宋体"/>
          <w:szCs w:val="21"/>
        </w:rPr>
      </w:pPr>
      <w:r>
        <w:rPr>
          <w:rFonts w:hint="eastAsia" w:ascii="宋体" w:hAnsi="宋体" w:cs="宋体"/>
          <w:szCs w:val="21"/>
        </w:rPr>
        <w:t>3）供应商未就所</w:t>
      </w:r>
      <w:r>
        <w:rPr>
          <w:rFonts w:hint="eastAsia" w:ascii="宋体" w:hAnsi="宋体" w:cs="宋体"/>
          <w:szCs w:val="21"/>
          <w:lang w:eastAsia="zh-CN"/>
        </w:rPr>
        <w:t>响应</w:t>
      </w:r>
      <w:r>
        <w:rPr>
          <w:rFonts w:hint="eastAsia" w:ascii="宋体" w:hAnsi="宋体" w:cs="宋体"/>
          <w:szCs w:val="21"/>
        </w:rPr>
        <w:t>分标进行报价或者存在漏项报价；供应商未就所</w:t>
      </w:r>
      <w:r>
        <w:rPr>
          <w:rFonts w:hint="eastAsia" w:ascii="宋体" w:hAnsi="宋体" w:cs="宋体"/>
          <w:szCs w:val="21"/>
          <w:lang w:eastAsia="zh-CN"/>
        </w:rPr>
        <w:t>响应</w:t>
      </w:r>
      <w:r>
        <w:rPr>
          <w:rFonts w:hint="eastAsia" w:ascii="宋体" w:hAnsi="宋体" w:cs="宋体"/>
          <w:szCs w:val="21"/>
        </w:rPr>
        <w:t>分标的单项内容作唯一报价；供应商未就所</w:t>
      </w:r>
      <w:r>
        <w:rPr>
          <w:rFonts w:hint="eastAsia" w:ascii="宋体" w:hAnsi="宋体" w:cs="宋体"/>
          <w:szCs w:val="21"/>
          <w:lang w:eastAsia="zh-CN"/>
        </w:rPr>
        <w:t>响应</w:t>
      </w:r>
      <w:r>
        <w:rPr>
          <w:rFonts w:hint="eastAsia" w:ascii="宋体" w:hAnsi="宋体" w:cs="宋体"/>
          <w:szCs w:val="21"/>
        </w:rPr>
        <w:t>分标的全部内容作唯一总价报价；供应商响应文件中存在有选择、有条件报价的（谈判文件允许有备选方案或者其他约定的除外）；</w:t>
      </w:r>
    </w:p>
    <w:p w14:paraId="2326CCCF">
      <w:pPr>
        <w:spacing w:line="360" w:lineRule="auto"/>
        <w:ind w:firstLine="420" w:firstLineChars="200"/>
        <w:rPr>
          <w:rFonts w:hint="eastAsia" w:ascii="宋体" w:hAnsi="宋体" w:cs="宋体"/>
          <w:szCs w:val="21"/>
        </w:rPr>
      </w:pPr>
      <w:r>
        <w:rPr>
          <w:rFonts w:hint="eastAsia" w:ascii="宋体" w:hAnsi="宋体" w:cs="宋体"/>
          <w:szCs w:val="21"/>
        </w:rPr>
        <w:t>4）响应报价（包含首次报价、最后报价）超过所</w:t>
      </w:r>
      <w:r>
        <w:rPr>
          <w:rFonts w:hint="eastAsia" w:ascii="宋体" w:hAnsi="宋体" w:cs="宋体"/>
          <w:szCs w:val="21"/>
          <w:lang w:eastAsia="zh-CN"/>
        </w:rPr>
        <w:t>响应</w:t>
      </w:r>
      <w:r>
        <w:rPr>
          <w:rFonts w:hint="eastAsia" w:ascii="宋体" w:hAnsi="宋体" w:cs="宋体"/>
          <w:szCs w:val="21"/>
        </w:rPr>
        <w:t>分标规定的采购预算金额或者最高限价的（如本项目公布了最高限价）；响应报价（包含首次报价、最后报价）超过谈判文件分项采购预算金额或者最高限价的（如本项目公布了最高限价）；</w:t>
      </w:r>
    </w:p>
    <w:p w14:paraId="66655D99">
      <w:pPr>
        <w:spacing w:line="360" w:lineRule="auto"/>
        <w:ind w:firstLine="420" w:firstLineChars="200"/>
        <w:rPr>
          <w:rFonts w:hint="eastAsia" w:ascii="宋体" w:hAnsi="宋体" w:cs="宋体"/>
          <w:szCs w:val="21"/>
        </w:rPr>
      </w:pPr>
      <w:r>
        <w:rPr>
          <w:rFonts w:hint="eastAsia" w:ascii="宋体" w:hAnsi="宋体" w:cs="宋体"/>
          <w:szCs w:val="21"/>
        </w:rPr>
        <w:t>5）修正后的报价，供应商不确认的；或者经供应商确认修正后的响应报价（包含首次报价、最后报价）超过所</w:t>
      </w:r>
      <w:r>
        <w:rPr>
          <w:rFonts w:hint="eastAsia" w:ascii="宋体" w:hAnsi="宋体" w:cs="宋体"/>
          <w:szCs w:val="21"/>
          <w:lang w:eastAsia="zh-CN"/>
        </w:rPr>
        <w:t>响应</w:t>
      </w:r>
      <w:r>
        <w:rPr>
          <w:rFonts w:hint="eastAsia" w:ascii="宋体" w:hAnsi="宋体" w:cs="宋体"/>
          <w:szCs w:val="21"/>
        </w:rPr>
        <w:t>分标规定的采购预算金额或者最高限价（如本项目公布了最高限价）；或者经供应商确认修正后响应报价（包含首次报价、最后报价）超过谈判文件分项采购预算金额或者最高限价的（如本项目公布了最高限价）。</w:t>
      </w:r>
    </w:p>
    <w:p w14:paraId="614A0A5F">
      <w:pPr>
        <w:spacing w:line="360" w:lineRule="auto"/>
        <w:ind w:firstLine="420" w:firstLineChars="200"/>
        <w:rPr>
          <w:rFonts w:hint="eastAsia" w:ascii="宋体" w:hAnsi="宋体"/>
          <w:szCs w:val="21"/>
        </w:rPr>
      </w:pPr>
      <w:r>
        <w:rPr>
          <w:rFonts w:hint="eastAsia" w:ascii="宋体" w:hAnsi="宋体" w:cs="宋体"/>
          <w:szCs w:val="21"/>
        </w:rPr>
        <w:t>6）</w:t>
      </w:r>
      <w:r>
        <w:rPr>
          <w:rFonts w:hint="eastAsia" w:ascii="宋体" w:hAnsi="宋体"/>
          <w:szCs w:val="21"/>
        </w:rPr>
        <w:t>响应文件响应的标的数量及单位与竞争性谈判采购文件要求实质性不一致的。</w:t>
      </w:r>
    </w:p>
    <w:p w14:paraId="7D0638D2">
      <w:pPr>
        <w:spacing w:line="360" w:lineRule="auto"/>
        <w:ind w:firstLine="420" w:firstLineChars="200"/>
        <w:rPr>
          <w:rFonts w:hint="eastAsia" w:hAnsi="宋体"/>
          <w:color w:val="auto"/>
        </w:rPr>
      </w:pPr>
      <w:bookmarkStart w:id="38" w:name="OLE_LINK22"/>
      <w:bookmarkStart w:id="39" w:name="OLE_LINK66"/>
      <w:bookmarkStart w:id="40" w:name="OLE_LINK65"/>
      <w:r>
        <w:rPr>
          <w:rFonts w:hAnsi="宋体"/>
          <w:color w:val="auto"/>
        </w:rPr>
        <w:t>7</w:t>
      </w:r>
      <w:r>
        <w:rPr>
          <w:rFonts w:hint="eastAsia" w:hAnsi="宋体"/>
          <w:color w:val="auto"/>
        </w:rPr>
        <w:t>）</w:t>
      </w:r>
      <w:r>
        <w:rPr>
          <w:rFonts w:hint="eastAsia" w:hAnsi="宋体"/>
          <w:color w:val="auto"/>
          <w:lang w:eastAsia="zh-CN"/>
        </w:rPr>
        <w:t>评审委员会</w:t>
      </w:r>
      <w:r>
        <w:rPr>
          <w:rFonts w:hint="eastAsia" w:hAnsi="宋体"/>
          <w:color w:val="auto"/>
        </w:rPr>
        <w:t>启动异常低价</w:t>
      </w:r>
      <w:r>
        <w:rPr>
          <w:rFonts w:hint="eastAsia" w:hAnsi="宋体"/>
          <w:color w:val="auto"/>
          <w:lang w:eastAsia="zh-CN"/>
        </w:rPr>
        <w:t>响应</w:t>
      </w:r>
      <w:r>
        <w:rPr>
          <w:rFonts w:hint="eastAsia" w:hAnsi="宋体"/>
          <w:color w:val="auto"/>
        </w:rPr>
        <w:t>审查后，</w:t>
      </w:r>
      <w:r>
        <w:rPr>
          <w:rFonts w:hint="eastAsia" w:hAnsi="宋体"/>
          <w:color w:val="auto"/>
          <w:lang w:eastAsia="zh-CN"/>
        </w:rPr>
        <w:t>谈判小组</w:t>
      </w:r>
      <w:r>
        <w:rPr>
          <w:rFonts w:hint="eastAsia" w:hAnsi="宋体"/>
          <w:color w:val="auto"/>
        </w:rPr>
        <w:t>会认为</w:t>
      </w:r>
      <w:r>
        <w:rPr>
          <w:rFonts w:hint="eastAsia" w:hAnsi="宋体"/>
          <w:color w:val="auto"/>
          <w:lang w:eastAsia="zh-CN"/>
        </w:rPr>
        <w:t>响应供应商</w:t>
      </w:r>
      <w:r>
        <w:rPr>
          <w:rFonts w:hint="eastAsia" w:hAnsi="宋体"/>
          <w:color w:val="auto"/>
        </w:rPr>
        <w:t>的报价明显低于其他通过符合性审查</w:t>
      </w:r>
      <w:r>
        <w:rPr>
          <w:rFonts w:hint="eastAsia" w:hAnsi="宋体"/>
          <w:color w:val="auto"/>
          <w:lang w:eastAsia="zh-CN"/>
        </w:rPr>
        <w:t>响应供应商</w:t>
      </w:r>
      <w:r>
        <w:rPr>
          <w:rFonts w:hint="eastAsia" w:hAnsi="宋体"/>
          <w:color w:val="auto"/>
        </w:rPr>
        <w:t>的报价，有可能影响产品质量或者不能诚信履约的，应当要求其在评标现场合理的时间内提供书面说明，必要时提交相关证明材料；</w:t>
      </w:r>
      <w:r>
        <w:rPr>
          <w:rFonts w:hint="eastAsia" w:hAnsi="宋体"/>
          <w:color w:val="auto"/>
          <w:lang w:eastAsia="zh-CN"/>
        </w:rPr>
        <w:t>响应</w:t>
      </w:r>
      <w:r>
        <w:rPr>
          <w:rFonts w:hint="eastAsia" w:hAnsi="宋体"/>
          <w:color w:val="auto"/>
        </w:rPr>
        <w:t>供应商不能提供书面说明、证明材料，或者提供的书面说明、证明材料不能证明其报价合理性的，评审委员会应当将其作为无效</w:t>
      </w:r>
      <w:r>
        <w:rPr>
          <w:rFonts w:hint="eastAsia" w:hAnsi="宋体"/>
          <w:color w:val="auto"/>
          <w:lang w:eastAsia="zh-CN"/>
        </w:rPr>
        <w:t>响应</w:t>
      </w:r>
      <w:r>
        <w:rPr>
          <w:rFonts w:hint="eastAsia" w:hAnsi="宋体"/>
          <w:color w:val="auto"/>
        </w:rPr>
        <w:t>处理。</w:t>
      </w:r>
      <w:bookmarkEnd w:id="38"/>
      <w:bookmarkEnd w:id="39"/>
      <w:bookmarkEnd w:id="40"/>
    </w:p>
    <w:p w14:paraId="2959F6CC">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rPr>
        <w:t>3.6谈判小组对响应文件进行评审，未实质性响应谈判文件的响应文件按无效处理</w:t>
      </w:r>
      <w:r>
        <w:rPr>
          <w:rFonts w:hint="eastAsia" w:ascii="宋体" w:hAnsi="宋体" w:cs="宋体"/>
          <w:color w:val="000000"/>
          <w:szCs w:val="21"/>
          <w:highlight w:val="none"/>
        </w:rPr>
        <w:t>。谈判小组应当将资格和符合性不通过的情况告知有关供应商。谈判小组从符合谈判文件规定的相应资格条件的供应商名单中确定不少于3家的供应商参加谈判。</w:t>
      </w:r>
    </w:p>
    <w:p w14:paraId="0963BBA2">
      <w:pPr>
        <w:spacing w:line="360" w:lineRule="auto"/>
        <w:ind w:firstLine="420" w:firstLineChars="200"/>
        <w:rPr>
          <w:rFonts w:hint="eastAsia" w:ascii="宋体" w:hAnsi="宋体" w:cs="宋体"/>
          <w:color w:val="000000"/>
          <w:szCs w:val="21"/>
          <w:highlight w:val="yellow"/>
        </w:rPr>
      </w:pPr>
      <w:r>
        <w:rPr>
          <w:rFonts w:hint="eastAsia" w:ascii="宋体" w:hAnsi="宋体" w:cs="宋体"/>
          <w:color w:val="000000"/>
          <w:szCs w:val="21"/>
          <w:highlight w:val="none"/>
        </w:rPr>
        <w:t>3.7通过符合性审查的合格供应商不足3家的，不得进入谈判环节，应当重新开展采购活动。</w:t>
      </w:r>
    </w:p>
    <w:p w14:paraId="17CBEF88">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4.谈判程序</w:t>
      </w:r>
    </w:p>
    <w:p w14:paraId="3B95A0DF">
      <w:pPr>
        <w:spacing w:line="360" w:lineRule="auto"/>
        <w:ind w:firstLine="420" w:firstLineChars="200"/>
        <w:rPr>
          <w:rFonts w:hint="eastAsia" w:ascii="宋体" w:hAnsi="宋体" w:eastAsia="等线" w:cs="宋体"/>
          <w:b/>
          <w:kern w:val="0"/>
          <w:szCs w:val="21"/>
        </w:rPr>
      </w:pPr>
      <w:r>
        <w:rPr>
          <w:rFonts w:hint="eastAsia" w:ascii="宋体" w:hAnsi="宋体" w:cs="宋体"/>
          <w:kern w:val="0"/>
          <w:szCs w:val="21"/>
        </w:rPr>
        <w:t>4.1谈判小组按照“供应商须知前附表” 确定的顺序，集中与单一供应商分别进行谈判，并给予所有参加谈判的供应商平等的谈判机会。符合谈判资格的供应商必须在接到谈判通知后规定时间内参加谈判，未在规定时间内参加谈判的视同放弃参加谈判权利，</w:t>
      </w:r>
      <w:r>
        <w:rPr>
          <w:rFonts w:hint="eastAsia" w:ascii="宋体" w:hAnsi="宋体" w:cs="宋体"/>
          <w:b/>
          <w:kern w:val="0"/>
          <w:szCs w:val="21"/>
        </w:rPr>
        <w:t>其响应文件按无效响应处理。</w:t>
      </w:r>
    </w:p>
    <w:p w14:paraId="4EF66A82">
      <w:pPr>
        <w:spacing w:line="360" w:lineRule="auto"/>
        <w:ind w:firstLine="420" w:firstLineChars="200"/>
        <w:rPr>
          <w:rFonts w:hint="eastAsia" w:ascii="宋体" w:hAnsi="宋体" w:cs="宋体"/>
          <w:szCs w:val="21"/>
        </w:rPr>
      </w:pPr>
      <w:r>
        <w:rPr>
          <w:rFonts w:hint="eastAsia" w:ascii="宋体" w:hAnsi="宋体" w:cs="宋体"/>
          <w:szCs w:val="21"/>
        </w:rPr>
        <w:t>4.2在谈判过程中，谈判小组可以根据谈判文件和谈判情况实质性变动采购需求中的技术、货物要求以及合同草案条款，但不得变动谈判文件中的其他内容。实质性变动的内容，须经采购人代表确认。可能实质性变动的内容为采购需求中的技术、货物要求以及合同草案条款。</w:t>
      </w:r>
    </w:p>
    <w:p w14:paraId="32E98080">
      <w:pPr>
        <w:spacing w:line="360" w:lineRule="auto"/>
        <w:ind w:firstLine="420" w:firstLineChars="200"/>
        <w:rPr>
          <w:rFonts w:hint="eastAsia" w:ascii="宋体" w:hAnsi="宋体" w:cs="宋体"/>
          <w:szCs w:val="21"/>
        </w:rPr>
      </w:pPr>
      <w:r>
        <w:rPr>
          <w:rFonts w:hint="eastAsia" w:ascii="宋体" w:hAnsi="宋体" w:cs="宋体"/>
          <w:szCs w:val="21"/>
        </w:rPr>
        <w:t>4.3对谈判文件作出的实质性变动是谈判文件的有效组成部分，由谈判小组及时以电子澄清函形式同时通知所有参加谈判的供应商。</w:t>
      </w:r>
    </w:p>
    <w:p w14:paraId="62DD536B">
      <w:pPr>
        <w:spacing w:line="360" w:lineRule="auto"/>
        <w:ind w:firstLine="420" w:firstLineChars="200"/>
        <w:rPr>
          <w:rFonts w:hint="eastAsia" w:ascii="宋体" w:hAnsi="宋体" w:cs="宋体"/>
          <w:szCs w:val="21"/>
        </w:rPr>
      </w:pPr>
      <w:r>
        <w:rPr>
          <w:rFonts w:hint="eastAsia" w:ascii="宋体" w:hAnsi="宋体" w:cs="宋体"/>
          <w:szCs w:val="21"/>
        </w:rPr>
        <w:t>4.4供应商必须按照谈判文件的变动情况和谈判小组的要求以回函的形式重新提交响应文件，并加盖电子公章。供应商为自然人的，必须由本人签字并附身份证明。参加谈判的供应商未在规定时间内重新提交响应文件的，视同退出谈判。</w:t>
      </w:r>
    </w:p>
    <w:p w14:paraId="117ABC42">
      <w:pPr>
        <w:spacing w:line="360" w:lineRule="auto"/>
        <w:ind w:firstLine="420" w:firstLineChars="200"/>
        <w:rPr>
          <w:rFonts w:hint="eastAsia" w:ascii="宋体" w:hAnsi="宋体" w:cs="宋体"/>
          <w:szCs w:val="21"/>
        </w:rPr>
      </w:pPr>
      <w:r>
        <w:rPr>
          <w:rFonts w:hint="eastAsia" w:ascii="宋体" w:hAnsi="宋体" w:cs="宋体"/>
          <w:szCs w:val="21"/>
        </w:rPr>
        <w:t>4.5谈判中，</w:t>
      </w:r>
      <w:r>
        <w:rPr>
          <w:rFonts w:hint="eastAsia" w:ascii="宋体" w:hAnsi="宋体" w:cs="宋体"/>
          <w:spacing w:val="-6"/>
          <w:szCs w:val="21"/>
        </w:rPr>
        <w:t>谈判的任何一方不得透露与谈判有关的其他供应商的技术资料、价格和其他信息。</w:t>
      </w:r>
    </w:p>
    <w:p w14:paraId="67EBBE3E">
      <w:pPr>
        <w:widowControl/>
        <w:tabs>
          <w:tab w:val="left" w:pos="540"/>
        </w:tabs>
        <w:spacing w:line="360" w:lineRule="auto"/>
        <w:ind w:firstLine="420" w:firstLineChars="200"/>
        <w:jc w:val="left"/>
        <w:rPr>
          <w:rFonts w:hint="eastAsia" w:ascii="宋体" w:hAnsi="宋体" w:cs="宋体"/>
          <w:szCs w:val="21"/>
        </w:rPr>
      </w:pPr>
      <w:r>
        <w:rPr>
          <w:rFonts w:hint="eastAsia" w:ascii="宋体" w:hAnsi="宋体" w:cs="宋体"/>
          <w:szCs w:val="21"/>
        </w:rPr>
        <w:t>4.6谈判小组应对谈判过程和重要谈判内容进行记录，作为</w:t>
      </w:r>
      <w:r>
        <w:rPr>
          <w:rFonts w:hint="eastAsia" w:ascii="宋体" w:hAnsi="宋体" w:cs="宋体"/>
          <w:szCs w:val="21"/>
          <w:lang w:eastAsia="zh-CN"/>
        </w:rPr>
        <w:t>评审报告</w:t>
      </w:r>
      <w:r>
        <w:rPr>
          <w:rFonts w:hint="eastAsia" w:ascii="宋体" w:hAnsi="宋体" w:cs="宋体"/>
          <w:szCs w:val="21"/>
        </w:rPr>
        <w:t>一部分，谈判小组在记录上签字确认。</w:t>
      </w:r>
      <w:r>
        <w:rPr>
          <w:rFonts w:hint="eastAsia" w:ascii="仿宋" w:hAnsi="仿宋" w:eastAsia="仿宋" w:cs="仿宋_GB2312"/>
          <w:b/>
          <w:szCs w:val="24"/>
        </w:rPr>
        <w:t>主要内容包括：</w:t>
      </w:r>
    </w:p>
    <w:p w14:paraId="176E71A2">
      <w:pPr>
        <w:ind w:firstLine="396"/>
        <w:rPr>
          <w:rFonts w:hint="eastAsia" w:ascii="宋体" w:hAnsi="宋体" w:cs="宋体"/>
          <w:spacing w:val="-6"/>
          <w:szCs w:val="21"/>
        </w:rPr>
      </w:pPr>
      <w:r>
        <w:rPr>
          <w:rFonts w:hint="eastAsia" w:ascii="宋体" w:hAnsi="宋体" w:cs="宋体"/>
          <w:spacing w:val="-6"/>
          <w:szCs w:val="21"/>
        </w:rPr>
        <w:t>（1）按照相关规定进行公示的，公示情况说明；</w:t>
      </w:r>
    </w:p>
    <w:p w14:paraId="74A6B5F9">
      <w:pPr>
        <w:ind w:firstLine="396"/>
        <w:rPr>
          <w:rFonts w:hint="eastAsia" w:ascii="宋体" w:hAnsi="宋体" w:cs="宋体"/>
          <w:spacing w:val="-6"/>
          <w:szCs w:val="21"/>
        </w:rPr>
      </w:pPr>
      <w:r>
        <w:rPr>
          <w:rFonts w:hint="eastAsia" w:ascii="宋体" w:hAnsi="宋体" w:cs="宋体"/>
          <w:spacing w:val="-6"/>
          <w:szCs w:val="21"/>
        </w:rPr>
        <w:t>（2）谈判日期和地点，谈判人员名单；</w:t>
      </w:r>
    </w:p>
    <w:p w14:paraId="7C076014">
      <w:pPr>
        <w:ind w:firstLine="396"/>
        <w:rPr>
          <w:rFonts w:hint="eastAsia" w:ascii="宋体" w:hAnsi="宋体" w:cs="宋体"/>
          <w:spacing w:val="-6"/>
          <w:szCs w:val="21"/>
        </w:rPr>
      </w:pPr>
      <w:r>
        <w:rPr>
          <w:rFonts w:hint="eastAsia" w:ascii="宋体" w:hAnsi="宋体" w:cs="宋体"/>
          <w:spacing w:val="-6"/>
          <w:szCs w:val="21"/>
        </w:rPr>
        <w:t>（3）合同主要条款及价格商定情况。</w:t>
      </w:r>
    </w:p>
    <w:p w14:paraId="178043F8">
      <w:pPr>
        <w:widowControl/>
        <w:tabs>
          <w:tab w:val="left" w:pos="540"/>
        </w:tabs>
        <w:spacing w:line="360" w:lineRule="auto"/>
        <w:ind w:firstLine="420" w:firstLineChars="200"/>
        <w:jc w:val="left"/>
        <w:rPr>
          <w:rFonts w:hint="eastAsia" w:ascii="宋体" w:hAnsi="宋体" w:cs="宋体"/>
          <w:szCs w:val="21"/>
        </w:rPr>
      </w:pPr>
      <w:r>
        <w:rPr>
          <w:rFonts w:hint="eastAsia" w:ascii="宋体" w:hAnsi="宋体" w:cs="宋体"/>
          <w:szCs w:val="21"/>
        </w:rPr>
        <w:t>4.7谈判过程中重新提交的响应文件，供应商可以在开启前补充、修改。</w:t>
      </w:r>
    </w:p>
    <w:p w14:paraId="53A353C0">
      <w:pPr>
        <w:spacing w:line="360" w:lineRule="auto"/>
        <w:ind w:firstLine="420" w:firstLineChars="200"/>
        <w:rPr>
          <w:rFonts w:hint="eastAsia" w:ascii="宋体" w:hAnsi="宋体" w:cs="宋体"/>
          <w:szCs w:val="21"/>
        </w:rPr>
      </w:pPr>
      <w:r>
        <w:rPr>
          <w:rFonts w:hint="eastAsia" w:ascii="宋体" w:hAnsi="宋体" w:cs="宋体"/>
          <w:szCs w:val="21"/>
        </w:rPr>
        <w:t>4.8</w:t>
      </w:r>
      <w:r>
        <w:rPr>
          <w:rFonts w:hint="eastAsia" w:ascii="宋体" w:hAnsi="宋体"/>
          <w:szCs w:val="21"/>
        </w:rPr>
        <w:t>对谈判过程提交的响应文件进行有效性、完整性和响应程度审查，通过审查的合格供应商不足3家的，采购人或者采购代理机构应当重新开展采购活动。</w:t>
      </w:r>
    </w:p>
    <w:p w14:paraId="593CF845">
      <w:pPr>
        <w:spacing w:line="360" w:lineRule="auto"/>
        <w:ind w:firstLine="482" w:firstLineChars="200"/>
        <w:rPr>
          <w:rFonts w:hint="eastAsia" w:ascii="宋体" w:hAnsi="宋体" w:cs="宋体"/>
          <w:szCs w:val="21"/>
        </w:rPr>
      </w:pPr>
      <w:r>
        <w:rPr>
          <w:rFonts w:hint="eastAsia" w:ascii="黑体" w:hAnsi="黑体" w:eastAsia="黑体" w:cs="宋体"/>
          <w:b/>
          <w:bCs/>
          <w:sz w:val="24"/>
          <w:szCs w:val="24"/>
        </w:rPr>
        <w:t>5. 最后报价</w:t>
      </w:r>
    </w:p>
    <w:p w14:paraId="3313432F">
      <w:pPr>
        <w:spacing w:line="360" w:lineRule="auto"/>
        <w:ind w:firstLine="420" w:firstLineChars="200"/>
        <w:rPr>
          <w:rFonts w:hint="eastAsia" w:ascii="宋体" w:hAnsi="宋体" w:cs="宋体"/>
          <w:szCs w:val="21"/>
        </w:rPr>
      </w:pPr>
      <w:r>
        <w:rPr>
          <w:rFonts w:hint="eastAsia" w:ascii="宋体" w:hAnsi="宋体" w:cs="宋体"/>
          <w:szCs w:val="21"/>
        </w:rPr>
        <w:t>5.1谈判文件能够详细列明采购标的的技术、货物要求的，谈判结束后，由谈判小组要求所有继续参加谈判的供应商在规定时间内密封提交最后报价，提交最后报价的供应商不得少于3家，否则必须重新采购。</w:t>
      </w:r>
    </w:p>
    <w:p w14:paraId="5DB30D9A">
      <w:pPr>
        <w:spacing w:line="360" w:lineRule="auto"/>
        <w:ind w:firstLine="420" w:firstLineChars="200"/>
        <w:rPr>
          <w:rFonts w:hint="eastAsia" w:ascii="宋体" w:hAnsi="宋体" w:cs="宋体"/>
          <w:szCs w:val="21"/>
        </w:rPr>
      </w:pPr>
      <w:r>
        <w:rPr>
          <w:rFonts w:hint="eastAsia" w:ascii="宋体" w:hAnsi="宋体" w:cs="宋体"/>
          <w:szCs w:val="21"/>
        </w:rPr>
        <w:t>5.2谈判文件不能详细列明采购标的的技术、货物要求，需经谈判由供应商提供最后设计方案或者解决方案的，谈判结束后，由谈判小组按照少数服从多数的原则投票推荐3家以上供应商的设计方案或者解决方案，并要求其在规定时间内在“政采云”平台远程不见面开标大厅响应最后报价。</w:t>
      </w:r>
    </w:p>
    <w:p w14:paraId="303E6926">
      <w:pPr>
        <w:spacing w:line="360" w:lineRule="auto"/>
        <w:ind w:firstLine="420" w:firstLineChars="200"/>
        <w:rPr>
          <w:rFonts w:hint="eastAsia" w:ascii="宋体" w:hAnsi="宋体" w:cs="宋体"/>
          <w:szCs w:val="21"/>
        </w:rPr>
      </w:pPr>
      <w:r>
        <w:rPr>
          <w:rFonts w:hint="eastAsia" w:ascii="宋体" w:hAnsi="宋体" w:cs="宋体"/>
          <w:szCs w:val="21"/>
        </w:rPr>
        <w:t>5.3 最后报价是供应商响应文件的有效组成部分。</w:t>
      </w:r>
    </w:p>
    <w:p w14:paraId="35CE506C">
      <w:pPr>
        <w:spacing w:line="360" w:lineRule="auto"/>
        <w:ind w:firstLine="420" w:firstLineChars="200"/>
        <w:rPr>
          <w:rFonts w:hint="eastAsia" w:ascii="宋体" w:hAnsi="宋体" w:cs="宋体"/>
          <w:szCs w:val="21"/>
        </w:rPr>
      </w:pPr>
      <w:r>
        <w:rPr>
          <w:rFonts w:hint="eastAsia" w:ascii="宋体" w:hAnsi="宋体" w:cs="宋体"/>
          <w:szCs w:val="21"/>
        </w:rPr>
        <w:t>5.4已经提交响应文件的供应商，在提交最后报价之前，可以根据谈判情况退出谈判，退出谈判的供应商的响应文件按无效响应处理。</w:t>
      </w:r>
    </w:p>
    <w:p w14:paraId="5888A329">
      <w:pPr>
        <w:spacing w:line="360" w:lineRule="auto"/>
        <w:ind w:firstLine="420" w:firstLineChars="200"/>
        <w:rPr>
          <w:rFonts w:hint="eastAsia" w:ascii="宋体" w:hAnsi="宋体" w:cs="宋体"/>
          <w:szCs w:val="21"/>
        </w:rPr>
      </w:pPr>
      <w:r>
        <w:rPr>
          <w:rFonts w:hint="eastAsia" w:ascii="宋体" w:hAnsi="宋体" w:cs="宋体"/>
          <w:szCs w:val="21"/>
        </w:rPr>
        <w:t>5.5供应商未在规定时间内提交最后报价的</w:t>
      </w:r>
      <w:r>
        <w:rPr>
          <w:rFonts w:hint="eastAsia" w:ascii="宋体" w:hAnsi="宋体" w:cs="宋体"/>
          <w:b/>
          <w:szCs w:val="21"/>
        </w:rPr>
        <w:t>，视同放弃报价权利退出谈判。</w:t>
      </w:r>
    </w:p>
    <w:p w14:paraId="751DB28D">
      <w:pPr>
        <w:spacing w:line="360" w:lineRule="auto"/>
        <w:ind w:firstLine="420" w:firstLineChars="200"/>
        <w:rPr>
          <w:rFonts w:hint="eastAsia" w:ascii="宋体" w:hAnsi="宋体" w:cs="宋体"/>
          <w:szCs w:val="21"/>
        </w:rPr>
      </w:pPr>
      <w:r>
        <w:rPr>
          <w:rFonts w:hint="eastAsia" w:ascii="宋体" w:hAnsi="宋体" w:cs="宋体"/>
          <w:szCs w:val="21"/>
        </w:rPr>
        <w:t xml:space="preserve">5.6最终响应文件的报价出现前后不一致的，按照本章第3.4条的规定修正。 </w:t>
      </w:r>
    </w:p>
    <w:p w14:paraId="1DD704A4">
      <w:pPr>
        <w:spacing w:line="360" w:lineRule="auto"/>
        <w:ind w:firstLine="420" w:firstLineChars="200"/>
        <w:rPr>
          <w:rFonts w:hint="eastAsia" w:ascii="宋体" w:hAnsi="宋体" w:cs="宋体"/>
          <w:szCs w:val="21"/>
        </w:rPr>
      </w:pPr>
      <w:r>
        <w:rPr>
          <w:rFonts w:hint="eastAsia" w:ascii="宋体" w:hAnsi="宋体" w:cs="宋体"/>
          <w:szCs w:val="21"/>
        </w:rPr>
        <w:t>5.7修正后的最终报价出现下列情形的，按无效响应处理：</w:t>
      </w:r>
    </w:p>
    <w:p w14:paraId="23869878">
      <w:pPr>
        <w:spacing w:line="360" w:lineRule="auto"/>
        <w:ind w:firstLine="420" w:firstLineChars="200"/>
        <w:rPr>
          <w:rFonts w:hint="eastAsia" w:ascii="宋体" w:hAnsi="宋体" w:cs="宋体"/>
          <w:szCs w:val="21"/>
        </w:rPr>
      </w:pPr>
      <w:r>
        <w:rPr>
          <w:rFonts w:hint="eastAsia" w:ascii="宋体" w:hAnsi="宋体" w:cs="宋体"/>
          <w:szCs w:val="21"/>
        </w:rPr>
        <w:t>（1）供应商不确认的（全流程电子化评标采取在线确认）；</w:t>
      </w:r>
    </w:p>
    <w:p w14:paraId="0324F361">
      <w:pPr>
        <w:spacing w:line="360" w:lineRule="auto"/>
        <w:ind w:firstLine="420" w:firstLineChars="200"/>
        <w:rPr>
          <w:rFonts w:hint="eastAsia" w:ascii="宋体" w:hAnsi="宋体" w:cs="宋体"/>
          <w:szCs w:val="21"/>
        </w:rPr>
      </w:pPr>
      <w:r>
        <w:rPr>
          <w:rFonts w:hint="eastAsia" w:ascii="宋体" w:hAnsi="宋体" w:cs="宋体"/>
          <w:szCs w:val="21"/>
        </w:rPr>
        <w:t>（2）经供应商确认修正后的响应报价（包含首次报价、最后报价）超过所</w:t>
      </w:r>
      <w:r>
        <w:rPr>
          <w:rFonts w:hint="eastAsia" w:ascii="宋体" w:hAnsi="宋体" w:cs="宋体"/>
          <w:szCs w:val="21"/>
          <w:lang w:eastAsia="zh-CN"/>
        </w:rPr>
        <w:t>响应</w:t>
      </w:r>
      <w:r>
        <w:rPr>
          <w:rFonts w:hint="eastAsia" w:ascii="宋体" w:hAnsi="宋体" w:cs="宋体"/>
          <w:szCs w:val="21"/>
        </w:rPr>
        <w:t>分标规定的采购预算金额或者最高限价的（如本项目公布了最高限价）（全流程电子化评标多轮报价设置了上线控制价，即预算价）；</w:t>
      </w:r>
    </w:p>
    <w:p w14:paraId="1AA2FCEC">
      <w:pPr>
        <w:spacing w:line="360" w:lineRule="auto"/>
        <w:ind w:firstLine="420" w:firstLineChars="200"/>
        <w:rPr>
          <w:rFonts w:hint="eastAsia" w:ascii="宋体" w:hAnsi="宋体" w:cs="宋体"/>
          <w:szCs w:val="21"/>
        </w:rPr>
      </w:pPr>
      <w:r>
        <w:rPr>
          <w:rFonts w:hint="eastAsia" w:ascii="宋体" w:hAnsi="宋体" w:cs="宋体"/>
          <w:szCs w:val="21"/>
        </w:rPr>
        <w:t>（3）经供应商确认修正后的响应报价（包含首次报价、最后报价）超过分项采购预算金额或者最高限价的（如本项目公布了最高限价）。</w:t>
      </w:r>
    </w:p>
    <w:p w14:paraId="599B4163">
      <w:pPr>
        <w:spacing w:line="360" w:lineRule="auto"/>
        <w:ind w:firstLine="420" w:firstLineChars="200"/>
        <w:rPr>
          <w:rFonts w:hint="eastAsia" w:ascii="宋体" w:hAnsi="宋体" w:cs="宋体"/>
          <w:szCs w:val="21"/>
        </w:rPr>
      </w:pPr>
      <w:r>
        <w:rPr>
          <w:rFonts w:hint="eastAsia" w:ascii="宋体" w:hAnsi="宋体" w:cs="宋体"/>
          <w:szCs w:val="21"/>
        </w:rPr>
        <w:t>5.8经供应商确认修正后的最后报价作为评审及签订合同的依据。</w:t>
      </w:r>
    </w:p>
    <w:p w14:paraId="6E629853">
      <w:pPr>
        <w:spacing w:line="360" w:lineRule="auto"/>
        <w:ind w:firstLine="420" w:firstLineChars="200"/>
        <w:rPr>
          <w:rFonts w:hint="eastAsia" w:ascii="宋体" w:hAnsi="宋体" w:cs="宋体"/>
          <w:szCs w:val="21"/>
        </w:rPr>
      </w:pPr>
      <w:r>
        <w:rPr>
          <w:rFonts w:hint="eastAsia" w:ascii="宋体" w:hAnsi="宋体" w:cs="宋体"/>
          <w:szCs w:val="21"/>
        </w:rPr>
        <w:t>5.9供应商出现最后报价按无效响应处理或者响应文件按无效处理时</w:t>
      </w:r>
      <w:r>
        <w:rPr>
          <w:rFonts w:hint="eastAsia" w:ascii="宋体" w:hAnsi="宋体"/>
          <w:sz w:val="22"/>
          <w:szCs w:val="24"/>
        </w:rPr>
        <w:t>，谈判小组应当告知有关供应商</w:t>
      </w:r>
      <w:r>
        <w:rPr>
          <w:rFonts w:hint="eastAsia" w:ascii="宋体" w:hAnsi="宋体" w:cs="宋体"/>
          <w:szCs w:val="21"/>
        </w:rPr>
        <w:t>。</w:t>
      </w:r>
    </w:p>
    <w:p w14:paraId="02A0EA2C">
      <w:pPr>
        <w:spacing w:line="360" w:lineRule="auto"/>
        <w:ind w:firstLine="420" w:firstLineChars="200"/>
        <w:rPr>
          <w:rFonts w:hint="eastAsia" w:ascii="宋体" w:hAnsi="宋体" w:cs="宋体"/>
          <w:szCs w:val="21"/>
        </w:rPr>
      </w:pPr>
      <w:r>
        <w:rPr>
          <w:rFonts w:hint="eastAsia" w:ascii="宋体" w:hAnsi="宋体" w:cs="宋体"/>
          <w:szCs w:val="21"/>
        </w:rPr>
        <w:t>5.10最后报价结束后，谈判小组不得再与供应商进行任何形式的商谈。</w:t>
      </w:r>
    </w:p>
    <w:p w14:paraId="7F3ED525">
      <w:pPr>
        <w:spacing w:line="360" w:lineRule="auto"/>
        <w:ind w:firstLine="482" w:firstLineChars="200"/>
        <w:rPr>
          <w:rFonts w:hint="eastAsia" w:ascii="黑体" w:hAnsi="黑体" w:eastAsia="黑体" w:cs="宋体"/>
          <w:b/>
          <w:bCs/>
          <w:sz w:val="24"/>
        </w:rPr>
      </w:pPr>
      <w:r>
        <w:rPr>
          <w:rFonts w:hint="eastAsia" w:ascii="黑体" w:hAnsi="黑体" w:eastAsia="黑体" w:cs="宋体"/>
          <w:b/>
          <w:bCs/>
          <w:sz w:val="24"/>
          <w:szCs w:val="24"/>
        </w:rPr>
        <w:t>6. 最后报价政府采购政策性扣除</w:t>
      </w:r>
    </w:p>
    <w:p w14:paraId="432235DF">
      <w:pPr>
        <w:spacing w:line="360" w:lineRule="auto"/>
        <w:ind w:firstLine="420" w:firstLineChars="200"/>
        <w:rPr>
          <w:rFonts w:hint="eastAsia" w:ascii="宋体" w:hAnsi="宋体" w:eastAsia="等线" w:cs="宋体"/>
          <w:color w:val="000000"/>
          <w:szCs w:val="21"/>
        </w:rPr>
      </w:pPr>
      <w:r>
        <w:rPr>
          <w:rFonts w:hint="eastAsia" w:ascii="宋体" w:hAnsi="宋体" w:cs="宋体"/>
          <w:color w:val="000000"/>
          <w:szCs w:val="21"/>
        </w:rPr>
        <w:t>6.1评审价为供应商的最后报价进行政策性扣除后的价格，评审价只是作为评审时使用。最终成交供应商的成交金额等于最后报价（如有修正，以确认修正后的最后报价为准）。</w:t>
      </w:r>
    </w:p>
    <w:p w14:paraId="376A3005">
      <w:pPr>
        <w:spacing w:line="360" w:lineRule="auto"/>
        <w:ind w:firstLine="420" w:firstLineChars="200"/>
        <w:rPr>
          <w:rFonts w:hint="eastAsia" w:ascii="宋体" w:hAnsi="宋体" w:cs="宋体"/>
          <w:color w:val="000000"/>
        </w:rPr>
      </w:pPr>
      <w:r>
        <w:rPr>
          <w:rFonts w:hint="eastAsia" w:ascii="宋体" w:hAnsi="宋体" w:cs="宋体"/>
          <w:color w:val="000000"/>
          <w:szCs w:val="21"/>
        </w:rPr>
        <w:t>6.2</w:t>
      </w:r>
      <w:r>
        <w:rPr>
          <w:rFonts w:hint="eastAsia" w:ascii="宋体" w:hAnsi="宋体" w:cs="宋体"/>
          <w:color w:val="000000"/>
          <w:szCs w:val="24"/>
        </w:rPr>
        <w:t>政策性扣除计算方法。</w:t>
      </w:r>
    </w:p>
    <w:p w14:paraId="1EB2ADA9">
      <w:pPr>
        <w:spacing w:line="360" w:lineRule="auto"/>
        <w:ind w:firstLine="422" w:firstLineChars="200"/>
        <w:rPr>
          <w:b/>
          <w:bCs/>
          <w:color w:val="auto"/>
        </w:rPr>
      </w:pPr>
      <w:bookmarkStart w:id="41" w:name="OLE_LINK10"/>
      <w:bookmarkStart w:id="42" w:name="OLE_LINK41"/>
      <w:r>
        <w:rPr>
          <w:b/>
          <w:bCs/>
          <w:color w:val="auto"/>
        </w:rPr>
        <w:t>6.2.1</w:t>
      </w:r>
      <w:r>
        <w:rPr>
          <w:rFonts w:hint="eastAsia"/>
          <w:b/>
          <w:bCs/>
          <w:color w:val="auto"/>
        </w:rPr>
        <w:t>根据</w:t>
      </w:r>
      <w:bookmarkStart w:id="43" w:name="OLE_LINK15"/>
      <w:r>
        <w:rPr>
          <w:rFonts w:hint="eastAsia"/>
          <w:b/>
          <w:bCs/>
          <w:color w:val="auto"/>
        </w:rPr>
        <w:t>《政府采购促进中小企业发展管理办法》（财库〔</w:t>
      </w:r>
      <w:r>
        <w:rPr>
          <w:b/>
          <w:bCs/>
          <w:color w:val="auto"/>
        </w:rPr>
        <w:t>2020</w:t>
      </w:r>
      <w:r>
        <w:rPr>
          <w:rFonts w:hint="eastAsia"/>
          <w:b/>
          <w:bCs/>
          <w:color w:val="auto"/>
        </w:rPr>
        <w:t>〕</w:t>
      </w:r>
      <w:r>
        <w:rPr>
          <w:b/>
          <w:bCs/>
          <w:color w:val="auto"/>
        </w:rPr>
        <w:t>46</w:t>
      </w:r>
      <w:r>
        <w:rPr>
          <w:rFonts w:hint="eastAsia"/>
          <w:b/>
          <w:bCs/>
          <w:color w:val="auto"/>
        </w:rPr>
        <w:t>号）的规定</w:t>
      </w:r>
      <w:bookmarkEnd w:id="43"/>
      <w:r>
        <w:rPr>
          <w:rFonts w:hint="eastAsia"/>
          <w:b/>
          <w:bCs/>
          <w:color w:val="auto"/>
        </w:rPr>
        <w:t>，供应商在其响应文件中提供《中小企业声明函》，且其</w:t>
      </w:r>
      <w:r>
        <w:rPr>
          <w:rFonts w:hint="eastAsia"/>
          <w:b/>
          <w:bCs/>
          <w:color w:val="auto"/>
          <w:lang w:eastAsia="zh-CN"/>
        </w:rPr>
        <w:t>响应</w:t>
      </w:r>
      <w:r>
        <w:rPr>
          <w:rFonts w:hint="eastAsia"/>
          <w:b/>
          <w:bCs/>
          <w:color w:val="auto"/>
        </w:rPr>
        <w:t>全部货物均由小微企业提供的，对供应商的</w:t>
      </w:r>
      <w:r>
        <w:rPr>
          <w:rFonts w:hint="eastAsia"/>
          <w:b/>
          <w:bCs/>
          <w:color w:val="auto"/>
          <w:lang w:eastAsia="zh-CN"/>
        </w:rPr>
        <w:t>响应</w:t>
      </w:r>
      <w:r>
        <w:rPr>
          <w:rFonts w:hint="eastAsia"/>
          <w:b/>
          <w:bCs/>
          <w:color w:val="auto"/>
        </w:rPr>
        <w:t>报价给予</w:t>
      </w:r>
      <w:r>
        <w:rPr>
          <w:b/>
          <w:bCs/>
          <w:color w:val="auto"/>
        </w:rPr>
        <w:t>20%</w:t>
      </w:r>
      <w:r>
        <w:rPr>
          <w:rFonts w:hint="eastAsia"/>
          <w:b/>
          <w:bCs/>
          <w:color w:val="auto"/>
        </w:rPr>
        <w:t>的扣除，扣除后的价格为评审价，即评审价</w:t>
      </w:r>
      <w:r>
        <w:rPr>
          <w:b/>
          <w:bCs/>
          <w:color w:val="auto"/>
        </w:rPr>
        <w:t>=</w:t>
      </w:r>
      <w:r>
        <w:rPr>
          <w:rFonts w:hint="eastAsia"/>
          <w:b/>
          <w:bCs/>
          <w:color w:val="auto"/>
          <w:lang w:eastAsia="zh-CN"/>
        </w:rPr>
        <w:t>响应</w:t>
      </w:r>
      <w:r>
        <w:rPr>
          <w:rFonts w:hint="eastAsia"/>
          <w:b/>
          <w:bCs/>
          <w:color w:val="auto"/>
        </w:rPr>
        <w:t>报价×（</w:t>
      </w:r>
      <w:r>
        <w:rPr>
          <w:b/>
          <w:bCs/>
          <w:color w:val="auto"/>
        </w:rPr>
        <w:t>1-20%</w:t>
      </w:r>
      <w:r>
        <w:rPr>
          <w:rFonts w:hint="eastAsia"/>
          <w:b/>
          <w:bCs/>
          <w:color w:val="auto"/>
        </w:rPr>
        <w:t>）。接受大中型企业与小微企业组成联合体或者允许大中型企业向一家或者多家小微企业分包的采购项目，联合协议或者分包意向协议约定小微企业的合同份额占到合同总金额</w:t>
      </w:r>
      <w:r>
        <w:rPr>
          <w:b/>
          <w:bCs/>
          <w:color w:val="auto"/>
        </w:rPr>
        <w:t>30%</w:t>
      </w:r>
      <w:r>
        <w:rPr>
          <w:rFonts w:hint="eastAsia"/>
          <w:b/>
          <w:bCs/>
          <w:color w:val="auto"/>
        </w:rPr>
        <w:t>以上的，采购人、采购代理机构应当对联合体或者大中型企业的报价给予</w:t>
      </w:r>
      <w:r>
        <w:rPr>
          <w:b/>
          <w:bCs/>
          <w:color w:val="auto"/>
        </w:rPr>
        <w:t xml:space="preserve"> 6% </w:t>
      </w:r>
      <w:r>
        <w:rPr>
          <w:rFonts w:hint="eastAsia"/>
          <w:b/>
          <w:bCs/>
          <w:color w:val="auto"/>
        </w:rPr>
        <w:t>的扣除，用扣除后的价格参加评审，扣除后的价格为评审价，即评审价</w:t>
      </w:r>
      <w:r>
        <w:rPr>
          <w:b/>
          <w:bCs/>
          <w:color w:val="auto"/>
        </w:rPr>
        <w:t>=</w:t>
      </w:r>
      <w:bookmarkStart w:id="44" w:name="OLE_LINK18"/>
      <w:r>
        <w:rPr>
          <w:rFonts w:hint="eastAsia"/>
          <w:b/>
          <w:bCs/>
          <w:color w:val="auto"/>
          <w:lang w:eastAsia="zh-CN"/>
        </w:rPr>
        <w:t>响应</w:t>
      </w:r>
      <w:r>
        <w:rPr>
          <w:rFonts w:hint="eastAsia"/>
          <w:b/>
          <w:bCs/>
          <w:color w:val="auto"/>
        </w:rPr>
        <w:t>报价×（</w:t>
      </w:r>
      <w:r>
        <w:rPr>
          <w:b/>
          <w:bCs/>
          <w:color w:val="auto"/>
        </w:rPr>
        <w:t>1- 6 %</w:t>
      </w:r>
      <w:r>
        <w:rPr>
          <w:rFonts w:hint="eastAsia"/>
          <w:b/>
          <w:bCs/>
          <w:color w:val="auto"/>
        </w:rPr>
        <w:t>）</w:t>
      </w:r>
      <w:bookmarkEnd w:id="44"/>
      <w:r>
        <w:rPr>
          <w:rFonts w:hint="eastAsia"/>
          <w:b/>
          <w:bCs/>
          <w:color w:val="auto"/>
        </w:rPr>
        <w:t>。</w:t>
      </w:r>
    </w:p>
    <w:p w14:paraId="464BB14D">
      <w:pPr>
        <w:spacing w:line="360" w:lineRule="auto"/>
        <w:ind w:firstLine="422" w:firstLineChars="200"/>
        <w:rPr>
          <w:b/>
          <w:bCs/>
          <w:color w:val="auto"/>
        </w:rPr>
      </w:pPr>
      <w:r>
        <w:rPr>
          <w:b/>
          <w:bCs/>
          <w:color w:val="auto"/>
        </w:rPr>
        <w:t xml:space="preserve">6.2.2 </w:t>
      </w:r>
      <w:bookmarkStart w:id="45" w:name="OLE_LINK88"/>
      <w:r>
        <w:rPr>
          <w:rFonts w:hint="eastAsia"/>
          <w:b/>
          <w:bCs/>
          <w:color w:val="auto"/>
        </w:rPr>
        <w:t>符合《国务院办公厅关于在政府采购中实施本国产品标准及相关政策的通知》（国办发〔</w:t>
      </w:r>
      <w:r>
        <w:rPr>
          <w:b/>
          <w:bCs/>
          <w:color w:val="auto"/>
        </w:rPr>
        <w:t>2025</w:t>
      </w:r>
      <w:r>
        <w:rPr>
          <w:rFonts w:hint="eastAsia"/>
          <w:b/>
          <w:bCs/>
          <w:color w:val="auto"/>
        </w:rPr>
        <w:t>〕</w:t>
      </w:r>
      <w:r>
        <w:rPr>
          <w:b/>
          <w:bCs/>
          <w:color w:val="auto"/>
        </w:rPr>
        <w:t>34</w:t>
      </w:r>
      <w:r>
        <w:rPr>
          <w:rFonts w:hint="eastAsia"/>
          <w:b/>
          <w:bCs/>
          <w:color w:val="auto"/>
        </w:rPr>
        <w:t>号）规定条件且按该通知中规定的格式提供了《关于符合本国产品标准的声明函》的供应商参与</w:t>
      </w:r>
      <w:r>
        <w:rPr>
          <w:rFonts w:hint="eastAsia"/>
          <w:b/>
          <w:bCs/>
          <w:color w:val="auto"/>
          <w:lang w:eastAsia="zh-CN"/>
        </w:rPr>
        <w:t>响应</w:t>
      </w:r>
      <w:r>
        <w:rPr>
          <w:rFonts w:hint="eastAsia"/>
          <w:b/>
          <w:bCs/>
          <w:color w:val="auto"/>
        </w:rPr>
        <w:t>，对其</w:t>
      </w:r>
      <w:r>
        <w:rPr>
          <w:rFonts w:hint="eastAsia"/>
          <w:b/>
          <w:bCs/>
          <w:color w:val="auto"/>
          <w:lang w:eastAsia="zh-CN"/>
        </w:rPr>
        <w:t>响应</w:t>
      </w:r>
      <w:r>
        <w:rPr>
          <w:rFonts w:hint="eastAsia"/>
          <w:b/>
          <w:bCs/>
          <w:color w:val="auto"/>
        </w:rPr>
        <w:t>报价给予</w:t>
      </w:r>
      <w:r>
        <w:rPr>
          <w:b/>
          <w:bCs/>
          <w:color w:val="auto"/>
        </w:rPr>
        <w:t>20%</w:t>
      </w:r>
      <w:r>
        <w:rPr>
          <w:rFonts w:hint="eastAsia"/>
          <w:b/>
          <w:bCs/>
          <w:color w:val="auto"/>
        </w:rPr>
        <w:t>的扣除，扣除后的价格为评标价，即评标价</w:t>
      </w:r>
      <w:r>
        <w:rPr>
          <w:b/>
          <w:bCs/>
          <w:color w:val="auto"/>
        </w:rPr>
        <w:t>=</w:t>
      </w:r>
      <w:r>
        <w:rPr>
          <w:rFonts w:hint="eastAsia"/>
          <w:b/>
          <w:bCs/>
          <w:color w:val="auto"/>
        </w:rPr>
        <w:t>最终</w:t>
      </w:r>
      <w:r>
        <w:rPr>
          <w:rFonts w:hint="eastAsia"/>
          <w:b/>
          <w:bCs/>
          <w:color w:val="auto"/>
          <w:lang w:eastAsia="zh-CN"/>
        </w:rPr>
        <w:t>响应</w:t>
      </w:r>
      <w:r>
        <w:rPr>
          <w:rFonts w:hint="eastAsia"/>
          <w:b/>
          <w:bCs/>
          <w:color w:val="auto"/>
        </w:rPr>
        <w:t>价×（</w:t>
      </w:r>
      <w:r>
        <w:rPr>
          <w:b/>
          <w:bCs/>
          <w:color w:val="auto"/>
        </w:rPr>
        <w:t>1-20%</w:t>
      </w:r>
      <w:r>
        <w:rPr>
          <w:rFonts w:hint="eastAsia"/>
          <w:b/>
          <w:bCs/>
          <w:color w:val="auto"/>
        </w:rPr>
        <w:t>）（以</w:t>
      </w:r>
      <w:r>
        <w:rPr>
          <w:rFonts w:hint="eastAsia"/>
          <w:b/>
          <w:bCs/>
          <w:color w:val="auto"/>
          <w:lang w:eastAsia="zh-CN"/>
        </w:rPr>
        <w:t>响应供应商</w:t>
      </w:r>
      <w:r>
        <w:rPr>
          <w:rFonts w:hint="eastAsia"/>
          <w:b/>
          <w:bCs/>
          <w:color w:val="auto"/>
        </w:rPr>
        <w:t>按第五章“响应文件格式”要求提供的</w:t>
      </w:r>
      <w:bookmarkStart w:id="46" w:name="OLE_LINK96"/>
      <w:r>
        <w:rPr>
          <w:rFonts w:hint="eastAsia"/>
          <w:b/>
          <w:bCs/>
          <w:color w:val="auto"/>
        </w:rPr>
        <w:t>《关于符合本国产品标准的声明函》和《关于符合本国产品标准的成本占比承诺函》</w:t>
      </w:r>
      <w:bookmarkEnd w:id="46"/>
      <w:r>
        <w:rPr>
          <w:rFonts w:hint="eastAsia"/>
          <w:b/>
          <w:bCs/>
          <w:color w:val="auto"/>
        </w:rPr>
        <w:t>为评分依据）</w:t>
      </w:r>
      <w:bookmarkEnd w:id="41"/>
      <w:bookmarkEnd w:id="45"/>
    </w:p>
    <w:p w14:paraId="5C874B5E">
      <w:pPr>
        <w:spacing w:line="360" w:lineRule="auto"/>
        <w:ind w:firstLine="422" w:firstLineChars="200"/>
        <w:rPr>
          <w:b/>
          <w:bCs/>
          <w:color w:val="auto"/>
        </w:rPr>
      </w:pPr>
      <w:r>
        <w:rPr>
          <w:b/>
          <w:bCs/>
          <w:color w:val="auto"/>
        </w:rPr>
        <w:t xml:space="preserve">6.2.3 </w:t>
      </w:r>
      <w:bookmarkStart w:id="47" w:name="OLE_LINK19"/>
      <w:r>
        <w:rPr>
          <w:rFonts w:hint="eastAsia"/>
          <w:b/>
          <w:bCs/>
          <w:color w:val="auto"/>
        </w:rPr>
        <w:t>本国产品政策与其他政府采购政策叠加执行。如供应商在</w:t>
      </w:r>
      <w:r>
        <w:rPr>
          <w:rFonts w:hint="eastAsia"/>
          <w:b/>
          <w:bCs/>
          <w:color w:val="auto"/>
          <w:lang w:eastAsia="zh-CN"/>
        </w:rPr>
        <w:t>响应</w:t>
      </w:r>
      <w:r>
        <w:rPr>
          <w:rFonts w:hint="eastAsia"/>
          <w:b/>
          <w:bCs/>
          <w:color w:val="auto"/>
        </w:rPr>
        <w:t>时同时符合《政府采购促进中小企业发展管理办法》（财库〔</w:t>
      </w:r>
      <w:r>
        <w:rPr>
          <w:b/>
          <w:bCs/>
          <w:color w:val="auto"/>
        </w:rPr>
        <w:t>2020</w:t>
      </w:r>
      <w:r>
        <w:rPr>
          <w:rFonts w:hint="eastAsia"/>
          <w:b/>
          <w:bCs/>
          <w:color w:val="auto"/>
        </w:rPr>
        <w:t>〕</w:t>
      </w:r>
      <w:r>
        <w:rPr>
          <w:b/>
          <w:bCs/>
          <w:color w:val="auto"/>
        </w:rPr>
        <w:t>46</w:t>
      </w:r>
      <w:r>
        <w:rPr>
          <w:rFonts w:hint="eastAsia"/>
          <w:b/>
          <w:bCs/>
          <w:color w:val="auto"/>
        </w:rPr>
        <w:t>号）的规定和《国务院办公厅关于在政府采购中实施本国产品标准及相关政策的通知》（国办发〔</w:t>
      </w:r>
      <w:r>
        <w:rPr>
          <w:b/>
          <w:bCs/>
          <w:color w:val="auto"/>
        </w:rPr>
        <w:t>2025</w:t>
      </w:r>
      <w:r>
        <w:rPr>
          <w:rFonts w:hint="eastAsia"/>
          <w:b/>
          <w:bCs/>
          <w:color w:val="auto"/>
        </w:rPr>
        <w:t>〕</w:t>
      </w:r>
      <w:r>
        <w:rPr>
          <w:b/>
          <w:bCs/>
          <w:color w:val="auto"/>
        </w:rPr>
        <w:t>34</w:t>
      </w:r>
      <w:r>
        <w:rPr>
          <w:rFonts w:hint="eastAsia"/>
          <w:b/>
          <w:bCs/>
          <w:color w:val="auto"/>
        </w:rPr>
        <w:t>号）规定享受</w:t>
      </w:r>
      <w:r>
        <w:rPr>
          <w:rFonts w:hint="eastAsia"/>
          <w:b/>
          <w:bCs/>
          <w:color w:val="auto"/>
          <w:lang w:eastAsia="zh-CN"/>
        </w:rPr>
        <w:t>响应</w:t>
      </w:r>
      <w:r>
        <w:rPr>
          <w:rFonts w:hint="eastAsia"/>
          <w:b/>
          <w:bCs/>
          <w:color w:val="auto"/>
        </w:rPr>
        <w:t>报价扣除时，最终评审价</w:t>
      </w:r>
      <w:r>
        <w:rPr>
          <w:b/>
          <w:bCs/>
          <w:color w:val="auto"/>
        </w:rPr>
        <w:t>=</w:t>
      </w:r>
      <w:r>
        <w:rPr>
          <w:rFonts w:hint="eastAsia"/>
          <w:b/>
          <w:bCs/>
          <w:color w:val="auto"/>
          <w:lang w:eastAsia="zh-CN"/>
        </w:rPr>
        <w:t>响应</w:t>
      </w:r>
      <w:r>
        <w:rPr>
          <w:rFonts w:hint="eastAsia"/>
          <w:b/>
          <w:bCs/>
          <w:color w:val="auto"/>
        </w:rPr>
        <w:t>报价×（</w:t>
      </w:r>
      <w:r>
        <w:rPr>
          <w:b/>
          <w:bCs/>
          <w:color w:val="auto"/>
        </w:rPr>
        <w:t xml:space="preserve">1- </w:t>
      </w:r>
      <w:r>
        <w:rPr>
          <w:rFonts w:hint="eastAsia"/>
          <w:b/>
          <w:bCs/>
          <w:color w:val="auto"/>
        </w:rPr>
        <w:t>小微企业价格扣除比例</w:t>
      </w:r>
      <w:r>
        <w:rPr>
          <w:b/>
          <w:bCs/>
          <w:color w:val="auto"/>
        </w:rPr>
        <w:t>-</w:t>
      </w:r>
      <w:r>
        <w:rPr>
          <w:rFonts w:hint="eastAsia"/>
          <w:b/>
          <w:bCs/>
          <w:color w:val="auto"/>
        </w:rPr>
        <w:t>本国产品标准价格扣除比例）</w:t>
      </w:r>
      <w:bookmarkEnd w:id="42"/>
      <w:bookmarkEnd w:id="47"/>
    </w:p>
    <w:p w14:paraId="0A84C6F0">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6.3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34602E11">
      <w:pPr>
        <w:spacing w:line="360" w:lineRule="auto"/>
        <w:ind w:firstLine="420" w:firstLineChars="200"/>
        <w:rPr>
          <w:rFonts w:hint="eastAsia" w:ascii="宋体" w:hAnsi="宋体" w:cs="宋体"/>
          <w:color w:val="000000"/>
        </w:rPr>
      </w:pPr>
      <w:r>
        <w:rPr>
          <w:rFonts w:hint="eastAsia" w:ascii="宋体" w:hAnsi="宋体" w:cs="宋体"/>
          <w:color w:val="000000"/>
          <w:szCs w:val="21"/>
        </w:rPr>
        <w:t>6.4按照《关于促进残疾人就业政府采购政策的通知》（财库〔2017〕141号）的规定，残疾人福利性单位视同小型、微型企业，享受预留份额、评审中价格扣除等</w:t>
      </w:r>
      <w:r>
        <w:rPr>
          <w:rFonts w:hint="eastAsia" w:ascii="宋体" w:hAnsi="宋体" w:cs="宋体"/>
          <w:color w:val="000000"/>
          <w:szCs w:val="24"/>
        </w:rPr>
        <w:t>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25798558">
      <w:pPr>
        <w:spacing w:line="360" w:lineRule="auto"/>
        <w:ind w:firstLine="420" w:firstLineChars="200"/>
        <w:rPr>
          <w:rFonts w:hint="eastAsia" w:ascii="宋体" w:hAnsi="宋体" w:cs="宋体"/>
          <w:color w:val="000000"/>
          <w:szCs w:val="24"/>
        </w:rPr>
      </w:pPr>
      <w:r>
        <w:rPr>
          <w:rFonts w:hint="eastAsia" w:ascii="宋体" w:hAnsi="宋体" w:cs="宋体"/>
          <w:color w:val="000000"/>
          <w:szCs w:val="24"/>
        </w:rPr>
        <w:t>6.5除上述情况外，评审价＝最后报价。</w:t>
      </w:r>
    </w:p>
    <w:p w14:paraId="38ABE954">
      <w:pPr>
        <w:spacing w:line="360" w:lineRule="auto"/>
        <w:ind w:firstLine="436" w:firstLineChars="181"/>
        <w:rPr>
          <w:rFonts w:hint="eastAsia" w:ascii="黑体" w:hAnsi="黑体" w:eastAsia="黑体" w:cs="宋体"/>
          <w:b/>
          <w:bCs/>
          <w:sz w:val="24"/>
          <w:szCs w:val="24"/>
        </w:rPr>
      </w:pPr>
      <w:r>
        <w:rPr>
          <w:rFonts w:hint="eastAsia" w:ascii="黑体" w:hAnsi="黑体" w:eastAsia="黑体" w:cs="宋体"/>
          <w:b/>
          <w:bCs/>
          <w:sz w:val="24"/>
          <w:szCs w:val="24"/>
        </w:rPr>
        <w:t>7.评审复核</w:t>
      </w:r>
    </w:p>
    <w:p w14:paraId="441E2A62">
      <w:pPr>
        <w:spacing w:line="360" w:lineRule="auto"/>
        <w:ind w:firstLine="420" w:firstLineChars="200"/>
        <w:rPr>
          <w:rFonts w:hint="eastAsia" w:ascii="宋体" w:hAnsi="宋体" w:eastAsia="等线"/>
          <w:color w:val="000000"/>
          <w:szCs w:val="21"/>
        </w:rPr>
      </w:pPr>
      <w:r>
        <w:rPr>
          <w:rFonts w:hint="eastAsia" w:ascii="宋体" w:hAnsi="宋体"/>
          <w:color w:val="000000"/>
          <w:szCs w:val="21"/>
        </w:rPr>
        <w:t>7.1评审报告签署前，评审委员会要对评审结果进行复核，复核意见要体现在评审报告中。</w:t>
      </w:r>
    </w:p>
    <w:p w14:paraId="67C1E328">
      <w:pPr>
        <w:widowControl/>
        <w:spacing w:line="360" w:lineRule="auto"/>
        <w:ind w:firstLine="420" w:firstLineChars="200"/>
        <w:jc w:val="left"/>
        <w:rPr>
          <w:rFonts w:hint="eastAsia" w:ascii="宋体" w:hAnsi="宋体" w:cs="宋体"/>
          <w:color w:val="000000"/>
        </w:rPr>
      </w:pPr>
      <w:r>
        <w:rPr>
          <w:rFonts w:hint="eastAsia" w:ascii="宋体" w:hAnsi="宋体" w:cs="宋体"/>
          <w:color w:val="444444"/>
          <w:kern w:val="0"/>
          <w:szCs w:val="21"/>
        </w:rPr>
        <w:t>7.2除资格性审查认定错误和价格计算错误外，采购人或者采购代理机构不得以任何理由组织重新评审。</w:t>
      </w:r>
    </w:p>
    <w:p w14:paraId="50829303">
      <w:pPr>
        <w:spacing w:line="360" w:lineRule="auto"/>
        <w:ind w:firstLine="640" w:firstLineChars="200"/>
        <w:jc w:val="center"/>
        <w:outlineLvl w:val="1"/>
        <w:rPr>
          <w:rFonts w:hint="eastAsia" w:ascii="宋体" w:hAnsi="宋体" w:cs="宋体"/>
          <w:bCs/>
          <w:sz w:val="32"/>
          <w:szCs w:val="32"/>
        </w:rPr>
      </w:pPr>
      <w:bookmarkStart w:id="48" w:name="_Toc179528715"/>
      <w:r>
        <w:rPr>
          <w:rFonts w:hint="eastAsia" w:ascii="宋体" w:hAnsi="宋体"/>
          <w:bCs/>
          <w:sz w:val="32"/>
          <w:szCs w:val="32"/>
        </w:rPr>
        <w:t>第二节 评审原则</w:t>
      </w:r>
      <w:bookmarkEnd w:id="48"/>
    </w:p>
    <w:p w14:paraId="0C0170CF">
      <w:pPr>
        <w:spacing w:line="360" w:lineRule="auto"/>
        <w:ind w:firstLine="480" w:firstLineChars="200"/>
        <w:jc w:val="left"/>
        <w:rPr>
          <w:rFonts w:hint="eastAsia" w:ascii="黑体" w:hAnsi="黑体" w:eastAsia="黑体" w:cs="宋体"/>
          <w:sz w:val="24"/>
          <w:szCs w:val="32"/>
        </w:rPr>
      </w:pPr>
      <w:r>
        <w:rPr>
          <w:rFonts w:hint="eastAsia" w:ascii="黑体" w:hAnsi="黑体" w:eastAsia="黑体" w:cs="宋体"/>
          <w:sz w:val="24"/>
          <w:szCs w:val="32"/>
        </w:rPr>
        <w:t>1.评审原则</w:t>
      </w:r>
    </w:p>
    <w:p w14:paraId="0ACFD6E5">
      <w:pPr>
        <w:spacing w:line="360" w:lineRule="auto"/>
        <w:ind w:firstLine="420" w:firstLineChars="200"/>
        <w:jc w:val="left"/>
        <w:rPr>
          <w:rFonts w:hint="eastAsia" w:ascii="宋体" w:hAnsi="宋体" w:eastAsia="等线" w:cs="宋体"/>
          <w:color w:val="000000"/>
        </w:rPr>
      </w:pPr>
      <w:r>
        <w:rPr>
          <w:rFonts w:hint="eastAsia" w:ascii="宋体" w:hAnsi="宋体" w:cs="宋体"/>
          <w:color w:val="000000"/>
          <w:szCs w:val="24"/>
        </w:rPr>
        <w:t>1.1谈判小组成员要依法独立评审，并对评审意见承担个人责任。谈判小组成员对需要共同认定的事项存在争议的，按照少数服从多数的原则做出结论。持不同意见的谈判小组成员应当在评审报告上签署不同意见并说明理由，否则视为同意。</w:t>
      </w:r>
    </w:p>
    <w:p w14:paraId="4DEA0EFB">
      <w:pPr>
        <w:spacing w:line="360" w:lineRule="auto"/>
        <w:ind w:firstLine="420" w:firstLineChars="200"/>
        <w:jc w:val="left"/>
        <w:rPr>
          <w:rFonts w:hint="eastAsia" w:ascii="宋体" w:hAnsi="宋体" w:cs="宋体"/>
          <w:color w:val="000000"/>
          <w:szCs w:val="24"/>
        </w:rPr>
      </w:pPr>
      <w:r>
        <w:rPr>
          <w:rFonts w:hint="eastAsia" w:ascii="宋体" w:hAnsi="宋体" w:cs="宋体"/>
          <w:color w:val="000000"/>
          <w:szCs w:val="24"/>
        </w:rPr>
        <w:t>1.2根据</w:t>
      </w:r>
      <w:r>
        <w:rPr>
          <w:rFonts w:hint="eastAsia"/>
          <w:szCs w:val="24"/>
        </w:rPr>
        <w:t>《政府采购非招标采购方式管理办法》（财政部令第</w:t>
      </w:r>
      <w:r>
        <w:rPr>
          <w:szCs w:val="24"/>
        </w:rPr>
        <w:t>74</w:t>
      </w:r>
      <w:r>
        <w:rPr>
          <w:rFonts w:hint="eastAsia"/>
          <w:szCs w:val="24"/>
        </w:rPr>
        <w:t>号）第二十一条</w:t>
      </w:r>
      <w:r>
        <w:rPr>
          <w:rFonts w:hint="eastAsia" w:ascii="宋体" w:hAnsi="宋体" w:cs="宋体"/>
          <w:color w:val="000000"/>
          <w:szCs w:val="24"/>
        </w:rPr>
        <w:t>规定，评审结果汇总完成后，采购人、采购代理机构和谈判小组均不得修改评审结果或者要求重新评审，但资格性检查认定错误、分值汇总计算错误、分项评分超出评分标准范围、客观分评分不一致、经评审委员会一致认定评分畸高、畸低的情形除外。出现上述除外情形的，谈判小组应当现场修改评审结果，并在评审报告中明确记载。</w:t>
      </w:r>
    </w:p>
    <w:p w14:paraId="04D2CBD9">
      <w:pPr>
        <w:spacing w:line="360" w:lineRule="auto"/>
        <w:ind w:firstLine="420" w:firstLineChars="200"/>
        <w:rPr>
          <w:rFonts w:hint="eastAsia" w:ascii="宋体" w:hAnsi="宋体" w:cs="宋体"/>
          <w:color w:val="000000"/>
          <w:szCs w:val="24"/>
        </w:rPr>
      </w:pPr>
      <w:r>
        <w:rPr>
          <w:rFonts w:hint="eastAsia" w:ascii="宋体" w:hAnsi="宋体" w:cs="宋体"/>
          <w:color w:val="000000"/>
          <w:szCs w:val="24"/>
        </w:rPr>
        <w:t>1.3谈判小组发现竞争性谈判文件存在歧义、重大缺陷导致评审工作无法进行，或者竞争性谈判文件内容违反国家有关规定的，要停止评审工作并向采购人或采购代理机构书面说明情况，采购人或采购代理机构应当修改竞争性谈判文件后重新组织采购活动；发现供应商提供虚假材料、串通等违法违规行为的，要及时向采购人或采购代理机构报告。</w:t>
      </w:r>
    </w:p>
    <w:p w14:paraId="7F9FCE56">
      <w:pPr>
        <w:spacing w:line="360" w:lineRule="auto"/>
        <w:ind w:firstLine="480" w:firstLineChars="200"/>
        <w:rPr>
          <w:rFonts w:hint="eastAsia" w:ascii="黑体" w:hAnsi="黑体" w:eastAsia="黑体" w:cs="宋体"/>
          <w:sz w:val="24"/>
          <w:szCs w:val="32"/>
        </w:rPr>
      </w:pPr>
      <w:r>
        <w:rPr>
          <w:rFonts w:hint="eastAsia" w:ascii="黑体" w:hAnsi="黑体" w:eastAsia="黑体" w:cs="宋体"/>
          <w:sz w:val="24"/>
          <w:szCs w:val="32"/>
        </w:rPr>
        <w:t>2.终止竞争性谈判采购活动</w:t>
      </w:r>
    </w:p>
    <w:p w14:paraId="14480ADB">
      <w:pPr>
        <w:spacing w:line="360" w:lineRule="auto"/>
        <w:ind w:firstLine="420" w:firstLineChars="200"/>
        <w:jc w:val="left"/>
        <w:rPr>
          <w:rFonts w:hint="eastAsia" w:ascii="宋体" w:hAnsi="宋体" w:eastAsia="等线" w:cs="宋体"/>
          <w:color w:val="000000"/>
        </w:rPr>
      </w:pPr>
      <w:r>
        <w:rPr>
          <w:rFonts w:hint="eastAsia" w:ascii="宋体" w:hAnsi="宋体" w:cs="宋体"/>
          <w:color w:val="000000"/>
          <w:szCs w:val="24"/>
        </w:rPr>
        <w:t>出现下列情形之一的，采购人或者采购代理机构应当终止竞争性谈判采购活动，发布项目终止公告并说明原因，重新开展采购活动：</w:t>
      </w:r>
    </w:p>
    <w:p w14:paraId="4C56B668">
      <w:pPr>
        <w:spacing w:line="360" w:lineRule="auto"/>
        <w:ind w:firstLine="420" w:firstLineChars="200"/>
        <w:jc w:val="left"/>
        <w:rPr>
          <w:rFonts w:hint="eastAsia" w:ascii="宋体" w:hAnsi="宋体" w:cs="宋体"/>
          <w:color w:val="000000"/>
          <w:szCs w:val="24"/>
        </w:rPr>
      </w:pPr>
      <w:r>
        <w:rPr>
          <w:rFonts w:hint="eastAsia" w:ascii="宋体" w:hAnsi="宋体" w:cs="宋体"/>
          <w:color w:val="000000"/>
          <w:szCs w:val="24"/>
        </w:rPr>
        <w:t xml:space="preserve">（1）因情况变化，不再符合规定的竞争性谈判采购方式适用情形的； </w:t>
      </w:r>
    </w:p>
    <w:p w14:paraId="66634FFF">
      <w:pPr>
        <w:spacing w:line="360" w:lineRule="auto"/>
        <w:ind w:firstLine="420" w:firstLineChars="200"/>
        <w:jc w:val="left"/>
        <w:rPr>
          <w:rFonts w:hint="eastAsia" w:ascii="宋体" w:hAnsi="宋体" w:cs="宋体"/>
          <w:color w:val="000000"/>
          <w:szCs w:val="24"/>
        </w:rPr>
      </w:pPr>
      <w:r>
        <w:rPr>
          <w:rFonts w:hint="eastAsia" w:ascii="宋体" w:hAnsi="宋体" w:cs="宋体"/>
          <w:color w:val="000000"/>
          <w:szCs w:val="24"/>
        </w:rPr>
        <w:t>（2）出现影响采购公正的违法、违规行为的；</w:t>
      </w:r>
    </w:p>
    <w:p w14:paraId="6DA32F78">
      <w:pPr>
        <w:spacing w:line="360" w:lineRule="auto"/>
        <w:ind w:firstLine="420" w:firstLineChars="200"/>
        <w:jc w:val="left"/>
        <w:rPr>
          <w:rFonts w:hint="eastAsia" w:ascii="宋体" w:hAnsi="宋体" w:cs="宋体"/>
          <w:color w:val="000000"/>
          <w:szCs w:val="24"/>
        </w:rPr>
      </w:pPr>
      <w:r>
        <w:rPr>
          <w:rFonts w:hint="eastAsia" w:ascii="宋体" w:hAnsi="宋体" w:cs="宋体"/>
          <w:color w:val="000000"/>
          <w:szCs w:val="24"/>
        </w:rPr>
        <w:t>（3）在采购过程中符合竞争要求的供应商或者报价未超过采购预算的供应商不足3家的，但《政府采购非招标采购方式管理办法》第二十七条第二款规定的情形除外。</w:t>
      </w:r>
    </w:p>
    <w:p w14:paraId="67A82F06">
      <w:pPr>
        <w:spacing w:line="360" w:lineRule="auto"/>
        <w:ind w:firstLine="640" w:firstLineChars="200"/>
        <w:jc w:val="center"/>
        <w:outlineLvl w:val="1"/>
        <w:rPr>
          <w:rFonts w:hint="eastAsia" w:ascii="宋体" w:hAnsi="宋体" w:eastAsia="宋体" w:cs="宋体"/>
          <w:bCs/>
          <w:sz w:val="32"/>
          <w:szCs w:val="32"/>
          <w:lang w:eastAsia="zh-CN"/>
        </w:rPr>
      </w:pPr>
      <w:bookmarkStart w:id="49" w:name="_Toc179528716"/>
      <w:r>
        <w:rPr>
          <w:rFonts w:hint="eastAsia" w:ascii="宋体" w:hAnsi="宋体"/>
          <w:bCs/>
          <w:sz w:val="32"/>
          <w:szCs w:val="32"/>
        </w:rPr>
        <w:t xml:space="preserve">第三节 </w:t>
      </w:r>
      <w:bookmarkEnd w:id="49"/>
      <w:r>
        <w:rPr>
          <w:rFonts w:hint="eastAsia" w:ascii="宋体" w:hAnsi="宋体"/>
          <w:bCs/>
          <w:sz w:val="32"/>
          <w:szCs w:val="32"/>
          <w:lang w:eastAsia="zh-CN"/>
        </w:rPr>
        <w:t>评审报告</w:t>
      </w:r>
    </w:p>
    <w:p w14:paraId="77BA43A2">
      <w:pPr>
        <w:spacing w:line="360" w:lineRule="auto"/>
        <w:ind w:firstLine="480" w:firstLineChars="200"/>
        <w:rPr>
          <w:rFonts w:hint="eastAsia" w:ascii="黑体" w:hAnsi="黑体" w:eastAsia="黑体" w:cs="宋体"/>
          <w:sz w:val="24"/>
          <w:szCs w:val="32"/>
        </w:rPr>
      </w:pPr>
      <w:r>
        <w:rPr>
          <w:rFonts w:hint="eastAsia" w:ascii="黑体" w:hAnsi="黑体" w:eastAsia="黑体" w:cs="宋体"/>
          <w:sz w:val="24"/>
          <w:szCs w:val="32"/>
        </w:rPr>
        <w:t>1.成交标准</w:t>
      </w:r>
    </w:p>
    <w:p w14:paraId="09E25C02">
      <w:pPr>
        <w:spacing w:line="360" w:lineRule="auto"/>
        <w:ind w:firstLine="420" w:firstLineChars="200"/>
        <w:rPr>
          <w:rFonts w:hint="eastAsia" w:ascii="宋体" w:hAnsi="宋体" w:eastAsia="等线" w:cs="宋体"/>
          <w:sz w:val="24"/>
        </w:rPr>
      </w:pPr>
      <w:r>
        <w:rPr>
          <w:rFonts w:hint="eastAsia" w:ascii="宋体" w:hAnsi="宋体" w:cs="宋体"/>
          <w:color w:val="000000"/>
          <w:szCs w:val="24"/>
        </w:rPr>
        <w:t>谈判小组应当从质量和货物均能满足谈判文件实质性响应要求的供应商中，按照评审价由低到高的顺序提出3名以上成交候选人（评审价相同时，按照最后报价由低到高顺序依次推荐；最后报价相同时，由谈判小组按“供应商须知前附表”第26.2条规定的顺序推荐）,并在线编写电子评审报告。</w:t>
      </w:r>
    </w:p>
    <w:p w14:paraId="5FB87910">
      <w:pPr>
        <w:spacing w:line="360" w:lineRule="auto"/>
        <w:ind w:firstLine="480" w:firstLineChars="200"/>
        <w:rPr>
          <w:rFonts w:hint="eastAsia" w:ascii="黑体" w:hAnsi="黑体" w:eastAsia="黑体" w:cs="宋体"/>
          <w:sz w:val="24"/>
          <w:szCs w:val="32"/>
        </w:rPr>
      </w:pPr>
      <w:r>
        <w:rPr>
          <w:rFonts w:hint="eastAsia" w:ascii="黑体" w:hAnsi="黑体" w:eastAsia="黑体" w:cs="宋体"/>
          <w:sz w:val="24"/>
          <w:szCs w:val="32"/>
        </w:rPr>
        <w:t>2.评标争议事项处理</w:t>
      </w:r>
    </w:p>
    <w:p w14:paraId="185F0CA2">
      <w:pPr>
        <w:ind w:firstLine="420"/>
        <w:rPr>
          <w:rFonts w:hint="eastAsia" w:ascii="宋体" w:hAnsi="宋体" w:eastAsia="等线" w:cs="宋体"/>
          <w:color w:val="000000"/>
          <w:szCs w:val="24"/>
        </w:rPr>
      </w:pPr>
      <w:r>
        <w:rPr>
          <w:rFonts w:hint="eastAsia" w:ascii="宋体" w:hAnsi="宋体" w:cs="宋体"/>
          <w:color w:val="000000"/>
          <w:szCs w:val="24"/>
        </w:rPr>
        <w:t>谈判小组成员对需要共同认定的事项存在争议的，应当按照少数服从多数的原则作出结论。持不同意见的谈判小组成员应当在</w:t>
      </w:r>
      <w:r>
        <w:rPr>
          <w:rFonts w:hint="eastAsia" w:ascii="宋体" w:hAnsi="宋体" w:cs="宋体"/>
          <w:color w:val="000000"/>
          <w:szCs w:val="24"/>
          <w:lang w:eastAsia="zh-CN"/>
        </w:rPr>
        <w:t>评审报告</w:t>
      </w:r>
      <w:r>
        <w:rPr>
          <w:rFonts w:hint="eastAsia" w:ascii="宋体" w:hAnsi="宋体" w:cs="宋体"/>
          <w:color w:val="000000"/>
          <w:szCs w:val="24"/>
        </w:rPr>
        <w:t>上签署不同意见及理由，否则视为同意</w:t>
      </w:r>
      <w:r>
        <w:rPr>
          <w:rFonts w:hint="eastAsia" w:ascii="宋体" w:hAnsi="宋体" w:cs="宋体"/>
          <w:color w:val="000000"/>
          <w:szCs w:val="24"/>
          <w:lang w:eastAsia="zh-CN"/>
        </w:rPr>
        <w:t>评审报告</w:t>
      </w:r>
      <w:r>
        <w:rPr>
          <w:rFonts w:hint="eastAsia" w:ascii="宋体" w:hAnsi="宋体" w:cs="宋体"/>
          <w:color w:val="000000"/>
          <w:szCs w:val="24"/>
        </w:rPr>
        <w:t>。</w:t>
      </w:r>
    </w:p>
    <w:p w14:paraId="76A6258B">
      <w:pPr>
        <w:spacing w:line="360" w:lineRule="auto"/>
        <w:ind w:firstLine="640" w:firstLineChars="200"/>
        <w:jc w:val="center"/>
        <w:outlineLvl w:val="1"/>
        <w:rPr>
          <w:rFonts w:hint="eastAsia" w:ascii="宋体" w:hAnsi="宋体" w:cs="宋体"/>
          <w:bCs/>
          <w:sz w:val="32"/>
          <w:szCs w:val="32"/>
        </w:rPr>
      </w:pPr>
      <w:bookmarkStart w:id="50" w:name="_Toc179528717"/>
      <w:r>
        <w:rPr>
          <w:rFonts w:hint="eastAsia" w:ascii="宋体" w:hAnsi="宋体"/>
          <w:bCs/>
          <w:sz w:val="32"/>
          <w:szCs w:val="32"/>
        </w:rPr>
        <w:t>第四节 评审过程的保密与录像</w:t>
      </w:r>
      <w:bookmarkEnd w:id="50"/>
    </w:p>
    <w:p w14:paraId="3A0B7554">
      <w:pPr>
        <w:spacing w:line="360" w:lineRule="auto"/>
        <w:ind w:firstLine="480" w:firstLineChars="200"/>
        <w:rPr>
          <w:rFonts w:hint="eastAsia" w:ascii="黑体" w:hAnsi="黑体" w:eastAsia="黑体" w:cs="宋体"/>
          <w:sz w:val="24"/>
          <w:szCs w:val="32"/>
        </w:rPr>
      </w:pPr>
      <w:r>
        <w:rPr>
          <w:rFonts w:hint="eastAsia" w:ascii="黑体" w:hAnsi="黑体" w:eastAsia="黑体" w:cs="宋体"/>
          <w:sz w:val="24"/>
          <w:szCs w:val="32"/>
        </w:rPr>
        <w:t>1.保密。</w:t>
      </w:r>
    </w:p>
    <w:p w14:paraId="50C923A6">
      <w:pPr>
        <w:widowControl/>
        <w:spacing w:line="360" w:lineRule="auto"/>
        <w:ind w:firstLine="420" w:firstLineChars="200"/>
        <w:rPr>
          <w:rFonts w:hint="eastAsia" w:ascii="宋体" w:hAnsi="宋体" w:eastAsia="等线" w:cs="宋体"/>
          <w:color w:val="000000"/>
        </w:rPr>
      </w:pPr>
      <w:r>
        <w:rPr>
          <w:rFonts w:hint="eastAsia" w:ascii="宋体" w:hAnsi="宋体" w:cs="宋体"/>
          <w:color w:val="000000"/>
          <w:szCs w:val="24"/>
        </w:rPr>
        <w:t>评审活动在严格保密的情况下进行。评审过程中凡是与采购响应文件评审和比较、</w:t>
      </w:r>
      <w:r>
        <w:rPr>
          <w:rFonts w:hint="eastAsia" w:ascii="宋体" w:hAnsi="宋体" w:cs="宋体"/>
          <w:color w:val="000000"/>
          <w:szCs w:val="24"/>
          <w:lang w:eastAsia="zh-CN"/>
        </w:rPr>
        <w:t>成交</w:t>
      </w:r>
      <w:r>
        <w:rPr>
          <w:rFonts w:hint="eastAsia" w:ascii="宋体" w:hAnsi="宋体" w:cs="宋体"/>
          <w:color w:val="000000"/>
          <w:szCs w:val="24"/>
        </w:rPr>
        <w:t>成交供应商推荐等评审有关的情况，以及涉及国家秘密和商业秘密等信息，评审委员会成员、采购人和采购机构工作人员、相关监督人员等与评审有关的人员应当予以保密。</w:t>
      </w:r>
    </w:p>
    <w:p w14:paraId="365B6083">
      <w:pPr>
        <w:widowControl/>
        <w:spacing w:line="360" w:lineRule="auto"/>
        <w:ind w:firstLine="480" w:firstLineChars="200"/>
        <w:rPr>
          <w:rFonts w:hint="eastAsia" w:ascii="黑体" w:hAnsi="黑体" w:eastAsia="黑体" w:cs="宋体"/>
          <w:sz w:val="24"/>
          <w:szCs w:val="32"/>
        </w:rPr>
      </w:pPr>
      <w:r>
        <w:rPr>
          <w:rFonts w:hint="eastAsia" w:ascii="黑体" w:hAnsi="黑体" w:eastAsia="黑体" w:cs="宋体"/>
          <w:sz w:val="24"/>
          <w:szCs w:val="32"/>
        </w:rPr>
        <w:t>2.录音录像。</w:t>
      </w:r>
    </w:p>
    <w:p w14:paraId="1734CD5B">
      <w:pPr>
        <w:spacing w:line="360" w:lineRule="auto"/>
        <w:ind w:firstLine="420" w:firstLineChars="200"/>
        <w:rPr>
          <w:rFonts w:hint="eastAsia" w:ascii="等线" w:hAnsi="等线" w:eastAsia="等线"/>
        </w:rPr>
      </w:pPr>
      <w:r>
        <w:rPr>
          <w:rFonts w:hint="eastAsia" w:ascii="宋体" w:hAnsi="宋体" w:cs="宋体"/>
          <w:color w:val="000000"/>
          <w:szCs w:val="24"/>
        </w:rPr>
        <w:t>采购代理机构对评审工作现场及操作屏幕进行全过程录音录像，录音录像资料作为采购项目文件随其他文件一并存档。</w:t>
      </w:r>
      <w:r>
        <w:rPr>
          <w:szCs w:val="24"/>
        </w:rPr>
        <w:br w:type="page"/>
      </w:r>
    </w:p>
    <w:p w14:paraId="510A7662">
      <w:pPr>
        <w:jc w:val="center"/>
        <w:rPr>
          <w:rFonts w:hint="eastAsia"/>
          <w:szCs w:val="24"/>
        </w:rPr>
      </w:pPr>
    </w:p>
    <w:p w14:paraId="79B10DE1">
      <w:pPr>
        <w:jc w:val="center"/>
        <w:rPr>
          <w:szCs w:val="24"/>
        </w:rPr>
      </w:pPr>
    </w:p>
    <w:p w14:paraId="0E199BE8">
      <w:pPr>
        <w:jc w:val="center"/>
        <w:rPr>
          <w:szCs w:val="24"/>
        </w:rPr>
      </w:pPr>
    </w:p>
    <w:p w14:paraId="63C72C4C">
      <w:pPr>
        <w:jc w:val="center"/>
        <w:rPr>
          <w:szCs w:val="24"/>
        </w:rPr>
      </w:pPr>
    </w:p>
    <w:p w14:paraId="6DE4B5EA">
      <w:pPr>
        <w:jc w:val="center"/>
        <w:rPr>
          <w:szCs w:val="24"/>
        </w:rPr>
      </w:pPr>
    </w:p>
    <w:p w14:paraId="6E4C1875">
      <w:pPr>
        <w:spacing w:before="340" w:after="330" w:line="576" w:lineRule="auto"/>
        <w:jc w:val="center"/>
        <w:outlineLvl w:val="0"/>
        <w:rPr>
          <w:rFonts w:hint="eastAsia"/>
          <w:b/>
          <w:bCs/>
          <w:kern w:val="44"/>
          <w:sz w:val="44"/>
          <w:szCs w:val="44"/>
        </w:rPr>
      </w:pPr>
      <w:bookmarkStart w:id="51" w:name="_Toc179528718"/>
    </w:p>
    <w:p w14:paraId="416924DB">
      <w:pPr>
        <w:spacing w:before="340" w:after="330" w:line="576" w:lineRule="auto"/>
        <w:jc w:val="center"/>
        <w:outlineLvl w:val="0"/>
        <w:rPr>
          <w:rFonts w:hint="eastAsia"/>
          <w:b/>
          <w:bCs/>
          <w:kern w:val="44"/>
          <w:sz w:val="44"/>
          <w:szCs w:val="44"/>
        </w:rPr>
      </w:pPr>
    </w:p>
    <w:p w14:paraId="39252604">
      <w:pPr>
        <w:spacing w:before="340" w:after="330" w:line="576" w:lineRule="auto"/>
        <w:jc w:val="center"/>
        <w:outlineLvl w:val="0"/>
        <w:rPr>
          <w:b/>
          <w:bCs/>
          <w:kern w:val="44"/>
          <w:sz w:val="44"/>
          <w:szCs w:val="44"/>
        </w:rPr>
      </w:pPr>
      <w:r>
        <w:rPr>
          <w:rFonts w:hint="eastAsia"/>
          <w:b/>
          <w:bCs/>
          <w:kern w:val="44"/>
          <w:sz w:val="44"/>
          <w:szCs w:val="44"/>
        </w:rPr>
        <w:t>第五章</w:t>
      </w:r>
      <w:r>
        <w:rPr>
          <w:b/>
          <w:bCs/>
          <w:kern w:val="44"/>
          <w:sz w:val="44"/>
          <w:szCs w:val="44"/>
        </w:rPr>
        <w:t xml:space="preserve"> </w:t>
      </w:r>
      <w:r>
        <w:rPr>
          <w:rFonts w:hint="eastAsia"/>
          <w:b/>
          <w:bCs/>
          <w:kern w:val="44"/>
          <w:sz w:val="44"/>
          <w:szCs w:val="44"/>
        </w:rPr>
        <w:t>响应文件格式</w:t>
      </w:r>
      <w:bookmarkEnd w:id="51"/>
      <w:r>
        <w:rPr>
          <w:b/>
          <w:bCs/>
          <w:kern w:val="44"/>
          <w:sz w:val="44"/>
          <w:szCs w:val="44"/>
        </w:rPr>
        <w:br w:type="page"/>
      </w:r>
    </w:p>
    <w:p w14:paraId="718ADD58">
      <w:pPr>
        <w:spacing w:before="260" w:after="260" w:line="410" w:lineRule="auto"/>
        <w:jc w:val="center"/>
        <w:outlineLvl w:val="1"/>
        <w:rPr>
          <w:rFonts w:ascii="宋体" w:hAnsi="宋体"/>
          <w:bCs/>
          <w:sz w:val="32"/>
          <w:szCs w:val="32"/>
        </w:rPr>
      </w:pPr>
      <w:bookmarkStart w:id="52" w:name="_Toc179528719"/>
      <w:r>
        <w:rPr>
          <w:rFonts w:hint="eastAsia" w:ascii="宋体" w:hAnsi="宋体"/>
          <w:bCs/>
          <w:sz w:val="32"/>
          <w:szCs w:val="32"/>
        </w:rPr>
        <w:t>第一节 封面格式</w:t>
      </w:r>
      <w:bookmarkEnd w:id="52"/>
    </w:p>
    <w:p w14:paraId="23A96A50">
      <w:pPr>
        <w:snapToGrid w:val="0"/>
        <w:spacing w:before="120" w:beforeLines="50" w:after="50"/>
        <w:rPr>
          <w:rFonts w:hint="eastAsia" w:ascii="宋体" w:hAnsi="宋体" w:eastAsia="等线"/>
          <w:sz w:val="24"/>
          <w:szCs w:val="20"/>
        </w:rPr>
      </w:pPr>
    </w:p>
    <w:p w14:paraId="5C439AA7">
      <w:pPr>
        <w:snapToGrid w:val="0"/>
        <w:spacing w:before="120" w:beforeLines="50" w:after="50"/>
        <w:jc w:val="center"/>
        <w:rPr>
          <w:rFonts w:hint="eastAsia" w:ascii="宋体" w:hAnsi="宋体"/>
          <w:bCs/>
          <w:sz w:val="24"/>
          <w:szCs w:val="20"/>
        </w:rPr>
      </w:pPr>
    </w:p>
    <w:p w14:paraId="4702AE16">
      <w:pPr>
        <w:snapToGrid w:val="0"/>
        <w:spacing w:before="120" w:beforeLines="50" w:after="5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响  应  文  件</w:t>
      </w:r>
    </w:p>
    <w:p w14:paraId="24A371DC">
      <w:pPr>
        <w:snapToGrid w:val="0"/>
        <w:spacing w:before="120" w:beforeLines="50" w:after="50"/>
        <w:rPr>
          <w:rFonts w:hint="eastAsia" w:ascii="宋体" w:hAnsi="宋体" w:eastAsia="等线"/>
          <w:bCs/>
          <w:sz w:val="24"/>
          <w:szCs w:val="20"/>
        </w:rPr>
      </w:pPr>
    </w:p>
    <w:p w14:paraId="796C5009">
      <w:pPr>
        <w:snapToGrid w:val="0"/>
        <w:spacing w:before="120" w:beforeLines="50" w:after="50"/>
        <w:rPr>
          <w:rFonts w:hint="eastAsia" w:ascii="宋体" w:hAnsi="宋体"/>
          <w:bCs/>
          <w:sz w:val="24"/>
          <w:szCs w:val="20"/>
        </w:rPr>
      </w:pPr>
    </w:p>
    <w:p w14:paraId="5F2250D8">
      <w:pPr>
        <w:snapToGrid w:val="0"/>
        <w:spacing w:before="120" w:beforeLines="50" w:after="50"/>
        <w:rPr>
          <w:rFonts w:hint="eastAsia" w:ascii="仿宋_GB2312" w:hAnsi="仿宋_GB2312" w:eastAsia="仿宋_GB2312" w:cs="仿宋_GB2312"/>
          <w:bCs/>
          <w:sz w:val="32"/>
          <w:szCs w:val="32"/>
        </w:rPr>
      </w:pPr>
    </w:p>
    <w:p w14:paraId="3A2C0790">
      <w:pPr>
        <w:snapToGrid w:val="0"/>
        <w:spacing w:before="120" w:beforeLines="50" w:after="50"/>
        <w:ind w:firstLine="640" w:firstLineChars="200"/>
        <w:rPr>
          <w:rFonts w:hint="eastAsia" w:ascii="宋体" w:hAnsi="宋体" w:eastAsia="宋体" w:cs="仿宋_GB2312"/>
          <w:bCs/>
          <w:sz w:val="32"/>
          <w:szCs w:val="32"/>
          <w:lang w:eastAsia="zh-CN"/>
        </w:rPr>
      </w:pPr>
      <w:r>
        <w:rPr>
          <w:rFonts w:hint="eastAsia" w:ascii="宋体" w:hAnsi="宋体" w:cs="仿宋_GB2312"/>
          <w:bCs/>
          <w:sz w:val="32"/>
          <w:szCs w:val="32"/>
        </w:rPr>
        <w:t>项目名称：</w:t>
      </w:r>
      <w:r>
        <w:rPr>
          <w:rFonts w:hint="eastAsia" w:ascii="宋体" w:hAnsi="宋体" w:cs="仿宋_GB2312"/>
          <w:bCs/>
          <w:sz w:val="32"/>
          <w:szCs w:val="32"/>
          <w:lang w:eastAsia="zh-CN"/>
        </w:rPr>
        <w:t>2026年上林县幼儿园设备采购项目（重）</w:t>
      </w:r>
    </w:p>
    <w:p w14:paraId="3D0F7785">
      <w:pPr>
        <w:snapToGrid w:val="0"/>
        <w:spacing w:before="120" w:beforeLines="50" w:after="50"/>
        <w:ind w:firstLine="480" w:firstLineChars="150"/>
        <w:rPr>
          <w:rFonts w:hint="eastAsia" w:ascii="宋体" w:hAnsi="宋体" w:cs="仿宋_GB2312"/>
          <w:bCs/>
          <w:sz w:val="32"/>
          <w:szCs w:val="32"/>
        </w:rPr>
      </w:pPr>
    </w:p>
    <w:p w14:paraId="72BF46EE">
      <w:pPr>
        <w:snapToGrid w:val="0"/>
        <w:spacing w:before="120" w:beforeLines="50" w:after="50"/>
        <w:ind w:firstLine="640" w:firstLineChars="200"/>
        <w:rPr>
          <w:rFonts w:hint="eastAsia" w:ascii="宋体" w:hAnsi="宋体" w:eastAsia="宋体" w:cs="仿宋_GB2312"/>
          <w:bCs/>
          <w:sz w:val="32"/>
          <w:szCs w:val="32"/>
          <w:lang w:eastAsia="zh-CN"/>
        </w:rPr>
      </w:pPr>
      <w:r>
        <w:rPr>
          <w:rFonts w:hint="eastAsia" w:ascii="宋体" w:hAnsi="宋体" w:cs="仿宋_GB2312"/>
          <w:bCs/>
          <w:sz w:val="32"/>
          <w:szCs w:val="32"/>
        </w:rPr>
        <w:t>项目编号：</w:t>
      </w:r>
      <w:r>
        <w:rPr>
          <w:rFonts w:hint="eastAsia" w:ascii="宋体" w:hAnsi="宋体" w:cs="仿宋_GB2312"/>
          <w:bCs/>
          <w:sz w:val="32"/>
          <w:szCs w:val="32"/>
          <w:lang w:eastAsia="zh-CN"/>
        </w:rPr>
        <w:t xml:space="preserve"> NNZC2026-J1-250095-SLXZ</w:t>
      </w:r>
    </w:p>
    <w:p w14:paraId="79A633EB">
      <w:pPr>
        <w:snapToGrid w:val="0"/>
        <w:spacing w:before="120" w:beforeLines="50" w:after="50"/>
        <w:ind w:firstLine="480" w:firstLineChars="150"/>
        <w:rPr>
          <w:rFonts w:hint="eastAsia" w:ascii="宋体" w:hAnsi="宋体" w:cs="仿宋_GB2312"/>
          <w:bCs/>
          <w:sz w:val="32"/>
          <w:szCs w:val="32"/>
        </w:rPr>
      </w:pPr>
    </w:p>
    <w:p w14:paraId="38A14028">
      <w:pPr>
        <w:snapToGrid w:val="0"/>
        <w:spacing w:before="120" w:beforeLines="50" w:after="50"/>
        <w:ind w:firstLine="640" w:firstLineChars="200"/>
        <w:rPr>
          <w:rFonts w:hint="eastAsia" w:ascii="宋体" w:hAnsi="宋体" w:cs="仿宋_GB2312"/>
          <w:bCs/>
          <w:sz w:val="32"/>
          <w:szCs w:val="32"/>
        </w:rPr>
      </w:pPr>
      <w:r>
        <w:rPr>
          <w:rFonts w:hint="eastAsia" w:ascii="宋体" w:hAnsi="宋体" w:cs="仿宋_GB2312"/>
          <w:bCs/>
          <w:sz w:val="32"/>
          <w:szCs w:val="32"/>
        </w:rPr>
        <w:t>所竞分标（如有则填写，无分标时填写“无”或者留空）：</w:t>
      </w:r>
    </w:p>
    <w:p w14:paraId="2866D4E8">
      <w:pPr>
        <w:snapToGrid w:val="0"/>
        <w:spacing w:before="120" w:beforeLines="50" w:after="50"/>
        <w:rPr>
          <w:rFonts w:hint="eastAsia" w:ascii="宋体" w:hAnsi="宋体" w:cs="仿宋_GB2312"/>
          <w:bCs/>
          <w:sz w:val="32"/>
          <w:szCs w:val="32"/>
        </w:rPr>
      </w:pPr>
    </w:p>
    <w:p w14:paraId="39B2958C">
      <w:pPr>
        <w:snapToGrid w:val="0"/>
        <w:spacing w:before="120" w:beforeLines="50" w:after="50"/>
        <w:ind w:firstLine="640" w:firstLineChars="200"/>
        <w:rPr>
          <w:rFonts w:hint="eastAsia" w:ascii="宋体" w:hAnsi="宋体" w:cs="仿宋_GB2312"/>
          <w:bCs/>
          <w:sz w:val="32"/>
          <w:szCs w:val="32"/>
        </w:rPr>
      </w:pPr>
      <w:r>
        <w:rPr>
          <w:rFonts w:hint="eastAsia" w:ascii="宋体" w:hAnsi="宋体" w:cs="仿宋_GB2312"/>
          <w:bCs/>
          <w:sz w:val="32"/>
          <w:szCs w:val="32"/>
        </w:rPr>
        <w:t>供应商名称：</w:t>
      </w:r>
    </w:p>
    <w:p w14:paraId="1BECCD61">
      <w:pPr>
        <w:snapToGrid w:val="0"/>
        <w:spacing w:before="120" w:beforeLines="50" w:after="50"/>
        <w:rPr>
          <w:rFonts w:hint="eastAsia" w:ascii="宋体" w:hAnsi="宋体" w:cs="仿宋_GB2312"/>
          <w:bCs/>
          <w:sz w:val="32"/>
          <w:szCs w:val="32"/>
        </w:rPr>
      </w:pPr>
    </w:p>
    <w:p w14:paraId="5EB009A3">
      <w:pPr>
        <w:snapToGrid w:val="0"/>
        <w:spacing w:before="120" w:beforeLines="50" w:after="50"/>
        <w:ind w:firstLine="480" w:firstLineChars="150"/>
        <w:jc w:val="center"/>
        <w:rPr>
          <w:rFonts w:hint="eastAsia" w:ascii="宋体" w:hAnsi="宋体" w:cs="仿宋_GB2312"/>
          <w:bCs/>
          <w:sz w:val="32"/>
          <w:szCs w:val="32"/>
        </w:rPr>
      </w:pPr>
      <w:r>
        <w:rPr>
          <w:rFonts w:hint="eastAsia" w:ascii="宋体" w:hAnsi="宋体" w:cs="仿宋_GB2312"/>
          <w:bCs/>
          <w:sz w:val="32"/>
          <w:szCs w:val="32"/>
        </w:rPr>
        <w:t>首次响应文件提交截止时间前不得解密</w:t>
      </w:r>
    </w:p>
    <w:p w14:paraId="739675C0">
      <w:pPr>
        <w:snapToGrid w:val="0"/>
        <w:spacing w:before="120" w:beforeLines="50" w:after="50"/>
        <w:ind w:firstLine="5440" w:firstLineChars="1700"/>
        <w:jc w:val="center"/>
        <w:rPr>
          <w:rFonts w:hint="eastAsia" w:ascii="宋体" w:hAnsi="宋体" w:cs="仿宋_GB2312"/>
          <w:bCs/>
          <w:sz w:val="32"/>
          <w:szCs w:val="32"/>
        </w:rPr>
      </w:pPr>
    </w:p>
    <w:p w14:paraId="5D802578">
      <w:pPr>
        <w:snapToGrid w:val="0"/>
        <w:spacing w:before="120" w:beforeLines="50" w:after="50"/>
        <w:ind w:firstLine="645"/>
        <w:jc w:val="center"/>
        <w:rPr>
          <w:rFonts w:hint="eastAsia" w:ascii="宋体" w:hAnsi="宋体" w:cs="仿宋_GB2312"/>
          <w:bCs/>
          <w:sz w:val="32"/>
          <w:szCs w:val="32"/>
        </w:rPr>
      </w:pPr>
      <w:r>
        <w:rPr>
          <w:rFonts w:hint="eastAsia" w:ascii="宋体" w:hAnsi="宋体" w:cs="仿宋_GB2312"/>
          <w:bCs/>
          <w:sz w:val="32"/>
          <w:szCs w:val="32"/>
        </w:rPr>
        <w:t>年    月    日</w:t>
      </w:r>
    </w:p>
    <w:p w14:paraId="72D5AA9D">
      <w:pPr>
        <w:spacing w:line="240" w:lineRule="atLeast"/>
        <w:rPr>
          <w:rFonts w:hint="eastAsia" w:ascii="宋体" w:hAnsi="宋体"/>
          <w:b/>
          <w:bCs/>
        </w:rPr>
      </w:pPr>
      <w:r>
        <w:rPr>
          <w:rFonts w:hint="eastAsia" w:ascii="宋体" w:hAnsi="宋体"/>
          <w:bCs/>
          <w:kern w:val="0"/>
          <w:sz w:val="24"/>
          <w:szCs w:val="24"/>
        </w:rPr>
        <w:br w:type="page"/>
      </w:r>
    </w:p>
    <w:p w14:paraId="03BE7E8B">
      <w:pPr>
        <w:snapToGrid w:val="0"/>
        <w:spacing w:before="120" w:beforeLines="50" w:after="50" w:line="360" w:lineRule="auto"/>
        <w:jc w:val="center"/>
        <w:outlineLvl w:val="1"/>
        <w:rPr>
          <w:rFonts w:hint="eastAsia" w:ascii="宋体" w:hAnsi="宋体"/>
          <w:bCs/>
          <w:sz w:val="32"/>
          <w:szCs w:val="32"/>
        </w:rPr>
      </w:pPr>
      <w:bookmarkStart w:id="53" w:name="_Toc179528720"/>
      <w:r>
        <w:rPr>
          <w:rFonts w:hint="eastAsia" w:ascii="宋体" w:hAnsi="宋体"/>
          <w:bCs/>
          <w:sz w:val="32"/>
          <w:szCs w:val="32"/>
        </w:rPr>
        <w:t>第二节 资格证明文件格式</w:t>
      </w:r>
      <w:bookmarkEnd w:id="53"/>
    </w:p>
    <w:p w14:paraId="296D27E8">
      <w:pPr>
        <w:snapToGrid w:val="0"/>
        <w:spacing w:before="120" w:beforeLines="50" w:after="50"/>
        <w:rPr>
          <w:rFonts w:hint="eastAsia" w:ascii="宋体" w:hAnsi="宋体"/>
          <w:bCs/>
          <w:sz w:val="32"/>
          <w:szCs w:val="20"/>
        </w:rPr>
      </w:pPr>
      <w:r>
        <w:rPr>
          <w:rFonts w:hint="eastAsia" w:ascii="宋体" w:hAnsi="宋体"/>
          <w:sz w:val="24"/>
          <w:szCs w:val="24"/>
        </w:rPr>
        <w:t xml:space="preserve">                                                    </w:t>
      </w:r>
      <w:r>
        <w:rPr>
          <w:rFonts w:hint="eastAsia" w:ascii="宋体" w:hAnsi="宋体"/>
          <w:bCs/>
          <w:szCs w:val="24"/>
        </w:rPr>
        <w:t>全流程电子文件</w:t>
      </w:r>
    </w:p>
    <w:p w14:paraId="2A71ECD9">
      <w:pPr>
        <w:snapToGrid w:val="0"/>
        <w:spacing w:before="120" w:beforeLines="50" w:after="50"/>
        <w:rPr>
          <w:rFonts w:hint="eastAsia" w:ascii="宋体" w:hAnsi="宋体"/>
          <w:sz w:val="24"/>
          <w:szCs w:val="20"/>
        </w:rPr>
      </w:pPr>
    </w:p>
    <w:p w14:paraId="29984D06">
      <w:pPr>
        <w:snapToGrid w:val="0"/>
        <w:spacing w:before="120" w:beforeLines="50" w:after="50"/>
        <w:rPr>
          <w:rFonts w:hint="eastAsia" w:ascii="宋体" w:hAnsi="宋体"/>
          <w:sz w:val="24"/>
          <w:szCs w:val="20"/>
        </w:rPr>
      </w:pPr>
    </w:p>
    <w:p w14:paraId="239F680A">
      <w:pPr>
        <w:snapToGrid w:val="0"/>
        <w:spacing w:before="120" w:beforeLines="50" w:after="5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资  格  证  明  文  件（封面）</w:t>
      </w:r>
    </w:p>
    <w:p w14:paraId="6B6C8D97">
      <w:pPr>
        <w:snapToGrid w:val="0"/>
        <w:spacing w:before="120" w:beforeLines="50" w:after="50"/>
        <w:rPr>
          <w:rFonts w:hint="eastAsia" w:ascii="宋体" w:hAnsi="宋体" w:eastAsia="等线"/>
          <w:bCs/>
          <w:sz w:val="24"/>
          <w:szCs w:val="20"/>
        </w:rPr>
      </w:pPr>
    </w:p>
    <w:p w14:paraId="7BB3E4ED">
      <w:pPr>
        <w:snapToGrid w:val="0"/>
        <w:spacing w:before="120" w:beforeLines="50" w:after="50"/>
        <w:rPr>
          <w:rFonts w:hint="eastAsia" w:ascii="宋体" w:hAnsi="宋体"/>
          <w:bCs/>
          <w:sz w:val="24"/>
          <w:szCs w:val="20"/>
        </w:rPr>
      </w:pPr>
    </w:p>
    <w:p w14:paraId="0FDE636B">
      <w:pPr>
        <w:snapToGrid w:val="0"/>
        <w:spacing w:before="120" w:beforeLines="50" w:after="50"/>
        <w:rPr>
          <w:rFonts w:hint="eastAsia" w:ascii="宋体" w:hAnsi="宋体"/>
          <w:bCs/>
          <w:sz w:val="24"/>
          <w:szCs w:val="20"/>
        </w:rPr>
      </w:pPr>
    </w:p>
    <w:p w14:paraId="2CF2D710">
      <w:pPr>
        <w:snapToGrid w:val="0"/>
        <w:spacing w:before="120" w:beforeLines="50" w:after="50"/>
        <w:rPr>
          <w:rFonts w:hint="eastAsia" w:ascii="宋体" w:hAnsi="宋体"/>
          <w:bCs/>
          <w:sz w:val="24"/>
          <w:szCs w:val="20"/>
        </w:rPr>
      </w:pPr>
    </w:p>
    <w:p w14:paraId="3F0DA5D9">
      <w:pPr>
        <w:snapToGrid w:val="0"/>
        <w:spacing w:before="120" w:beforeLines="50" w:after="50"/>
        <w:rPr>
          <w:rFonts w:hint="eastAsia" w:ascii="宋体" w:hAnsi="宋体"/>
          <w:bCs/>
          <w:sz w:val="24"/>
          <w:szCs w:val="20"/>
        </w:rPr>
      </w:pPr>
    </w:p>
    <w:p w14:paraId="73C36C56">
      <w:pPr>
        <w:snapToGrid w:val="0"/>
        <w:spacing w:before="120" w:beforeLines="50" w:after="50"/>
        <w:ind w:firstLine="640" w:firstLineChars="200"/>
        <w:rPr>
          <w:rFonts w:hint="eastAsia" w:ascii="宋体" w:hAnsi="宋体" w:eastAsia="宋体" w:cs="仿宋_GB2312"/>
          <w:bCs/>
          <w:sz w:val="32"/>
          <w:szCs w:val="32"/>
          <w:lang w:eastAsia="zh-CN"/>
        </w:rPr>
      </w:pPr>
      <w:r>
        <w:rPr>
          <w:rFonts w:hint="eastAsia" w:ascii="宋体" w:hAnsi="宋体" w:cs="仿宋_GB2312"/>
          <w:bCs/>
          <w:sz w:val="32"/>
          <w:szCs w:val="32"/>
        </w:rPr>
        <w:t>项目名称：</w:t>
      </w:r>
      <w:r>
        <w:rPr>
          <w:rFonts w:hint="eastAsia" w:ascii="宋体" w:hAnsi="宋体" w:cs="仿宋_GB2312"/>
          <w:bCs/>
          <w:sz w:val="32"/>
          <w:szCs w:val="32"/>
          <w:lang w:eastAsia="zh-CN"/>
        </w:rPr>
        <w:t>2026年上林县幼儿园设备采购项目（重）</w:t>
      </w:r>
    </w:p>
    <w:p w14:paraId="1211775D">
      <w:pPr>
        <w:snapToGrid w:val="0"/>
        <w:spacing w:before="120" w:beforeLines="50" w:after="50"/>
        <w:ind w:firstLine="720" w:firstLineChars="225"/>
        <w:rPr>
          <w:rFonts w:hint="eastAsia" w:ascii="宋体" w:hAnsi="宋体" w:cs="仿宋_GB2312"/>
          <w:bCs/>
          <w:sz w:val="32"/>
          <w:szCs w:val="32"/>
        </w:rPr>
      </w:pPr>
    </w:p>
    <w:p w14:paraId="0DA68575">
      <w:pPr>
        <w:snapToGrid w:val="0"/>
        <w:spacing w:before="120" w:beforeLines="50" w:after="50"/>
        <w:ind w:firstLine="720" w:firstLineChars="225"/>
        <w:rPr>
          <w:rFonts w:hint="eastAsia" w:ascii="宋体" w:hAnsi="宋体" w:eastAsia="宋体" w:cs="仿宋_GB2312"/>
          <w:bCs/>
          <w:sz w:val="32"/>
          <w:szCs w:val="32"/>
          <w:lang w:eastAsia="zh-CN"/>
        </w:rPr>
      </w:pPr>
      <w:r>
        <w:rPr>
          <w:rFonts w:hint="eastAsia" w:ascii="宋体" w:hAnsi="宋体" w:cs="仿宋_GB2312"/>
          <w:bCs/>
          <w:sz w:val="32"/>
          <w:szCs w:val="32"/>
        </w:rPr>
        <w:t>项目编号：</w:t>
      </w:r>
      <w:r>
        <w:rPr>
          <w:rFonts w:hint="eastAsia" w:ascii="宋体" w:hAnsi="宋体" w:cs="仿宋_GB2312"/>
          <w:bCs/>
          <w:sz w:val="32"/>
          <w:szCs w:val="32"/>
          <w:lang w:eastAsia="zh-CN"/>
        </w:rPr>
        <w:t xml:space="preserve"> NNZC2026-J1-250095-SLXZ</w:t>
      </w:r>
    </w:p>
    <w:p w14:paraId="798074E4">
      <w:pPr>
        <w:snapToGrid w:val="0"/>
        <w:spacing w:before="120" w:beforeLines="50" w:after="50"/>
        <w:ind w:firstLine="720" w:firstLineChars="225"/>
        <w:rPr>
          <w:rFonts w:hint="eastAsia" w:ascii="宋体" w:hAnsi="宋体" w:cs="仿宋_GB2312"/>
          <w:bCs/>
          <w:sz w:val="32"/>
          <w:szCs w:val="32"/>
        </w:rPr>
      </w:pPr>
      <w:r>
        <w:rPr>
          <w:rFonts w:hint="eastAsia" w:ascii="宋体" w:hAnsi="宋体" w:cs="仿宋_GB2312"/>
          <w:bCs/>
          <w:sz w:val="32"/>
          <w:szCs w:val="32"/>
        </w:rPr>
        <w:t xml:space="preserve"> </w:t>
      </w:r>
    </w:p>
    <w:p w14:paraId="14C540C3">
      <w:pPr>
        <w:snapToGrid w:val="0"/>
        <w:spacing w:before="120" w:beforeLines="50" w:after="50"/>
        <w:ind w:firstLine="720" w:firstLineChars="225"/>
        <w:rPr>
          <w:rFonts w:hint="eastAsia" w:ascii="宋体" w:hAnsi="宋体" w:cs="仿宋_GB2312"/>
          <w:bCs/>
          <w:sz w:val="32"/>
          <w:szCs w:val="32"/>
        </w:rPr>
      </w:pPr>
      <w:r>
        <w:rPr>
          <w:rFonts w:hint="eastAsia" w:ascii="宋体" w:hAnsi="宋体" w:cs="仿宋_GB2312"/>
          <w:bCs/>
          <w:sz w:val="32"/>
          <w:szCs w:val="32"/>
        </w:rPr>
        <w:t>所竞分标（如有则填写，无分标时填写“无”或者留空）：</w:t>
      </w:r>
    </w:p>
    <w:p w14:paraId="7688BD6C">
      <w:pPr>
        <w:snapToGrid w:val="0"/>
        <w:spacing w:before="120" w:beforeLines="50" w:after="50"/>
        <w:ind w:firstLine="720" w:firstLineChars="225"/>
        <w:rPr>
          <w:rFonts w:hint="eastAsia" w:ascii="宋体" w:hAnsi="宋体" w:cs="仿宋_GB2312"/>
          <w:bCs/>
          <w:sz w:val="32"/>
          <w:szCs w:val="32"/>
        </w:rPr>
      </w:pPr>
    </w:p>
    <w:p w14:paraId="05C71E68">
      <w:pPr>
        <w:snapToGrid w:val="0"/>
        <w:spacing w:before="50" w:after="50"/>
        <w:ind w:firstLine="720" w:firstLineChars="225"/>
        <w:rPr>
          <w:rFonts w:hint="eastAsia" w:ascii="宋体" w:hAnsi="宋体" w:cs="仿宋_GB2312"/>
          <w:bCs/>
          <w:sz w:val="32"/>
          <w:szCs w:val="32"/>
        </w:rPr>
      </w:pPr>
      <w:r>
        <w:rPr>
          <w:rFonts w:hint="eastAsia" w:ascii="宋体" w:hAnsi="宋体" w:cs="仿宋_GB2312"/>
          <w:bCs/>
          <w:sz w:val="32"/>
          <w:szCs w:val="32"/>
        </w:rPr>
        <w:t>供应商名称：</w:t>
      </w:r>
    </w:p>
    <w:p w14:paraId="28F7795D">
      <w:pPr>
        <w:snapToGrid w:val="0"/>
        <w:spacing w:before="50" w:after="50"/>
        <w:ind w:firstLine="720" w:firstLineChars="225"/>
        <w:rPr>
          <w:rFonts w:hint="eastAsia" w:ascii="宋体" w:hAnsi="宋体" w:cs="仿宋_GB2312"/>
          <w:bCs/>
          <w:sz w:val="32"/>
          <w:szCs w:val="32"/>
        </w:rPr>
      </w:pPr>
    </w:p>
    <w:p w14:paraId="16431DF6">
      <w:pPr>
        <w:snapToGrid w:val="0"/>
        <w:spacing w:before="50" w:after="50"/>
        <w:ind w:firstLine="720" w:firstLineChars="225"/>
        <w:rPr>
          <w:rFonts w:hint="eastAsia" w:ascii="宋体" w:hAnsi="宋体" w:cs="仿宋_GB2312"/>
          <w:bCs/>
          <w:sz w:val="32"/>
          <w:szCs w:val="32"/>
        </w:rPr>
      </w:pPr>
    </w:p>
    <w:p w14:paraId="12EA09CF">
      <w:pPr>
        <w:snapToGrid w:val="0"/>
        <w:spacing w:before="50" w:after="50"/>
        <w:ind w:firstLine="720" w:firstLineChars="225"/>
        <w:rPr>
          <w:rFonts w:hint="eastAsia" w:ascii="宋体" w:hAnsi="宋体" w:cs="仿宋_GB2312"/>
          <w:bCs/>
          <w:sz w:val="32"/>
          <w:szCs w:val="32"/>
        </w:rPr>
      </w:pPr>
    </w:p>
    <w:p w14:paraId="0F56F4E9">
      <w:pPr>
        <w:snapToGrid w:val="0"/>
        <w:spacing w:before="50" w:after="50"/>
        <w:ind w:firstLine="1280" w:firstLineChars="400"/>
        <w:rPr>
          <w:rFonts w:hint="eastAsia" w:ascii="宋体" w:hAnsi="宋体" w:cs="仿宋_GB2312"/>
          <w:bCs/>
          <w:sz w:val="32"/>
          <w:szCs w:val="32"/>
        </w:rPr>
      </w:pPr>
    </w:p>
    <w:p w14:paraId="231A2489">
      <w:pPr>
        <w:snapToGrid w:val="0"/>
        <w:spacing w:before="120" w:beforeLines="50" w:after="50"/>
        <w:jc w:val="center"/>
        <w:rPr>
          <w:rFonts w:hint="eastAsia" w:ascii="宋体" w:hAnsi="宋体" w:cs="仿宋_GB2312"/>
          <w:sz w:val="32"/>
          <w:szCs w:val="32"/>
        </w:rPr>
      </w:pPr>
      <w:r>
        <w:rPr>
          <w:rFonts w:hint="eastAsia" w:ascii="宋体" w:hAnsi="宋体" w:cs="仿宋_GB2312"/>
          <w:sz w:val="32"/>
          <w:szCs w:val="32"/>
        </w:rPr>
        <w:t>年    月    日</w:t>
      </w:r>
    </w:p>
    <w:p w14:paraId="7856C2B0">
      <w:pPr>
        <w:snapToGrid w:val="0"/>
        <w:spacing w:before="120" w:beforeLines="50" w:after="50" w:line="360" w:lineRule="auto"/>
        <w:ind w:left="142" w:firstLine="480" w:firstLineChars="200"/>
        <w:jc w:val="left"/>
        <w:rPr>
          <w:rFonts w:hint="eastAsia" w:ascii="宋体" w:hAnsi="宋体"/>
          <w:b/>
          <w:bCs/>
          <w:sz w:val="32"/>
          <w:szCs w:val="32"/>
        </w:rPr>
      </w:pPr>
      <w:r>
        <w:rPr>
          <w:rFonts w:hint="eastAsia" w:ascii="宋体" w:hAnsi="宋体"/>
          <w:kern w:val="0"/>
          <w:sz w:val="24"/>
          <w:szCs w:val="24"/>
        </w:rPr>
        <w:br w:type="page"/>
      </w:r>
      <w:r>
        <w:rPr>
          <w:rFonts w:hint="eastAsia" w:ascii="宋体" w:hAnsi="宋体"/>
          <w:b/>
          <w:bCs/>
          <w:sz w:val="32"/>
          <w:szCs w:val="32"/>
        </w:rPr>
        <w:t>二、资格证明文件目录</w:t>
      </w:r>
    </w:p>
    <w:p w14:paraId="6DEF8B55">
      <w:pPr>
        <w:jc w:val="center"/>
        <w:rPr>
          <w:rFonts w:hint="eastAsia" w:ascii="仿宋_GB2312" w:hAnsi="仿宋" w:eastAsia="仿宋_GB2312" w:cs="仿宋_GB2312"/>
          <w:b/>
          <w:kern w:val="0"/>
          <w:sz w:val="36"/>
          <w:szCs w:val="36"/>
        </w:rPr>
      </w:pPr>
      <w:r>
        <w:rPr>
          <w:rFonts w:hint="eastAsia" w:ascii="仿宋_GB2312" w:hAnsi="仿宋" w:eastAsia="仿宋_GB2312" w:cs="仿宋_GB2312"/>
          <w:b/>
          <w:kern w:val="0"/>
          <w:sz w:val="36"/>
          <w:szCs w:val="36"/>
        </w:rPr>
        <w:t>资格证明文件目录</w:t>
      </w:r>
    </w:p>
    <w:p w14:paraId="6F4295E7">
      <w:pPr>
        <w:snapToGrid w:val="0"/>
        <w:spacing w:line="360" w:lineRule="auto"/>
        <w:rPr>
          <w:rFonts w:hint="eastAsia" w:ascii="仿宋_GB2312" w:hAnsi="仿宋" w:eastAsia="仿宋_GB2312" w:cs="仿宋_GB2312"/>
          <w:kern w:val="0"/>
          <w:sz w:val="24"/>
        </w:rPr>
      </w:pPr>
    </w:p>
    <w:p w14:paraId="6EDF0C0B">
      <w:pPr>
        <w:snapToGrid w:val="0"/>
        <w:spacing w:line="360" w:lineRule="auto"/>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一、</w:t>
      </w:r>
      <w:r>
        <w:rPr>
          <w:rFonts w:hint="eastAsia" w:ascii="仿宋_GB2312" w:hAnsi="仿宋" w:eastAsia="仿宋_GB2312"/>
          <w:sz w:val="24"/>
          <w:szCs w:val="24"/>
        </w:rPr>
        <w:t>营业执照(或事业法人登记证或其他工商等登记证明材料)复印件（供应商为自然人的，须提供</w:t>
      </w:r>
      <w:r>
        <w:rPr>
          <w:rFonts w:hint="eastAsia" w:ascii="仿宋_GB2312" w:hAnsi="仿宋" w:eastAsia="仿宋_GB2312" w:cs="Helvetica"/>
          <w:kern w:val="0"/>
          <w:sz w:val="24"/>
          <w:szCs w:val="24"/>
        </w:rPr>
        <w:t>自然人的身份证明</w:t>
      </w:r>
      <w:r>
        <w:rPr>
          <w:rFonts w:hint="eastAsia" w:ascii="仿宋_GB2312" w:hAnsi="仿宋" w:eastAsia="仿宋_GB2312"/>
          <w:sz w:val="24"/>
          <w:szCs w:val="24"/>
        </w:rPr>
        <w:t>）</w:t>
      </w:r>
      <w:r>
        <w:rPr>
          <w:rFonts w:hint="eastAsia" w:ascii="仿宋_GB2312" w:hAnsi="仿宋" w:eastAsia="仿宋_GB2312" w:cs="仿宋_GB2312"/>
          <w:kern w:val="0"/>
          <w:sz w:val="24"/>
          <w:szCs w:val="24"/>
        </w:rPr>
        <w:t>……………………………………………（页码）</w:t>
      </w:r>
    </w:p>
    <w:p w14:paraId="4945C6EC">
      <w:pPr>
        <w:snapToGrid w:val="0"/>
        <w:spacing w:line="360" w:lineRule="auto"/>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二、符合参与政府采购活动的资格条件依法缴纳税收、社会保障资金等方面的材料…………………………………………………………………………………（页码）</w:t>
      </w:r>
    </w:p>
    <w:p w14:paraId="1470A520">
      <w:pPr>
        <w:snapToGrid w:val="0"/>
        <w:spacing w:line="360" w:lineRule="auto"/>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三、财务状况报告方面的材料…………………………………………………（页码）</w:t>
      </w:r>
    </w:p>
    <w:p w14:paraId="0B857224">
      <w:pPr>
        <w:snapToGrid w:val="0"/>
        <w:spacing w:line="360" w:lineRule="auto"/>
        <w:rPr>
          <w:rFonts w:hint="eastAsia" w:ascii="仿宋_GB2312" w:hAnsi="仿宋" w:eastAsia="仿宋_GB2312" w:cs="仿宋_GB2312"/>
          <w:kern w:val="0"/>
          <w:sz w:val="24"/>
          <w:szCs w:val="24"/>
        </w:rPr>
      </w:pPr>
      <w:r>
        <w:rPr>
          <w:rFonts w:hint="eastAsia" w:ascii="仿宋_GB2312" w:hAnsi="仿宋" w:eastAsia="仿宋_GB2312" w:cs="仿宋_GB2312"/>
          <w:sz w:val="24"/>
          <w:szCs w:val="24"/>
        </w:rPr>
        <w:t>四、供应商直接控股股东信息</w:t>
      </w:r>
      <w:r>
        <w:rPr>
          <w:rFonts w:hint="eastAsia" w:ascii="仿宋_GB2312" w:hAnsi="仿宋" w:eastAsia="仿宋_GB2312" w:cs="仿宋_GB2312"/>
          <w:kern w:val="0"/>
          <w:sz w:val="24"/>
          <w:szCs w:val="24"/>
        </w:rPr>
        <w:t>…………………………………………………（页码）</w:t>
      </w:r>
    </w:p>
    <w:p w14:paraId="54A849C8">
      <w:pPr>
        <w:snapToGrid w:val="0"/>
        <w:spacing w:line="360" w:lineRule="auto"/>
        <w:rPr>
          <w:rFonts w:hint="eastAsia" w:ascii="仿宋_GB2312" w:hAnsi="仿宋" w:eastAsia="仿宋_GB2312" w:cs="仿宋_GB2312"/>
          <w:kern w:val="0"/>
          <w:sz w:val="24"/>
          <w:szCs w:val="24"/>
        </w:rPr>
      </w:pPr>
      <w:r>
        <w:rPr>
          <w:rFonts w:hint="eastAsia" w:ascii="仿宋_GB2312" w:hAnsi="仿宋" w:eastAsia="仿宋_GB2312" w:cs="仿宋_GB2312"/>
          <w:sz w:val="24"/>
          <w:szCs w:val="24"/>
        </w:rPr>
        <w:t>五、供应商直接关联关系信息表</w:t>
      </w:r>
      <w:r>
        <w:rPr>
          <w:rFonts w:hint="eastAsia" w:ascii="仿宋_GB2312" w:hAnsi="仿宋" w:eastAsia="仿宋_GB2312" w:cs="仿宋_GB2312"/>
          <w:kern w:val="0"/>
          <w:sz w:val="24"/>
          <w:szCs w:val="24"/>
        </w:rPr>
        <w:t>………………………………………………（页码）</w:t>
      </w:r>
    </w:p>
    <w:p w14:paraId="3AD1E833">
      <w:pPr>
        <w:snapToGrid w:val="0"/>
        <w:spacing w:line="360" w:lineRule="auto"/>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六、资格声明函…………………………………………………………………（页码）</w:t>
      </w:r>
    </w:p>
    <w:p w14:paraId="45322F0D">
      <w:pPr>
        <w:snapToGrid w:val="0"/>
        <w:spacing w:line="360" w:lineRule="auto"/>
        <w:rPr>
          <w:rFonts w:hint="eastAsia" w:ascii="仿宋_GB2312" w:hAnsi="仿宋" w:eastAsia="仿宋_GB2312" w:cs="仿宋_GB2312"/>
          <w:sz w:val="24"/>
          <w:szCs w:val="24"/>
          <w:lang w:eastAsia="zh-CN"/>
        </w:rPr>
      </w:pPr>
      <w:r>
        <w:rPr>
          <w:rFonts w:hint="eastAsia" w:ascii="仿宋_GB2312" w:hAnsi="仿宋" w:eastAsia="仿宋_GB2312" w:cs="仿宋_GB2312"/>
          <w:sz w:val="24"/>
          <w:szCs w:val="24"/>
          <w:lang w:eastAsia="zh-CN"/>
        </w:rPr>
        <w:t>七、分包意向协议</w:t>
      </w:r>
      <w:r>
        <w:rPr>
          <w:rFonts w:hint="eastAsia" w:ascii="仿宋_GB2312" w:hAnsi="仿宋" w:eastAsia="仿宋_GB2312" w:cs="仿宋_GB2312"/>
          <w:sz w:val="24"/>
          <w:szCs w:val="24"/>
        </w:rPr>
        <w:t>………………………………………………………………（页码）</w:t>
      </w:r>
    </w:p>
    <w:p w14:paraId="281B6313">
      <w:pPr>
        <w:snapToGrid w:val="0"/>
        <w:spacing w:line="360" w:lineRule="auto"/>
        <w:rPr>
          <w:rFonts w:hint="eastAsia" w:ascii="仿宋_GB2312" w:hAnsi="仿宋" w:eastAsia="仿宋_GB2312" w:cs="仿宋_GB2312"/>
          <w:sz w:val="24"/>
          <w:szCs w:val="24"/>
        </w:rPr>
      </w:pPr>
      <w:r>
        <w:rPr>
          <w:rFonts w:hint="eastAsia" w:ascii="仿宋_GB2312" w:hAnsi="仿宋" w:eastAsia="仿宋_GB2312" w:cs="仿宋_GB2312"/>
          <w:sz w:val="24"/>
          <w:szCs w:val="24"/>
          <w:lang w:eastAsia="zh-CN"/>
        </w:rPr>
        <w:t>八</w:t>
      </w:r>
      <w:r>
        <w:rPr>
          <w:rFonts w:hint="eastAsia" w:ascii="仿宋_GB2312" w:hAnsi="仿宋" w:eastAsia="仿宋_GB2312" w:cs="仿宋_GB2312"/>
          <w:sz w:val="24"/>
          <w:szCs w:val="24"/>
        </w:rPr>
        <w:t>、</w:t>
      </w:r>
      <w:r>
        <w:rPr>
          <w:rFonts w:hint="eastAsia" w:ascii="仿宋_GB2312" w:hAnsi="仿宋" w:eastAsia="仿宋_GB2312" w:cs="仿宋_GB2312"/>
          <w:sz w:val="24"/>
          <w:szCs w:val="24"/>
          <w:lang w:eastAsia="zh-CN"/>
        </w:rPr>
        <w:t>中小企业声明函</w:t>
      </w:r>
      <w:r>
        <w:rPr>
          <w:rFonts w:hint="eastAsia" w:ascii="仿宋_GB2312" w:hAnsi="仿宋" w:eastAsia="仿宋_GB2312" w:cs="仿宋_GB2312"/>
          <w:sz w:val="24"/>
          <w:szCs w:val="24"/>
        </w:rPr>
        <w:t>……………………………………………………………（页码）</w:t>
      </w:r>
    </w:p>
    <w:p w14:paraId="0451AA8E">
      <w:pPr>
        <w:snapToGrid w:val="0"/>
        <w:spacing w:line="360" w:lineRule="auto"/>
        <w:rPr>
          <w:rFonts w:hint="eastAsia" w:ascii="仿宋_GB2312" w:hAnsi="仿宋" w:eastAsia="仿宋_GB2312" w:cs="仿宋_GB2312"/>
          <w:sz w:val="24"/>
          <w:szCs w:val="24"/>
          <w:lang w:eastAsia="zh-CN"/>
        </w:rPr>
      </w:pPr>
      <w:r>
        <w:rPr>
          <w:rFonts w:hint="eastAsia" w:ascii="仿宋_GB2312" w:hAnsi="仿宋" w:eastAsia="仿宋_GB2312" w:cs="仿宋_GB2312"/>
          <w:sz w:val="24"/>
          <w:szCs w:val="24"/>
          <w:lang w:eastAsia="zh-CN"/>
        </w:rPr>
        <w:t>九、中小微企业产品报价表</w:t>
      </w:r>
      <w:r>
        <w:rPr>
          <w:rFonts w:hint="eastAsia" w:ascii="仿宋_GB2312" w:hAnsi="仿宋" w:eastAsia="仿宋_GB2312" w:cs="仿宋_GB2312"/>
          <w:sz w:val="24"/>
          <w:szCs w:val="24"/>
        </w:rPr>
        <w:t>………………………………………………………（页码）</w:t>
      </w:r>
    </w:p>
    <w:p w14:paraId="0DAB9BC6">
      <w:pPr>
        <w:snapToGrid w:val="0"/>
        <w:spacing w:line="360" w:lineRule="auto"/>
        <w:rPr>
          <w:rFonts w:hint="eastAsia" w:ascii="仿宋_GB2312" w:hAnsi="仿宋" w:eastAsia="仿宋_GB2312" w:cs="仿宋_GB2312"/>
          <w:kern w:val="0"/>
          <w:sz w:val="24"/>
          <w:szCs w:val="24"/>
        </w:rPr>
      </w:pPr>
      <w:r>
        <w:rPr>
          <w:rFonts w:hint="eastAsia" w:ascii="仿宋_GB2312" w:hAnsi="仿宋" w:eastAsia="仿宋_GB2312" w:cs="仿宋_GB2312"/>
          <w:sz w:val="24"/>
          <w:szCs w:val="24"/>
          <w:lang w:eastAsia="zh-CN"/>
        </w:rPr>
        <w:t>十、</w:t>
      </w:r>
      <w:r>
        <w:rPr>
          <w:rFonts w:hint="eastAsia" w:ascii="仿宋_GB2312" w:hAnsi="仿宋" w:eastAsia="仿宋_GB2312" w:cs="仿宋_GB2312"/>
          <w:sz w:val="24"/>
          <w:szCs w:val="24"/>
        </w:rPr>
        <w:t>符合特定资格条件（如有）的有关证明材料（复印件）</w:t>
      </w:r>
      <w:r>
        <w:rPr>
          <w:rFonts w:hint="eastAsia" w:ascii="仿宋_GB2312" w:hAnsi="仿宋" w:eastAsia="仿宋_GB2312" w:cs="仿宋_GB2312"/>
          <w:kern w:val="0"/>
          <w:sz w:val="24"/>
          <w:szCs w:val="24"/>
        </w:rPr>
        <w:t>………………（页码）</w:t>
      </w:r>
    </w:p>
    <w:p w14:paraId="37E4AE88">
      <w:pPr>
        <w:spacing w:line="360" w:lineRule="auto"/>
        <w:rPr>
          <w:rFonts w:hint="eastAsia" w:ascii="仿宋_GB2312" w:hAnsi="仿宋_GB2312" w:eastAsia="仿宋_GB2312" w:cs="仿宋_GB2312"/>
          <w:b/>
          <w:bCs/>
          <w:sz w:val="24"/>
          <w:szCs w:val="24"/>
        </w:rPr>
      </w:pPr>
    </w:p>
    <w:p w14:paraId="70FDC6F5">
      <w:pPr>
        <w:spacing w:line="360" w:lineRule="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注：以上目录是编制供应商响应文件的基本格式要求，各供应商可根据自身情况进一步细化。</w:t>
      </w:r>
    </w:p>
    <w:p w14:paraId="3CA22468">
      <w:pPr>
        <w:widowControl/>
        <w:jc w:val="left"/>
        <w:rPr>
          <w:rFonts w:ascii="宋体" w:hAnsi="宋体"/>
          <w:kern w:val="0"/>
          <w:sz w:val="24"/>
          <w:szCs w:val="20"/>
        </w:rPr>
        <w:sectPr>
          <w:pgSz w:w="11910" w:h="16840"/>
          <w:pgMar w:top="1340" w:right="1500" w:bottom="280" w:left="1680" w:header="720" w:footer="720" w:gutter="0"/>
          <w:pgBorders>
            <w:top w:val="none" w:sz="0" w:space="0"/>
            <w:left w:val="none" w:sz="0" w:space="0"/>
            <w:bottom w:val="none" w:sz="0" w:space="0"/>
            <w:right w:val="none" w:sz="0" w:space="0"/>
          </w:pgBorders>
          <w:pgNumType w:fmt="decimal"/>
          <w:cols w:space="720" w:num="1"/>
        </w:sectPr>
      </w:pPr>
    </w:p>
    <w:p w14:paraId="0DA18DC5">
      <w:pPr>
        <w:spacing w:line="360" w:lineRule="auto"/>
        <w:ind w:firstLine="602" w:firstLineChars="200"/>
        <w:rPr>
          <w:rFonts w:hint="eastAsia" w:ascii="仿宋" w:hAnsi="仿宋" w:eastAsia="仿宋" w:cs="仿宋_GB2312"/>
          <w:b/>
          <w:sz w:val="30"/>
          <w:szCs w:val="30"/>
        </w:rPr>
      </w:pPr>
      <w:r>
        <w:rPr>
          <w:rFonts w:hint="eastAsia" w:ascii="仿宋" w:hAnsi="仿宋" w:eastAsia="仿宋" w:cs="仿宋_GB2312"/>
          <w:b/>
          <w:sz w:val="30"/>
          <w:szCs w:val="30"/>
        </w:rPr>
        <w:t>一、营业执照(或事业法人登记证或其他工商等登记证明材料)复印件（供应商为自然人的，提供自然人的身份证明）</w:t>
      </w:r>
    </w:p>
    <w:p w14:paraId="1D126D90">
      <w:pPr>
        <w:spacing w:line="360" w:lineRule="auto"/>
        <w:ind w:firstLine="602" w:firstLineChars="200"/>
        <w:rPr>
          <w:rFonts w:hint="eastAsia" w:ascii="仿宋" w:hAnsi="仿宋" w:eastAsia="仿宋" w:cs="仿宋_GB2312"/>
          <w:b/>
          <w:sz w:val="30"/>
          <w:szCs w:val="30"/>
        </w:rPr>
      </w:pPr>
    </w:p>
    <w:p w14:paraId="3773BE9C">
      <w:pPr>
        <w:autoSpaceDE w:val="0"/>
        <w:autoSpaceDN w:val="0"/>
        <w:spacing w:line="360" w:lineRule="auto"/>
        <w:ind w:left="4365" w:leftChars="1850" w:hanging="480" w:hangingChars="200"/>
        <w:rPr>
          <w:rFonts w:hint="eastAsia" w:ascii="仿宋_GB2312" w:hAnsi="仿宋" w:eastAsia="仿宋_GB2312" w:cs="仿宋_GB2312"/>
          <w:kern w:val="0"/>
          <w:sz w:val="24"/>
        </w:rPr>
      </w:pPr>
      <w:r>
        <w:rPr>
          <w:rFonts w:hint="eastAsia" w:ascii="仿宋_GB2312" w:hAnsi="仿宋" w:eastAsia="仿宋_GB2312" w:cs="仿宋_GB2312"/>
          <w:kern w:val="0"/>
          <w:sz w:val="24"/>
          <w:szCs w:val="24"/>
        </w:rPr>
        <w:t>供应商名称（电子签章）：</w:t>
      </w:r>
    </w:p>
    <w:p w14:paraId="57431E78">
      <w:pPr>
        <w:autoSpaceDE w:val="0"/>
        <w:autoSpaceDN w:val="0"/>
        <w:spacing w:line="360" w:lineRule="auto"/>
        <w:ind w:firstLine="6120" w:firstLineChars="2550"/>
        <w:rPr>
          <w:rFonts w:hint="eastAsia" w:ascii="仿宋_GB2312" w:hAnsi="仿宋" w:eastAsia="仿宋_GB2312" w:cs="仿宋_GB2312"/>
          <w:b/>
          <w:bCs/>
          <w:sz w:val="24"/>
          <w:szCs w:val="24"/>
        </w:rPr>
      </w:pPr>
      <w:r>
        <w:rPr>
          <w:rFonts w:hint="eastAsia" w:ascii="仿宋_GB2312" w:hAnsi="仿宋" w:eastAsia="仿宋_GB2312" w:cs="仿宋_GB2312"/>
          <w:kern w:val="0"/>
          <w:sz w:val="24"/>
          <w:szCs w:val="24"/>
          <w:lang w:val="zh-CN"/>
        </w:rPr>
        <w:t>日期：  年  月   日</w:t>
      </w:r>
    </w:p>
    <w:p w14:paraId="6D32178D">
      <w:pPr>
        <w:snapToGrid w:val="0"/>
        <w:spacing w:before="120" w:beforeLines="50" w:after="50"/>
        <w:rPr>
          <w:rFonts w:hint="eastAsia" w:ascii="宋体" w:hAnsi="宋体" w:eastAsia="等线"/>
          <w:sz w:val="24"/>
          <w:szCs w:val="20"/>
        </w:rPr>
      </w:pPr>
    </w:p>
    <w:p w14:paraId="22007E89">
      <w:pPr>
        <w:spacing w:line="360" w:lineRule="auto"/>
        <w:ind w:firstLine="602" w:firstLineChars="200"/>
        <w:rPr>
          <w:rFonts w:hint="eastAsia" w:ascii="仿宋" w:hAnsi="仿宋" w:eastAsia="仿宋" w:cs="仿宋_GB2312"/>
          <w:b/>
          <w:sz w:val="30"/>
          <w:szCs w:val="30"/>
        </w:rPr>
      </w:pPr>
      <w:r>
        <w:rPr>
          <w:rFonts w:hint="eastAsia" w:ascii="仿宋" w:hAnsi="仿宋" w:eastAsia="仿宋" w:cs="仿宋_GB2312"/>
          <w:b/>
          <w:sz w:val="30"/>
          <w:szCs w:val="30"/>
        </w:rPr>
        <w:t>二、符合参与政府采购活动的资格条件依法缴纳税收、社会保障资金等方面的材料</w:t>
      </w:r>
    </w:p>
    <w:p w14:paraId="61D42E01">
      <w:pPr>
        <w:spacing w:line="300" w:lineRule="auto"/>
        <w:rPr>
          <w:rFonts w:hint="eastAsia" w:ascii="宋体" w:hAnsi="宋体" w:eastAsia="等线"/>
          <w:szCs w:val="21"/>
        </w:rPr>
      </w:pPr>
    </w:p>
    <w:p w14:paraId="2C0DF999">
      <w:pPr>
        <w:autoSpaceDE w:val="0"/>
        <w:autoSpaceDN w:val="0"/>
        <w:spacing w:line="360" w:lineRule="auto"/>
        <w:ind w:left="4365" w:leftChars="1850" w:hanging="480" w:hangingChars="200"/>
        <w:rPr>
          <w:rFonts w:hint="eastAsia" w:ascii="仿宋_GB2312" w:hAnsi="仿宋" w:eastAsia="仿宋_GB2312" w:cs="仿宋_GB2312"/>
          <w:kern w:val="0"/>
          <w:sz w:val="24"/>
        </w:rPr>
      </w:pPr>
      <w:r>
        <w:rPr>
          <w:rFonts w:hint="eastAsia" w:ascii="仿宋_GB2312" w:hAnsi="仿宋" w:eastAsia="仿宋_GB2312" w:cs="仿宋_GB2312"/>
          <w:kern w:val="0"/>
          <w:sz w:val="24"/>
          <w:szCs w:val="24"/>
        </w:rPr>
        <w:t>供应商名称（电子签章）：</w:t>
      </w:r>
    </w:p>
    <w:p w14:paraId="2866B818">
      <w:pPr>
        <w:autoSpaceDE w:val="0"/>
        <w:autoSpaceDN w:val="0"/>
        <w:spacing w:line="360" w:lineRule="auto"/>
        <w:ind w:firstLine="6120" w:firstLineChars="2550"/>
        <w:rPr>
          <w:rFonts w:hint="eastAsia" w:ascii="仿宋_GB2312" w:hAnsi="仿宋" w:eastAsia="仿宋_GB2312" w:cs="仿宋_GB2312"/>
          <w:b/>
          <w:bCs/>
          <w:sz w:val="24"/>
          <w:szCs w:val="24"/>
        </w:rPr>
      </w:pPr>
      <w:r>
        <w:rPr>
          <w:rFonts w:hint="eastAsia" w:ascii="仿宋_GB2312" w:hAnsi="仿宋" w:eastAsia="仿宋_GB2312" w:cs="仿宋_GB2312"/>
          <w:kern w:val="0"/>
          <w:sz w:val="24"/>
          <w:szCs w:val="24"/>
          <w:lang w:val="zh-CN"/>
        </w:rPr>
        <w:t>日期：  年  月   日</w:t>
      </w:r>
    </w:p>
    <w:p w14:paraId="454134AA">
      <w:pPr>
        <w:spacing w:line="300" w:lineRule="auto"/>
        <w:rPr>
          <w:rFonts w:hint="eastAsia" w:ascii="宋体" w:hAnsi="宋体" w:eastAsia="等线"/>
          <w:szCs w:val="21"/>
        </w:rPr>
      </w:pPr>
    </w:p>
    <w:p w14:paraId="0C3A25F6">
      <w:pPr>
        <w:spacing w:line="300" w:lineRule="auto"/>
        <w:ind w:firstLine="596" w:firstLineChars="198"/>
        <w:rPr>
          <w:rFonts w:hint="eastAsia" w:ascii="仿宋" w:hAnsi="仿宋" w:eastAsia="仿宋" w:cs="仿宋_GB2312"/>
          <w:b/>
          <w:kern w:val="0"/>
          <w:sz w:val="30"/>
          <w:szCs w:val="30"/>
        </w:rPr>
      </w:pPr>
      <w:r>
        <w:rPr>
          <w:rFonts w:hint="eastAsia" w:ascii="仿宋" w:hAnsi="仿宋" w:eastAsia="仿宋" w:cs="仿宋_GB2312"/>
          <w:b/>
          <w:kern w:val="0"/>
          <w:sz w:val="30"/>
          <w:szCs w:val="30"/>
        </w:rPr>
        <w:t>三、财务状况报告方面的材料</w:t>
      </w:r>
    </w:p>
    <w:p w14:paraId="0A67E4E1">
      <w:pPr>
        <w:spacing w:line="300" w:lineRule="auto"/>
        <w:rPr>
          <w:rFonts w:hint="eastAsia" w:ascii="宋体" w:hAnsi="宋体" w:eastAsia="等线"/>
          <w:szCs w:val="21"/>
        </w:rPr>
      </w:pPr>
    </w:p>
    <w:p w14:paraId="7FB4D26E">
      <w:pPr>
        <w:autoSpaceDE w:val="0"/>
        <w:autoSpaceDN w:val="0"/>
        <w:spacing w:line="360" w:lineRule="auto"/>
        <w:ind w:left="4365" w:leftChars="1850" w:hanging="480" w:hangingChars="200"/>
        <w:rPr>
          <w:rFonts w:hint="eastAsia" w:ascii="仿宋_GB2312" w:hAnsi="仿宋" w:eastAsia="仿宋_GB2312" w:cs="仿宋_GB2312"/>
          <w:kern w:val="0"/>
          <w:sz w:val="24"/>
        </w:rPr>
      </w:pPr>
      <w:r>
        <w:rPr>
          <w:rFonts w:hint="eastAsia" w:ascii="仿宋_GB2312" w:hAnsi="仿宋" w:eastAsia="仿宋_GB2312" w:cs="仿宋_GB2312"/>
          <w:kern w:val="0"/>
          <w:sz w:val="24"/>
          <w:szCs w:val="24"/>
        </w:rPr>
        <w:t>供应商名称（电子签章）：</w:t>
      </w:r>
    </w:p>
    <w:p w14:paraId="60A78E22">
      <w:pPr>
        <w:autoSpaceDE w:val="0"/>
        <w:autoSpaceDN w:val="0"/>
        <w:spacing w:line="360" w:lineRule="auto"/>
        <w:ind w:firstLine="6120" w:firstLineChars="2550"/>
        <w:rPr>
          <w:rFonts w:hint="eastAsia" w:ascii="仿宋_GB2312" w:hAnsi="仿宋" w:eastAsia="仿宋_GB2312" w:cs="仿宋_GB2312"/>
          <w:b/>
          <w:bCs/>
          <w:sz w:val="24"/>
          <w:szCs w:val="24"/>
        </w:rPr>
      </w:pPr>
      <w:r>
        <w:rPr>
          <w:rFonts w:hint="eastAsia" w:ascii="仿宋_GB2312" w:hAnsi="仿宋" w:eastAsia="仿宋_GB2312" w:cs="仿宋_GB2312"/>
          <w:kern w:val="0"/>
          <w:sz w:val="24"/>
          <w:szCs w:val="24"/>
          <w:lang w:val="zh-CN"/>
        </w:rPr>
        <w:t>日期：  年  月   日</w:t>
      </w:r>
    </w:p>
    <w:p w14:paraId="302DA4C7">
      <w:pPr>
        <w:spacing w:line="320" w:lineRule="exact"/>
        <w:jc w:val="left"/>
        <w:rPr>
          <w:rFonts w:hint="eastAsia" w:ascii="宋体" w:hAnsi="宋体" w:eastAsia="等线"/>
          <w:szCs w:val="21"/>
        </w:rPr>
      </w:pPr>
      <w:r>
        <w:rPr>
          <w:rFonts w:hint="eastAsia" w:ascii="宋体" w:hAnsi="宋体"/>
          <w:szCs w:val="21"/>
        </w:rPr>
        <w:t xml:space="preserve"> </w:t>
      </w:r>
    </w:p>
    <w:p w14:paraId="5CCD72DF">
      <w:pPr>
        <w:snapToGrid w:val="0"/>
        <w:spacing w:before="120" w:beforeLines="50" w:after="50" w:line="360" w:lineRule="auto"/>
        <w:jc w:val="center"/>
        <w:rPr>
          <w:rFonts w:hint="eastAsia" w:ascii="宋体" w:hAnsi="宋体"/>
          <w:b/>
          <w:sz w:val="24"/>
        </w:rPr>
      </w:pPr>
    </w:p>
    <w:p w14:paraId="5E30285F">
      <w:pPr>
        <w:spacing w:line="360" w:lineRule="auto"/>
        <w:ind w:firstLine="596" w:firstLineChars="198"/>
        <w:rPr>
          <w:rFonts w:hint="eastAsia" w:ascii="仿宋" w:hAnsi="仿宋" w:eastAsia="仿宋" w:cs="仿宋_GB2312"/>
          <w:b/>
          <w:kern w:val="0"/>
          <w:sz w:val="30"/>
          <w:szCs w:val="30"/>
        </w:rPr>
      </w:pPr>
      <w:r>
        <w:rPr>
          <w:rFonts w:hint="eastAsia" w:ascii="仿宋" w:hAnsi="仿宋" w:eastAsia="仿宋" w:cs="仿宋_GB2312"/>
          <w:b/>
          <w:kern w:val="0"/>
          <w:sz w:val="30"/>
          <w:szCs w:val="30"/>
        </w:rPr>
        <w:t>四、供应商直接控股股东信息</w:t>
      </w:r>
    </w:p>
    <w:p w14:paraId="1D2186E4">
      <w:pPr>
        <w:spacing w:line="360" w:lineRule="auto"/>
        <w:jc w:val="center"/>
        <w:rPr>
          <w:rFonts w:hint="eastAsia" w:ascii="宋体" w:hAnsi="宋体" w:eastAsia="等线"/>
          <w:b/>
          <w:sz w:val="24"/>
        </w:rPr>
      </w:pPr>
    </w:p>
    <w:tbl>
      <w:tblPr>
        <w:tblStyle w:val="10"/>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17844061">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11B0E05">
            <w:pPr>
              <w:widowControl/>
              <w:spacing w:line="360" w:lineRule="auto"/>
              <w:jc w:val="center"/>
              <w:rPr>
                <w:rFonts w:ascii="宋体" w:hAnsi="宋体" w:cs="宋体"/>
                <w:b/>
                <w:bCs/>
                <w:kern w:val="0"/>
                <w:sz w:val="24"/>
              </w:rPr>
            </w:pPr>
            <w:r>
              <w:rPr>
                <w:rFonts w:hint="eastAsia" w:ascii="宋体" w:hAnsi="宋体" w:cs="宋体"/>
                <w:b/>
                <w:bCs/>
                <w:kern w:val="0"/>
                <w:sz w:val="24"/>
                <w:szCs w:val="24"/>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39D7DB5">
            <w:pPr>
              <w:widowControl/>
              <w:spacing w:line="360" w:lineRule="auto"/>
              <w:jc w:val="center"/>
              <w:rPr>
                <w:rFonts w:ascii="宋体" w:hAnsi="宋体" w:cs="宋体"/>
                <w:b/>
                <w:bCs/>
                <w:kern w:val="0"/>
                <w:sz w:val="24"/>
              </w:rPr>
            </w:pPr>
            <w:r>
              <w:rPr>
                <w:rFonts w:hint="eastAsia" w:ascii="宋体" w:hAnsi="宋体" w:cs="宋体"/>
                <w:b/>
                <w:bCs/>
                <w:kern w:val="0"/>
                <w:sz w:val="24"/>
                <w:szCs w:val="24"/>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0CDFC63">
            <w:pPr>
              <w:widowControl/>
              <w:spacing w:line="360" w:lineRule="auto"/>
              <w:jc w:val="center"/>
              <w:rPr>
                <w:rFonts w:ascii="宋体" w:hAnsi="宋体" w:cs="宋体"/>
                <w:b/>
                <w:bCs/>
                <w:kern w:val="0"/>
                <w:sz w:val="24"/>
              </w:rPr>
            </w:pPr>
            <w:r>
              <w:rPr>
                <w:rFonts w:hint="eastAsia" w:ascii="宋体" w:hAnsi="宋体" w:cs="宋体"/>
                <w:b/>
                <w:bCs/>
                <w:kern w:val="0"/>
                <w:sz w:val="24"/>
                <w:szCs w:val="24"/>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6D9447B">
            <w:pPr>
              <w:widowControl/>
              <w:spacing w:line="360" w:lineRule="auto"/>
              <w:jc w:val="center"/>
              <w:rPr>
                <w:rFonts w:ascii="宋体" w:hAnsi="宋体" w:cs="宋体"/>
                <w:b/>
                <w:bCs/>
                <w:kern w:val="0"/>
                <w:sz w:val="24"/>
              </w:rPr>
            </w:pPr>
            <w:r>
              <w:rPr>
                <w:rFonts w:hint="eastAsia" w:ascii="宋体" w:hAnsi="宋体" w:cs="宋体"/>
                <w:b/>
                <w:bCs/>
                <w:kern w:val="0"/>
                <w:sz w:val="24"/>
                <w:szCs w:val="24"/>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2C9E7D8">
            <w:pPr>
              <w:widowControl/>
              <w:spacing w:line="360" w:lineRule="auto"/>
              <w:jc w:val="center"/>
              <w:rPr>
                <w:rFonts w:ascii="宋体" w:hAnsi="宋体" w:cs="宋体"/>
                <w:b/>
                <w:bCs/>
                <w:kern w:val="0"/>
                <w:sz w:val="24"/>
              </w:rPr>
            </w:pPr>
            <w:r>
              <w:rPr>
                <w:rFonts w:hint="eastAsia" w:ascii="宋体" w:hAnsi="宋体" w:cs="宋体"/>
                <w:b/>
                <w:bCs/>
                <w:kern w:val="0"/>
                <w:sz w:val="24"/>
                <w:szCs w:val="24"/>
              </w:rPr>
              <w:t>备注</w:t>
            </w:r>
          </w:p>
        </w:tc>
      </w:tr>
      <w:tr w14:paraId="0724DBEF">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D107DB0">
            <w:pPr>
              <w:widowControl/>
              <w:spacing w:line="360" w:lineRule="auto"/>
              <w:jc w:val="center"/>
              <w:rPr>
                <w:rFonts w:ascii="宋体" w:hAnsi="宋体" w:cs="宋体"/>
                <w:kern w:val="0"/>
                <w:sz w:val="24"/>
              </w:rPr>
            </w:pPr>
            <w:r>
              <w:rPr>
                <w:rFonts w:hint="eastAsia" w:ascii="宋体" w:hAnsi="宋体" w:cs="宋体"/>
                <w:kern w:val="0"/>
                <w:sz w:val="24"/>
                <w:szCs w:val="24"/>
              </w:rPr>
              <w:t>1</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59F454A">
            <w:pPr>
              <w:widowControl/>
              <w:spacing w:line="360" w:lineRule="auto"/>
              <w:jc w:val="center"/>
              <w:rPr>
                <w:rFonts w:ascii="宋体" w:hAnsi="宋体" w:cs="宋体"/>
                <w:kern w:val="0"/>
                <w:sz w:val="24"/>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FC45026">
            <w:pPr>
              <w:widowControl/>
              <w:spacing w:line="360" w:lineRule="auto"/>
              <w:jc w:val="center"/>
              <w:rPr>
                <w:rFonts w:ascii="宋体" w:hAnsi="宋体" w:cs="宋体"/>
                <w:kern w:val="0"/>
                <w:sz w:val="24"/>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B5ED358">
            <w:pPr>
              <w:widowControl/>
              <w:spacing w:line="360" w:lineRule="auto"/>
              <w:jc w:val="center"/>
              <w:rPr>
                <w:rFonts w:ascii="宋体" w:hAnsi="宋体" w:cs="宋体"/>
                <w:kern w:val="0"/>
                <w:sz w:val="24"/>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068F4F5">
            <w:pPr>
              <w:widowControl/>
              <w:spacing w:line="360" w:lineRule="auto"/>
              <w:jc w:val="center"/>
              <w:rPr>
                <w:rFonts w:ascii="宋体" w:hAnsi="宋体" w:cs="宋体"/>
                <w:kern w:val="0"/>
                <w:sz w:val="24"/>
              </w:rPr>
            </w:pPr>
          </w:p>
        </w:tc>
      </w:tr>
      <w:tr w14:paraId="52509B47">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C7D2B23">
            <w:pPr>
              <w:widowControl/>
              <w:spacing w:line="360" w:lineRule="auto"/>
              <w:jc w:val="center"/>
              <w:rPr>
                <w:rFonts w:ascii="宋体" w:hAnsi="宋体" w:cs="宋体"/>
                <w:kern w:val="0"/>
                <w:sz w:val="24"/>
              </w:rPr>
            </w:pPr>
            <w:r>
              <w:rPr>
                <w:rFonts w:hint="eastAsia" w:ascii="宋体" w:hAnsi="宋体" w:cs="宋体"/>
                <w:kern w:val="0"/>
                <w:sz w:val="24"/>
                <w:szCs w:val="24"/>
              </w:rPr>
              <w:t>2</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3890542">
            <w:pPr>
              <w:widowControl/>
              <w:spacing w:line="360" w:lineRule="auto"/>
              <w:jc w:val="center"/>
              <w:rPr>
                <w:rFonts w:ascii="宋体" w:hAnsi="宋体" w:cs="宋体"/>
                <w:kern w:val="0"/>
                <w:sz w:val="24"/>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1AE8A0">
            <w:pPr>
              <w:widowControl/>
              <w:spacing w:line="360" w:lineRule="auto"/>
              <w:jc w:val="center"/>
              <w:rPr>
                <w:rFonts w:ascii="宋体" w:hAnsi="宋体" w:cs="宋体"/>
                <w:kern w:val="0"/>
                <w:sz w:val="24"/>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9BBA3F9">
            <w:pPr>
              <w:widowControl/>
              <w:spacing w:line="360" w:lineRule="auto"/>
              <w:jc w:val="center"/>
              <w:rPr>
                <w:rFonts w:ascii="宋体" w:hAnsi="宋体" w:cs="宋体"/>
                <w:kern w:val="0"/>
                <w:sz w:val="24"/>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C4F716A">
            <w:pPr>
              <w:widowControl/>
              <w:spacing w:line="360" w:lineRule="auto"/>
              <w:jc w:val="center"/>
              <w:rPr>
                <w:rFonts w:ascii="宋体" w:hAnsi="宋体" w:cs="宋体"/>
                <w:kern w:val="0"/>
                <w:sz w:val="24"/>
              </w:rPr>
            </w:pPr>
          </w:p>
        </w:tc>
      </w:tr>
      <w:tr w14:paraId="01261D99">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A526032">
            <w:pPr>
              <w:widowControl/>
              <w:spacing w:line="360" w:lineRule="auto"/>
              <w:jc w:val="center"/>
              <w:rPr>
                <w:rFonts w:ascii="宋体" w:hAnsi="宋体" w:cs="宋体"/>
                <w:kern w:val="0"/>
                <w:sz w:val="24"/>
              </w:rPr>
            </w:pPr>
            <w:r>
              <w:rPr>
                <w:rFonts w:hint="eastAsia" w:ascii="宋体" w:hAnsi="宋体" w:cs="宋体"/>
                <w:kern w:val="0"/>
                <w:sz w:val="24"/>
                <w:szCs w:val="24"/>
              </w:rPr>
              <w:t>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404F75E">
            <w:pPr>
              <w:widowControl/>
              <w:spacing w:line="360" w:lineRule="auto"/>
              <w:jc w:val="center"/>
              <w:rPr>
                <w:rFonts w:ascii="宋体" w:hAnsi="宋体" w:cs="宋体"/>
                <w:kern w:val="0"/>
                <w:sz w:val="24"/>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5F82220">
            <w:pPr>
              <w:widowControl/>
              <w:spacing w:line="360" w:lineRule="auto"/>
              <w:jc w:val="center"/>
              <w:rPr>
                <w:rFonts w:ascii="宋体" w:hAnsi="宋体" w:cs="宋体"/>
                <w:kern w:val="0"/>
                <w:sz w:val="24"/>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8DE570E">
            <w:pPr>
              <w:widowControl/>
              <w:spacing w:line="360" w:lineRule="auto"/>
              <w:jc w:val="center"/>
              <w:rPr>
                <w:rFonts w:ascii="宋体" w:hAnsi="宋体" w:cs="宋体"/>
                <w:kern w:val="0"/>
                <w:sz w:val="24"/>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E0B4ED8">
            <w:pPr>
              <w:widowControl/>
              <w:spacing w:line="360" w:lineRule="auto"/>
              <w:jc w:val="center"/>
              <w:rPr>
                <w:rFonts w:ascii="宋体" w:hAnsi="宋体" w:cs="宋体"/>
                <w:kern w:val="0"/>
                <w:sz w:val="24"/>
              </w:rPr>
            </w:pPr>
          </w:p>
        </w:tc>
      </w:tr>
      <w:tr w14:paraId="02B4EF93">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AB7B6A1">
            <w:pPr>
              <w:widowControl/>
              <w:spacing w:line="360" w:lineRule="auto"/>
              <w:jc w:val="center"/>
              <w:rPr>
                <w:rFonts w:ascii="宋体" w:hAnsi="宋体" w:cs="宋体"/>
                <w:kern w:val="0"/>
                <w:sz w:val="24"/>
              </w:rPr>
            </w:pPr>
            <w:r>
              <w:rPr>
                <w:rFonts w:hint="eastAsia" w:ascii="宋体" w:hAnsi="宋体" w:cs="宋体"/>
                <w:kern w:val="0"/>
                <w:sz w:val="24"/>
                <w:szCs w:val="24"/>
              </w:rPr>
              <w:t>……</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A6E02C">
            <w:pPr>
              <w:widowControl/>
              <w:spacing w:line="360" w:lineRule="auto"/>
              <w:jc w:val="center"/>
              <w:rPr>
                <w:rFonts w:ascii="宋体" w:hAnsi="宋体" w:cs="宋体"/>
                <w:kern w:val="0"/>
                <w:sz w:val="24"/>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C5F7148">
            <w:pPr>
              <w:widowControl/>
              <w:spacing w:line="360" w:lineRule="auto"/>
              <w:jc w:val="center"/>
              <w:rPr>
                <w:rFonts w:ascii="宋体" w:hAnsi="宋体" w:cs="宋体"/>
                <w:kern w:val="0"/>
                <w:sz w:val="24"/>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17A38CA">
            <w:pPr>
              <w:widowControl/>
              <w:spacing w:line="360" w:lineRule="auto"/>
              <w:jc w:val="center"/>
              <w:rPr>
                <w:rFonts w:ascii="宋体" w:hAnsi="宋体" w:cs="宋体"/>
                <w:kern w:val="0"/>
                <w:sz w:val="24"/>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B4D4754">
            <w:pPr>
              <w:widowControl/>
              <w:spacing w:line="360" w:lineRule="auto"/>
              <w:jc w:val="center"/>
              <w:rPr>
                <w:rFonts w:ascii="宋体" w:hAnsi="宋体" w:cs="宋体"/>
                <w:kern w:val="0"/>
                <w:sz w:val="24"/>
              </w:rPr>
            </w:pPr>
          </w:p>
        </w:tc>
      </w:tr>
    </w:tbl>
    <w:p w14:paraId="4FA9ECC5">
      <w:pPr>
        <w:spacing w:line="360" w:lineRule="auto"/>
        <w:jc w:val="left"/>
        <w:rPr>
          <w:rFonts w:hint="eastAsia" w:ascii="仿宋_GB2312" w:hAnsi="仿宋" w:eastAsia="仿宋_GB2312" w:cs="仿宋_GB2312"/>
          <w:kern w:val="0"/>
          <w:sz w:val="24"/>
        </w:rPr>
      </w:pPr>
      <w:r>
        <w:rPr>
          <w:rFonts w:hint="eastAsia" w:ascii="仿宋_GB2312" w:hAnsi="仿宋" w:eastAsia="仿宋_GB2312" w:cs="仿宋_GB2312"/>
          <w:kern w:val="0"/>
          <w:sz w:val="24"/>
          <w:szCs w:val="24"/>
        </w:rPr>
        <w:t>注：</w:t>
      </w:r>
    </w:p>
    <w:p w14:paraId="0D127594">
      <w:pPr>
        <w:spacing w:line="360" w:lineRule="auto"/>
        <w:ind w:firstLine="480" w:firstLineChars="200"/>
        <w:jc w:val="left"/>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46AC71A2">
      <w:pPr>
        <w:spacing w:line="360" w:lineRule="auto"/>
        <w:ind w:firstLine="480" w:firstLineChars="200"/>
        <w:jc w:val="left"/>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2.本表所指的控股关系仅限于直接控股关系，不包括间接的控股关系。公司实际控制人与公司之间的关系不属于本表所指的直接控股关系。</w:t>
      </w:r>
    </w:p>
    <w:p w14:paraId="4828FD0B">
      <w:pPr>
        <w:spacing w:line="360" w:lineRule="auto"/>
        <w:ind w:firstLine="480" w:firstLineChars="200"/>
        <w:jc w:val="left"/>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3.供应商不存在直接控股股东的，则填“无”。</w:t>
      </w:r>
    </w:p>
    <w:p w14:paraId="23B164DC">
      <w:pPr>
        <w:snapToGrid w:val="0"/>
        <w:spacing w:line="360" w:lineRule="auto"/>
        <w:jc w:val="left"/>
        <w:rPr>
          <w:rFonts w:hint="eastAsia" w:ascii="宋体" w:hAnsi="宋体" w:eastAsia="等线" w:cs="宋体"/>
          <w:sz w:val="24"/>
          <w:szCs w:val="24"/>
        </w:rPr>
      </w:pPr>
    </w:p>
    <w:p w14:paraId="3E13EB3E">
      <w:pPr>
        <w:snapToGrid w:val="0"/>
        <w:spacing w:line="360" w:lineRule="auto"/>
        <w:jc w:val="left"/>
        <w:rPr>
          <w:rFonts w:hint="eastAsia" w:ascii="宋体" w:hAnsi="宋体" w:cs="宋体"/>
          <w:sz w:val="24"/>
          <w:szCs w:val="24"/>
        </w:rPr>
      </w:pPr>
    </w:p>
    <w:p w14:paraId="5B0B704D">
      <w:pPr>
        <w:snapToGrid w:val="0"/>
        <w:spacing w:line="360" w:lineRule="auto"/>
        <w:jc w:val="left"/>
        <w:rPr>
          <w:rFonts w:hint="eastAsia" w:ascii="宋体" w:hAnsi="宋体" w:cs="宋体"/>
          <w:sz w:val="24"/>
          <w:szCs w:val="24"/>
        </w:rPr>
      </w:pPr>
    </w:p>
    <w:p w14:paraId="34B6B5BD">
      <w:pPr>
        <w:autoSpaceDE w:val="0"/>
        <w:autoSpaceDN w:val="0"/>
        <w:spacing w:line="360" w:lineRule="auto"/>
        <w:ind w:left="4365" w:leftChars="1850" w:hanging="480" w:hangingChars="200"/>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供应商名称（电子签章）：</w:t>
      </w:r>
    </w:p>
    <w:p w14:paraId="78417E06">
      <w:pPr>
        <w:autoSpaceDE w:val="0"/>
        <w:autoSpaceDN w:val="0"/>
        <w:spacing w:line="360" w:lineRule="auto"/>
        <w:ind w:firstLine="6120" w:firstLineChars="2550"/>
        <w:rPr>
          <w:rFonts w:hint="eastAsia" w:ascii="仿宋_GB2312" w:hAnsi="仿宋" w:eastAsia="仿宋_GB2312" w:cs="仿宋_GB2312"/>
          <w:b/>
          <w:bCs/>
          <w:sz w:val="24"/>
          <w:szCs w:val="24"/>
        </w:rPr>
      </w:pPr>
      <w:r>
        <w:rPr>
          <w:rFonts w:hint="eastAsia" w:ascii="仿宋_GB2312" w:hAnsi="仿宋" w:eastAsia="仿宋_GB2312" w:cs="仿宋_GB2312"/>
          <w:kern w:val="0"/>
          <w:sz w:val="24"/>
          <w:szCs w:val="24"/>
          <w:lang w:val="zh-CN"/>
        </w:rPr>
        <w:t>日期：  年  月   日</w:t>
      </w:r>
    </w:p>
    <w:p w14:paraId="4704D086">
      <w:pPr>
        <w:snapToGrid w:val="0"/>
        <w:rPr>
          <w:rFonts w:hint="eastAsia" w:ascii="仿宋" w:hAnsi="仿宋" w:eastAsia="仿宋" w:cs="仿宋_GB2312"/>
          <w:b/>
          <w:kern w:val="0"/>
          <w:sz w:val="30"/>
          <w:szCs w:val="30"/>
        </w:rPr>
      </w:pPr>
    </w:p>
    <w:p w14:paraId="36335ACA">
      <w:pPr>
        <w:snapToGrid w:val="0"/>
        <w:ind w:firstLine="596" w:firstLineChars="198"/>
        <w:rPr>
          <w:rFonts w:hint="eastAsia" w:ascii="仿宋" w:hAnsi="仿宋" w:eastAsia="仿宋" w:cs="仿宋_GB2312"/>
          <w:b/>
          <w:kern w:val="0"/>
          <w:sz w:val="30"/>
          <w:szCs w:val="30"/>
        </w:rPr>
      </w:pPr>
      <w:r>
        <w:rPr>
          <w:rFonts w:hint="eastAsia" w:ascii="仿宋" w:hAnsi="仿宋" w:eastAsia="仿宋" w:cs="仿宋_GB2312"/>
          <w:b/>
          <w:kern w:val="0"/>
          <w:sz w:val="30"/>
          <w:szCs w:val="30"/>
        </w:rPr>
        <w:t>五、供应商直接管理关系信息表</w:t>
      </w:r>
    </w:p>
    <w:p w14:paraId="0A12C77D">
      <w:pPr>
        <w:snapToGrid w:val="0"/>
        <w:spacing w:line="360" w:lineRule="auto"/>
        <w:jc w:val="center"/>
        <w:rPr>
          <w:rFonts w:hint="eastAsia" w:ascii="宋体" w:hAnsi="宋体" w:eastAsia="等线"/>
          <w:b/>
          <w:sz w:val="24"/>
        </w:rPr>
      </w:pPr>
    </w:p>
    <w:tbl>
      <w:tblPr>
        <w:tblStyle w:val="10"/>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6C82EF2E">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BCB3652">
            <w:pPr>
              <w:widowControl/>
              <w:spacing w:line="360" w:lineRule="auto"/>
              <w:jc w:val="center"/>
              <w:rPr>
                <w:rFonts w:ascii="宋体" w:hAnsi="宋体" w:cs="宋体"/>
                <w:b/>
                <w:bCs/>
                <w:kern w:val="0"/>
                <w:sz w:val="24"/>
              </w:rPr>
            </w:pPr>
            <w:r>
              <w:rPr>
                <w:rFonts w:hint="eastAsia" w:ascii="宋体" w:hAnsi="宋体" w:cs="宋体"/>
                <w:b/>
                <w:bCs/>
                <w:kern w:val="0"/>
                <w:sz w:val="24"/>
                <w:szCs w:val="24"/>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A0D46E2">
            <w:pPr>
              <w:widowControl/>
              <w:spacing w:line="360" w:lineRule="auto"/>
              <w:jc w:val="center"/>
              <w:rPr>
                <w:rFonts w:ascii="宋体" w:hAnsi="宋体" w:cs="宋体"/>
                <w:b/>
                <w:bCs/>
                <w:kern w:val="0"/>
                <w:sz w:val="24"/>
              </w:rPr>
            </w:pPr>
            <w:r>
              <w:rPr>
                <w:rFonts w:hint="eastAsia" w:ascii="宋体" w:hAnsi="宋体" w:cs="宋体"/>
                <w:b/>
                <w:bCs/>
                <w:kern w:val="0"/>
                <w:sz w:val="24"/>
                <w:szCs w:val="24"/>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DAA5A02">
            <w:pPr>
              <w:widowControl/>
              <w:spacing w:line="360" w:lineRule="auto"/>
              <w:jc w:val="center"/>
              <w:rPr>
                <w:rFonts w:ascii="宋体" w:hAnsi="宋体" w:cs="宋体"/>
                <w:b/>
                <w:bCs/>
                <w:kern w:val="0"/>
                <w:sz w:val="24"/>
              </w:rPr>
            </w:pPr>
            <w:r>
              <w:rPr>
                <w:rFonts w:hint="eastAsia" w:ascii="宋体" w:hAnsi="宋体" w:cs="宋体"/>
                <w:b/>
                <w:bCs/>
                <w:kern w:val="0"/>
                <w:sz w:val="24"/>
                <w:szCs w:val="24"/>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9D6B3CA">
            <w:pPr>
              <w:widowControl/>
              <w:spacing w:line="360" w:lineRule="auto"/>
              <w:jc w:val="center"/>
              <w:rPr>
                <w:rFonts w:ascii="宋体" w:hAnsi="宋体" w:cs="宋体"/>
                <w:b/>
                <w:bCs/>
                <w:kern w:val="0"/>
                <w:sz w:val="24"/>
              </w:rPr>
            </w:pPr>
            <w:r>
              <w:rPr>
                <w:rFonts w:hint="eastAsia" w:ascii="宋体" w:hAnsi="宋体" w:cs="宋体"/>
                <w:b/>
                <w:bCs/>
                <w:kern w:val="0"/>
                <w:sz w:val="24"/>
                <w:szCs w:val="24"/>
              </w:rPr>
              <w:t>备注</w:t>
            </w:r>
          </w:p>
        </w:tc>
      </w:tr>
      <w:tr w14:paraId="55A70BDF">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205AC74">
            <w:pPr>
              <w:widowControl/>
              <w:spacing w:line="360" w:lineRule="auto"/>
              <w:jc w:val="center"/>
              <w:rPr>
                <w:rFonts w:ascii="宋体" w:hAnsi="宋体" w:cs="宋体"/>
                <w:kern w:val="0"/>
                <w:sz w:val="24"/>
              </w:rPr>
            </w:pPr>
            <w:r>
              <w:rPr>
                <w:rFonts w:hint="eastAsia" w:ascii="宋体" w:hAnsi="宋体" w:cs="宋体"/>
                <w:kern w:val="0"/>
                <w:sz w:val="24"/>
                <w:szCs w:val="24"/>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022698B">
            <w:pPr>
              <w:widowControl/>
              <w:spacing w:line="360" w:lineRule="auto"/>
              <w:jc w:val="center"/>
              <w:rPr>
                <w:rFonts w:ascii="宋体" w:hAnsi="宋体" w:cs="宋体"/>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43E014B">
            <w:pPr>
              <w:widowControl/>
              <w:spacing w:line="360" w:lineRule="auto"/>
              <w:jc w:val="center"/>
              <w:rPr>
                <w:rFonts w:ascii="宋体" w:hAnsi="宋体" w:cs="宋体"/>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7625870">
            <w:pPr>
              <w:widowControl/>
              <w:spacing w:line="360" w:lineRule="auto"/>
              <w:jc w:val="center"/>
              <w:rPr>
                <w:rFonts w:ascii="宋体" w:hAnsi="宋体" w:cs="宋体"/>
                <w:kern w:val="0"/>
                <w:sz w:val="24"/>
              </w:rPr>
            </w:pPr>
          </w:p>
        </w:tc>
      </w:tr>
      <w:tr w14:paraId="50955265">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C77507D">
            <w:pPr>
              <w:widowControl/>
              <w:spacing w:line="360" w:lineRule="auto"/>
              <w:jc w:val="center"/>
              <w:rPr>
                <w:rFonts w:ascii="宋体" w:hAnsi="宋体" w:cs="宋体"/>
                <w:kern w:val="0"/>
                <w:sz w:val="24"/>
              </w:rPr>
            </w:pPr>
            <w:r>
              <w:rPr>
                <w:rFonts w:hint="eastAsia" w:ascii="宋体" w:hAnsi="宋体" w:cs="宋体"/>
                <w:kern w:val="0"/>
                <w:sz w:val="24"/>
                <w:szCs w:val="24"/>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A17704E">
            <w:pPr>
              <w:widowControl/>
              <w:spacing w:line="360" w:lineRule="auto"/>
              <w:jc w:val="center"/>
              <w:rPr>
                <w:rFonts w:ascii="宋体" w:hAnsi="宋体" w:cs="宋体"/>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F2C6CF4">
            <w:pPr>
              <w:widowControl/>
              <w:spacing w:line="360" w:lineRule="auto"/>
              <w:jc w:val="center"/>
              <w:rPr>
                <w:rFonts w:ascii="宋体" w:hAnsi="宋体" w:cs="宋体"/>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F4D7B1F">
            <w:pPr>
              <w:widowControl/>
              <w:spacing w:line="360" w:lineRule="auto"/>
              <w:jc w:val="center"/>
              <w:rPr>
                <w:rFonts w:ascii="宋体" w:hAnsi="宋体" w:cs="宋体"/>
                <w:kern w:val="0"/>
                <w:sz w:val="24"/>
              </w:rPr>
            </w:pPr>
          </w:p>
        </w:tc>
      </w:tr>
      <w:tr w14:paraId="37089EB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CB0B41C">
            <w:pPr>
              <w:widowControl/>
              <w:spacing w:line="360" w:lineRule="auto"/>
              <w:jc w:val="center"/>
              <w:rPr>
                <w:rFonts w:ascii="宋体" w:hAnsi="宋体" w:cs="宋体"/>
                <w:kern w:val="0"/>
                <w:sz w:val="24"/>
              </w:rPr>
            </w:pPr>
            <w:r>
              <w:rPr>
                <w:rFonts w:hint="eastAsia" w:ascii="宋体" w:hAnsi="宋体" w:cs="宋体"/>
                <w:kern w:val="0"/>
                <w:sz w:val="24"/>
                <w:szCs w:val="24"/>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9764A17">
            <w:pPr>
              <w:widowControl/>
              <w:spacing w:line="360" w:lineRule="auto"/>
              <w:jc w:val="center"/>
              <w:rPr>
                <w:rFonts w:ascii="宋体" w:hAnsi="宋体" w:cs="宋体"/>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75EA777">
            <w:pPr>
              <w:widowControl/>
              <w:spacing w:line="360" w:lineRule="auto"/>
              <w:jc w:val="center"/>
              <w:rPr>
                <w:rFonts w:ascii="宋体" w:hAnsi="宋体" w:cs="宋体"/>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3EC21A1">
            <w:pPr>
              <w:widowControl/>
              <w:spacing w:line="360" w:lineRule="auto"/>
              <w:jc w:val="center"/>
              <w:rPr>
                <w:rFonts w:ascii="宋体" w:hAnsi="宋体" w:cs="宋体"/>
                <w:kern w:val="0"/>
                <w:sz w:val="24"/>
              </w:rPr>
            </w:pPr>
          </w:p>
        </w:tc>
      </w:tr>
      <w:tr w14:paraId="3F33E7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E262627">
            <w:pPr>
              <w:widowControl/>
              <w:spacing w:line="360" w:lineRule="auto"/>
              <w:jc w:val="center"/>
              <w:rPr>
                <w:rFonts w:ascii="宋体" w:hAnsi="宋体" w:cs="宋体"/>
                <w:kern w:val="0"/>
                <w:sz w:val="24"/>
              </w:rPr>
            </w:pPr>
            <w:r>
              <w:rPr>
                <w:rFonts w:hint="eastAsia" w:ascii="宋体" w:hAnsi="宋体" w:cs="宋体"/>
                <w:kern w:val="0"/>
                <w:sz w:val="24"/>
                <w:szCs w:val="24"/>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432A514">
            <w:pPr>
              <w:widowControl/>
              <w:spacing w:line="360" w:lineRule="auto"/>
              <w:jc w:val="center"/>
              <w:rPr>
                <w:rFonts w:ascii="宋体" w:hAnsi="宋体" w:cs="宋体"/>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3D3678A">
            <w:pPr>
              <w:widowControl/>
              <w:spacing w:line="360" w:lineRule="auto"/>
              <w:jc w:val="center"/>
              <w:rPr>
                <w:rFonts w:ascii="宋体" w:hAnsi="宋体" w:cs="宋体"/>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BC5B482">
            <w:pPr>
              <w:widowControl/>
              <w:spacing w:line="360" w:lineRule="auto"/>
              <w:jc w:val="center"/>
              <w:rPr>
                <w:rFonts w:ascii="宋体" w:hAnsi="宋体" w:cs="宋体"/>
                <w:kern w:val="0"/>
                <w:sz w:val="24"/>
              </w:rPr>
            </w:pPr>
          </w:p>
        </w:tc>
      </w:tr>
    </w:tbl>
    <w:p w14:paraId="589412F3">
      <w:pPr>
        <w:spacing w:line="360" w:lineRule="auto"/>
        <w:ind w:firstLine="480" w:firstLineChars="200"/>
        <w:jc w:val="left"/>
        <w:rPr>
          <w:rFonts w:hint="eastAsia" w:ascii="仿宋_GB2312" w:hAnsi="仿宋" w:eastAsia="仿宋_GB2312" w:cs="仿宋_GB2312"/>
          <w:kern w:val="0"/>
          <w:sz w:val="24"/>
        </w:rPr>
      </w:pPr>
      <w:r>
        <w:rPr>
          <w:rFonts w:hint="eastAsia" w:ascii="仿宋_GB2312" w:hAnsi="仿宋" w:eastAsia="仿宋_GB2312" w:cs="仿宋_GB2312"/>
          <w:kern w:val="0"/>
          <w:sz w:val="24"/>
          <w:szCs w:val="24"/>
        </w:rPr>
        <w:t>注：</w:t>
      </w:r>
    </w:p>
    <w:p w14:paraId="40D7C27B">
      <w:pPr>
        <w:spacing w:line="360" w:lineRule="auto"/>
        <w:ind w:firstLine="480" w:firstLineChars="200"/>
        <w:jc w:val="left"/>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1.管理关系：是指不具有出资持股关系的其他单位之间存在的管理与被管理关系，如一些上下级关系的事业单位和团体组织。</w:t>
      </w:r>
    </w:p>
    <w:p w14:paraId="076F0358">
      <w:pPr>
        <w:spacing w:line="360" w:lineRule="auto"/>
        <w:ind w:firstLine="480" w:firstLineChars="200"/>
        <w:jc w:val="left"/>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2.本表所指的管理关系仅限于直接管理关系，不包括间接的管理关系。</w:t>
      </w:r>
    </w:p>
    <w:p w14:paraId="2AE745FE">
      <w:pPr>
        <w:spacing w:line="360" w:lineRule="auto"/>
        <w:ind w:firstLine="480" w:firstLineChars="200"/>
        <w:jc w:val="left"/>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3.供应商不存在直接管理关系的，则填“无”。</w:t>
      </w:r>
    </w:p>
    <w:p w14:paraId="5A44F44E">
      <w:pPr>
        <w:spacing w:line="360" w:lineRule="auto"/>
        <w:jc w:val="left"/>
        <w:rPr>
          <w:rFonts w:hint="eastAsia" w:ascii="等线" w:hAnsi="等线" w:eastAsia="等线"/>
          <w:sz w:val="24"/>
          <w:szCs w:val="24"/>
        </w:rPr>
      </w:pPr>
    </w:p>
    <w:p w14:paraId="11F21B39">
      <w:pPr>
        <w:autoSpaceDE w:val="0"/>
        <w:autoSpaceDN w:val="0"/>
        <w:spacing w:line="360" w:lineRule="auto"/>
        <w:ind w:left="4365" w:leftChars="1850" w:hanging="480" w:hangingChars="200"/>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供应商名称（电子签章）：</w:t>
      </w:r>
    </w:p>
    <w:p w14:paraId="7E0132F5">
      <w:pPr>
        <w:autoSpaceDE w:val="0"/>
        <w:autoSpaceDN w:val="0"/>
        <w:spacing w:line="360" w:lineRule="auto"/>
        <w:ind w:firstLine="6120" w:firstLineChars="2550"/>
        <w:rPr>
          <w:rFonts w:hint="eastAsia" w:ascii="仿宋_GB2312" w:hAnsi="仿宋" w:eastAsia="仿宋_GB2312" w:cs="仿宋_GB2312"/>
          <w:b/>
          <w:bCs/>
          <w:sz w:val="24"/>
          <w:szCs w:val="24"/>
        </w:rPr>
      </w:pPr>
      <w:r>
        <w:rPr>
          <w:rFonts w:hint="eastAsia" w:ascii="仿宋_GB2312" w:hAnsi="仿宋" w:eastAsia="仿宋_GB2312" w:cs="仿宋_GB2312"/>
          <w:kern w:val="0"/>
          <w:sz w:val="24"/>
          <w:szCs w:val="24"/>
          <w:lang w:val="zh-CN"/>
        </w:rPr>
        <w:t>日期：  年  月   日</w:t>
      </w:r>
    </w:p>
    <w:p w14:paraId="54C5E568">
      <w:pPr>
        <w:spacing w:line="360" w:lineRule="auto"/>
        <w:ind w:right="480" w:firstLine="240" w:firstLineChars="100"/>
        <w:contextualSpacing/>
        <w:jc w:val="center"/>
        <w:rPr>
          <w:rFonts w:hint="eastAsia" w:ascii="宋体" w:hAnsi="宋体" w:eastAsia="等线"/>
          <w:sz w:val="28"/>
          <w:szCs w:val="28"/>
        </w:rPr>
      </w:pPr>
      <w:r>
        <w:rPr>
          <w:rFonts w:hint="eastAsia" w:ascii="宋体" w:hAnsi="宋体"/>
          <w:sz w:val="24"/>
          <w:szCs w:val="24"/>
        </w:rPr>
        <w:t xml:space="preserve">                                  </w:t>
      </w:r>
    </w:p>
    <w:p w14:paraId="37E33105">
      <w:pPr>
        <w:spacing w:line="320" w:lineRule="exact"/>
        <w:ind w:firstLine="560" w:firstLineChars="200"/>
        <w:jc w:val="left"/>
        <w:rPr>
          <w:rFonts w:hint="eastAsia" w:ascii="宋体" w:hAnsi="宋体"/>
          <w:sz w:val="28"/>
          <w:szCs w:val="28"/>
        </w:rPr>
      </w:pPr>
      <w:r>
        <w:rPr>
          <w:rFonts w:hint="eastAsia" w:ascii="宋体" w:hAnsi="宋体"/>
          <w:kern w:val="0"/>
          <w:sz w:val="28"/>
          <w:szCs w:val="28"/>
        </w:rPr>
        <w:br w:type="page"/>
      </w:r>
      <w:r>
        <w:rPr>
          <w:rFonts w:hint="eastAsia" w:ascii="仿宋" w:hAnsi="仿宋" w:eastAsia="仿宋" w:cs="仿宋_GB2312"/>
          <w:b/>
          <w:kern w:val="0"/>
          <w:sz w:val="30"/>
          <w:szCs w:val="30"/>
        </w:rPr>
        <w:t>六、资格声明函</w:t>
      </w:r>
    </w:p>
    <w:p w14:paraId="78E5F87A">
      <w:pPr>
        <w:spacing w:line="320" w:lineRule="exact"/>
        <w:jc w:val="center"/>
        <w:rPr>
          <w:rFonts w:hint="eastAsia" w:ascii="宋体" w:hAnsi="宋体"/>
          <w:b/>
          <w:sz w:val="32"/>
          <w:szCs w:val="32"/>
        </w:rPr>
      </w:pPr>
    </w:p>
    <w:p w14:paraId="4C65F6AF">
      <w:pPr>
        <w:spacing w:line="320" w:lineRule="exact"/>
        <w:jc w:val="center"/>
        <w:rPr>
          <w:rFonts w:hint="eastAsia" w:ascii="宋体" w:hAnsi="宋体"/>
          <w:b/>
          <w:sz w:val="32"/>
          <w:szCs w:val="32"/>
        </w:rPr>
      </w:pPr>
      <w:r>
        <w:rPr>
          <w:rFonts w:hint="eastAsia" w:ascii="宋体" w:hAnsi="宋体"/>
          <w:b/>
          <w:sz w:val="32"/>
          <w:szCs w:val="32"/>
        </w:rPr>
        <w:t>资格声明函</w:t>
      </w:r>
    </w:p>
    <w:p w14:paraId="3E820453">
      <w:pPr>
        <w:spacing w:line="320" w:lineRule="exact"/>
        <w:jc w:val="center"/>
        <w:rPr>
          <w:rFonts w:hint="eastAsia" w:ascii="宋体" w:hAnsi="宋体"/>
          <w:sz w:val="24"/>
          <w:szCs w:val="20"/>
        </w:rPr>
      </w:pPr>
    </w:p>
    <w:p w14:paraId="0DB53613">
      <w:pPr>
        <w:spacing w:line="360" w:lineRule="auto"/>
        <w:rPr>
          <w:rFonts w:hint="eastAsia" w:ascii="仿宋_GB2312" w:hAnsi="宋体" w:eastAsia="仿宋_GB2312" w:cs="宋体"/>
          <w:sz w:val="24"/>
        </w:rPr>
      </w:pPr>
      <w:r>
        <w:rPr>
          <w:rFonts w:hint="eastAsia" w:ascii="仿宋_GB2312" w:hAnsi="宋体" w:eastAsia="仿宋_GB2312" w:cs="宋体"/>
          <w:sz w:val="24"/>
          <w:szCs w:val="24"/>
        </w:rPr>
        <w:t>致：</w:t>
      </w:r>
      <w:r>
        <w:rPr>
          <w:rFonts w:hint="eastAsia" w:ascii="仿宋_GB2312" w:hAnsi="宋体" w:eastAsia="仿宋_GB2312" w:cs="宋体"/>
          <w:sz w:val="24"/>
          <w:szCs w:val="24"/>
          <w:u w:val="single"/>
          <w:lang w:eastAsia="zh-CN"/>
        </w:rPr>
        <w:t>上林县政府集中采购中心</w:t>
      </w:r>
      <w:r>
        <w:rPr>
          <w:rFonts w:hint="eastAsia" w:ascii="仿宋_GB2312" w:hAnsi="宋体" w:eastAsia="仿宋_GB2312" w:cs="宋体"/>
          <w:sz w:val="24"/>
          <w:szCs w:val="24"/>
        </w:rPr>
        <w:t>：</w:t>
      </w:r>
    </w:p>
    <w:p w14:paraId="055819C4">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u w:val="single"/>
        </w:rPr>
        <w:t>（供应商名称）</w:t>
      </w:r>
      <w:r>
        <w:rPr>
          <w:rFonts w:hint="eastAsia" w:ascii="仿宋_GB2312" w:hAnsi="宋体" w:eastAsia="仿宋_GB2312" w:cs="宋体"/>
          <w:sz w:val="24"/>
          <w:szCs w:val="24"/>
        </w:rPr>
        <w:t>系中华人民共和国合法供应商，经营地址</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w:t>
      </w:r>
    </w:p>
    <w:p w14:paraId="4F4F1796">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我方愿意参加贵方组织的</w:t>
      </w:r>
      <w:r>
        <w:rPr>
          <w:rFonts w:hint="eastAsia" w:ascii="仿宋_GB2312" w:hAnsi="宋体" w:eastAsia="仿宋_GB2312" w:cs="宋体"/>
          <w:sz w:val="24"/>
          <w:szCs w:val="24"/>
          <w:u w:val="single"/>
          <w:lang w:eastAsia="zh-CN"/>
        </w:rPr>
        <w:t>2026年上林县幼儿园设备采购项目（重）</w:t>
      </w:r>
      <w:r>
        <w:rPr>
          <w:rFonts w:hint="eastAsia" w:ascii="仿宋_GB2312" w:hAnsi="宋体" w:eastAsia="仿宋_GB2312" w:cs="宋体"/>
          <w:sz w:val="24"/>
          <w:szCs w:val="24"/>
        </w:rPr>
        <w:t>项目的</w:t>
      </w:r>
      <w:r>
        <w:rPr>
          <w:rFonts w:hint="eastAsia" w:ascii="仿宋_GB2312" w:hAnsi="宋体" w:eastAsia="仿宋_GB2312" w:cs="宋体"/>
          <w:sz w:val="24"/>
          <w:szCs w:val="24"/>
          <w:lang w:eastAsia="zh-CN"/>
        </w:rPr>
        <w:t>响应</w:t>
      </w:r>
      <w:r>
        <w:rPr>
          <w:rFonts w:hint="eastAsia" w:ascii="仿宋_GB2312" w:hAnsi="宋体" w:eastAsia="仿宋_GB2312" w:cs="宋体"/>
          <w:sz w:val="24"/>
          <w:szCs w:val="24"/>
        </w:rPr>
        <w:t>，为便于贵方公正、择优地确定成交供应商及其</w:t>
      </w:r>
      <w:r>
        <w:rPr>
          <w:rFonts w:hint="eastAsia" w:ascii="仿宋_GB2312" w:hAnsi="宋体" w:eastAsia="仿宋_GB2312" w:cs="宋体"/>
          <w:sz w:val="24"/>
          <w:szCs w:val="24"/>
          <w:lang w:eastAsia="zh-CN"/>
        </w:rPr>
        <w:t>响应</w:t>
      </w:r>
      <w:r>
        <w:rPr>
          <w:rFonts w:hint="eastAsia" w:ascii="仿宋_GB2312" w:hAnsi="宋体" w:eastAsia="仿宋_GB2312" w:cs="宋体"/>
          <w:sz w:val="24"/>
          <w:szCs w:val="24"/>
        </w:rPr>
        <w:t>产品和货物，我方就本次</w:t>
      </w:r>
      <w:r>
        <w:rPr>
          <w:rFonts w:hint="eastAsia" w:ascii="仿宋_GB2312" w:hAnsi="宋体" w:eastAsia="仿宋_GB2312" w:cs="宋体"/>
          <w:sz w:val="24"/>
          <w:szCs w:val="24"/>
          <w:lang w:eastAsia="zh-CN"/>
        </w:rPr>
        <w:t>响应</w:t>
      </w:r>
      <w:r>
        <w:rPr>
          <w:rFonts w:hint="eastAsia" w:ascii="仿宋_GB2312" w:hAnsi="宋体" w:eastAsia="仿宋_GB2312" w:cs="宋体"/>
          <w:sz w:val="24"/>
          <w:szCs w:val="24"/>
        </w:rPr>
        <w:t>有关事项郑重声明如下：</w:t>
      </w:r>
    </w:p>
    <w:p w14:paraId="746B49AC">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1.我方向贵方提交的所有响应文件、资料都是准确的和真实的。</w:t>
      </w:r>
    </w:p>
    <w:p w14:paraId="46EF2ECB">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2.我方不是采购人的附属机构；不是为本次采购项目提供整体设计、规范编制或者项目管理、监理、检测等货物的供应商；在获知本项目采购信息后，与采购人聘请的为此项目提供咨询货物的公司及其附属机构没有任何联系。</w:t>
      </w:r>
    </w:p>
    <w:p w14:paraId="27CD0178">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3.在此，我方宣布同意如下：</w:t>
      </w:r>
    </w:p>
    <w:p w14:paraId="10C39F08">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（1）将按谈判文件的约定履行合同责任和义务；</w:t>
      </w:r>
    </w:p>
    <w:p w14:paraId="0BC21894">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（2）已详细审查全部谈判文件，包括澄清或者更正公告（如有）；</w:t>
      </w:r>
    </w:p>
    <w:p w14:paraId="7D4E2710">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（3）同意提供按照贵方可能要求的与谈判有关的一切数据或者资料；</w:t>
      </w:r>
    </w:p>
    <w:p w14:paraId="124E1802">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（4）响应谈判文件规定的</w:t>
      </w:r>
      <w:r>
        <w:rPr>
          <w:rFonts w:hint="eastAsia" w:ascii="仿宋_GB2312" w:hAnsi="宋体" w:eastAsia="仿宋_GB2312" w:cs="宋体"/>
          <w:sz w:val="24"/>
          <w:szCs w:val="24"/>
          <w:lang w:eastAsia="zh-CN"/>
        </w:rPr>
        <w:t>响应</w:t>
      </w:r>
      <w:r>
        <w:rPr>
          <w:rFonts w:hint="eastAsia" w:ascii="仿宋_GB2312" w:hAnsi="宋体" w:eastAsia="仿宋_GB2312" w:cs="宋体"/>
          <w:sz w:val="24"/>
          <w:szCs w:val="24"/>
        </w:rPr>
        <w:t>有效期。</w:t>
      </w:r>
    </w:p>
    <w:p w14:paraId="4568463C">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4. 我方承诺已经具备《中华人民共和国政府采购法》第二十二条中规定的参加政府采购活动的供应商应当具备的条件并按本项目响应文件“第三章”“第二节供应商须知前附表”中“资格证明文件组成”完整提供证明材料。</w:t>
      </w:r>
    </w:p>
    <w:p w14:paraId="6675835C">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5E6D4661">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725FECAD">
      <w:pPr>
        <w:spacing w:line="360" w:lineRule="auto"/>
        <w:ind w:firstLine="480" w:firstLineChars="200"/>
        <w:rPr>
          <w:rFonts w:hint="eastAsia" w:ascii="仿宋_GB2312" w:hAnsi="宋体" w:eastAsia="仿宋_GB2312" w:cs="宋体"/>
          <w:kern w:val="0"/>
          <w:sz w:val="24"/>
          <w:szCs w:val="24"/>
        </w:rPr>
      </w:pPr>
      <w:r>
        <w:rPr>
          <w:rFonts w:hint="eastAsia" w:ascii="仿宋_GB2312" w:hAnsi="宋体" w:eastAsia="仿宋_GB2312" w:cs="宋体"/>
          <w:sz w:val="24"/>
          <w:szCs w:val="24"/>
        </w:rPr>
        <w:t>□我方本次响应文件</w:t>
      </w:r>
      <w:r>
        <w:rPr>
          <w:rFonts w:hint="eastAsia" w:ascii="仿宋_GB2312" w:hAnsi="宋体" w:eastAsia="仿宋_GB2312" w:cs="宋体"/>
          <w:kern w:val="0"/>
          <w:sz w:val="24"/>
          <w:szCs w:val="24"/>
        </w:rPr>
        <w:t>内容中未涉及商业秘密；</w:t>
      </w:r>
    </w:p>
    <w:p w14:paraId="5A150240">
      <w:pPr>
        <w:spacing w:line="360" w:lineRule="auto"/>
        <w:ind w:firstLine="480" w:firstLineChars="200"/>
        <w:rPr>
          <w:rFonts w:hint="eastAsia" w:ascii="仿宋_GB2312" w:hAnsi="宋体" w:eastAsia="仿宋_GB2312" w:cs="宋体"/>
          <w:kern w:val="0"/>
          <w:sz w:val="24"/>
          <w:szCs w:val="24"/>
        </w:rPr>
      </w:pPr>
      <w:r>
        <w:rPr>
          <w:rFonts w:hint="eastAsia" w:ascii="仿宋_GB2312" w:hAnsi="宋体" w:eastAsia="仿宋_GB2312" w:cs="宋体"/>
          <w:sz w:val="24"/>
          <w:szCs w:val="24"/>
        </w:rPr>
        <w:t>□我方本次响应文件</w:t>
      </w:r>
      <w:r>
        <w:rPr>
          <w:rFonts w:hint="eastAsia" w:ascii="仿宋_GB2312" w:hAnsi="宋体" w:eastAsia="仿宋_GB2312" w:cs="宋体"/>
          <w:kern w:val="0"/>
          <w:sz w:val="24"/>
          <w:szCs w:val="24"/>
        </w:rPr>
        <w:t>涉及商业秘密的内容有：</w:t>
      </w:r>
      <w:r>
        <w:rPr>
          <w:rFonts w:hint="eastAsia" w:ascii="仿宋_GB2312" w:hAnsi="宋体" w:eastAsia="仿宋_GB2312" w:cs="宋体"/>
          <w:kern w:val="0"/>
          <w:sz w:val="24"/>
          <w:szCs w:val="24"/>
          <w:u w:val="single"/>
        </w:rPr>
        <w:t xml:space="preserve">                         </w:t>
      </w:r>
      <w:r>
        <w:rPr>
          <w:rFonts w:hint="eastAsia" w:ascii="仿宋_GB2312" w:hAnsi="宋体" w:eastAsia="仿宋_GB2312" w:cs="宋体"/>
          <w:kern w:val="0"/>
          <w:sz w:val="24"/>
          <w:szCs w:val="24"/>
        </w:rPr>
        <w:t>；</w:t>
      </w:r>
    </w:p>
    <w:p w14:paraId="7919594F">
      <w:pPr>
        <w:spacing w:line="360" w:lineRule="auto"/>
        <w:ind w:firstLine="480" w:firstLineChars="200"/>
        <w:rPr>
          <w:rFonts w:hint="eastAsia" w:ascii="仿宋_GB2312" w:hAnsi="宋体" w:eastAsia="仿宋_GB2312" w:cs="宋体"/>
          <w:sz w:val="24"/>
          <w:szCs w:val="24"/>
          <w:u w:val="single"/>
        </w:rPr>
      </w:pPr>
      <w:r>
        <w:rPr>
          <w:rFonts w:hint="eastAsia" w:ascii="仿宋_GB2312" w:hAnsi="宋体" w:eastAsia="仿宋_GB2312" w:cs="宋体"/>
          <w:sz w:val="24"/>
          <w:szCs w:val="24"/>
        </w:rPr>
        <w:t>7.与本谈判有关的一切正式往来信函请寄：</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邮政编号：</w:t>
      </w:r>
      <w:r>
        <w:rPr>
          <w:rFonts w:hint="eastAsia" w:ascii="仿宋_GB2312" w:hAnsi="宋体" w:eastAsia="仿宋_GB2312" w:cs="宋体"/>
          <w:sz w:val="24"/>
          <w:szCs w:val="24"/>
          <w:u w:val="single"/>
        </w:rPr>
        <w:t xml:space="preserve">        </w:t>
      </w:r>
    </w:p>
    <w:p w14:paraId="35A2F04C">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电话/传真：</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 xml:space="preserve"> 电子函件：</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 xml:space="preserve">    </w:t>
      </w:r>
    </w:p>
    <w:p w14:paraId="66519FB3">
      <w:pPr>
        <w:tabs>
          <w:tab w:val="left" w:pos="939"/>
        </w:tabs>
        <w:spacing w:line="360" w:lineRule="auto"/>
        <w:ind w:left="141" w:leftChars="67" w:firstLine="360" w:firstLineChars="150"/>
        <w:rPr>
          <w:rFonts w:hint="eastAsia" w:ascii="仿宋_GB2312" w:hAnsi="宋体" w:eastAsia="仿宋_GB2312" w:cs="宋体"/>
          <w:sz w:val="24"/>
        </w:rPr>
      </w:pPr>
      <w:r>
        <w:rPr>
          <w:rFonts w:hint="eastAsia" w:ascii="仿宋_GB2312" w:hAnsi="宋体" w:eastAsia="仿宋_GB2312" w:cs="宋体"/>
          <w:sz w:val="24"/>
          <w:szCs w:val="24"/>
        </w:rPr>
        <w:t>开户银行：</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 xml:space="preserve">  帐号：</w:t>
      </w:r>
      <w:r>
        <w:rPr>
          <w:rFonts w:hint="eastAsia" w:ascii="仿宋_GB2312" w:hAnsi="宋体" w:eastAsia="仿宋_GB2312" w:cs="宋体"/>
          <w:sz w:val="24"/>
          <w:szCs w:val="24"/>
          <w:u w:val="single"/>
        </w:rPr>
        <w:t xml:space="preserve">                               </w:t>
      </w:r>
    </w:p>
    <w:p w14:paraId="2B2CEBA2">
      <w:pPr>
        <w:tabs>
          <w:tab w:val="left" w:pos="939"/>
        </w:tabs>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8.以上事项如有虚假或者隐瞒，我方愿意承担一切后果，并不再寻求任何旨在减轻或者免除法律责任的辩解。</w:t>
      </w:r>
    </w:p>
    <w:p w14:paraId="7EA03842">
      <w:pPr>
        <w:tabs>
          <w:tab w:val="left" w:pos="939"/>
        </w:tabs>
        <w:spacing w:line="360" w:lineRule="auto"/>
        <w:ind w:left="141" w:leftChars="67" w:firstLine="360" w:firstLineChars="150"/>
        <w:rPr>
          <w:rFonts w:hint="eastAsia" w:ascii="仿宋_GB2312" w:hAnsi="宋体" w:eastAsia="仿宋_GB2312" w:cs="宋体"/>
          <w:sz w:val="24"/>
          <w:szCs w:val="24"/>
        </w:rPr>
      </w:pPr>
      <w:r>
        <w:rPr>
          <w:rFonts w:hint="eastAsia" w:ascii="仿宋_GB2312" w:hAnsi="宋体" w:eastAsia="仿宋_GB2312" w:cs="宋体"/>
          <w:sz w:val="24"/>
          <w:szCs w:val="24"/>
        </w:rPr>
        <w:t>特此承诺。</w:t>
      </w:r>
    </w:p>
    <w:p w14:paraId="3A8E73D4">
      <w:pPr>
        <w:tabs>
          <w:tab w:val="left" w:pos="939"/>
        </w:tabs>
        <w:spacing w:line="360" w:lineRule="auto"/>
        <w:ind w:firstLine="480" w:firstLineChars="200"/>
        <w:rPr>
          <w:rFonts w:hint="eastAsia" w:ascii="宋体" w:hAnsi="宋体" w:eastAsia="等线" w:cs="宋体"/>
          <w:sz w:val="24"/>
          <w:szCs w:val="24"/>
        </w:rPr>
      </w:pPr>
      <w:r>
        <w:rPr>
          <w:rFonts w:hint="eastAsia" w:ascii="仿宋_GB2312" w:hAnsi="宋体" w:eastAsia="仿宋_GB2312" w:cs="宋体"/>
          <w:sz w:val="24"/>
          <w:szCs w:val="24"/>
        </w:rPr>
        <w:t>注：如为联合体</w:t>
      </w:r>
      <w:r>
        <w:rPr>
          <w:rFonts w:hint="eastAsia" w:ascii="仿宋_GB2312" w:hAnsi="宋体" w:eastAsia="仿宋_GB2312" w:cs="宋体"/>
          <w:sz w:val="24"/>
          <w:szCs w:val="24"/>
          <w:lang w:eastAsia="zh-CN"/>
        </w:rPr>
        <w:t>响应</w:t>
      </w:r>
      <w:r>
        <w:rPr>
          <w:rFonts w:hint="eastAsia" w:ascii="仿宋_GB2312" w:hAnsi="宋体" w:eastAsia="仿宋_GB2312" w:cs="宋体"/>
          <w:sz w:val="24"/>
          <w:szCs w:val="24"/>
        </w:rPr>
        <w:t>，盖章处须加盖联合体各方公章并由联合体各方法定代表人签署，否则其响应文件按无效响应处理。</w:t>
      </w:r>
    </w:p>
    <w:p w14:paraId="5C1B18F9">
      <w:pPr>
        <w:tabs>
          <w:tab w:val="left" w:pos="939"/>
        </w:tabs>
        <w:spacing w:line="360" w:lineRule="auto"/>
        <w:ind w:firstLine="480" w:firstLineChars="200"/>
        <w:rPr>
          <w:rFonts w:hint="eastAsia" w:ascii="宋体" w:hAnsi="宋体" w:cs="宋体"/>
          <w:sz w:val="24"/>
          <w:szCs w:val="24"/>
        </w:rPr>
      </w:pPr>
    </w:p>
    <w:p w14:paraId="6FCB1DEA">
      <w:pPr>
        <w:autoSpaceDE w:val="0"/>
        <w:autoSpaceDN w:val="0"/>
        <w:spacing w:line="360" w:lineRule="auto"/>
        <w:ind w:left="4365" w:leftChars="1850" w:hanging="480" w:hangingChars="200"/>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供应商名称（电子签章）：</w:t>
      </w:r>
    </w:p>
    <w:p w14:paraId="713AEEE3">
      <w:pPr>
        <w:autoSpaceDE w:val="0"/>
        <w:autoSpaceDN w:val="0"/>
        <w:spacing w:line="360" w:lineRule="auto"/>
        <w:ind w:firstLine="6120" w:firstLineChars="2550"/>
        <w:rPr>
          <w:rFonts w:hint="eastAsia" w:ascii="仿宋_GB2312" w:hAnsi="仿宋" w:eastAsia="仿宋_GB2312" w:cs="仿宋_GB2312"/>
          <w:kern w:val="0"/>
          <w:sz w:val="24"/>
          <w:szCs w:val="24"/>
          <w:lang w:val="zh-CN"/>
        </w:rPr>
      </w:pPr>
      <w:r>
        <w:rPr>
          <w:rFonts w:hint="eastAsia" w:ascii="仿宋_GB2312" w:hAnsi="仿宋" w:eastAsia="仿宋_GB2312" w:cs="仿宋_GB2312"/>
          <w:kern w:val="0"/>
          <w:sz w:val="24"/>
          <w:szCs w:val="24"/>
          <w:lang w:val="zh-CN"/>
        </w:rPr>
        <w:t>日期：  年  月   日</w:t>
      </w:r>
    </w:p>
    <w:p w14:paraId="73AD34BD">
      <w:pPr>
        <w:pStyle w:val="2"/>
        <w:rPr>
          <w:rFonts w:hint="eastAsia" w:ascii="仿宋_GB2312" w:hAnsi="仿宋" w:eastAsia="仿宋_GB2312" w:cs="仿宋_GB2312"/>
          <w:kern w:val="0"/>
          <w:sz w:val="24"/>
          <w:szCs w:val="24"/>
          <w:lang w:val="zh-CN"/>
        </w:rPr>
      </w:pPr>
    </w:p>
    <w:p w14:paraId="5A267880">
      <w:pPr>
        <w:pStyle w:val="2"/>
        <w:rPr>
          <w:rFonts w:hint="eastAsia" w:ascii="仿宋_GB2312" w:hAnsi="仿宋" w:eastAsia="仿宋_GB2312" w:cs="仿宋_GB2312"/>
          <w:kern w:val="0"/>
          <w:sz w:val="24"/>
          <w:szCs w:val="24"/>
          <w:lang w:val="zh-CN"/>
        </w:rPr>
      </w:pPr>
    </w:p>
    <w:p w14:paraId="13562FC7">
      <w:pPr>
        <w:pStyle w:val="2"/>
        <w:rPr>
          <w:rFonts w:hint="eastAsia" w:ascii="仿宋_GB2312" w:hAnsi="仿宋" w:eastAsia="仿宋_GB2312" w:cs="仿宋_GB2312"/>
          <w:kern w:val="0"/>
          <w:sz w:val="24"/>
          <w:szCs w:val="24"/>
          <w:lang w:val="zh-CN"/>
        </w:rPr>
      </w:pPr>
    </w:p>
    <w:p w14:paraId="4490D8E4">
      <w:pPr>
        <w:pStyle w:val="2"/>
        <w:rPr>
          <w:rFonts w:hint="eastAsia" w:ascii="仿宋_GB2312" w:hAnsi="仿宋" w:eastAsia="仿宋_GB2312" w:cs="仿宋_GB2312"/>
          <w:kern w:val="0"/>
          <w:sz w:val="24"/>
          <w:szCs w:val="24"/>
          <w:lang w:val="zh-CN"/>
        </w:rPr>
      </w:pPr>
    </w:p>
    <w:p w14:paraId="37EC339E">
      <w:pPr>
        <w:pStyle w:val="2"/>
        <w:rPr>
          <w:rFonts w:hint="eastAsia" w:ascii="仿宋_GB2312" w:hAnsi="仿宋" w:eastAsia="仿宋_GB2312" w:cs="仿宋_GB2312"/>
          <w:kern w:val="0"/>
          <w:sz w:val="24"/>
          <w:szCs w:val="24"/>
          <w:lang w:val="zh-CN"/>
        </w:rPr>
      </w:pPr>
    </w:p>
    <w:p w14:paraId="5A265D49">
      <w:pPr>
        <w:pStyle w:val="2"/>
        <w:rPr>
          <w:rFonts w:hint="eastAsia" w:ascii="仿宋_GB2312" w:hAnsi="仿宋" w:eastAsia="仿宋_GB2312" w:cs="仿宋_GB2312"/>
          <w:kern w:val="0"/>
          <w:sz w:val="24"/>
          <w:szCs w:val="24"/>
          <w:lang w:val="zh-CN"/>
        </w:rPr>
      </w:pPr>
    </w:p>
    <w:p w14:paraId="237FE312">
      <w:pPr>
        <w:pStyle w:val="2"/>
        <w:rPr>
          <w:rFonts w:hint="eastAsia" w:ascii="仿宋_GB2312" w:hAnsi="仿宋" w:eastAsia="仿宋_GB2312" w:cs="仿宋_GB2312"/>
          <w:kern w:val="0"/>
          <w:sz w:val="24"/>
          <w:szCs w:val="24"/>
          <w:lang w:val="zh-CN"/>
        </w:rPr>
      </w:pPr>
    </w:p>
    <w:p w14:paraId="36D4DFFC">
      <w:pPr>
        <w:pStyle w:val="2"/>
        <w:rPr>
          <w:rFonts w:hint="eastAsia" w:ascii="仿宋_GB2312" w:hAnsi="仿宋" w:eastAsia="仿宋_GB2312" w:cs="仿宋_GB2312"/>
          <w:kern w:val="0"/>
          <w:sz w:val="24"/>
          <w:szCs w:val="24"/>
          <w:lang w:val="zh-CN"/>
        </w:rPr>
      </w:pPr>
    </w:p>
    <w:p w14:paraId="093389AA">
      <w:pPr>
        <w:pStyle w:val="2"/>
        <w:rPr>
          <w:rFonts w:hint="eastAsia" w:ascii="仿宋_GB2312" w:hAnsi="仿宋" w:eastAsia="仿宋_GB2312" w:cs="仿宋_GB2312"/>
          <w:kern w:val="0"/>
          <w:sz w:val="24"/>
          <w:szCs w:val="24"/>
          <w:lang w:val="zh-CN"/>
        </w:rPr>
      </w:pPr>
    </w:p>
    <w:p w14:paraId="1D8A63FE">
      <w:pPr>
        <w:pStyle w:val="2"/>
        <w:rPr>
          <w:rFonts w:hint="eastAsia" w:ascii="仿宋_GB2312" w:hAnsi="仿宋" w:eastAsia="仿宋_GB2312" w:cs="仿宋_GB2312"/>
          <w:kern w:val="0"/>
          <w:sz w:val="24"/>
          <w:szCs w:val="24"/>
          <w:lang w:val="zh-CN"/>
        </w:rPr>
      </w:pPr>
    </w:p>
    <w:p w14:paraId="16E7E7D3">
      <w:pPr>
        <w:pStyle w:val="2"/>
        <w:rPr>
          <w:rFonts w:hint="eastAsia" w:ascii="仿宋_GB2312" w:hAnsi="仿宋" w:eastAsia="仿宋_GB2312" w:cs="仿宋_GB2312"/>
          <w:kern w:val="0"/>
          <w:sz w:val="24"/>
          <w:szCs w:val="24"/>
          <w:lang w:val="zh-CN"/>
        </w:rPr>
      </w:pPr>
    </w:p>
    <w:p w14:paraId="798417CB">
      <w:pPr>
        <w:pStyle w:val="2"/>
        <w:rPr>
          <w:rFonts w:hint="eastAsia" w:ascii="仿宋_GB2312" w:hAnsi="仿宋" w:eastAsia="仿宋_GB2312" w:cs="仿宋_GB2312"/>
          <w:kern w:val="0"/>
          <w:sz w:val="24"/>
          <w:szCs w:val="24"/>
          <w:lang w:val="zh-CN"/>
        </w:rPr>
      </w:pPr>
    </w:p>
    <w:p w14:paraId="53EAACE8">
      <w:pPr>
        <w:pStyle w:val="2"/>
        <w:rPr>
          <w:rFonts w:hint="eastAsia" w:ascii="仿宋_GB2312" w:hAnsi="仿宋" w:eastAsia="仿宋_GB2312" w:cs="仿宋_GB2312"/>
          <w:kern w:val="0"/>
          <w:sz w:val="24"/>
          <w:szCs w:val="24"/>
          <w:lang w:val="zh-CN"/>
        </w:rPr>
      </w:pPr>
    </w:p>
    <w:p w14:paraId="69C45A35">
      <w:pPr>
        <w:pStyle w:val="2"/>
        <w:rPr>
          <w:rFonts w:hint="eastAsia" w:ascii="仿宋_GB2312" w:hAnsi="仿宋" w:eastAsia="仿宋_GB2312" w:cs="仿宋_GB2312"/>
          <w:kern w:val="0"/>
          <w:sz w:val="24"/>
          <w:szCs w:val="24"/>
          <w:lang w:val="zh-CN"/>
        </w:rPr>
      </w:pPr>
    </w:p>
    <w:p w14:paraId="4B483CE6">
      <w:pPr>
        <w:pStyle w:val="2"/>
        <w:rPr>
          <w:rFonts w:hint="eastAsia" w:ascii="仿宋_GB2312" w:hAnsi="仿宋" w:eastAsia="仿宋_GB2312" w:cs="仿宋_GB2312"/>
          <w:kern w:val="0"/>
          <w:sz w:val="24"/>
          <w:szCs w:val="24"/>
          <w:lang w:val="zh-CN"/>
        </w:rPr>
      </w:pPr>
    </w:p>
    <w:p w14:paraId="2425C02E">
      <w:pPr>
        <w:pStyle w:val="2"/>
        <w:rPr>
          <w:rFonts w:hint="eastAsia" w:ascii="仿宋_GB2312" w:hAnsi="仿宋" w:eastAsia="仿宋_GB2312" w:cs="仿宋_GB2312"/>
          <w:kern w:val="0"/>
          <w:sz w:val="24"/>
          <w:szCs w:val="24"/>
          <w:lang w:val="zh-CN"/>
        </w:rPr>
      </w:pPr>
    </w:p>
    <w:p w14:paraId="5F12E2F5">
      <w:pPr>
        <w:pStyle w:val="2"/>
        <w:rPr>
          <w:rFonts w:hint="eastAsia" w:ascii="仿宋_GB2312" w:hAnsi="仿宋" w:eastAsia="仿宋_GB2312" w:cs="仿宋_GB2312"/>
          <w:kern w:val="0"/>
          <w:sz w:val="24"/>
          <w:szCs w:val="24"/>
          <w:lang w:val="zh-CN"/>
        </w:rPr>
      </w:pPr>
    </w:p>
    <w:p w14:paraId="7FD9B3D1">
      <w:pPr>
        <w:pStyle w:val="2"/>
        <w:rPr>
          <w:rFonts w:hint="eastAsia" w:ascii="仿宋_GB2312" w:hAnsi="仿宋" w:eastAsia="仿宋_GB2312" w:cs="仿宋_GB2312"/>
          <w:kern w:val="0"/>
          <w:sz w:val="24"/>
          <w:szCs w:val="24"/>
          <w:lang w:val="zh-CN"/>
        </w:rPr>
      </w:pPr>
    </w:p>
    <w:p w14:paraId="44E7AA36">
      <w:pPr>
        <w:pStyle w:val="2"/>
        <w:rPr>
          <w:rFonts w:hint="eastAsia" w:ascii="仿宋_GB2312" w:hAnsi="仿宋" w:eastAsia="仿宋_GB2312" w:cs="仿宋_GB2312"/>
          <w:kern w:val="0"/>
          <w:sz w:val="24"/>
          <w:szCs w:val="24"/>
          <w:lang w:val="zh-CN"/>
        </w:rPr>
      </w:pPr>
    </w:p>
    <w:p w14:paraId="58E72B34">
      <w:pPr>
        <w:pStyle w:val="2"/>
        <w:rPr>
          <w:rFonts w:hint="eastAsia" w:ascii="仿宋_GB2312" w:hAnsi="仿宋" w:eastAsia="仿宋_GB2312" w:cs="仿宋_GB2312"/>
          <w:kern w:val="0"/>
          <w:sz w:val="24"/>
          <w:szCs w:val="24"/>
          <w:lang w:val="zh-CN"/>
        </w:rPr>
      </w:pPr>
    </w:p>
    <w:p w14:paraId="6EE690A8">
      <w:pPr>
        <w:pStyle w:val="2"/>
        <w:rPr>
          <w:rFonts w:hint="eastAsia" w:ascii="仿宋_GB2312" w:hAnsi="仿宋" w:eastAsia="仿宋_GB2312" w:cs="仿宋_GB2312"/>
          <w:kern w:val="0"/>
          <w:sz w:val="24"/>
          <w:szCs w:val="24"/>
          <w:lang w:val="zh-CN"/>
        </w:rPr>
      </w:pPr>
    </w:p>
    <w:p w14:paraId="401F6707">
      <w:pPr>
        <w:pStyle w:val="2"/>
        <w:rPr>
          <w:rFonts w:hint="eastAsia" w:ascii="仿宋_GB2312" w:hAnsi="仿宋" w:eastAsia="仿宋_GB2312" w:cs="仿宋_GB2312"/>
          <w:kern w:val="0"/>
          <w:sz w:val="24"/>
          <w:szCs w:val="24"/>
          <w:lang w:val="zh-CN"/>
        </w:rPr>
      </w:pPr>
    </w:p>
    <w:p w14:paraId="4BCA339E">
      <w:pPr>
        <w:pStyle w:val="2"/>
        <w:rPr>
          <w:rFonts w:hint="eastAsia" w:ascii="仿宋_GB2312" w:hAnsi="仿宋" w:eastAsia="仿宋_GB2312" w:cs="仿宋_GB2312"/>
          <w:kern w:val="0"/>
          <w:sz w:val="24"/>
          <w:szCs w:val="24"/>
          <w:lang w:val="zh-CN"/>
        </w:rPr>
      </w:pPr>
    </w:p>
    <w:p w14:paraId="0C5620CD">
      <w:pPr>
        <w:pStyle w:val="2"/>
        <w:rPr>
          <w:rFonts w:hint="eastAsia" w:ascii="仿宋_GB2312" w:hAnsi="仿宋" w:eastAsia="仿宋_GB2312" w:cs="仿宋_GB2312"/>
          <w:kern w:val="0"/>
          <w:sz w:val="24"/>
          <w:szCs w:val="24"/>
          <w:lang w:val="zh-CN"/>
        </w:rPr>
      </w:pPr>
    </w:p>
    <w:p w14:paraId="21352B15">
      <w:pPr>
        <w:pStyle w:val="2"/>
        <w:rPr>
          <w:rFonts w:hint="eastAsia" w:ascii="仿宋_GB2312" w:hAnsi="仿宋" w:eastAsia="仿宋_GB2312" w:cs="仿宋_GB2312"/>
          <w:kern w:val="0"/>
          <w:sz w:val="24"/>
          <w:szCs w:val="24"/>
          <w:lang w:val="zh-CN"/>
        </w:rPr>
      </w:pPr>
    </w:p>
    <w:p w14:paraId="350EB3B3">
      <w:pPr>
        <w:pStyle w:val="2"/>
        <w:rPr>
          <w:rFonts w:hint="eastAsia" w:ascii="仿宋_GB2312" w:hAnsi="仿宋" w:eastAsia="仿宋_GB2312" w:cs="仿宋_GB2312"/>
          <w:kern w:val="0"/>
          <w:sz w:val="24"/>
          <w:szCs w:val="24"/>
          <w:lang w:val="zh-CN"/>
        </w:rPr>
      </w:pPr>
    </w:p>
    <w:p w14:paraId="68810EBD">
      <w:pPr>
        <w:pStyle w:val="2"/>
        <w:rPr>
          <w:rFonts w:hint="eastAsia" w:ascii="仿宋_GB2312" w:hAnsi="仿宋" w:eastAsia="仿宋_GB2312" w:cs="仿宋_GB2312"/>
          <w:kern w:val="0"/>
          <w:sz w:val="24"/>
          <w:szCs w:val="24"/>
          <w:lang w:val="zh-CN"/>
        </w:rPr>
      </w:pPr>
    </w:p>
    <w:p w14:paraId="21A7B990">
      <w:pPr>
        <w:pStyle w:val="2"/>
        <w:ind w:left="0" w:leftChars="0" w:firstLine="0" w:firstLineChars="0"/>
        <w:rPr>
          <w:rFonts w:hint="eastAsia" w:ascii="仿宋_GB2312" w:hAnsi="仿宋" w:eastAsia="仿宋_GB2312" w:cs="仿宋_GB2312"/>
          <w:kern w:val="0"/>
          <w:sz w:val="24"/>
          <w:szCs w:val="24"/>
          <w:lang w:val="zh-CN"/>
        </w:rPr>
      </w:pPr>
    </w:p>
    <w:p w14:paraId="5BD45E5B">
      <w:pPr>
        <w:numPr>
          <w:ilvl w:val="0"/>
          <w:numId w:val="14"/>
        </w:numPr>
        <w:spacing w:line="320" w:lineRule="exact"/>
        <w:ind w:firstLine="602" w:firstLineChars="200"/>
        <w:jc w:val="left"/>
        <w:rPr>
          <w:rFonts w:hint="eastAsia" w:ascii="仿宋" w:hAnsi="仿宋" w:eastAsia="仿宋" w:cs="仿宋_GB2312"/>
          <w:b/>
          <w:kern w:val="0"/>
          <w:sz w:val="30"/>
          <w:szCs w:val="30"/>
        </w:rPr>
      </w:pPr>
      <w:r>
        <w:rPr>
          <w:rFonts w:hint="eastAsia" w:ascii="仿宋" w:hAnsi="仿宋" w:eastAsia="仿宋" w:cs="仿宋_GB2312"/>
          <w:b/>
          <w:kern w:val="0"/>
          <w:sz w:val="30"/>
          <w:szCs w:val="30"/>
        </w:rPr>
        <w:t>分包意向协议</w:t>
      </w:r>
    </w:p>
    <w:p w14:paraId="7CB3A62F">
      <w:pPr>
        <w:pStyle w:val="2"/>
        <w:rPr>
          <w:rFonts w:hint="eastAsia"/>
        </w:rPr>
      </w:pPr>
    </w:p>
    <w:p w14:paraId="0E8ADBFA">
      <w:pPr>
        <w:spacing w:line="320" w:lineRule="exact"/>
        <w:jc w:val="center"/>
        <w:rPr>
          <w:rFonts w:hint="eastAsia" w:ascii="宋体" w:hAnsi="宋体"/>
          <w:b/>
          <w:sz w:val="32"/>
          <w:szCs w:val="32"/>
        </w:rPr>
      </w:pPr>
      <w:r>
        <w:rPr>
          <w:rFonts w:hint="eastAsia" w:ascii="宋体" w:hAnsi="宋体"/>
          <w:b/>
          <w:sz w:val="32"/>
          <w:szCs w:val="32"/>
        </w:rPr>
        <w:t>分包意向协议</w:t>
      </w:r>
    </w:p>
    <w:p w14:paraId="5A4006C8">
      <w:pPr>
        <w:spacing w:line="500" w:lineRule="exact"/>
        <w:rPr>
          <w:rFonts w:hint="eastAsia" w:ascii="宋体" w:hAnsi="宋体" w:cs="宋体"/>
          <w:b/>
          <w:color w:val="0D0D0D"/>
          <w:sz w:val="22"/>
          <w:szCs w:val="24"/>
        </w:rPr>
      </w:pPr>
      <w:r>
        <w:rPr>
          <w:rFonts w:hint="eastAsia" w:ascii="宋体" w:hAnsi="宋体" w:cs="宋体"/>
          <w:b/>
          <w:color w:val="0D0D0D"/>
          <w:sz w:val="22"/>
          <w:szCs w:val="24"/>
        </w:rPr>
        <w:t xml:space="preserve"> </w:t>
      </w:r>
    </w:p>
    <w:p w14:paraId="72BD0848">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协议编号：__________</w:t>
      </w:r>
    </w:p>
    <w:p w14:paraId="21AFECED">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项目名称：__________</w:t>
      </w:r>
    </w:p>
    <w:p w14:paraId="599961AB">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项目编号：__________</w:t>
      </w:r>
    </w:p>
    <w:p w14:paraId="18832F1A">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采购方式：竞争性谈判</w:t>
      </w:r>
    </w:p>
    <w:p w14:paraId="6D9AA042">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协议签署日期：______年____月____日</w:t>
      </w:r>
    </w:p>
    <w:p w14:paraId="5C2CCF53">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 xml:space="preserve"> </w:t>
      </w:r>
    </w:p>
    <w:p w14:paraId="310F0F93">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甲方（成交意向供应商/总承包方）</w:t>
      </w:r>
    </w:p>
    <w:p w14:paraId="5A988643">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 xml:space="preserve"> </w:t>
      </w:r>
    </w:p>
    <w:p w14:paraId="346EADBF">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单位名称：________________________</w:t>
      </w:r>
    </w:p>
    <w:p w14:paraId="4F9C6681">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统一社会信用代码：________________</w:t>
      </w:r>
    </w:p>
    <w:p w14:paraId="7E09E532">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注册地址：________________________</w:t>
      </w:r>
    </w:p>
    <w:p w14:paraId="4DEA3583">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法定代表人/授权代表人：__________</w:t>
      </w:r>
    </w:p>
    <w:p w14:paraId="634EA39B">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联系电话：________________________</w:t>
      </w:r>
    </w:p>
    <w:p w14:paraId="45B255F6">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 xml:space="preserve"> </w:t>
      </w:r>
    </w:p>
    <w:p w14:paraId="624E7EAC">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乙方（意向分包供应商）</w:t>
      </w:r>
    </w:p>
    <w:p w14:paraId="3CBAD753">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 xml:space="preserve"> </w:t>
      </w:r>
    </w:p>
    <w:p w14:paraId="6670F093">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单位名称：________________________</w:t>
      </w:r>
    </w:p>
    <w:p w14:paraId="39C9F442">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统一社会信用代码：________________</w:t>
      </w:r>
    </w:p>
    <w:p w14:paraId="48BEA8E8">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注册地址：________________________</w:t>
      </w:r>
    </w:p>
    <w:p w14:paraId="1B359375">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法定代表人/授权代表人：__________</w:t>
      </w:r>
    </w:p>
    <w:p w14:paraId="32E55EE4">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联系电话：________________________</w:t>
      </w:r>
    </w:p>
    <w:p w14:paraId="3D130F2C">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 xml:space="preserve"> </w:t>
      </w:r>
    </w:p>
    <w:p w14:paraId="2B9989C3">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鉴于甲方自愿参与本项目政府采购竞争性谈判活动，若甲方最终成交，拟将本项目部分货物供应、配套服务工作依法分包给乙方。为明确双方分包意向、规范履约责任、保障政府采购项目合规实施，依据《中华人民共和国政府采购法》《政府采购法实施条例》及本项目竞争性谈判文件相关规定，甲乙双方本着平等自愿、合法合规、权责统一的原则，订立本意向协议，以供双方共同信守。</w:t>
      </w:r>
    </w:p>
    <w:p w14:paraId="008D4D74">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 xml:space="preserve"> </w:t>
      </w:r>
    </w:p>
    <w:p w14:paraId="3C341371">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第一条 分包基本信息</w:t>
      </w:r>
    </w:p>
    <w:p w14:paraId="05895CD2">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 xml:space="preserve"> </w:t>
      </w:r>
    </w:p>
    <w:p w14:paraId="3B71C368">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 项目概况：本项目为__________（货物类）政府采购项目，采购内容为__________，项目预算金额__________元，采购需求、技术标准、交付要求以本项目竞争性谈判文件、甲方最终响应文件及成交合同为准。</w:t>
      </w:r>
    </w:p>
    <w:p w14:paraId="1BAC444A">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2. 分包范围及内容</w:t>
      </w:r>
    </w:p>
    <w:p w14:paraId="5AA52BA3">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乙方意向承接本项目分包工作具体为：__________（明确分包货物名称、规格型号、数量、技术参数、配套安装、调试、售后质保、运输配送等具体内容，严禁分包采购项目主体、关键性、核心性工作）。</w:t>
      </w:r>
    </w:p>
    <w:p w14:paraId="0DCEF03B">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3. 分包金额及占比</w:t>
      </w:r>
    </w:p>
    <w:p w14:paraId="4B5D93B5">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本次意向分包总金额：人民币__________元（大写：______），分包金额占本项目总成交金额比例为%。</w:t>
      </w:r>
    </w:p>
    <w:p w14:paraId="5162DDBB">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4. 分包工期/交付期限：严格按照本项目采购文件要求及甲方履约进度，于______年____月____日前完成全部分包工作并验收合格。</w:t>
      </w:r>
    </w:p>
    <w:p w14:paraId="46441CD1">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5. 服务标准：乙方承接分包内容需完全符合国家现行强制性标准、行业规范、采购文件技术要求及甲方履约标准，确保项目整体验收合格。</w:t>
      </w:r>
    </w:p>
    <w:p w14:paraId="3E148671">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 xml:space="preserve"> </w:t>
      </w:r>
    </w:p>
    <w:p w14:paraId="33E90914">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第二条 主体资格合规承诺</w:t>
      </w:r>
    </w:p>
    <w:p w14:paraId="00842D98">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 xml:space="preserve"> </w:t>
      </w:r>
    </w:p>
    <w:p w14:paraId="1ED15BE4">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 甲乙双方均承诺，自身为依法注册、合法经营的独立法人主体，具备承接本项目及对应分包工作的全部资质、设备、人员及履约能力，资质证书、经营证照均真实有效、在有效期内。</w:t>
      </w:r>
    </w:p>
    <w:p w14:paraId="34FEF57D">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2. 乙方承诺，未被列入政府采购严重违法失信行为记录名单、未被列入失信被执行人名单、无重大违法经营记录，符合政府采购供应商资格要求。</w:t>
      </w:r>
    </w:p>
    <w:p w14:paraId="550ADF28">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3. 甲乙双方不存在关联关系、围标串标、虚假分包等违法违规情形，本次分包行为不属于违法转包、违法分包行为，完全符合政府采购相关法律法规及本项目采购文件规定。</w:t>
      </w:r>
    </w:p>
    <w:p w14:paraId="7F952674">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4. 若本项目涉及中小企业扶持政策，双方严格遵守政策要求：小微企业不得将合同分包给大中型企业，中型企业不得分包给大型企业，主动配合采购单位、采购代理机构核查中小企业资质信息。</w:t>
      </w:r>
    </w:p>
    <w:p w14:paraId="2287BEF5">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 xml:space="preserve"> </w:t>
      </w:r>
    </w:p>
    <w:p w14:paraId="2155909A">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第三条 双方权利与义务</w:t>
      </w:r>
    </w:p>
    <w:p w14:paraId="5E80F498">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 xml:space="preserve"> </w:t>
      </w:r>
    </w:p>
    <w:p w14:paraId="21BF99EE">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（一）甲方权利义务</w:t>
      </w:r>
    </w:p>
    <w:p w14:paraId="508E13B8">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 xml:space="preserve"> </w:t>
      </w:r>
    </w:p>
    <w:p w14:paraId="13294074">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 甲方为本项目政府采购履约第一责任人，对项目整体质量、进度、售后、验收及全部履约结果向采购单位、监管部门承担全部最终责任，不因分包行为免除任何合同义务与法律责任。</w:t>
      </w:r>
    </w:p>
    <w:p w14:paraId="7DFE6F11">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2. 甲方负责统筹项目整体实施，对乙方分包工作的质量、进度、安全、合规性进行全过程监督、管理、考核，有权对乙方不合格工作要求整改、返工。</w:t>
      </w:r>
    </w:p>
    <w:p w14:paraId="1D6FEE8F">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3. 甲方负责对接采购单位、代理机构及监管部门，及时报送分包备案资料，协调解决项目履约中的各类问题。</w:t>
      </w:r>
    </w:p>
    <w:p w14:paraId="2EBFA7D7">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4. 项目正式成交并签订政府采购合同后，甲方需与乙方签订正式分包合同，明确付款方式、履约细节、质保责任等具体条款，按时足额支付乙方合法分包款项。</w:t>
      </w:r>
    </w:p>
    <w:p w14:paraId="1C82FD8A">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5. 甲方不得擅自变更分包范围、分包内容、分包主体，如需调整分包方案，须提前书面征得采购单位及采购代理机构同意并完成备案。</w:t>
      </w:r>
    </w:p>
    <w:p w14:paraId="2ABA019A">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 xml:space="preserve"> </w:t>
      </w:r>
    </w:p>
    <w:p w14:paraId="04E03A72">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（二）乙方权利义务</w:t>
      </w:r>
    </w:p>
    <w:p w14:paraId="30346942">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 xml:space="preserve"> </w:t>
      </w:r>
    </w:p>
    <w:p w14:paraId="3401FFCD">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 乙方严格按照本意向协议、正式分包合同、采购文件标准完成分包工作，保证货物质量合格、资料齐全、服务到位，全程接受甲方及采购监管部门监督检查。</w:t>
      </w:r>
    </w:p>
    <w:p w14:paraId="06C85C0A">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2. 乙方独立完成分包工作，不得将承接的分包内容再次转包、二次分包，一经发现，甲方有权终止分包合作，追究乙方违约责任，并上报政府采购监管部门。</w:t>
      </w:r>
    </w:p>
    <w:p w14:paraId="1FBC8ACE">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3. 乙方负责分包工作范围内的安全生产、人员管理、货物运输、质量保障，承担分包范围内的全部安全责任、质量责任及售后连带责任。</w:t>
      </w:r>
    </w:p>
    <w:p w14:paraId="254B0D82">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4. 乙方需配合甲方完成项目验收、资料归档、质保服务、问题整改等全部工作，及时提供所需资质文件、检测报告、验收资料等佐证材料。</w:t>
      </w:r>
    </w:p>
    <w:p w14:paraId="043ACE39">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5. 乙方知晓政府采购相关纪律要求，承诺不发生行贿、弄虚作假、违规履约等违法违规行为，自愿接受政府采购信用惩戒管理。</w:t>
      </w:r>
    </w:p>
    <w:p w14:paraId="40AD802A">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 xml:space="preserve"> </w:t>
      </w:r>
    </w:p>
    <w:p w14:paraId="16C16A8B">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第四条 分包合规特别约定</w:t>
      </w:r>
    </w:p>
    <w:p w14:paraId="7276EC7B">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 xml:space="preserve"> </w:t>
      </w:r>
    </w:p>
    <w:p w14:paraId="0358C0CD">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 禁止核心分包：本项目货物核心设备、主体供应、关键技术服务等采购文件明确不得分包的内容，甲乙双方绝不分包，本次分包仅为辅助性、配套性工作。</w:t>
      </w:r>
    </w:p>
    <w:p w14:paraId="0F05C100">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2. 备案要求：本意向协议作为甲方响应文件组成部分，随响应文件一并提交评审；项目成交后，正式分包合同须报送采购单位、采购代理机构备案留存，未备案分包行为视为无效分包。</w:t>
      </w:r>
    </w:p>
    <w:p w14:paraId="1AF2658D">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3. 效力前置约定：本协议仅为投标意向性文件，不作为双方结算、履约的正式合同依据。甲方未最终成交的，本协议自动失效，双方互不承担违约责任；甲方成交后，本协议内容作为正式分包合同的基础条款持续有效。</w:t>
      </w:r>
    </w:p>
    <w:p w14:paraId="3204CE2B">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4. 分包限额：本次分包总金额、分包比例严格遵守政府采购规定及采购文件要求，超比例、超范围分包一律无效。</w:t>
      </w:r>
    </w:p>
    <w:p w14:paraId="098D2EA9">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 xml:space="preserve"> </w:t>
      </w:r>
    </w:p>
    <w:p w14:paraId="35808BAC">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第五条 违约责任</w:t>
      </w:r>
    </w:p>
    <w:p w14:paraId="49299D95">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 xml:space="preserve"> </w:t>
      </w:r>
    </w:p>
    <w:p w14:paraId="20B9DCBD">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 任何一方违反本协议约定，存在虚假分包、违规转包、超范围分包、资质造假、履约不合格等情形，视为严重违约，违约方需赔偿守约方全部经济损失。</w:t>
      </w:r>
    </w:p>
    <w:p w14:paraId="76460FB0">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2. 因乙方履约不合格、拖延工期、违规操作导致项目整体逾期、验收不合格、被采购单位追责的，乙方承担全部赔偿责任，甲方有权单方解除分包合作，并将乙方不良行为上报政府采购监管部门。</w:t>
      </w:r>
    </w:p>
    <w:p w14:paraId="618364C2">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3. 因甲方未按约定签订正式分包合同、无故克扣分包款项、恶意阻挠乙方合规履约的，甲方承担相应违约责任。</w:t>
      </w:r>
    </w:p>
    <w:p w14:paraId="7FFA48AA">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4. 双方违法分包、虚假分包导致本项目成交无效、合同解除、行政处罚的，甲乙双方承担连带法律责任，自愿接受政府采购信用惩戒及相关处罚。</w:t>
      </w:r>
    </w:p>
    <w:p w14:paraId="611C931F">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 xml:space="preserve"> </w:t>
      </w:r>
    </w:p>
    <w:p w14:paraId="44E67465">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第六条 其他约定</w:t>
      </w:r>
    </w:p>
    <w:p w14:paraId="4BE6B3D1">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 xml:space="preserve"> </w:t>
      </w:r>
    </w:p>
    <w:p w14:paraId="46F5D97E">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1. 质保责任：乙方分包范围内的货物及配套服务，质保期与本项目政府采购合同质保期保持一致，质保期内承担免费维修、更换、售后保障义务。</w:t>
      </w:r>
    </w:p>
    <w:p w14:paraId="0FB076A2">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2. 争议解决：本协议履行过程中发生争议，双方优先友好协商解决；协商不成的，提交项目所在地政府采购监管部门协调处理，或向项目所在地人民法院提起诉讼。</w:t>
      </w:r>
    </w:p>
    <w:p w14:paraId="30307AD0">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3. 保密义务：双方对本项目政府采购资料、项目信息、商业信息承担永久保密义务，不得擅自泄露、外传。</w:t>
      </w:r>
    </w:p>
    <w:p w14:paraId="495FC405">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4. 协议份数：本协议一式肆份，甲方执壹份、乙方执壹份，采购单位、采购代理机构各备案壹份，随响应文件生效，具有同等法律效力。</w:t>
      </w:r>
    </w:p>
    <w:p w14:paraId="515ECE40">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5. 生效条件：本协议自甲乙双方法定代表人/授权代表人签字并加盖单位公章之日起生效。</w:t>
      </w:r>
    </w:p>
    <w:p w14:paraId="421E79D7">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 xml:space="preserve"> </w:t>
      </w:r>
    </w:p>
    <w:p w14:paraId="704BC197">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（以下无正文，为签字盖章页）</w:t>
      </w:r>
    </w:p>
    <w:p w14:paraId="28323277">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 xml:space="preserve"> </w:t>
      </w:r>
    </w:p>
    <w:p w14:paraId="0110D4B4">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甲方（总承包方/响应供应商）（盖章）</w:t>
      </w:r>
    </w:p>
    <w:p w14:paraId="150CBB16">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 xml:space="preserve"> </w:t>
      </w:r>
    </w:p>
    <w:p w14:paraId="4FEDF6F4">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法定代表人/授权代表人（签字）：__________</w:t>
      </w:r>
    </w:p>
    <w:p w14:paraId="4BE83EE2">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______年____月____日</w:t>
      </w:r>
    </w:p>
    <w:p w14:paraId="3E0B2CC7">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 xml:space="preserve"> </w:t>
      </w:r>
    </w:p>
    <w:p w14:paraId="62F72507">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乙方（意向分包供应商）（盖章）</w:t>
      </w:r>
    </w:p>
    <w:p w14:paraId="29E5C438">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 xml:space="preserve"> </w:t>
      </w:r>
    </w:p>
    <w:p w14:paraId="0E4747BF">
      <w:pPr>
        <w:spacing w:line="360" w:lineRule="auto"/>
        <w:ind w:firstLine="480" w:firstLineChars="200"/>
        <w:rPr>
          <w:rFonts w:hint="eastAsia" w:ascii="宋体" w:hAnsi="宋体" w:cs="宋体"/>
          <w:b/>
          <w:color w:val="0D0D0D"/>
          <w:sz w:val="22"/>
          <w:szCs w:val="24"/>
        </w:rPr>
      </w:pPr>
      <w:r>
        <w:rPr>
          <w:rFonts w:hint="eastAsia" w:ascii="仿宋_GB2312" w:hAnsi="宋体" w:eastAsia="仿宋_GB2312" w:cs="宋体"/>
          <w:sz w:val="24"/>
          <w:szCs w:val="24"/>
        </w:rPr>
        <w:t>法定代表人/授权代表人（签字）：__________</w:t>
      </w:r>
    </w:p>
    <w:p w14:paraId="5676F0D5">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______年____月____日</w:t>
      </w:r>
    </w:p>
    <w:p w14:paraId="70CE460A">
      <w:pPr>
        <w:spacing w:line="500" w:lineRule="exact"/>
        <w:rPr>
          <w:rFonts w:hint="eastAsia" w:ascii="仿宋" w:hAnsi="仿宋" w:eastAsia="仿宋" w:cs="仿宋_GB2312"/>
          <w:b/>
          <w:sz w:val="30"/>
          <w:szCs w:val="30"/>
          <w:lang w:eastAsia="zh-CN"/>
        </w:rPr>
      </w:pPr>
    </w:p>
    <w:p w14:paraId="07F5D384">
      <w:pPr>
        <w:spacing w:line="500" w:lineRule="exact"/>
        <w:rPr>
          <w:rFonts w:hint="eastAsia" w:ascii="仿宋" w:hAnsi="仿宋" w:eastAsia="仿宋" w:cs="仿宋_GB2312"/>
          <w:b/>
          <w:sz w:val="30"/>
          <w:szCs w:val="30"/>
          <w:lang w:eastAsia="zh-CN"/>
        </w:rPr>
      </w:pPr>
    </w:p>
    <w:p w14:paraId="3D4C88D9">
      <w:pPr>
        <w:spacing w:line="500" w:lineRule="exact"/>
        <w:rPr>
          <w:rFonts w:hint="eastAsia" w:ascii="仿宋" w:hAnsi="仿宋" w:eastAsia="仿宋" w:cs="仿宋_GB2312"/>
          <w:b/>
          <w:sz w:val="30"/>
          <w:szCs w:val="30"/>
          <w:lang w:eastAsia="zh-CN"/>
        </w:rPr>
      </w:pPr>
    </w:p>
    <w:p w14:paraId="0DA582FA">
      <w:pPr>
        <w:spacing w:line="500" w:lineRule="exact"/>
        <w:rPr>
          <w:rFonts w:hint="eastAsia" w:ascii="仿宋" w:hAnsi="仿宋" w:eastAsia="仿宋" w:cs="仿宋_GB2312"/>
          <w:b/>
          <w:sz w:val="30"/>
          <w:szCs w:val="30"/>
          <w:lang w:eastAsia="zh-CN"/>
        </w:rPr>
      </w:pPr>
    </w:p>
    <w:p w14:paraId="717DA68A">
      <w:pPr>
        <w:spacing w:line="500" w:lineRule="exact"/>
        <w:rPr>
          <w:rFonts w:hint="eastAsia" w:ascii="仿宋" w:hAnsi="仿宋" w:eastAsia="仿宋" w:cs="仿宋_GB2312"/>
          <w:b/>
          <w:sz w:val="30"/>
          <w:szCs w:val="30"/>
          <w:lang w:eastAsia="zh-CN"/>
        </w:rPr>
      </w:pPr>
    </w:p>
    <w:p w14:paraId="101D5B54">
      <w:pPr>
        <w:spacing w:line="500" w:lineRule="exact"/>
        <w:rPr>
          <w:rFonts w:hint="eastAsia" w:ascii="仿宋" w:hAnsi="仿宋" w:eastAsia="仿宋" w:cs="仿宋_GB2312"/>
          <w:b/>
          <w:sz w:val="30"/>
          <w:szCs w:val="30"/>
          <w:lang w:eastAsia="zh-CN"/>
        </w:rPr>
      </w:pPr>
    </w:p>
    <w:p w14:paraId="1D7AF630">
      <w:pPr>
        <w:spacing w:line="500" w:lineRule="exact"/>
        <w:rPr>
          <w:rFonts w:hint="eastAsia" w:ascii="仿宋" w:hAnsi="仿宋" w:eastAsia="仿宋" w:cs="仿宋_GB2312"/>
          <w:b/>
          <w:sz w:val="30"/>
          <w:szCs w:val="30"/>
          <w:lang w:eastAsia="zh-CN"/>
        </w:rPr>
      </w:pPr>
    </w:p>
    <w:p w14:paraId="79D983B4">
      <w:pPr>
        <w:spacing w:line="500" w:lineRule="exact"/>
        <w:rPr>
          <w:rFonts w:hint="eastAsia" w:ascii="仿宋" w:hAnsi="仿宋" w:eastAsia="仿宋" w:cs="仿宋_GB2312"/>
          <w:b/>
          <w:sz w:val="30"/>
          <w:szCs w:val="30"/>
          <w:lang w:eastAsia="zh-CN"/>
        </w:rPr>
      </w:pPr>
    </w:p>
    <w:p w14:paraId="08516D69">
      <w:pPr>
        <w:spacing w:line="500" w:lineRule="exact"/>
        <w:rPr>
          <w:rFonts w:hint="eastAsia" w:ascii="仿宋" w:hAnsi="仿宋" w:eastAsia="仿宋" w:cs="仿宋_GB2312"/>
          <w:b/>
          <w:sz w:val="30"/>
          <w:szCs w:val="30"/>
          <w:lang w:eastAsia="zh-CN"/>
        </w:rPr>
      </w:pPr>
    </w:p>
    <w:p w14:paraId="3EA52B1B">
      <w:pPr>
        <w:spacing w:line="500" w:lineRule="exact"/>
        <w:rPr>
          <w:rFonts w:hint="eastAsia" w:ascii="仿宋" w:hAnsi="仿宋" w:eastAsia="仿宋" w:cs="仿宋_GB2312"/>
          <w:b/>
          <w:sz w:val="30"/>
          <w:szCs w:val="30"/>
          <w:lang w:eastAsia="zh-CN"/>
        </w:rPr>
      </w:pPr>
    </w:p>
    <w:p w14:paraId="38510C97">
      <w:pPr>
        <w:spacing w:line="500" w:lineRule="exact"/>
        <w:rPr>
          <w:rFonts w:hint="eastAsia" w:ascii="仿宋" w:hAnsi="仿宋" w:eastAsia="仿宋" w:cs="仿宋_GB2312"/>
          <w:b/>
          <w:sz w:val="30"/>
          <w:szCs w:val="30"/>
          <w:lang w:eastAsia="zh-CN"/>
        </w:rPr>
      </w:pPr>
    </w:p>
    <w:p w14:paraId="75850291">
      <w:pPr>
        <w:spacing w:line="500" w:lineRule="exact"/>
        <w:rPr>
          <w:rFonts w:hint="eastAsia" w:ascii="仿宋" w:hAnsi="仿宋" w:eastAsia="仿宋" w:cs="仿宋_GB2312"/>
          <w:b/>
          <w:sz w:val="30"/>
          <w:szCs w:val="30"/>
          <w:lang w:eastAsia="zh-CN"/>
        </w:rPr>
      </w:pPr>
    </w:p>
    <w:p w14:paraId="5F73F257">
      <w:pPr>
        <w:spacing w:line="500" w:lineRule="exact"/>
        <w:rPr>
          <w:rFonts w:hint="eastAsia" w:ascii="仿宋" w:hAnsi="仿宋" w:eastAsia="仿宋" w:cs="仿宋_GB2312"/>
          <w:b/>
          <w:sz w:val="30"/>
          <w:szCs w:val="30"/>
          <w:lang w:eastAsia="zh-CN"/>
        </w:rPr>
      </w:pPr>
    </w:p>
    <w:p w14:paraId="3EAE0CC7">
      <w:pPr>
        <w:spacing w:line="500" w:lineRule="exact"/>
        <w:rPr>
          <w:rFonts w:hint="eastAsia" w:ascii="仿宋" w:hAnsi="仿宋" w:eastAsia="仿宋" w:cs="仿宋_GB2312"/>
          <w:b/>
          <w:sz w:val="30"/>
          <w:szCs w:val="30"/>
        </w:rPr>
      </w:pPr>
      <w:r>
        <w:rPr>
          <w:rFonts w:hint="eastAsia" w:ascii="仿宋" w:hAnsi="仿宋" w:eastAsia="仿宋" w:cs="仿宋_GB2312"/>
          <w:b/>
          <w:sz w:val="30"/>
          <w:szCs w:val="30"/>
          <w:lang w:eastAsia="zh-CN"/>
        </w:rPr>
        <w:t>八</w:t>
      </w:r>
      <w:r>
        <w:rPr>
          <w:rFonts w:hint="eastAsia" w:ascii="仿宋" w:hAnsi="仿宋" w:eastAsia="仿宋" w:cs="仿宋_GB2312"/>
          <w:b/>
          <w:sz w:val="30"/>
          <w:szCs w:val="30"/>
        </w:rPr>
        <w:t>、中小企业声明函</w:t>
      </w:r>
    </w:p>
    <w:p w14:paraId="1F87F4E0">
      <w:pPr>
        <w:spacing w:line="300" w:lineRule="auto"/>
        <w:ind w:firstLine="2200" w:firstLineChars="50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中小企业声明函（货物）</w:t>
      </w:r>
    </w:p>
    <w:p w14:paraId="3F42D6B8">
      <w:pPr>
        <w:spacing w:line="360" w:lineRule="auto"/>
        <w:ind w:left="-426" w:right="142" w:firstLine="640"/>
        <w:contextualSpacing/>
        <w:rPr>
          <w:rFonts w:hint="eastAsia" w:ascii="宋体" w:hAnsi="宋体" w:eastAsia="等线"/>
          <w:sz w:val="24"/>
        </w:rPr>
      </w:pPr>
      <w:r>
        <w:rPr>
          <w:rFonts w:hint="eastAsia" w:ascii="宋体" w:hAnsi="宋体"/>
          <w:sz w:val="24"/>
          <w:szCs w:val="24"/>
        </w:rPr>
        <w:t>本公司（联合体）郑重声明，根据《政府采购促进中小企业发展管理办法》（财库﹝2020﹞46号）的规定，本公司（联合体）参加</w:t>
      </w:r>
      <w:r>
        <w:rPr>
          <w:rFonts w:hint="eastAsia" w:ascii="宋体" w:hAnsi="宋体"/>
          <w:sz w:val="24"/>
          <w:szCs w:val="24"/>
          <w:u w:val="single"/>
          <w:lang w:eastAsia="zh-CN"/>
        </w:rPr>
        <w:t>上林县教育局</w:t>
      </w:r>
      <w:r>
        <w:rPr>
          <w:rFonts w:hint="eastAsia" w:ascii="宋体" w:hAnsi="宋体"/>
          <w:sz w:val="24"/>
          <w:szCs w:val="24"/>
        </w:rPr>
        <w:t>的</w:t>
      </w:r>
      <w:r>
        <w:rPr>
          <w:rFonts w:hint="eastAsia" w:ascii="宋体" w:hAnsi="宋体"/>
          <w:sz w:val="24"/>
          <w:szCs w:val="24"/>
          <w:u w:val="single"/>
          <w:lang w:eastAsia="zh-CN"/>
        </w:rPr>
        <w:t>2026年上林县幼儿园设备采购项目（重）</w:t>
      </w:r>
      <w:r>
        <w:rPr>
          <w:rFonts w:hint="eastAsia" w:ascii="宋体" w:hAnsi="宋体"/>
          <w:sz w:val="24"/>
          <w:szCs w:val="24"/>
        </w:rPr>
        <w:t>采购活动，</w:t>
      </w:r>
      <w:r>
        <w:rPr>
          <w:rFonts w:hint="eastAsia" w:ascii="宋体" w:hAnsi="宋体"/>
          <w:sz w:val="24"/>
          <w:szCs w:val="24"/>
          <w:lang w:val="zh-CN"/>
        </w:rPr>
        <w:t>供应商提供的商品预算总额达</w:t>
      </w:r>
      <w:r>
        <w:rPr>
          <w:rFonts w:hint="eastAsia" w:ascii="宋体" w:hAnsi="宋体"/>
          <w:sz w:val="24"/>
          <w:szCs w:val="24"/>
          <w:lang w:val="en-US" w:eastAsia="zh-CN"/>
        </w:rPr>
        <w:t>40%以上由中小企业制造；其中，小微企业承担部分达到60%</w:t>
      </w:r>
      <w:r>
        <w:rPr>
          <w:rFonts w:hint="eastAsia" w:ascii="宋体" w:hAnsi="宋体"/>
          <w:sz w:val="24"/>
          <w:szCs w:val="24"/>
        </w:rPr>
        <w:t>。相关企业（含联合体中的中小企业、签订分包意向协议的中小企业）的具体情况如下：</w:t>
      </w:r>
    </w:p>
    <w:p w14:paraId="60FCE421">
      <w:pPr>
        <w:tabs>
          <w:tab w:val="left" w:pos="1384"/>
          <w:tab w:val="left" w:pos="4562"/>
          <w:tab w:val="left" w:pos="6803"/>
        </w:tabs>
        <w:spacing w:line="360" w:lineRule="auto"/>
        <w:ind w:left="-426" w:right="-58" w:firstLine="655"/>
        <w:contextualSpacing/>
        <w:rPr>
          <w:rFonts w:hint="eastAsia" w:ascii="宋体" w:hAnsi="宋体"/>
          <w:sz w:val="24"/>
          <w:szCs w:val="24"/>
        </w:rPr>
      </w:pPr>
      <w:r>
        <w:rPr>
          <w:rFonts w:hint="eastAsia" w:ascii="宋体" w:hAnsi="宋体"/>
          <w:sz w:val="24"/>
          <w:szCs w:val="24"/>
        </w:rPr>
        <w:t>1.</w:t>
      </w:r>
      <w:r>
        <w:rPr>
          <w:rFonts w:hint="eastAsia" w:ascii="宋体" w:hAnsi="宋体"/>
          <w:sz w:val="24"/>
          <w:szCs w:val="24"/>
          <w:u w:val="single"/>
        </w:rPr>
        <w:t>（标的名称）</w:t>
      </w:r>
      <w:r>
        <w:rPr>
          <w:rFonts w:hint="eastAsia" w:ascii="宋体" w:hAnsi="宋体"/>
          <w:sz w:val="24"/>
          <w:szCs w:val="24"/>
        </w:rPr>
        <w:t>，属于</w:t>
      </w:r>
      <w:r>
        <w:rPr>
          <w:rFonts w:hint="eastAsia" w:ascii="宋体" w:hAnsi="宋体"/>
          <w:sz w:val="24"/>
          <w:szCs w:val="24"/>
          <w:u w:val="single"/>
        </w:rPr>
        <w:t>（采购文件中明确的所属行业）</w:t>
      </w:r>
      <w:r>
        <w:rPr>
          <w:rFonts w:hint="eastAsia" w:ascii="宋体" w:hAnsi="宋体"/>
          <w:sz w:val="24"/>
          <w:szCs w:val="24"/>
        </w:rPr>
        <w:t>行业；制造商为</w:t>
      </w:r>
      <w:r>
        <w:rPr>
          <w:rFonts w:hint="eastAsia" w:ascii="宋体" w:hAnsi="宋体"/>
          <w:sz w:val="24"/>
          <w:szCs w:val="24"/>
          <w:u w:val="single"/>
        </w:rPr>
        <w:t>（企业名称）</w:t>
      </w:r>
      <w:r>
        <w:rPr>
          <w:rFonts w:hint="eastAsia" w:ascii="宋体" w:hAnsi="宋体"/>
          <w:sz w:val="24"/>
          <w:szCs w:val="24"/>
        </w:rPr>
        <w:t>，从业人员</w:t>
      </w:r>
      <w:r>
        <w:rPr>
          <w:rFonts w:hint="eastAsia" w:ascii="宋体" w:hAnsi="宋体"/>
          <w:sz w:val="24"/>
          <w:szCs w:val="24"/>
          <w:u w:val="single"/>
        </w:rPr>
        <w:t xml:space="preserve">      </w:t>
      </w:r>
      <w:r>
        <w:rPr>
          <w:rFonts w:hint="eastAsia" w:ascii="宋体" w:hAnsi="宋体"/>
          <w:sz w:val="24"/>
          <w:szCs w:val="24"/>
        </w:rPr>
        <w:t>人，营业收入为</w:t>
      </w:r>
      <w:r>
        <w:rPr>
          <w:rFonts w:hint="eastAsia" w:ascii="宋体" w:hAnsi="宋体"/>
          <w:sz w:val="24"/>
          <w:szCs w:val="24"/>
          <w:u w:val="single"/>
        </w:rPr>
        <w:t xml:space="preserve">      </w:t>
      </w:r>
      <w:r>
        <w:rPr>
          <w:rFonts w:hint="eastAsia" w:ascii="宋体" w:hAnsi="宋体"/>
          <w:sz w:val="24"/>
          <w:szCs w:val="24"/>
        </w:rPr>
        <w:t>万元，资产总额为</w:t>
      </w:r>
      <w:r>
        <w:rPr>
          <w:rFonts w:hint="eastAsia" w:ascii="宋体" w:hAnsi="宋体"/>
          <w:sz w:val="24"/>
          <w:szCs w:val="24"/>
          <w:u w:val="single"/>
        </w:rPr>
        <w:t xml:space="preserve">      </w:t>
      </w:r>
      <w:r>
        <w:rPr>
          <w:rFonts w:hint="eastAsia" w:ascii="宋体" w:hAnsi="宋体"/>
          <w:sz w:val="24"/>
          <w:szCs w:val="24"/>
        </w:rPr>
        <w:t>万元，属于</w:t>
      </w:r>
      <w:r>
        <w:rPr>
          <w:rFonts w:hint="eastAsia" w:ascii="宋体" w:hAnsi="宋体"/>
          <w:sz w:val="24"/>
          <w:szCs w:val="24"/>
          <w:u w:val="single"/>
        </w:rPr>
        <w:t>（小型企业、微型企业）</w:t>
      </w:r>
      <w:r>
        <w:rPr>
          <w:rFonts w:hint="eastAsia" w:ascii="宋体" w:hAnsi="宋体"/>
          <w:sz w:val="24"/>
          <w:szCs w:val="24"/>
        </w:rPr>
        <w:t>；</w:t>
      </w:r>
    </w:p>
    <w:p w14:paraId="41131306">
      <w:pPr>
        <w:tabs>
          <w:tab w:val="left" w:pos="1065"/>
          <w:tab w:val="left" w:pos="6477"/>
        </w:tabs>
        <w:spacing w:line="360" w:lineRule="auto"/>
        <w:ind w:left="-426" w:right="-58" w:firstLine="655"/>
        <w:contextualSpacing/>
        <w:rPr>
          <w:rFonts w:hint="eastAsia" w:ascii="宋体" w:hAnsi="宋体"/>
          <w:sz w:val="24"/>
          <w:szCs w:val="24"/>
        </w:rPr>
      </w:pPr>
      <w:r>
        <w:rPr>
          <w:rFonts w:hint="eastAsia" w:ascii="宋体" w:hAnsi="宋体"/>
          <w:sz w:val="24"/>
          <w:szCs w:val="24"/>
        </w:rPr>
        <w:t>2.</w:t>
      </w:r>
      <w:r>
        <w:rPr>
          <w:rFonts w:hint="eastAsia" w:ascii="宋体" w:hAnsi="宋体"/>
          <w:sz w:val="24"/>
          <w:szCs w:val="24"/>
          <w:u w:val="single"/>
        </w:rPr>
        <w:t>（标的名称）</w:t>
      </w:r>
      <w:r>
        <w:rPr>
          <w:rFonts w:hint="eastAsia" w:ascii="宋体" w:hAnsi="宋体"/>
          <w:sz w:val="24"/>
          <w:szCs w:val="24"/>
        </w:rPr>
        <w:t>，属于</w:t>
      </w:r>
      <w:r>
        <w:rPr>
          <w:rFonts w:hint="eastAsia" w:ascii="宋体" w:hAnsi="宋体"/>
          <w:sz w:val="24"/>
          <w:szCs w:val="24"/>
          <w:u w:val="single"/>
        </w:rPr>
        <w:t>（采购文件中明确的所属行业）</w:t>
      </w:r>
      <w:r>
        <w:rPr>
          <w:rFonts w:hint="eastAsia" w:ascii="宋体" w:hAnsi="宋体"/>
          <w:sz w:val="24"/>
          <w:szCs w:val="24"/>
        </w:rPr>
        <w:t>行业；制造商为</w:t>
      </w:r>
      <w:r>
        <w:rPr>
          <w:rFonts w:hint="eastAsia" w:ascii="宋体" w:hAnsi="宋体"/>
          <w:sz w:val="24"/>
          <w:szCs w:val="24"/>
          <w:u w:val="single"/>
        </w:rPr>
        <w:t>（企业名称）</w:t>
      </w:r>
      <w:r>
        <w:rPr>
          <w:rFonts w:hint="eastAsia" w:ascii="宋体" w:hAnsi="宋体"/>
          <w:sz w:val="24"/>
          <w:szCs w:val="24"/>
        </w:rPr>
        <w:t>，从业人员</w:t>
      </w:r>
      <w:r>
        <w:rPr>
          <w:rFonts w:hint="eastAsia" w:ascii="宋体" w:hAnsi="宋体"/>
          <w:sz w:val="24"/>
          <w:szCs w:val="24"/>
          <w:u w:val="single"/>
        </w:rPr>
        <w:t xml:space="preserve">      </w:t>
      </w:r>
      <w:r>
        <w:rPr>
          <w:rFonts w:hint="eastAsia" w:ascii="宋体" w:hAnsi="宋体"/>
          <w:sz w:val="24"/>
          <w:szCs w:val="24"/>
        </w:rPr>
        <w:t>人，营业收入为</w:t>
      </w:r>
      <w:r>
        <w:rPr>
          <w:rFonts w:hint="eastAsia" w:ascii="宋体" w:hAnsi="宋体"/>
          <w:sz w:val="24"/>
          <w:szCs w:val="24"/>
          <w:u w:val="single"/>
        </w:rPr>
        <w:t xml:space="preserve">      </w:t>
      </w:r>
      <w:r>
        <w:rPr>
          <w:rFonts w:hint="eastAsia" w:ascii="宋体" w:hAnsi="宋体"/>
          <w:sz w:val="24"/>
          <w:szCs w:val="24"/>
        </w:rPr>
        <w:t>万元，资产总额为</w:t>
      </w:r>
      <w:r>
        <w:rPr>
          <w:rFonts w:hint="eastAsia" w:ascii="宋体" w:hAnsi="宋体"/>
          <w:sz w:val="24"/>
          <w:szCs w:val="24"/>
          <w:u w:val="single"/>
        </w:rPr>
        <w:t xml:space="preserve">      </w:t>
      </w:r>
      <w:r>
        <w:rPr>
          <w:rFonts w:hint="eastAsia" w:ascii="宋体" w:hAnsi="宋体"/>
          <w:sz w:val="24"/>
          <w:szCs w:val="24"/>
        </w:rPr>
        <w:t>万元，属于</w:t>
      </w:r>
      <w:r>
        <w:rPr>
          <w:rFonts w:hint="eastAsia" w:ascii="宋体" w:hAnsi="宋体"/>
          <w:sz w:val="24"/>
          <w:szCs w:val="24"/>
          <w:u w:val="single"/>
        </w:rPr>
        <w:t>（小型企业、微型企业）</w:t>
      </w:r>
      <w:r>
        <w:rPr>
          <w:rFonts w:hint="eastAsia" w:ascii="宋体" w:hAnsi="宋体"/>
          <w:sz w:val="24"/>
          <w:szCs w:val="24"/>
        </w:rPr>
        <w:t>；</w:t>
      </w:r>
    </w:p>
    <w:p w14:paraId="76F13F2A">
      <w:pPr>
        <w:spacing w:line="360" w:lineRule="auto"/>
        <w:ind w:left="142" w:right="142"/>
        <w:contextualSpacing/>
        <w:rPr>
          <w:rFonts w:hint="eastAsia" w:ascii="宋体" w:hAnsi="宋体"/>
          <w:sz w:val="24"/>
          <w:szCs w:val="24"/>
        </w:rPr>
      </w:pPr>
      <w:r>
        <w:rPr>
          <w:rFonts w:hint="eastAsia" w:ascii="宋体" w:hAnsi="宋体"/>
          <w:sz w:val="24"/>
          <w:szCs w:val="24"/>
        </w:rPr>
        <w:t xml:space="preserve">…… </w:t>
      </w:r>
    </w:p>
    <w:p w14:paraId="0342C7AE">
      <w:pPr>
        <w:spacing w:line="360" w:lineRule="auto"/>
        <w:ind w:left="-405" w:leftChars="-193" w:right="142" w:firstLine="453" w:firstLineChars="189"/>
        <w:contextualSpacing/>
        <w:rPr>
          <w:rFonts w:hint="eastAsia" w:ascii="宋体" w:hAnsi="宋体"/>
          <w:sz w:val="24"/>
          <w:szCs w:val="24"/>
        </w:rPr>
      </w:pPr>
      <w:r>
        <w:rPr>
          <w:rFonts w:hint="eastAsia" w:ascii="宋体" w:hAnsi="宋体"/>
          <w:sz w:val="24"/>
          <w:szCs w:val="24"/>
        </w:rPr>
        <w:t>以上企业，不属于大企业的分支机构，不存在控股股东为大企业的情形，也不存在与大企业的负责人为同一人的情形。</w:t>
      </w:r>
    </w:p>
    <w:p w14:paraId="0CAF637A">
      <w:pPr>
        <w:spacing w:line="360" w:lineRule="auto"/>
        <w:ind w:left="-426" w:right="142" w:firstLine="567"/>
        <w:contextualSpacing/>
        <w:rPr>
          <w:rFonts w:hint="eastAsia" w:ascii="宋体" w:hAnsi="宋体"/>
          <w:sz w:val="24"/>
          <w:szCs w:val="24"/>
        </w:rPr>
      </w:pPr>
      <w:r>
        <w:rPr>
          <w:rFonts w:hint="eastAsia" w:ascii="宋体" w:hAnsi="宋体"/>
          <w:sz w:val="24"/>
          <w:szCs w:val="24"/>
        </w:rPr>
        <w:t>本企业对上述声明内容的真实性负责。如有虚假，将依法承担相应责任。</w:t>
      </w:r>
    </w:p>
    <w:p w14:paraId="08232C5E">
      <w:pPr>
        <w:spacing w:line="360" w:lineRule="auto"/>
        <w:ind w:left="3960" w:right="1808"/>
        <w:contextualSpacing/>
        <w:rPr>
          <w:rFonts w:hint="eastAsia" w:ascii="宋体" w:hAnsi="宋体"/>
          <w:sz w:val="24"/>
          <w:szCs w:val="24"/>
        </w:rPr>
      </w:pPr>
    </w:p>
    <w:p w14:paraId="7E9BBB2A">
      <w:pPr>
        <w:autoSpaceDE w:val="0"/>
        <w:autoSpaceDN w:val="0"/>
        <w:spacing w:line="360" w:lineRule="auto"/>
        <w:ind w:left="4335" w:leftChars="1950" w:hanging="240" w:hangingChars="100"/>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供应商名称（电子签章）：</w:t>
      </w:r>
    </w:p>
    <w:p w14:paraId="651804C5">
      <w:pPr>
        <w:autoSpaceDE w:val="0"/>
        <w:autoSpaceDN w:val="0"/>
        <w:spacing w:line="360" w:lineRule="auto"/>
        <w:ind w:firstLine="6480" w:firstLineChars="2700"/>
        <w:rPr>
          <w:rFonts w:hint="eastAsia" w:ascii="仿宋_GB2312" w:hAnsi="仿宋" w:eastAsia="仿宋_GB2312" w:cs="仿宋_GB2312"/>
          <w:kern w:val="0"/>
          <w:sz w:val="24"/>
          <w:szCs w:val="24"/>
          <w:lang w:val="zh-CN"/>
        </w:rPr>
      </w:pPr>
      <w:r>
        <w:rPr>
          <w:rFonts w:hint="eastAsia" w:ascii="仿宋_GB2312" w:hAnsi="仿宋" w:eastAsia="仿宋_GB2312" w:cs="仿宋_GB2312"/>
          <w:kern w:val="0"/>
          <w:sz w:val="24"/>
          <w:szCs w:val="24"/>
          <w:lang w:val="zh-CN"/>
        </w:rPr>
        <w:t>日期：  年  月   日</w:t>
      </w:r>
    </w:p>
    <w:p w14:paraId="4C1CB9E5">
      <w:pPr>
        <w:spacing w:line="360" w:lineRule="auto"/>
        <w:ind w:left="3960" w:right="1808"/>
        <w:contextualSpacing/>
        <w:rPr>
          <w:rFonts w:hint="eastAsia" w:ascii="等线" w:hAnsi="等线" w:eastAsia="等线"/>
          <w:szCs w:val="24"/>
        </w:rPr>
      </w:pPr>
    </w:p>
    <w:p w14:paraId="335F6BE0">
      <w:pPr>
        <w:spacing w:line="360" w:lineRule="auto"/>
        <w:jc w:val="left"/>
        <w:rPr>
          <w:rFonts w:hint="eastAsia" w:ascii="宋体" w:hAnsi="宋体" w:cs="仿宋_GB2312"/>
          <w:color w:val="000000"/>
          <w:sz w:val="24"/>
          <w:szCs w:val="24"/>
        </w:rPr>
      </w:pPr>
      <w:r>
        <w:rPr>
          <w:rFonts w:hint="eastAsia" w:ascii="宋体" w:hAnsi="宋体" w:cs="仿宋_GB2312"/>
          <w:color w:val="000000"/>
          <w:sz w:val="24"/>
          <w:szCs w:val="24"/>
        </w:rPr>
        <w:t>注：享受《政府采购促进中小企业发展管理办法》（财库〔2020〕46号）规定的中小企业扶持政策的，</w:t>
      </w:r>
      <w:r>
        <w:rPr>
          <w:rFonts w:hint="eastAsia" w:ascii="宋体" w:hAnsi="宋体" w:cs="仿宋_GB2312"/>
          <w:b/>
          <w:bCs/>
          <w:color w:val="auto"/>
          <w:sz w:val="24"/>
          <w:szCs w:val="24"/>
          <w:highlight w:val="none"/>
        </w:rPr>
        <w:t>采购人、采购代理机构应当随成交结果公开成交供应商的《中小企业声明函》</w:t>
      </w:r>
      <w:r>
        <w:rPr>
          <w:rFonts w:hint="eastAsia" w:ascii="宋体" w:hAnsi="宋体" w:cs="仿宋_GB2312"/>
          <w:color w:val="000000"/>
          <w:sz w:val="24"/>
          <w:szCs w:val="24"/>
        </w:rPr>
        <w:t>。从业人员、营业收入、资产总额填报上一年度数据，无上一年度数据的新成立企业可不填报。</w:t>
      </w:r>
    </w:p>
    <w:p w14:paraId="75A12351">
      <w:pPr>
        <w:spacing w:line="500" w:lineRule="exact"/>
        <w:ind w:firstLine="602" w:firstLineChars="200"/>
        <w:rPr>
          <w:rFonts w:hint="eastAsia" w:ascii="仿宋" w:hAnsi="仿宋" w:eastAsia="仿宋" w:cs="仿宋_GB2312"/>
          <w:b/>
          <w:sz w:val="30"/>
          <w:szCs w:val="30"/>
        </w:rPr>
      </w:pPr>
    </w:p>
    <w:p w14:paraId="7E6278E4">
      <w:pPr>
        <w:spacing w:line="500" w:lineRule="exact"/>
        <w:ind w:firstLine="602" w:firstLineChars="200"/>
        <w:rPr>
          <w:rFonts w:hint="eastAsia" w:ascii="仿宋" w:hAnsi="仿宋" w:eastAsia="仿宋" w:cs="仿宋_GB2312"/>
          <w:b/>
          <w:sz w:val="30"/>
          <w:szCs w:val="30"/>
        </w:rPr>
      </w:pPr>
    </w:p>
    <w:p w14:paraId="25B7DF8B">
      <w:pPr>
        <w:spacing w:line="500" w:lineRule="exact"/>
        <w:ind w:firstLine="602" w:firstLineChars="200"/>
        <w:rPr>
          <w:rFonts w:hint="eastAsia" w:ascii="仿宋" w:hAnsi="仿宋" w:eastAsia="仿宋" w:cs="仿宋_GB2312"/>
          <w:b/>
          <w:sz w:val="30"/>
          <w:szCs w:val="30"/>
        </w:rPr>
      </w:pPr>
    </w:p>
    <w:p w14:paraId="48544DD7">
      <w:pPr>
        <w:spacing w:line="500" w:lineRule="exact"/>
        <w:ind w:firstLine="602" w:firstLineChars="200"/>
        <w:rPr>
          <w:rFonts w:hint="eastAsia" w:ascii="仿宋" w:hAnsi="仿宋" w:eastAsia="仿宋" w:cs="仿宋_GB2312"/>
          <w:b/>
          <w:sz w:val="30"/>
          <w:szCs w:val="30"/>
        </w:rPr>
      </w:pPr>
    </w:p>
    <w:p w14:paraId="5F641974">
      <w:pPr>
        <w:spacing w:line="500" w:lineRule="exact"/>
        <w:ind w:firstLine="602" w:firstLineChars="200"/>
        <w:rPr>
          <w:rFonts w:hint="eastAsia" w:ascii="仿宋" w:hAnsi="仿宋" w:eastAsia="仿宋" w:cs="仿宋_GB2312"/>
          <w:b/>
          <w:sz w:val="30"/>
          <w:szCs w:val="30"/>
        </w:rPr>
      </w:pPr>
    </w:p>
    <w:p w14:paraId="5CE7EA44">
      <w:pPr>
        <w:numPr>
          <w:ilvl w:val="0"/>
          <w:numId w:val="0"/>
        </w:numPr>
        <w:spacing w:line="500" w:lineRule="exact"/>
        <w:ind w:leftChars="200"/>
        <w:rPr>
          <w:rFonts w:hint="eastAsia" w:ascii="仿宋" w:hAnsi="仿宋" w:eastAsia="仿宋" w:cs="仿宋_GB2312"/>
          <w:b/>
          <w:sz w:val="30"/>
          <w:szCs w:val="30"/>
          <w:highlight w:val="none"/>
        </w:rPr>
      </w:pPr>
      <w:r>
        <w:rPr>
          <w:rFonts w:hint="eastAsia" w:ascii="仿宋" w:hAnsi="仿宋" w:eastAsia="仿宋" w:cs="仿宋_GB2312"/>
          <w:b/>
          <w:sz w:val="30"/>
          <w:szCs w:val="30"/>
          <w:highlight w:val="none"/>
          <w:lang w:eastAsia="zh-CN"/>
        </w:rPr>
        <w:t>九、中小微企业产品</w:t>
      </w:r>
      <w:r>
        <w:rPr>
          <w:rFonts w:hint="eastAsia" w:ascii="仿宋" w:hAnsi="仿宋" w:eastAsia="仿宋" w:cs="仿宋_GB2312"/>
          <w:b/>
          <w:sz w:val="30"/>
          <w:szCs w:val="30"/>
          <w:highlight w:val="none"/>
        </w:rPr>
        <w:t xml:space="preserve">报价表 </w:t>
      </w:r>
    </w:p>
    <w:p w14:paraId="31DCF825">
      <w:pPr>
        <w:pStyle w:val="2"/>
        <w:rPr>
          <w:rFonts w:hint="eastAsia"/>
        </w:rPr>
      </w:pPr>
    </w:p>
    <w:p w14:paraId="22305963">
      <w:pPr>
        <w:pStyle w:val="2"/>
        <w:numPr>
          <w:ilvl w:val="0"/>
          <w:numId w:val="0"/>
        </w:numPr>
        <w:ind w:leftChars="200" w:right="0" w:rightChars="0"/>
        <w:jc w:val="center"/>
        <w:rPr>
          <w:rFonts w:hint="eastAsia" w:ascii="仿宋" w:hAnsi="仿宋" w:eastAsia="仿宋" w:cs="仿宋_GB2312"/>
          <w:b/>
          <w:sz w:val="30"/>
          <w:szCs w:val="30"/>
          <w:highlight w:val="none"/>
        </w:rPr>
      </w:pPr>
      <w:r>
        <w:rPr>
          <w:rFonts w:hint="eastAsia" w:ascii="仿宋" w:hAnsi="仿宋" w:eastAsia="仿宋" w:cs="仿宋_GB2312"/>
          <w:b/>
          <w:sz w:val="30"/>
          <w:szCs w:val="30"/>
          <w:highlight w:val="none"/>
          <w:lang w:val="en-US" w:eastAsia="zh-CN"/>
        </w:rPr>
        <w:t>1、</w:t>
      </w:r>
      <w:r>
        <w:rPr>
          <w:rFonts w:hint="eastAsia" w:ascii="仿宋" w:hAnsi="仿宋" w:eastAsia="仿宋" w:cs="仿宋_GB2312"/>
          <w:b/>
          <w:sz w:val="30"/>
          <w:szCs w:val="30"/>
          <w:highlight w:val="none"/>
          <w:lang w:eastAsia="zh-CN"/>
        </w:rPr>
        <w:t>中小企业产品</w:t>
      </w:r>
      <w:r>
        <w:rPr>
          <w:rFonts w:hint="eastAsia" w:ascii="仿宋" w:hAnsi="仿宋" w:eastAsia="仿宋" w:cs="仿宋_GB2312"/>
          <w:b/>
          <w:sz w:val="30"/>
          <w:szCs w:val="30"/>
          <w:highlight w:val="none"/>
        </w:rPr>
        <w:t>报价表</w:t>
      </w:r>
    </w:p>
    <w:p w14:paraId="596CBB8E">
      <w:pPr>
        <w:pStyle w:val="2"/>
        <w:numPr>
          <w:ilvl w:val="0"/>
          <w:numId w:val="0"/>
        </w:numPr>
        <w:ind w:leftChars="200" w:right="0" w:rightChars="0"/>
        <w:jc w:val="center"/>
        <w:rPr>
          <w:rFonts w:hint="eastAsia" w:ascii="仿宋" w:hAnsi="仿宋" w:eastAsia="仿宋" w:cs="仿宋_GB2312"/>
          <w:b/>
          <w:sz w:val="30"/>
          <w:szCs w:val="30"/>
          <w:highlight w:val="none"/>
        </w:rPr>
      </w:pPr>
    </w:p>
    <w:p w14:paraId="22D37BBC">
      <w:pPr>
        <w:snapToGrid w:val="0"/>
        <w:spacing w:before="50" w:after="50" w:line="360" w:lineRule="auto"/>
        <w:rPr>
          <w:rFonts w:hint="eastAsia" w:ascii="宋体" w:hAnsi="宋体" w:eastAsia="等线"/>
          <w:sz w:val="24"/>
          <w:highlight w:val="none"/>
        </w:rPr>
      </w:pPr>
      <w:r>
        <w:rPr>
          <w:rFonts w:hint="eastAsia" w:ascii="宋体" w:hAnsi="宋体"/>
          <w:sz w:val="24"/>
          <w:szCs w:val="24"/>
          <w:highlight w:val="none"/>
        </w:rPr>
        <w:t>项目名称：</w:t>
      </w:r>
      <w:r>
        <w:rPr>
          <w:rFonts w:hint="eastAsia" w:ascii="宋体" w:hAnsi="宋体"/>
          <w:sz w:val="24"/>
          <w:szCs w:val="24"/>
          <w:highlight w:val="none"/>
          <w:u w:val="single"/>
          <w:lang w:eastAsia="zh-CN"/>
        </w:rPr>
        <w:t>2026年上林县幼儿园设备采购项目（重）</w:t>
      </w:r>
      <w:r>
        <w:rPr>
          <w:rFonts w:hint="eastAsia" w:ascii="宋体" w:hAnsi="宋体"/>
          <w:sz w:val="24"/>
          <w:szCs w:val="24"/>
          <w:highlight w:val="none"/>
          <w:u w:val="single"/>
        </w:rPr>
        <w:t xml:space="preserve"> </w:t>
      </w:r>
      <w:r>
        <w:rPr>
          <w:rFonts w:hint="eastAsia" w:ascii="宋体" w:hAnsi="宋体"/>
          <w:sz w:val="24"/>
          <w:szCs w:val="24"/>
          <w:highlight w:val="none"/>
        </w:rPr>
        <w:t xml:space="preserve">         </w:t>
      </w:r>
    </w:p>
    <w:p w14:paraId="306283ED">
      <w:pPr>
        <w:snapToGrid w:val="0"/>
        <w:spacing w:before="50" w:after="50" w:line="360" w:lineRule="auto"/>
        <w:rPr>
          <w:rFonts w:hint="eastAsia" w:ascii="宋体" w:hAnsi="宋体"/>
          <w:sz w:val="24"/>
          <w:szCs w:val="24"/>
          <w:highlight w:val="none"/>
          <w:u w:val="single"/>
        </w:rPr>
      </w:pPr>
      <w:r>
        <w:rPr>
          <w:rFonts w:hint="eastAsia" w:ascii="宋体" w:hAnsi="宋体"/>
          <w:sz w:val="24"/>
          <w:szCs w:val="24"/>
          <w:highlight w:val="none"/>
        </w:rPr>
        <w:t>项目编号：</w:t>
      </w:r>
      <w:r>
        <w:rPr>
          <w:rFonts w:hint="eastAsia" w:ascii="宋体" w:hAnsi="宋体"/>
          <w:sz w:val="24"/>
          <w:szCs w:val="24"/>
          <w:highlight w:val="none"/>
          <w:u w:val="single"/>
          <w:lang w:eastAsia="zh-CN"/>
        </w:rPr>
        <w:t xml:space="preserve"> NNZC2026-J1-250095-SLXZ</w:t>
      </w:r>
      <w:r>
        <w:rPr>
          <w:rFonts w:hint="eastAsia" w:ascii="宋体" w:hAnsi="宋体"/>
          <w:sz w:val="24"/>
          <w:szCs w:val="24"/>
          <w:highlight w:val="none"/>
        </w:rPr>
        <w:t xml:space="preserve">         </w:t>
      </w:r>
      <w:r>
        <w:rPr>
          <w:rFonts w:hint="eastAsia" w:ascii="宋体" w:hAnsi="宋体" w:cs="仿宋_GB2312"/>
          <w:color w:val="000000"/>
          <w:sz w:val="24"/>
          <w:szCs w:val="24"/>
          <w:highlight w:val="none"/>
        </w:rPr>
        <w:t xml:space="preserve">                   </w:t>
      </w:r>
    </w:p>
    <w:tbl>
      <w:tblPr>
        <w:tblStyle w:val="10"/>
        <w:tblpPr w:leftFromText="180" w:rightFromText="180" w:vertAnchor="text" w:horzAnchor="page" w:tblpX="1117" w:tblpY="52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2"/>
        <w:gridCol w:w="983"/>
        <w:gridCol w:w="819"/>
        <w:gridCol w:w="1313"/>
        <w:gridCol w:w="1389"/>
        <w:gridCol w:w="819"/>
        <w:gridCol w:w="1300"/>
        <w:gridCol w:w="1631"/>
      </w:tblGrid>
      <w:tr w14:paraId="03355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0" w:type="auto"/>
            <w:tcBorders>
              <w:top w:val="single" w:color="auto" w:sz="4" w:space="0"/>
              <w:left w:val="single" w:color="auto" w:sz="4" w:space="0"/>
              <w:bottom w:val="single" w:color="auto" w:sz="4" w:space="0"/>
              <w:right w:val="single" w:color="auto" w:sz="4" w:space="0"/>
            </w:tcBorders>
            <w:noWrap w:val="0"/>
            <w:vAlign w:val="center"/>
          </w:tcPr>
          <w:p w14:paraId="228E8DA8">
            <w:pPr>
              <w:rPr>
                <w:rFonts w:ascii="宋体" w:hAnsi="宋体"/>
                <w:highlight w:val="none"/>
              </w:rPr>
            </w:pPr>
            <w:r>
              <w:rPr>
                <w:rFonts w:hint="eastAsia" w:ascii="宋体" w:hAnsi="宋体"/>
                <w:szCs w:val="24"/>
                <w:highlight w:val="none"/>
              </w:rPr>
              <w:t>序号</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36433495">
            <w:pPr>
              <w:rPr>
                <w:rFonts w:ascii="宋体" w:hAnsi="宋体"/>
                <w:highlight w:val="none"/>
              </w:rPr>
            </w:pPr>
            <w:r>
              <w:rPr>
                <w:rFonts w:hint="eastAsia" w:ascii="宋体" w:hAnsi="宋体"/>
                <w:szCs w:val="24"/>
                <w:highlight w:val="none"/>
              </w:rPr>
              <w:t>货物名称</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7E1838AF">
            <w:pPr>
              <w:jc w:val="center"/>
              <w:rPr>
                <w:rFonts w:hint="eastAsia" w:ascii="宋体" w:hAnsi="宋体" w:eastAsia="宋体"/>
                <w:szCs w:val="24"/>
                <w:highlight w:val="none"/>
                <w:lang w:eastAsia="zh-CN"/>
              </w:rPr>
            </w:pPr>
            <w:r>
              <w:rPr>
                <w:rFonts w:hint="eastAsia" w:ascii="宋体" w:hAnsi="宋体"/>
                <w:szCs w:val="24"/>
                <w:highlight w:val="none"/>
                <w:lang w:eastAsia="zh-CN"/>
              </w:rPr>
              <w:t>制造商</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152AC940">
            <w:pPr>
              <w:jc w:val="center"/>
              <w:rPr>
                <w:rFonts w:ascii="宋体" w:hAnsi="宋体"/>
                <w:highlight w:val="none"/>
              </w:rPr>
            </w:pPr>
            <w:r>
              <w:rPr>
                <w:rFonts w:hint="eastAsia" w:ascii="宋体" w:hAnsi="宋体"/>
                <w:szCs w:val="24"/>
                <w:highlight w:val="none"/>
              </w:rPr>
              <w:t>货物规格型号</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496304DB">
            <w:pPr>
              <w:jc w:val="center"/>
              <w:rPr>
                <w:rFonts w:ascii="宋体" w:hAnsi="宋体"/>
                <w:highlight w:val="none"/>
              </w:rPr>
            </w:pPr>
            <w:r>
              <w:rPr>
                <w:rFonts w:hint="eastAsia" w:ascii="宋体" w:hAnsi="宋体"/>
                <w:szCs w:val="24"/>
                <w:highlight w:val="none"/>
              </w:rPr>
              <w:t>品牌（如有）</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396FD7CE">
            <w:pPr>
              <w:jc w:val="center"/>
              <w:rPr>
                <w:rFonts w:ascii="宋体" w:hAnsi="宋体"/>
                <w:highlight w:val="none"/>
              </w:rPr>
            </w:pPr>
            <w:r>
              <w:rPr>
                <w:rFonts w:hint="eastAsia" w:ascii="宋体" w:hAnsi="宋体"/>
                <w:szCs w:val="24"/>
                <w:highlight w:val="none"/>
              </w:rPr>
              <w:t>数量①</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1B0B76FF">
            <w:pPr>
              <w:rPr>
                <w:rFonts w:ascii="宋体" w:hAnsi="宋体"/>
                <w:highlight w:val="none"/>
              </w:rPr>
            </w:pPr>
            <w:r>
              <w:rPr>
                <w:rFonts w:hint="eastAsia" w:ascii="宋体" w:hAnsi="宋体"/>
                <w:szCs w:val="24"/>
                <w:highlight w:val="none"/>
              </w:rPr>
              <w:t>单价(元)②</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0D08F4F7">
            <w:pPr>
              <w:rPr>
                <w:rFonts w:ascii="宋体" w:hAnsi="宋体"/>
                <w:szCs w:val="24"/>
                <w:highlight w:val="none"/>
              </w:rPr>
            </w:pPr>
            <w:r>
              <w:rPr>
                <w:rFonts w:hint="eastAsia" w:ascii="宋体" w:hAnsi="宋体"/>
                <w:szCs w:val="24"/>
                <w:highlight w:val="none"/>
              </w:rPr>
              <w:t>单项合价（元）</w:t>
            </w:r>
          </w:p>
          <w:p w14:paraId="01EC99F0">
            <w:pPr>
              <w:rPr>
                <w:rFonts w:ascii="宋体" w:hAnsi="宋体"/>
                <w:highlight w:val="none"/>
              </w:rPr>
            </w:pPr>
            <w:r>
              <w:rPr>
                <w:rFonts w:hint="eastAsia" w:ascii="宋体" w:hAnsi="宋体"/>
                <w:szCs w:val="24"/>
                <w:highlight w:val="none"/>
              </w:rPr>
              <w:t>③＝①×②</w:t>
            </w:r>
          </w:p>
        </w:tc>
      </w:tr>
      <w:tr w14:paraId="3ECA3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0" w:type="auto"/>
            <w:tcBorders>
              <w:top w:val="single" w:color="auto" w:sz="4" w:space="0"/>
              <w:left w:val="single" w:color="auto" w:sz="4" w:space="0"/>
              <w:bottom w:val="single" w:color="auto" w:sz="4" w:space="0"/>
              <w:right w:val="single" w:color="auto" w:sz="4" w:space="0"/>
            </w:tcBorders>
            <w:noWrap w:val="0"/>
            <w:vAlign w:val="center"/>
          </w:tcPr>
          <w:p w14:paraId="2F176E97">
            <w:pPr>
              <w:rPr>
                <w:rFonts w:ascii="宋体" w:hAnsi="宋体"/>
                <w:highlight w:val="none"/>
              </w:rPr>
            </w:pPr>
            <w:r>
              <w:rPr>
                <w:rFonts w:hint="eastAsia" w:ascii="宋体" w:hAnsi="宋体"/>
                <w:szCs w:val="24"/>
                <w:highlight w:val="none"/>
              </w:rPr>
              <w:t>1</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634B8910">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6EB22810">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77004C86">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3C3BACC1">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70E9EB3F">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4FE92F0D">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0338939E">
            <w:pPr>
              <w:rPr>
                <w:rFonts w:ascii="宋体" w:hAnsi="宋体"/>
                <w:highlight w:val="none"/>
              </w:rPr>
            </w:pPr>
          </w:p>
        </w:tc>
      </w:tr>
      <w:tr w14:paraId="23D04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0" w:type="auto"/>
            <w:tcBorders>
              <w:top w:val="single" w:color="auto" w:sz="4" w:space="0"/>
              <w:left w:val="single" w:color="auto" w:sz="4" w:space="0"/>
              <w:bottom w:val="single" w:color="auto" w:sz="4" w:space="0"/>
              <w:right w:val="single" w:color="auto" w:sz="4" w:space="0"/>
            </w:tcBorders>
            <w:noWrap w:val="0"/>
            <w:vAlign w:val="center"/>
          </w:tcPr>
          <w:p w14:paraId="744E4DBD">
            <w:pPr>
              <w:rPr>
                <w:rFonts w:ascii="宋体" w:hAnsi="宋体"/>
                <w:highlight w:val="none"/>
              </w:rPr>
            </w:pPr>
            <w:r>
              <w:rPr>
                <w:rFonts w:hint="eastAsia" w:ascii="宋体" w:hAnsi="宋体"/>
                <w:szCs w:val="24"/>
                <w:highlight w:val="none"/>
              </w:rPr>
              <w:t>2</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216D3F18">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1C383003">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609EFC3E">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7DC86D06">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77033447">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21FA1D4B">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7EA111D6">
            <w:pPr>
              <w:rPr>
                <w:rFonts w:ascii="宋体" w:hAnsi="宋体"/>
                <w:highlight w:val="none"/>
              </w:rPr>
            </w:pPr>
          </w:p>
        </w:tc>
      </w:tr>
      <w:tr w14:paraId="52F87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 w:hRule="atLeast"/>
        </w:trPr>
        <w:tc>
          <w:tcPr>
            <w:tcW w:w="0" w:type="auto"/>
            <w:tcBorders>
              <w:top w:val="single" w:color="auto" w:sz="4" w:space="0"/>
              <w:left w:val="single" w:color="auto" w:sz="4" w:space="0"/>
              <w:bottom w:val="single" w:color="auto" w:sz="4" w:space="0"/>
              <w:right w:val="single" w:color="auto" w:sz="4" w:space="0"/>
            </w:tcBorders>
            <w:noWrap w:val="0"/>
            <w:vAlign w:val="center"/>
          </w:tcPr>
          <w:p w14:paraId="30C123C0">
            <w:pPr>
              <w:rPr>
                <w:rFonts w:ascii="宋体" w:hAnsi="宋体"/>
                <w:highlight w:val="none"/>
              </w:rPr>
            </w:pPr>
            <w:r>
              <w:rPr>
                <w:rFonts w:hint="eastAsia" w:ascii="宋体" w:hAnsi="宋体"/>
                <w:szCs w:val="24"/>
                <w:highlight w:val="none"/>
              </w:rPr>
              <w:t>...</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61936D84">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2EF2B3BC">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750B69D6">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0D7C1377">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58C748E9">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29C06731">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38718AC4">
            <w:pPr>
              <w:rPr>
                <w:rFonts w:ascii="宋体" w:hAnsi="宋体"/>
                <w:highlight w:val="none"/>
              </w:rPr>
            </w:pPr>
          </w:p>
        </w:tc>
      </w:tr>
      <w:tr w14:paraId="5ACB9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0" w:type="auto"/>
            <w:gridSpan w:val="8"/>
            <w:tcBorders>
              <w:top w:val="single" w:color="auto" w:sz="4" w:space="0"/>
              <w:left w:val="single" w:color="auto" w:sz="4" w:space="0"/>
              <w:bottom w:val="single" w:color="auto" w:sz="4" w:space="0"/>
              <w:right w:val="single" w:color="auto" w:sz="4" w:space="0"/>
            </w:tcBorders>
            <w:noWrap w:val="0"/>
            <w:vAlign w:val="top"/>
          </w:tcPr>
          <w:p w14:paraId="6B5807F9">
            <w:pPr>
              <w:jc w:val="left"/>
              <w:rPr>
                <w:rFonts w:hint="default" w:ascii="宋体" w:hAnsi="宋体" w:eastAsia="宋体"/>
                <w:highlight w:val="none"/>
                <w:u w:val="single"/>
                <w:lang w:val="en-US" w:eastAsia="zh-CN"/>
              </w:rPr>
            </w:pPr>
            <w:r>
              <w:rPr>
                <w:rFonts w:hint="eastAsia" w:ascii="宋体" w:hAnsi="宋体"/>
                <w:szCs w:val="24"/>
                <w:highlight w:val="none"/>
              </w:rPr>
              <w:t xml:space="preserve">报价合计（包含税费等所有费用）：（大写）人民币 </w:t>
            </w:r>
            <w:r>
              <w:rPr>
                <w:rFonts w:hint="eastAsia" w:ascii="宋体" w:hAnsi="宋体"/>
                <w:szCs w:val="24"/>
                <w:highlight w:val="none"/>
                <w:lang w:val="en-US" w:eastAsia="zh-CN"/>
              </w:rPr>
              <w:t xml:space="preserve">                </w:t>
            </w:r>
            <w:r>
              <w:rPr>
                <w:rFonts w:hint="eastAsia" w:ascii="宋体" w:hAnsi="宋体"/>
                <w:szCs w:val="24"/>
                <w:highlight w:val="none"/>
              </w:rPr>
              <w:t xml:space="preserve"> （￥      元）</w:t>
            </w:r>
            <w:r>
              <w:rPr>
                <w:rFonts w:hint="eastAsia" w:ascii="宋体" w:hAnsi="宋体"/>
                <w:szCs w:val="24"/>
                <w:highlight w:val="none"/>
                <w:lang w:eastAsia="zh-CN"/>
              </w:rPr>
              <w:t>，占总报价</w:t>
            </w:r>
            <w:r>
              <w:rPr>
                <w:rFonts w:hint="eastAsia" w:ascii="宋体" w:hAnsi="宋体"/>
                <w:szCs w:val="24"/>
                <w:highlight w:val="none"/>
                <w:u w:val="single"/>
                <w:lang w:val="en-US" w:eastAsia="zh-CN"/>
              </w:rPr>
              <w:t xml:space="preserve">              </w:t>
            </w:r>
            <w:r>
              <w:rPr>
                <w:rFonts w:hint="eastAsia" w:ascii="宋体" w:hAnsi="宋体"/>
                <w:szCs w:val="24"/>
                <w:highlight w:val="none"/>
                <w:lang w:val="en-US" w:eastAsia="zh-CN"/>
              </w:rPr>
              <w:t>（%）</w:t>
            </w:r>
          </w:p>
        </w:tc>
      </w:tr>
    </w:tbl>
    <w:p w14:paraId="224D6E0F">
      <w:pPr>
        <w:snapToGrid w:val="0"/>
        <w:spacing w:before="50" w:after="50" w:line="360" w:lineRule="auto"/>
        <w:jc w:val="left"/>
        <w:rPr>
          <w:rFonts w:hint="eastAsia" w:ascii="仿宋_GB2312" w:hAnsi="仿宋" w:eastAsia="仿宋_GB2312" w:cs="仿宋_GB2312"/>
          <w:kern w:val="0"/>
          <w:sz w:val="24"/>
          <w:highlight w:val="none"/>
          <w:lang w:val="zh-CN"/>
        </w:rPr>
      </w:pPr>
      <w:r>
        <w:rPr>
          <w:rFonts w:hint="eastAsia" w:ascii="仿宋_GB2312" w:hAnsi="仿宋" w:eastAsia="仿宋_GB2312" w:cs="仿宋_GB2312"/>
          <w:kern w:val="0"/>
          <w:sz w:val="24"/>
          <w:szCs w:val="24"/>
          <w:highlight w:val="none"/>
          <w:lang w:val="zh-CN"/>
        </w:rPr>
        <w:t xml:space="preserve"> </w:t>
      </w:r>
    </w:p>
    <w:p w14:paraId="16D6F21E">
      <w:pPr>
        <w:snapToGrid w:val="0"/>
        <w:spacing w:before="50" w:after="50" w:line="360" w:lineRule="auto"/>
        <w:ind w:firstLine="480" w:firstLineChars="200"/>
        <w:jc w:val="left"/>
        <w:rPr>
          <w:rFonts w:hint="eastAsia" w:ascii="仿宋_GB2312" w:hAnsi="仿宋" w:eastAsia="仿宋_GB2312" w:cs="仿宋_GB2312"/>
          <w:kern w:val="0"/>
          <w:sz w:val="24"/>
          <w:szCs w:val="24"/>
          <w:highlight w:val="none"/>
          <w:lang w:val="zh-CN"/>
        </w:rPr>
      </w:pPr>
      <w:r>
        <w:rPr>
          <w:rFonts w:hint="eastAsia" w:ascii="仿宋_GB2312" w:hAnsi="仿宋" w:eastAsia="仿宋_GB2312" w:cs="仿宋_GB2312"/>
          <w:kern w:val="0"/>
          <w:sz w:val="24"/>
          <w:szCs w:val="24"/>
          <w:highlight w:val="none"/>
          <w:lang w:val="zh-CN"/>
        </w:rPr>
        <w:t>1、 供应商需按本表格式填写，不得自行更改，也不得留空, 如有多分标，按分标分别提供响应报价表</w:t>
      </w:r>
      <w:r>
        <w:rPr>
          <w:rFonts w:hint="eastAsia" w:ascii="仿宋_GB2312" w:hAnsi="仿宋" w:eastAsia="仿宋_GB2312" w:cs="仿宋_GB2312"/>
          <w:b/>
          <w:kern w:val="0"/>
          <w:sz w:val="24"/>
          <w:szCs w:val="24"/>
          <w:highlight w:val="none"/>
          <w:lang w:val="zh-CN"/>
        </w:rPr>
        <w:t>。</w:t>
      </w:r>
    </w:p>
    <w:p w14:paraId="2692D330">
      <w:pPr>
        <w:snapToGrid w:val="0"/>
        <w:spacing w:before="50" w:after="50" w:line="360" w:lineRule="auto"/>
        <w:ind w:firstLine="480" w:firstLineChars="200"/>
        <w:jc w:val="left"/>
        <w:rPr>
          <w:rFonts w:hint="eastAsia" w:ascii="仿宋_GB2312" w:hAnsi="仿宋" w:eastAsia="仿宋_GB2312" w:cs="仿宋_GB2312"/>
          <w:b/>
          <w:kern w:val="0"/>
          <w:sz w:val="24"/>
          <w:szCs w:val="24"/>
          <w:highlight w:val="none"/>
          <w:lang w:val="zh-CN"/>
        </w:rPr>
      </w:pPr>
      <w:r>
        <w:rPr>
          <w:rFonts w:hint="eastAsia" w:ascii="仿宋_GB2312" w:hAnsi="仿宋" w:eastAsia="仿宋_GB2312" w:cs="仿宋_GB2312"/>
          <w:kern w:val="0"/>
          <w:sz w:val="24"/>
          <w:szCs w:val="24"/>
          <w:highlight w:val="none"/>
          <w:lang w:val="zh-CN"/>
        </w:rPr>
        <w:t>2、如为联合体响应的，“供应商名称”处必须列明联合体各方名称，并标注联合体牵头人名称，且盖章处须加盖联合体各方公章，</w:t>
      </w:r>
      <w:r>
        <w:rPr>
          <w:rFonts w:hint="eastAsia" w:ascii="仿宋_GB2312" w:hAnsi="仿宋" w:eastAsia="仿宋_GB2312" w:cs="仿宋_GB2312"/>
          <w:b/>
          <w:kern w:val="0"/>
          <w:sz w:val="24"/>
          <w:szCs w:val="24"/>
          <w:highlight w:val="none"/>
          <w:lang w:val="zh-CN"/>
        </w:rPr>
        <w:t>否则其响应作无效响应处理。</w:t>
      </w:r>
    </w:p>
    <w:p w14:paraId="10EB36CF">
      <w:pPr>
        <w:snapToGrid w:val="0"/>
        <w:spacing w:before="50" w:after="50" w:line="360" w:lineRule="auto"/>
        <w:ind w:firstLine="480" w:firstLineChars="200"/>
        <w:jc w:val="left"/>
        <w:rPr>
          <w:rFonts w:hint="eastAsia" w:ascii="仿宋_GB2312" w:hAnsi="仿宋" w:eastAsia="仿宋_GB2312" w:cs="仿宋_GB2312"/>
          <w:b/>
          <w:kern w:val="0"/>
          <w:sz w:val="24"/>
          <w:szCs w:val="24"/>
          <w:highlight w:val="none"/>
          <w:lang w:val="zh-CN"/>
        </w:rPr>
      </w:pPr>
      <w:r>
        <w:rPr>
          <w:rFonts w:hint="eastAsia" w:ascii="仿宋_GB2312" w:hAnsi="仿宋" w:eastAsia="仿宋_GB2312" w:cs="仿宋_GB2312"/>
          <w:kern w:val="0"/>
          <w:sz w:val="24"/>
          <w:szCs w:val="24"/>
          <w:highlight w:val="none"/>
          <w:lang w:val="zh-CN"/>
        </w:rPr>
        <w:t>3、以上表格要求细分项目及报价，在“货物名称”一栏中，填写具体货物，</w:t>
      </w:r>
      <w:r>
        <w:rPr>
          <w:rFonts w:hint="eastAsia" w:ascii="仿宋_GB2312" w:hAnsi="仿宋" w:eastAsia="仿宋_GB2312" w:cs="仿宋_GB2312"/>
          <w:b/>
          <w:kern w:val="0"/>
          <w:sz w:val="24"/>
          <w:szCs w:val="24"/>
          <w:highlight w:val="none"/>
          <w:lang w:val="zh-CN"/>
        </w:rPr>
        <w:t>否则其响应作无效响应处理。</w:t>
      </w:r>
    </w:p>
    <w:p w14:paraId="6F407BA4">
      <w:pPr>
        <w:snapToGrid w:val="0"/>
        <w:spacing w:line="360" w:lineRule="auto"/>
        <w:ind w:firstLine="480" w:firstLineChars="200"/>
        <w:jc w:val="left"/>
        <w:rPr>
          <w:rFonts w:hint="eastAsia" w:ascii="仿宋_GB2312" w:hAnsi="仿宋" w:eastAsia="仿宋_GB2312" w:cs="仿宋_GB2312"/>
          <w:kern w:val="0"/>
          <w:sz w:val="24"/>
          <w:szCs w:val="24"/>
          <w:highlight w:val="none"/>
          <w:lang w:val="zh-CN"/>
        </w:rPr>
      </w:pPr>
      <w:r>
        <w:rPr>
          <w:rFonts w:hint="eastAsia" w:ascii="仿宋_GB2312" w:hAnsi="仿宋" w:eastAsia="仿宋_GB2312" w:cs="仿宋_GB2312"/>
          <w:kern w:val="0"/>
          <w:sz w:val="24"/>
          <w:szCs w:val="24"/>
          <w:highlight w:val="none"/>
          <w:lang w:val="zh-CN"/>
        </w:rPr>
        <w:t>4、特别提示：采购机构将对项目名称和项目编号，成交供应商名称、地址和成交金额，主要成交标的的名称、规格型号、数量、单价、货物要求等予以公示。</w:t>
      </w:r>
    </w:p>
    <w:p w14:paraId="4B062886">
      <w:pPr>
        <w:snapToGrid w:val="0"/>
        <w:spacing w:line="360" w:lineRule="auto"/>
        <w:ind w:firstLine="480" w:firstLineChars="200"/>
        <w:jc w:val="left"/>
        <w:rPr>
          <w:rFonts w:hint="eastAsia" w:ascii="仿宋_GB2312" w:hAnsi="仿宋" w:eastAsia="仿宋_GB2312" w:cs="仿宋_GB2312"/>
          <w:kern w:val="0"/>
          <w:sz w:val="24"/>
          <w:szCs w:val="24"/>
          <w:highlight w:val="none"/>
          <w:lang w:val="zh-CN"/>
        </w:rPr>
      </w:pPr>
      <w:r>
        <w:rPr>
          <w:rFonts w:hint="eastAsia" w:ascii="仿宋_GB2312" w:hAnsi="仿宋" w:eastAsia="仿宋_GB2312" w:cs="仿宋_GB2312"/>
          <w:kern w:val="0"/>
          <w:sz w:val="24"/>
          <w:szCs w:val="24"/>
          <w:highlight w:val="none"/>
          <w:lang w:val="zh-CN"/>
        </w:rPr>
        <w:t>5、供应商提供的商品预算总额未达</w:t>
      </w:r>
      <w:r>
        <w:rPr>
          <w:rFonts w:hint="eastAsia" w:ascii="仿宋_GB2312" w:hAnsi="仿宋" w:eastAsia="仿宋_GB2312" w:cs="仿宋_GB2312"/>
          <w:kern w:val="0"/>
          <w:sz w:val="24"/>
          <w:szCs w:val="24"/>
          <w:highlight w:val="none"/>
          <w:lang w:val="en-US" w:eastAsia="zh-CN"/>
        </w:rPr>
        <w:t>40%以上由中小企业制造；其中,</w:t>
      </w:r>
      <w:r>
        <w:rPr>
          <w:rFonts w:hint="eastAsia" w:ascii="仿宋_GB2312" w:hAnsi="仿宋" w:eastAsia="仿宋_GB2312" w:cs="仿宋_GB2312"/>
          <w:kern w:val="0"/>
          <w:sz w:val="24"/>
          <w:szCs w:val="24"/>
          <w:highlight w:val="none"/>
          <w:lang w:val="zh-CN"/>
        </w:rPr>
        <w:t>小微企业部分</w:t>
      </w:r>
      <w:r>
        <w:rPr>
          <w:rFonts w:hint="eastAsia" w:ascii="仿宋_GB2312" w:hAnsi="仿宋" w:eastAsia="仿宋_GB2312" w:cs="仿宋_GB2312"/>
          <w:kern w:val="0"/>
          <w:sz w:val="24"/>
          <w:szCs w:val="24"/>
          <w:highlight w:val="none"/>
          <w:lang w:val="en-US" w:eastAsia="zh-CN"/>
        </w:rPr>
        <w:t>占中小企业</w:t>
      </w:r>
      <w:r>
        <w:rPr>
          <w:rFonts w:hint="eastAsia" w:ascii="仿宋_GB2312" w:hAnsi="仿宋" w:eastAsia="仿宋_GB2312" w:cs="仿宋_GB2312"/>
          <w:kern w:val="0"/>
          <w:sz w:val="24"/>
          <w:szCs w:val="24"/>
          <w:highlight w:val="none"/>
          <w:lang w:val="zh-CN"/>
        </w:rPr>
        <w:t>总额未达</w:t>
      </w:r>
      <w:r>
        <w:rPr>
          <w:rFonts w:hint="eastAsia" w:ascii="仿宋_GB2312" w:hAnsi="仿宋" w:eastAsia="仿宋_GB2312" w:cs="仿宋_GB2312"/>
          <w:kern w:val="0"/>
          <w:sz w:val="24"/>
          <w:szCs w:val="24"/>
          <w:highlight w:val="none"/>
          <w:lang w:val="en-US" w:eastAsia="zh-CN"/>
        </w:rPr>
        <w:t>60%的作</w:t>
      </w:r>
      <w:r>
        <w:rPr>
          <w:rFonts w:hint="eastAsia" w:ascii="仿宋_GB2312" w:hAnsi="仿宋" w:eastAsia="仿宋_GB2312" w:cs="仿宋_GB2312"/>
          <w:b/>
          <w:kern w:val="0"/>
          <w:sz w:val="24"/>
          <w:szCs w:val="24"/>
          <w:highlight w:val="none"/>
          <w:lang w:val="zh-CN"/>
        </w:rPr>
        <w:t>无效响应处理</w:t>
      </w:r>
      <w:r>
        <w:rPr>
          <w:rFonts w:hint="eastAsia" w:ascii="仿宋_GB2312" w:hAnsi="仿宋" w:eastAsia="仿宋_GB2312" w:cs="仿宋_GB2312"/>
          <w:kern w:val="0"/>
          <w:sz w:val="24"/>
          <w:szCs w:val="24"/>
          <w:highlight w:val="none"/>
          <w:lang w:val="zh-CN"/>
        </w:rPr>
        <w:t>。</w:t>
      </w:r>
    </w:p>
    <w:p w14:paraId="48B1B69A">
      <w:pPr>
        <w:autoSpaceDE w:val="0"/>
        <w:autoSpaceDN w:val="0"/>
        <w:spacing w:line="360" w:lineRule="auto"/>
        <w:ind w:left="4335" w:leftChars="1950" w:hanging="240" w:hangingChars="100"/>
        <w:rPr>
          <w:rFonts w:hint="eastAsia" w:ascii="仿宋_GB2312" w:hAnsi="仿宋" w:eastAsia="仿宋_GB2312" w:cs="仿宋_GB2312"/>
          <w:kern w:val="0"/>
          <w:sz w:val="24"/>
          <w:szCs w:val="24"/>
          <w:highlight w:val="none"/>
        </w:rPr>
      </w:pPr>
      <w:r>
        <w:rPr>
          <w:rFonts w:hint="eastAsia" w:ascii="仿宋_GB2312" w:hAnsi="仿宋" w:eastAsia="仿宋_GB2312" w:cs="仿宋_GB2312"/>
          <w:kern w:val="0"/>
          <w:sz w:val="24"/>
          <w:szCs w:val="24"/>
          <w:highlight w:val="none"/>
        </w:rPr>
        <w:t>供应商名称（电子签章）：</w:t>
      </w:r>
    </w:p>
    <w:p w14:paraId="3E1A32DC">
      <w:pPr>
        <w:autoSpaceDE w:val="0"/>
        <w:autoSpaceDN w:val="0"/>
        <w:spacing w:line="360" w:lineRule="auto"/>
        <w:ind w:firstLine="6480" w:firstLineChars="2700"/>
        <w:rPr>
          <w:rFonts w:hint="eastAsia" w:ascii="仿宋_GB2312" w:hAnsi="仿宋" w:eastAsia="仿宋_GB2312" w:cs="仿宋_GB2312"/>
          <w:kern w:val="0"/>
          <w:sz w:val="24"/>
          <w:szCs w:val="24"/>
          <w:highlight w:val="none"/>
          <w:lang w:val="zh-CN"/>
        </w:rPr>
      </w:pPr>
      <w:r>
        <w:rPr>
          <w:rFonts w:hint="eastAsia" w:ascii="仿宋_GB2312" w:hAnsi="仿宋" w:eastAsia="仿宋_GB2312" w:cs="仿宋_GB2312"/>
          <w:kern w:val="0"/>
          <w:sz w:val="24"/>
          <w:szCs w:val="24"/>
          <w:highlight w:val="none"/>
          <w:lang w:val="zh-CN"/>
        </w:rPr>
        <w:t>日期：  年  月   日</w:t>
      </w:r>
    </w:p>
    <w:p w14:paraId="765E7B4C">
      <w:pPr>
        <w:pStyle w:val="2"/>
        <w:rPr>
          <w:rFonts w:hint="eastAsia"/>
          <w:highlight w:val="none"/>
        </w:rPr>
      </w:pPr>
    </w:p>
    <w:p w14:paraId="48CB45B0">
      <w:pPr>
        <w:autoSpaceDE w:val="0"/>
        <w:autoSpaceDN w:val="0"/>
        <w:spacing w:line="360" w:lineRule="auto"/>
        <w:ind w:firstLine="6120" w:firstLineChars="2550"/>
        <w:rPr>
          <w:rFonts w:hint="eastAsia" w:ascii="仿宋_GB2312" w:hAnsi="仿宋" w:eastAsia="仿宋_GB2312" w:cs="仿宋_GB2312"/>
          <w:kern w:val="0"/>
          <w:sz w:val="24"/>
          <w:szCs w:val="24"/>
          <w:lang w:val="zh-CN"/>
        </w:rPr>
      </w:pPr>
    </w:p>
    <w:p w14:paraId="6A956958">
      <w:pPr>
        <w:autoSpaceDE w:val="0"/>
        <w:autoSpaceDN w:val="0"/>
        <w:spacing w:line="360" w:lineRule="auto"/>
        <w:ind w:firstLine="6120" w:firstLineChars="2550"/>
        <w:rPr>
          <w:rFonts w:hint="eastAsia" w:ascii="仿宋_GB2312" w:hAnsi="仿宋" w:eastAsia="仿宋_GB2312" w:cs="仿宋_GB2312"/>
          <w:kern w:val="0"/>
          <w:sz w:val="24"/>
          <w:szCs w:val="24"/>
          <w:lang w:val="zh-CN"/>
        </w:rPr>
      </w:pPr>
    </w:p>
    <w:p w14:paraId="5B8D03EE">
      <w:pPr>
        <w:pStyle w:val="2"/>
        <w:numPr>
          <w:ilvl w:val="0"/>
          <w:numId w:val="0"/>
        </w:numPr>
        <w:ind w:leftChars="200" w:right="0" w:rightChars="0"/>
        <w:jc w:val="center"/>
        <w:rPr>
          <w:rFonts w:hint="eastAsia" w:ascii="仿宋" w:hAnsi="仿宋" w:eastAsia="仿宋" w:cs="仿宋_GB2312"/>
          <w:b/>
          <w:sz w:val="30"/>
          <w:szCs w:val="30"/>
          <w:highlight w:val="none"/>
          <w:lang w:eastAsia="zh-CN"/>
        </w:rPr>
      </w:pPr>
    </w:p>
    <w:p w14:paraId="083A4BC2">
      <w:pPr>
        <w:pStyle w:val="2"/>
        <w:numPr>
          <w:ilvl w:val="0"/>
          <w:numId w:val="0"/>
        </w:numPr>
        <w:ind w:leftChars="200" w:right="0" w:rightChars="0"/>
        <w:jc w:val="center"/>
        <w:rPr>
          <w:rFonts w:hint="eastAsia" w:ascii="仿宋" w:hAnsi="仿宋" w:eastAsia="仿宋" w:cs="仿宋_GB2312"/>
          <w:b/>
          <w:sz w:val="30"/>
          <w:szCs w:val="30"/>
          <w:highlight w:val="none"/>
          <w:lang w:eastAsia="zh-CN"/>
        </w:rPr>
      </w:pPr>
    </w:p>
    <w:p w14:paraId="094098E6">
      <w:pPr>
        <w:pStyle w:val="2"/>
        <w:numPr>
          <w:ilvl w:val="0"/>
          <w:numId w:val="0"/>
        </w:numPr>
        <w:ind w:right="0" w:rightChars="0"/>
        <w:jc w:val="both"/>
        <w:rPr>
          <w:rFonts w:hint="eastAsia" w:ascii="仿宋" w:hAnsi="仿宋" w:eastAsia="仿宋" w:cs="仿宋_GB2312"/>
          <w:b/>
          <w:sz w:val="30"/>
          <w:szCs w:val="30"/>
          <w:highlight w:val="none"/>
          <w:lang w:eastAsia="zh-CN"/>
        </w:rPr>
      </w:pPr>
    </w:p>
    <w:p w14:paraId="78E7D400">
      <w:pPr>
        <w:pStyle w:val="2"/>
        <w:numPr>
          <w:ilvl w:val="0"/>
          <w:numId w:val="0"/>
        </w:numPr>
        <w:ind w:leftChars="200" w:right="0" w:rightChars="0"/>
        <w:jc w:val="center"/>
        <w:rPr>
          <w:rFonts w:hint="eastAsia" w:ascii="仿宋" w:hAnsi="仿宋" w:eastAsia="仿宋" w:cs="仿宋_GB2312"/>
          <w:b/>
          <w:sz w:val="30"/>
          <w:szCs w:val="30"/>
          <w:highlight w:val="none"/>
        </w:rPr>
      </w:pPr>
      <w:r>
        <w:rPr>
          <w:rFonts w:hint="eastAsia" w:ascii="仿宋" w:hAnsi="仿宋" w:eastAsia="仿宋" w:cs="仿宋_GB2312"/>
          <w:b/>
          <w:sz w:val="30"/>
          <w:szCs w:val="30"/>
          <w:highlight w:val="none"/>
          <w:lang w:val="en-US" w:eastAsia="zh-CN"/>
        </w:rPr>
        <w:t>2</w:t>
      </w:r>
      <w:r>
        <w:rPr>
          <w:rFonts w:hint="eastAsia" w:ascii="仿宋" w:hAnsi="仿宋" w:eastAsia="仿宋" w:cs="仿宋_GB2312"/>
          <w:b/>
          <w:sz w:val="30"/>
          <w:szCs w:val="30"/>
        </w:rPr>
        <w:t>、</w:t>
      </w:r>
      <w:r>
        <w:rPr>
          <w:rFonts w:hint="eastAsia" w:ascii="仿宋" w:hAnsi="仿宋" w:eastAsia="仿宋" w:cs="仿宋_GB2312"/>
          <w:b/>
          <w:sz w:val="30"/>
          <w:szCs w:val="30"/>
          <w:highlight w:val="none"/>
          <w:lang w:val="en-US" w:eastAsia="zh-CN"/>
        </w:rPr>
        <w:t>小微</w:t>
      </w:r>
      <w:r>
        <w:rPr>
          <w:rFonts w:hint="eastAsia" w:ascii="仿宋" w:hAnsi="仿宋" w:eastAsia="仿宋" w:cs="仿宋_GB2312"/>
          <w:b/>
          <w:sz w:val="30"/>
          <w:szCs w:val="30"/>
          <w:highlight w:val="none"/>
          <w:lang w:eastAsia="zh-CN"/>
        </w:rPr>
        <w:t>产品</w:t>
      </w:r>
      <w:r>
        <w:rPr>
          <w:rFonts w:hint="eastAsia" w:ascii="仿宋" w:hAnsi="仿宋" w:eastAsia="仿宋" w:cs="仿宋_GB2312"/>
          <w:b/>
          <w:sz w:val="30"/>
          <w:szCs w:val="30"/>
          <w:highlight w:val="none"/>
        </w:rPr>
        <w:t>报价表</w:t>
      </w:r>
    </w:p>
    <w:p w14:paraId="7F8E803A">
      <w:pPr>
        <w:pStyle w:val="2"/>
        <w:numPr>
          <w:ilvl w:val="0"/>
          <w:numId w:val="0"/>
        </w:numPr>
        <w:ind w:leftChars="200" w:right="0" w:rightChars="0"/>
        <w:jc w:val="center"/>
        <w:rPr>
          <w:rFonts w:hint="eastAsia" w:ascii="仿宋" w:hAnsi="仿宋" w:eastAsia="仿宋" w:cs="仿宋_GB2312"/>
          <w:b/>
          <w:sz w:val="30"/>
          <w:szCs w:val="30"/>
          <w:highlight w:val="none"/>
        </w:rPr>
      </w:pPr>
    </w:p>
    <w:p w14:paraId="3311EC9D">
      <w:pPr>
        <w:snapToGrid w:val="0"/>
        <w:spacing w:before="50" w:after="50" w:line="360" w:lineRule="auto"/>
        <w:rPr>
          <w:rFonts w:hint="eastAsia" w:ascii="宋体" w:hAnsi="宋体" w:eastAsia="等线"/>
          <w:sz w:val="24"/>
          <w:highlight w:val="none"/>
        </w:rPr>
      </w:pPr>
      <w:r>
        <w:rPr>
          <w:rFonts w:hint="eastAsia" w:ascii="宋体" w:hAnsi="宋体"/>
          <w:sz w:val="24"/>
          <w:szCs w:val="24"/>
          <w:highlight w:val="none"/>
        </w:rPr>
        <w:t>项目名称：</w:t>
      </w:r>
      <w:r>
        <w:rPr>
          <w:rFonts w:hint="eastAsia" w:ascii="宋体" w:hAnsi="宋体"/>
          <w:sz w:val="24"/>
          <w:szCs w:val="24"/>
          <w:highlight w:val="none"/>
          <w:u w:val="single"/>
          <w:lang w:eastAsia="zh-CN"/>
        </w:rPr>
        <w:t>2026年上林县幼儿园设备采购项目（重）</w:t>
      </w:r>
      <w:r>
        <w:rPr>
          <w:rFonts w:hint="eastAsia" w:ascii="宋体" w:hAnsi="宋体"/>
          <w:sz w:val="24"/>
          <w:szCs w:val="24"/>
          <w:highlight w:val="none"/>
          <w:u w:val="single"/>
        </w:rPr>
        <w:t xml:space="preserve"> </w:t>
      </w:r>
      <w:r>
        <w:rPr>
          <w:rFonts w:hint="eastAsia" w:ascii="宋体" w:hAnsi="宋体"/>
          <w:sz w:val="24"/>
          <w:szCs w:val="24"/>
          <w:highlight w:val="none"/>
        </w:rPr>
        <w:t xml:space="preserve">         </w:t>
      </w:r>
    </w:p>
    <w:p w14:paraId="3E11D99E">
      <w:pPr>
        <w:snapToGrid w:val="0"/>
        <w:spacing w:before="50" w:after="50" w:line="360" w:lineRule="auto"/>
        <w:rPr>
          <w:rFonts w:hint="eastAsia" w:ascii="宋体" w:hAnsi="宋体"/>
          <w:sz w:val="24"/>
          <w:szCs w:val="24"/>
          <w:highlight w:val="none"/>
          <w:u w:val="single"/>
        </w:rPr>
      </w:pPr>
      <w:r>
        <w:rPr>
          <w:rFonts w:hint="eastAsia" w:ascii="宋体" w:hAnsi="宋体"/>
          <w:sz w:val="24"/>
          <w:szCs w:val="24"/>
          <w:highlight w:val="none"/>
        </w:rPr>
        <w:t>项目编号：</w:t>
      </w:r>
      <w:r>
        <w:rPr>
          <w:rFonts w:hint="eastAsia" w:ascii="宋体" w:hAnsi="宋体"/>
          <w:sz w:val="24"/>
          <w:szCs w:val="24"/>
          <w:highlight w:val="none"/>
          <w:u w:val="single"/>
          <w:lang w:eastAsia="zh-CN"/>
        </w:rPr>
        <w:t xml:space="preserve"> NNZC2026-J1-250095-SLXZ</w:t>
      </w:r>
      <w:r>
        <w:rPr>
          <w:rFonts w:hint="eastAsia" w:ascii="宋体" w:hAnsi="宋体"/>
          <w:sz w:val="24"/>
          <w:szCs w:val="24"/>
          <w:highlight w:val="none"/>
        </w:rPr>
        <w:t xml:space="preserve">         </w:t>
      </w:r>
      <w:r>
        <w:rPr>
          <w:rFonts w:hint="eastAsia" w:ascii="宋体" w:hAnsi="宋体" w:cs="仿宋_GB2312"/>
          <w:color w:val="000000"/>
          <w:sz w:val="24"/>
          <w:szCs w:val="24"/>
          <w:highlight w:val="none"/>
        </w:rPr>
        <w:t xml:space="preserve">                   </w:t>
      </w:r>
    </w:p>
    <w:tbl>
      <w:tblPr>
        <w:tblStyle w:val="10"/>
        <w:tblpPr w:leftFromText="180" w:rightFromText="180" w:vertAnchor="text" w:horzAnchor="page" w:tblpX="1117" w:tblpY="52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2"/>
        <w:gridCol w:w="983"/>
        <w:gridCol w:w="819"/>
        <w:gridCol w:w="1313"/>
        <w:gridCol w:w="1389"/>
        <w:gridCol w:w="819"/>
        <w:gridCol w:w="1300"/>
        <w:gridCol w:w="1631"/>
      </w:tblGrid>
      <w:tr w14:paraId="1EB44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0" w:type="auto"/>
            <w:tcBorders>
              <w:top w:val="single" w:color="auto" w:sz="4" w:space="0"/>
              <w:left w:val="single" w:color="auto" w:sz="4" w:space="0"/>
              <w:bottom w:val="single" w:color="auto" w:sz="4" w:space="0"/>
              <w:right w:val="single" w:color="auto" w:sz="4" w:space="0"/>
            </w:tcBorders>
            <w:noWrap w:val="0"/>
            <w:vAlign w:val="center"/>
          </w:tcPr>
          <w:p w14:paraId="281902F7">
            <w:pPr>
              <w:rPr>
                <w:rFonts w:ascii="宋体" w:hAnsi="宋体"/>
                <w:highlight w:val="none"/>
              </w:rPr>
            </w:pPr>
            <w:r>
              <w:rPr>
                <w:rFonts w:hint="eastAsia" w:ascii="宋体" w:hAnsi="宋体"/>
                <w:szCs w:val="24"/>
                <w:highlight w:val="none"/>
              </w:rPr>
              <w:t>序号</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66C47E00">
            <w:pPr>
              <w:rPr>
                <w:rFonts w:ascii="宋体" w:hAnsi="宋体"/>
                <w:highlight w:val="none"/>
              </w:rPr>
            </w:pPr>
            <w:r>
              <w:rPr>
                <w:rFonts w:hint="eastAsia" w:ascii="宋体" w:hAnsi="宋体"/>
                <w:szCs w:val="24"/>
                <w:highlight w:val="none"/>
              </w:rPr>
              <w:t>货物名称</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08B637E2">
            <w:pPr>
              <w:jc w:val="center"/>
              <w:rPr>
                <w:rFonts w:hint="eastAsia" w:ascii="宋体" w:hAnsi="宋体" w:eastAsia="宋体"/>
                <w:szCs w:val="24"/>
                <w:highlight w:val="none"/>
                <w:lang w:eastAsia="zh-CN"/>
              </w:rPr>
            </w:pPr>
            <w:r>
              <w:rPr>
                <w:rFonts w:hint="eastAsia" w:ascii="宋体" w:hAnsi="宋体"/>
                <w:szCs w:val="24"/>
                <w:highlight w:val="none"/>
                <w:lang w:eastAsia="zh-CN"/>
              </w:rPr>
              <w:t>制造商</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1E8BF6BB">
            <w:pPr>
              <w:jc w:val="center"/>
              <w:rPr>
                <w:rFonts w:ascii="宋体" w:hAnsi="宋体"/>
                <w:highlight w:val="none"/>
              </w:rPr>
            </w:pPr>
            <w:r>
              <w:rPr>
                <w:rFonts w:hint="eastAsia" w:ascii="宋体" w:hAnsi="宋体"/>
                <w:szCs w:val="24"/>
                <w:highlight w:val="none"/>
              </w:rPr>
              <w:t>货物规格型号</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6E2B8046">
            <w:pPr>
              <w:jc w:val="center"/>
              <w:rPr>
                <w:rFonts w:ascii="宋体" w:hAnsi="宋体"/>
                <w:highlight w:val="none"/>
              </w:rPr>
            </w:pPr>
            <w:r>
              <w:rPr>
                <w:rFonts w:hint="eastAsia" w:ascii="宋体" w:hAnsi="宋体"/>
                <w:szCs w:val="24"/>
                <w:highlight w:val="none"/>
              </w:rPr>
              <w:t>品牌（如有）</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2CBE2EB1">
            <w:pPr>
              <w:jc w:val="center"/>
              <w:rPr>
                <w:rFonts w:ascii="宋体" w:hAnsi="宋体"/>
                <w:highlight w:val="none"/>
              </w:rPr>
            </w:pPr>
            <w:r>
              <w:rPr>
                <w:rFonts w:hint="eastAsia" w:ascii="宋体" w:hAnsi="宋体"/>
                <w:szCs w:val="24"/>
                <w:highlight w:val="none"/>
              </w:rPr>
              <w:t>数量①</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12B758DE">
            <w:pPr>
              <w:rPr>
                <w:rFonts w:ascii="宋体" w:hAnsi="宋体"/>
                <w:highlight w:val="none"/>
              </w:rPr>
            </w:pPr>
            <w:r>
              <w:rPr>
                <w:rFonts w:hint="eastAsia" w:ascii="宋体" w:hAnsi="宋体"/>
                <w:szCs w:val="24"/>
                <w:highlight w:val="none"/>
              </w:rPr>
              <w:t>单价(元)②</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6D118DD4">
            <w:pPr>
              <w:rPr>
                <w:rFonts w:ascii="宋体" w:hAnsi="宋体"/>
                <w:szCs w:val="24"/>
                <w:highlight w:val="none"/>
              </w:rPr>
            </w:pPr>
            <w:r>
              <w:rPr>
                <w:rFonts w:hint="eastAsia" w:ascii="宋体" w:hAnsi="宋体"/>
                <w:szCs w:val="24"/>
                <w:highlight w:val="none"/>
              </w:rPr>
              <w:t>单项合价（元）</w:t>
            </w:r>
          </w:p>
          <w:p w14:paraId="4B64052F">
            <w:pPr>
              <w:rPr>
                <w:rFonts w:ascii="宋体" w:hAnsi="宋体"/>
                <w:highlight w:val="none"/>
              </w:rPr>
            </w:pPr>
            <w:r>
              <w:rPr>
                <w:rFonts w:hint="eastAsia" w:ascii="宋体" w:hAnsi="宋体"/>
                <w:szCs w:val="24"/>
                <w:highlight w:val="none"/>
              </w:rPr>
              <w:t>③＝①×②</w:t>
            </w:r>
          </w:p>
        </w:tc>
      </w:tr>
      <w:tr w14:paraId="19594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0" w:type="auto"/>
            <w:tcBorders>
              <w:top w:val="single" w:color="auto" w:sz="4" w:space="0"/>
              <w:left w:val="single" w:color="auto" w:sz="4" w:space="0"/>
              <w:bottom w:val="single" w:color="auto" w:sz="4" w:space="0"/>
              <w:right w:val="single" w:color="auto" w:sz="4" w:space="0"/>
            </w:tcBorders>
            <w:noWrap w:val="0"/>
            <w:vAlign w:val="center"/>
          </w:tcPr>
          <w:p w14:paraId="671C40E2">
            <w:pPr>
              <w:rPr>
                <w:rFonts w:ascii="宋体" w:hAnsi="宋体"/>
                <w:highlight w:val="none"/>
              </w:rPr>
            </w:pPr>
            <w:r>
              <w:rPr>
                <w:rFonts w:hint="eastAsia" w:ascii="宋体" w:hAnsi="宋体"/>
                <w:szCs w:val="24"/>
                <w:highlight w:val="none"/>
              </w:rPr>
              <w:t>1</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6B077434">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405EE3D9">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10EE9AFF">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2CEA883E">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427A176E">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1A0DA8C2">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0B33C4F6">
            <w:pPr>
              <w:rPr>
                <w:rFonts w:ascii="宋体" w:hAnsi="宋体"/>
                <w:highlight w:val="none"/>
              </w:rPr>
            </w:pPr>
          </w:p>
        </w:tc>
      </w:tr>
      <w:tr w14:paraId="7A877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0" w:type="auto"/>
            <w:tcBorders>
              <w:top w:val="single" w:color="auto" w:sz="4" w:space="0"/>
              <w:left w:val="single" w:color="auto" w:sz="4" w:space="0"/>
              <w:bottom w:val="single" w:color="auto" w:sz="4" w:space="0"/>
              <w:right w:val="single" w:color="auto" w:sz="4" w:space="0"/>
            </w:tcBorders>
            <w:noWrap w:val="0"/>
            <w:vAlign w:val="center"/>
          </w:tcPr>
          <w:p w14:paraId="78B2D856">
            <w:pPr>
              <w:rPr>
                <w:rFonts w:ascii="宋体" w:hAnsi="宋体"/>
                <w:highlight w:val="none"/>
              </w:rPr>
            </w:pPr>
            <w:r>
              <w:rPr>
                <w:rFonts w:hint="eastAsia" w:ascii="宋体" w:hAnsi="宋体"/>
                <w:szCs w:val="24"/>
                <w:highlight w:val="none"/>
              </w:rPr>
              <w:t>2</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17DFF9F1">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3B21FA12">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6AAEC619">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3D2523D4">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39A6D051">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044FD44D">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3EFD5419">
            <w:pPr>
              <w:rPr>
                <w:rFonts w:ascii="宋体" w:hAnsi="宋体"/>
                <w:highlight w:val="none"/>
              </w:rPr>
            </w:pPr>
          </w:p>
        </w:tc>
      </w:tr>
      <w:tr w14:paraId="62E15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 w:hRule="atLeast"/>
        </w:trPr>
        <w:tc>
          <w:tcPr>
            <w:tcW w:w="0" w:type="auto"/>
            <w:tcBorders>
              <w:top w:val="single" w:color="auto" w:sz="4" w:space="0"/>
              <w:left w:val="single" w:color="auto" w:sz="4" w:space="0"/>
              <w:bottom w:val="single" w:color="auto" w:sz="4" w:space="0"/>
              <w:right w:val="single" w:color="auto" w:sz="4" w:space="0"/>
            </w:tcBorders>
            <w:noWrap w:val="0"/>
            <w:vAlign w:val="center"/>
          </w:tcPr>
          <w:p w14:paraId="16A1CBC0">
            <w:pPr>
              <w:rPr>
                <w:rFonts w:ascii="宋体" w:hAnsi="宋体"/>
                <w:highlight w:val="none"/>
              </w:rPr>
            </w:pPr>
            <w:r>
              <w:rPr>
                <w:rFonts w:hint="eastAsia" w:ascii="宋体" w:hAnsi="宋体"/>
                <w:szCs w:val="24"/>
                <w:highlight w:val="none"/>
              </w:rPr>
              <w:t>...</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7313E01E">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52879477">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15B9296E">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1F9F8C1C">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103B36E0">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569F02C0">
            <w:pPr>
              <w:rPr>
                <w:rFonts w:ascii="宋体" w:hAnsi="宋体"/>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6279AA9F">
            <w:pPr>
              <w:rPr>
                <w:rFonts w:ascii="宋体" w:hAnsi="宋体"/>
                <w:highlight w:val="none"/>
              </w:rPr>
            </w:pPr>
          </w:p>
        </w:tc>
      </w:tr>
      <w:tr w14:paraId="4AE67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0" w:type="auto"/>
            <w:gridSpan w:val="8"/>
            <w:tcBorders>
              <w:top w:val="single" w:color="auto" w:sz="4" w:space="0"/>
              <w:left w:val="single" w:color="auto" w:sz="4" w:space="0"/>
              <w:bottom w:val="single" w:color="auto" w:sz="4" w:space="0"/>
              <w:right w:val="single" w:color="auto" w:sz="4" w:space="0"/>
            </w:tcBorders>
            <w:noWrap w:val="0"/>
            <w:vAlign w:val="top"/>
          </w:tcPr>
          <w:p w14:paraId="2F691C28">
            <w:pPr>
              <w:jc w:val="left"/>
              <w:rPr>
                <w:rFonts w:hint="default" w:ascii="宋体" w:hAnsi="宋体" w:eastAsia="宋体"/>
                <w:highlight w:val="none"/>
                <w:u w:val="single"/>
                <w:lang w:val="en-US" w:eastAsia="zh-CN"/>
              </w:rPr>
            </w:pPr>
            <w:r>
              <w:rPr>
                <w:rFonts w:hint="eastAsia" w:ascii="宋体" w:hAnsi="宋体"/>
                <w:szCs w:val="24"/>
                <w:highlight w:val="none"/>
              </w:rPr>
              <w:t xml:space="preserve">报价合计（包含税费等所有费用）：（大写）人民币 </w:t>
            </w:r>
            <w:r>
              <w:rPr>
                <w:rFonts w:hint="eastAsia" w:ascii="宋体" w:hAnsi="宋体"/>
                <w:szCs w:val="24"/>
                <w:highlight w:val="none"/>
                <w:lang w:val="en-US" w:eastAsia="zh-CN"/>
              </w:rPr>
              <w:t xml:space="preserve">                </w:t>
            </w:r>
            <w:r>
              <w:rPr>
                <w:rFonts w:hint="eastAsia" w:ascii="宋体" w:hAnsi="宋体"/>
                <w:szCs w:val="24"/>
                <w:highlight w:val="none"/>
              </w:rPr>
              <w:t xml:space="preserve"> （￥      元）</w:t>
            </w:r>
            <w:r>
              <w:rPr>
                <w:rFonts w:hint="eastAsia" w:ascii="宋体" w:hAnsi="宋体"/>
                <w:szCs w:val="24"/>
                <w:highlight w:val="none"/>
                <w:lang w:eastAsia="zh-CN"/>
              </w:rPr>
              <w:t>，占总报价</w:t>
            </w:r>
            <w:r>
              <w:rPr>
                <w:rFonts w:hint="eastAsia" w:ascii="宋体" w:hAnsi="宋体"/>
                <w:szCs w:val="24"/>
                <w:highlight w:val="none"/>
                <w:u w:val="single"/>
                <w:lang w:val="en-US" w:eastAsia="zh-CN"/>
              </w:rPr>
              <w:t xml:space="preserve">              </w:t>
            </w:r>
            <w:r>
              <w:rPr>
                <w:rFonts w:hint="eastAsia" w:ascii="宋体" w:hAnsi="宋体"/>
                <w:szCs w:val="24"/>
                <w:highlight w:val="none"/>
                <w:lang w:val="en-US" w:eastAsia="zh-CN"/>
              </w:rPr>
              <w:t>（%）</w:t>
            </w:r>
          </w:p>
        </w:tc>
      </w:tr>
    </w:tbl>
    <w:p w14:paraId="3EDADFBE">
      <w:pPr>
        <w:snapToGrid w:val="0"/>
        <w:spacing w:before="50" w:after="50" w:line="360" w:lineRule="auto"/>
        <w:jc w:val="left"/>
        <w:rPr>
          <w:rFonts w:hint="eastAsia" w:ascii="仿宋_GB2312" w:hAnsi="仿宋" w:eastAsia="仿宋_GB2312" w:cs="仿宋_GB2312"/>
          <w:kern w:val="0"/>
          <w:sz w:val="24"/>
          <w:highlight w:val="none"/>
          <w:lang w:val="zh-CN"/>
        </w:rPr>
      </w:pPr>
      <w:r>
        <w:rPr>
          <w:rFonts w:hint="eastAsia" w:ascii="仿宋_GB2312" w:hAnsi="仿宋" w:eastAsia="仿宋_GB2312" w:cs="仿宋_GB2312"/>
          <w:kern w:val="0"/>
          <w:sz w:val="24"/>
          <w:szCs w:val="24"/>
          <w:highlight w:val="none"/>
          <w:lang w:val="zh-CN"/>
        </w:rPr>
        <w:t xml:space="preserve"> </w:t>
      </w:r>
    </w:p>
    <w:p w14:paraId="7D9018CC">
      <w:pPr>
        <w:snapToGrid w:val="0"/>
        <w:spacing w:before="50" w:after="50" w:line="360" w:lineRule="auto"/>
        <w:ind w:firstLine="480" w:firstLineChars="200"/>
        <w:jc w:val="left"/>
        <w:rPr>
          <w:rFonts w:hint="eastAsia" w:ascii="仿宋_GB2312" w:hAnsi="仿宋" w:eastAsia="仿宋_GB2312" w:cs="仿宋_GB2312"/>
          <w:kern w:val="0"/>
          <w:sz w:val="24"/>
          <w:szCs w:val="24"/>
          <w:highlight w:val="none"/>
          <w:lang w:val="zh-CN"/>
        </w:rPr>
      </w:pPr>
      <w:r>
        <w:rPr>
          <w:rFonts w:hint="eastAsia" w:ascii="仿宋_GB2312" w:hAnsi="仿宋" w:eastAsia="仿宋_GB2312" w:cs="仿宋_GB2312"/>
          <w:kern w:val="0"/>
          <w:sz w:val="24"/>
          <w:szCs w:val="24"/>
          <w:highlight w:val="none"/>
          <w:lang w:val="zh-CN"/>
        </w:rPr>
        <w:t>1、 供应商需按本表格式填写，不得自行更改，也不得留空, 如有多分标，按分标分别提供响应报价表</w:t>
      </w:r>
      <w:r>
        <w:rPr>
          <w:rFonts w:hint="eastAsia" w:ascii="仿宋_GB2312" w:hAnsi="仿宋" w:eastAsia="仿宋_GB2312" w:cs="仿宋_GB2312"/>
          <w:b/>
          <w:kern w:val="0"/>
          <w:sz w:val="24"/>
          <w:szCs w:val="24"/>
          <w:highlight w:val="none"/>
          <w:lang w:val="zh-CN"/>
        </w:rPr>
        <w:t>。</w:t>
      </w:r>
    </w:p>
    <w:p w14:paraId="59A6B75D">
      <w:pPr>
        <w:snapToGrid w:val="0"/>
        <w:spacing w:before="50" w:after="50" w:line="360" w:lineRule="auto"/>
        <w:ind w:firstLine="480" w:firstLineChars="200"/>
        <w:jc w:val="left"/>
        <w:rPr>
          <w:rFonts w:hint="eastAsia" w:ascii="仿宋_GB2312" w:hAnsi="仿宋" w:eastAsia="仿宋_GB2312" w:cs="仿宋_GB2312"/>
          <w:b/>
          <w:kern w:val="0"/>
          <w:sz w:val="24"/>
          <w:szCs w:val="24"/>
          <w:highlight w:val="none"/>
          <w:lang w:val="zh-CN"/>
        </w:rPr>
      </w:pPr>
      <w:r>
        <w:rPr>
          <w:rFonts w:hint="eastAsia" w:ascii="仿宋_GB2312" w:hAnsi="仿宋" w:eastAsia="仿宋_GB2312" w:cs="仿宋_GB2312"/>
          <w:kern w:val="0"/>
          <w:sz w:val="24"/>
          <w:szCs w:val="24"/>
          <w:highlight w:val="none"/>
          <w:lang w:val="zh-CN"/>
        </w:rPr>
        <w:t>2、如为联合体响应的，“供应商名称”处必须列明联合体各方名称，并标注联合体牵头人名称，且盖章处须加盖联合体各方公章，</w:t>
      </w:r>
      <w:r>
        <w:rPr>
          <w:rFonts w:hint="eastAsia" w:ascii="仿宋_GB2312" w:hAnsi="仿宋" w:eastAsia="仿宋_GB2312" w:cs="仿宋_GB2312"/>
          <w:b/>
          <w:kern w:val="0"/>
          <w:sz w:val="24"/>
          <w:szCs w:val="24"/>
          <w:highlight w:val="none"/>
          <w:lang w:val="zh-CN"/>
        </w:rPr>
        <w:t>否则其响应作无效响应处理。</w:t>
      </w:r>
    </w:p>
    <w:p w14:paraId="1F21D0C6">
      <w:pPr>
        <w:snapToGrid w:val="0"/>
        <w:spacing w:before="50" w:after="50" w:line="360" w:lineRule="auto"/>
        <w:ind w:firstLine="480" w:firstLineChars="200"/>
        <w:jc w:val="left"/>
        <w:rPr>
          <w:rFonts w:hint="eastAsia" w:ascii="仿宋_GB2312" w:hAnsi="仿宋" w:eastAsia="仿宋_GB2312" w:cs="仿宋_GB2312"/>
          <w:b/>
          <w:kern w:val="0"/>
          <w:sz w:val="24"/>
          <w:szCs w:val="24"/>
          <w:highlight w:val="none"/>
          <w:lang w:val="zh-CN"/>
        </w:rPr>
      </w:pPr>
      <w:r>
        <w:rPr>
          <w:rFonts w:hint="eastAsia" w:ascii="仿宋_GB2312" w:hAnsi="仿宋" w:eastAsia="仿宋_GB2312" w:cs="仿宋_GB2312"/>
          <w:kern w:val="0"/>
          <w:sz w:val="24"/>
          <w:szCs w:val="24"/>
          <w:highlight w:val="none"/>
          <w:lang w:val="zh-CN"/>
        </w:rPr>
        <w:t>3、以上表格要求细分项目及报价，在“货物名称”一栏中，填写具体货物，</w:t>
      </w:r>
      <w:r>
        <w:rPr>
          <w:rFonts w:hint="eastAsia" w:ascii="仿宋_GB2312" w:hAnsi="仿宋" w:eastAsia="仿宋_GB2312" w:cs="仿宋_GB2312"/>
          <w:b/>
          <w:kern w:val="0"/>
          <w:sz w:val="24"/>
          <w:szCs w:val="24"/>
          <w:highlight w:val="none"/>
          <w:lang w:val="zh-CN"/>
        </w:rPr>
        <w:t>否则其响应作无效响应处理。</w:t>
      </w:r>
    </w:p>
    <w:p w14:paraId="1255C810">
      <w:pPr>
        <w:snapToGrid w:val="0"/>
        <w:spacing w:line="360" w:lineRule="auto"/>
        <w:ind w:firstLine="480" w:firstLineChars="200"/>
        <w:jc w:val="left"/>
        <w:rPr>
          <w:rFonts w:hint="eastAsia" w:ascii="仿宋_GB2312" w:hAnsi="仿宋" w:eastAsia="仿宋_GB2312" w:cs="仿宋_GB2312"/>
          <w:kern w:val="0"/>
          <w:sz w:val="24"/>
          <w:szCs w:val="24"/>
          <w:highlight w:val="none"/>
          <w:lang w:val="zh-CN"/>
        </w:rPr>
      </w:pPr>
      <w:r>
        <w:rPr>
          <w:rFonts w:hint="eastAsia" w:ascii="仿宋_GB2312" w:hAnsi="仿宋" w:eastAsia="仿宋_GB2312" w:cs="仿宋_GB2312"/>
          <w:kern w:val="0"/>
          <w:sz w:val="24"/>
          <w:szCs w:val="24"/>
          <w:highlight w:val="none"/>
          <w:lang w:val="zh-CN"/>
        </w:rPr>
        <w:t>4、特别提示：采购机构将对项目名称和项目编号，成交供应商名称、地址和成交金额，主要成交标的的名称、规格型号、数量、单价、货物要求等予以公示。</w:t>
      </w:r>
    </w:p>
    <w:p w14:paraId="670180AF">
      <w:pPr>
        <w:snapToGrid w:val="0"/>
        <w:spacing w:line="360" w:lineRule="auto"/>
        <w:ind w:firstLine="480" w:firstLineChars="200"/>
        <w:jc w:val="left"/>
        <w:rPr>
          <w:rFonts w:hint="eastAsia" w:ascii="仿宋_GB2312" w:hAnsi="仿宋" w:eastAsia="仿宋_GB2312" w:cs="仿宋_GB2312"/>
          <w:kern w:val="0"/>
          <w:sz w:val="24"/>
          <w:szCs w:val="24"/>
          <w:highlight w:val="none"/>
          <w:lang w:val="zh-CN"/>
        </w:rPr>
      </w:pPr>
      <w:r>
        <w:rPr>
          <w:rFonts w:hint="eastAsia" w:ascii="仿宋_GB2312" w:hAnsi="仿宋" w:eastAsia="仿宋_GB2312" w:cs="仿宋_GB2312"/>
          <w:kern w:val="0"/>
          <w:sz w:val="24"/>
          <w:szCs w:val="24"/>
          <w:highlight w:val="none"/>
          <w:lang w:val="zh-CN"/>
        </w:rPr>
        <w:t>5、供应商提供的商品预算总额未达</w:t>
      </w:r>
      <w:r>
        <w:rPr>
          <w:rFonts w:hint="eastAsia" w:ascii="仿宋_GB2312" w:hAnsi="仿宋" w:eastAsia="仿宋_GB2312" w:cs="仿宋_GB2312"/>
          <w:kern w:val="0"/>
          <w:sz w:val="24"/>
          <w:szCs w:val="24"/>
          <w:highlight w:val="none"/>
          <w:lang w:val="en-US" w:eastAsia="zh-CN"/>
        </w:rPr>
        <w:t>40%以上由中小企业制造；其中,</w:t>
      </w:r>
      <w:r>
        <w:rPr>
          <w:rFonts w:hint="eastAsia" w:ascii="仿宋_GB2312" w:hAnsi="仿宋" w:eastAsia="仿宋_GB2312" w:cs="仿宋_GB2312"/>
          <w:kern w:val="0"/>
          <w:sz w:val="24"/>
          <w:szCs w:val="24"/>
          <w:highlight w:val="none"/>
          <w:lang w:val="zh-CN"/>
        </w:rPr>
        <w:t>小微企业部分</w:t>
      </w:r>
      <w:r>
        <w:rPr>
          <w:rFonts w:hint="eastAsia" w:ascii="仿宋_GB2312" w:hAnsi="仿宋" w:eastAsia="仿宋_GB2312" w:cs="仿宋_GB2312"/>
          <w:kern w:val="0"/>
          <w:sz w:val="24"/>
          <w:szCs w:val="24"/>
          <w:highlight w:val="none"/>
          <w:lang w:val="en-US" w:eastAsia="zh-CN"/>
        </w:rPr>
        <w:t>占中小企业</w:t>
      </w:r>
      <w:r>
        <w:rPr>
          <w:rFonts w:hint="eastAsia" w:ascii="仿宋_GB2312" w:hAnsi="仿宋" w:eastAsia="仿宋_GB2312" w:cs="仿宋_GB2312"/>
          <w:kern w:val="0"/>
          <w:sz w:val="24"/>
          <w:szCs w:val="24"/>
          <w:highlight w:val="none"/>
          <w:lang w:val="zh-CN"/>
        </w:rPr>
        <w:t>总额未达</w:t>
      </w:r>
      <w:r>
        <w:rPr>
          <w:rFonts w:hint="eastAsia" w:ascii="仿宋_GB2312" w:hAnsi="仿宋" w:eastAsia="仿宋_GB2312" w:cs="仿宋_GB2312"/>
          <w:kern w:val="0"/>
          <w:sz w:val="24"/>
          <w:szCs w:val="24"/>
          <w:highlight w:val="none"/>
          <w:lang w:val="en-US" w:eastAsia="zh-CN"/>
        </w:rPr>
        <w:t>60%的作</w:t>
      </w:r>
      <w:r>
        <w:rPr>
          <w:rFonts w:hint="eastAsia" w:ascii="仿宋_GB2312" w:hAnsi="仿宋" w:eastAsia="仿宋_GB2312" w:cs="仿宋_GB2312"/>
          <w:b/>
          <w:kern w:val="0"/>
          <w:sz w:val="24"/>
          <w:szCs w:val="24"/>
          <w:highlight w:val="none"/>
          <w:lang w:val="zh-CN"/>
        </w:rPr>
        <w:t>无效响应处理</w:t>
      </w:r>
      <w:r>
        <w:rPr>
          <w:rFonts w:hint="eastAsia" w:ascii="仿宋_GB2312" w:hAnsi="仿宋" w:eastAsia="仿宋_GB2312" w:cs="仿宋_GB2312"/>
          <w:kern w:val="0"/>
          <w:sz w:val="24"/>
          <w:szCs w:val="24"/>
          <w:highlight w:val="none"/>
          <w:lang w:val="zh-CN"/>
        </w:rPr>
        <w:t>。</w:t>
      </w:r>
    </w:p>
    <w:p w14:paraId="77EB7B82">
      <w:pPr>
        <w:autoSpaceDE w:val="0"/>
        <w:autoSpaceDN w:val="0"/>
        <w:spacing w:line="360" w:lineRule="auto"/>
        <w:ind w:left="4335" w:leftChars="1950" w:hanging="240" w:hangingChars="100"/>
        <w:rPr>
          <w:rFonts w:hint="eastAsia" w:ascii="仿宋_GB2312" w:hAnsi="仿宋" w:eastAsia="仿宋_GB2312" w:cs="仿宋_GB2312"/>
          <w:kern w:val="0"/>
          <w:sz w:val="24"/>
          <w:szCs w:val="24"/>
          <w:highlight w:val="none"/>
        </w:rPr>
      </w:pPr>
      <w:r>
        <w:rPr>
          <w:rFonts w:hint="eastAsia" w:ascii="仿宋_GB2312" w:hAnsi="仿宋" w:eastAsia="仿宋_GB2312" w:cs="仿宋_GB2312"/>
          <w:kern w:val="0"/>
          <w:sz w:val="24"/>
          <w:szCs w:val="24"/>
          <w:highlight w:val="none"/>
        </w:rPr>
        <w:t>供应商名称（电子签章）：</w:t>
      </w:r>
    </w:p>
    <w:p w14:paraId="28F864ED">
      <w:pPr>
        <w:autoSpaceDE w:val="0"/>
        <w:autoSpaceDN w:val="0"/>
        <w:spacing w:line="360" w:lineRule="auto"/>
        <w:ind w:firstLine="6480" w:firstLineChars="2700"/>
        <w:rPr>
          <w:rFonts w:hint="eastAsia" w:ascii="仿宋_GB2312" w:hAnsi="仿宋" w:eastAsia="仿宋_GB2312" w:cs="仿宋_GB2312"/>
          <w:kern w:val="0"/>
          <w:sz w:val="24"/>
          <w:szCs w:val="24"/>
          <w:highlight w:val="none"/>
          <w:lang w:val="zh-CN"/>
        </w:rPr>
      </w:pPr>
      <w:r>
        <w:rPr>
          <w:rFonts w:hint="eastAsia" w:ascii="仿宋_GB2312" w:hAnsi="仿宋" w:eastAsia="仿宋_GB2312" w:cs="仿宋_GB2312"/>
          <w:kern w:val="0"/>
          <w:sz w:val="24"/>
          <w:szCs w:val="24"/>
          <w:highlight w:val="none"/>
          <w:lang w:val="zh-CN"/>
        </w:rPr>
        <w:t>日期：  年  月   日</w:t>
      </w:r>
    </w:p>
    <w:p w14:paraId="46617E95">
      <w:pPr>
        <w:autoSpaceDE w:val="0"/>
        <w:autoSpaceDN w:val="0"/>
        <w:spacing w:line="360" w:lineRule="auto"/>
        <w:ind w:firstLine="6120" w:firstLineChars="2550"/>
        <w:rPr>
          <w:rFonts w:hint="eastAsia" w:ascii="仿宋_GB2312" w:hAnsi="仿宋" w:eastAsia="仿宋_GB2312" w:cs="仿宋_GB2312"/>
          <w:kern w:val="0"/>
          <w:sz w:val="24"/>
          <w:szCs w:val="24"/>
          <w:lang w:val="zh-CN"/>
        </w:rPr>
      </w:pPr>
    </w:p>
    <w:p w14:paraId="70878103">
      <w:pPr>
        <w:snapToGrid w:val="0"/>
        <w:spacing w:line="360" w:lineRule="auto"/>
        <w:ind w:firstLine="602" w:firstLineChars="200"/>
        <w:rPr>
          <w:rFonts w:hint="eastAsia" w:ascii="仿宋" w:hAnsi="仿宋" w:eastAsia="仿宋" w:cs="仿宋_GB2312"/>
          <w:b/>
          <w:sz w:val="30"/>
          <w:szCs w:val="30"/>
        </w:rPr>
      </w:pPr>
    </w:p>
    <w:p w14:paraId="6AC68BE0">
      <w:pPr>
        <w:snapToGrid w:val="0"/>
        <w:spacing w:line="360" w:lineRule="auto"/>
        <w:ind w:firstLine="602" w:firstLineChars="200"/>
        <w:rPr>
          <w:rFonts w:hint="eastAsia" w:ascii="仿宋" w:hAnsi="仿宋" w:eastAsia="仿宋" w:cs="仿宋_GB2312"/>
          <w:b/>
          <w:sz w:val="30"/>
          <w:szCs w:val="30"/>
        </w:rPr>
      </w:pPr>
    </w:p>
    <w:p w14:paraId="1757CDD3">
      <w:pPr>
        <w:snapToGrid w:val="0"/>
        <w:spacing w:line="360" w:lineRule="auto"/>
        <w:ind w:firstLine="602" w:firstLineChars="200"/>
        <w:rPr>
          <w:rFonts w:hint="eastAsia" w:ascii="仿宋" w:hAnsi="仿宋" w:eastAsia="仿宋" w:cs="仿宋_GB2312"/>
          <w:b/>
          <w:sz w:val="30"/>
          <w:szCs w:val="30"/>
        </w:rPr>
      </w:pPr>
    </w:p>
    <w:p w14:paraId="700C37C0">
      <w:pPr>
        <w:snapToGrid w:val="0"/>
        <w:spacing w:line="360" w:lineRule="auto"/>
        <w:ind w:firstLine="602" w:firstLineChars="200"/>
        <w:rPr>
          <w:rFonts w:hint="eastAsia" w:ascii="仿宋" w:hAnsi="仿宋" w:eastAsia="仿宋" w:cs="仿宋_GB2312"/>
          <w:b/>
          <w:sz w:val="30"/>
          <w:szCs w:val="30"/>
          <w:lang w:eastAsia="zh-CN"/>
        </w:rPr>
      </w:pPr>
    </w:p>
    <w:p w14:paraId="1AA17303">
      <w:pPr>
        <w:snapToGrid w:val="0"/>
        <w:spacing w:line="360" w:lineRule="auto"/>
        <w:rPr>
          <w:rFonts w:hint="eastAsia" w:ascii="仿宋" w:hAnsi="仿宋" w:eastAsia="仿宋" w:cs="仿宋_GB2312"/>
          <w:b/>
          <w:sz w:val="30"/>
          <w:szCs w:val="30"/>
          <w:lang w:eastAsia="zh-CN"/>
        </w:rPr>
      </w:pPr>
    </w:p>
    <w:p w14:paraId="09F92445">
      <w:pPr>
        <w:snapToGrid w:val="0"/>
        <w:spacing w:line="360" w:lineRule="auto"/>
        <w:ind w:firstLine="602" w:firstLineChars="200"/>
        <w:rPr>
          <w:rFonts w:hint="eastAsia" w:ascii="仿宋" w:hAnsi="仿宋" w:eastAsia="仿宋" w:cs="仿宋_GB2312"/>
          <w:b/>
          <w:sz w:val="30"/>
          <w:szCs w:val="30"/>
        </w:rPr>
      </w:pPr>
      <w:r>
        <w:rPr>
          <w:rFonts w:hint="eastAsia" w:ascii="仿宋" w:hAnsi="仿宋" w:eastAsia="仿宋" w:cs="仿宋_GB2312"/>
          <w:b/>
          <w:sz w:val="30"/>
          <w:szCs w:val="30"/>
          <w:lang w:eastAsia="zh-CN"/>
        </w:rPr>
        <w:t>十</w:t>
      </w:r>
      <w:r>
        <w:rPr>
          <w:rFonts w:hint="eastAsia" w:ascii="仿宋" w:hAnsi="仿宋" w:eastAsia="仿宋" w:cs="仿宋_GB2312"/>
          <w:b/>
          <w:sz w:val="30"/>
          <w:szCs w:val="30"/>
        </w:rPr>
        <w:t>、符合特定资格条件（如果项目要求）的有关证明材料（复印件）</w:t>
      </w:r>
    </w:p>
    <w:p w14:paraId="3A6F487B">
      <w:pPr>
        <w:snapToGrid w:val="0"/>
        <w:spacing w:line="360" w:lineRule="auto"/>
        <w:ind w:firstLine="602" w:firstLineChars="200"/>
        <w:rPr>
          <w:rFonts w:hint="eastAsia" w:ascii="仿宋" w:hAnsi="仿宋" w:eastAsia="仿宋" w:cs="仿宋_GB2312"/>
          <w:b/>
          <w:sz w:val="30"/>
          <w:szCs w:val="30"/>
        </w:rPr>
      </w:pPr>
    </w:p>
    <w:p w14:paraId="6F27E251">
      <w:pPr>
        <w:autoSpaceDE w:val="0"/>
        <w:autoSpaceDN w:val="0"/>
        <w:spacing w:line="360" w:lineRule="auto"/>
        <w:ind w:left="4335" w:leftChars="1950" w:hanging="240" w:hangingChars="100"/>
        <w:rPr>
          <w:rFonts w:hint="eastAsia" w:ascii="仿宋_GB2312" w:hAnsi="仿宋" w:eastAsia="仿宋_GB2312" w:cs="仿宋_GB2312"/>
          <w:kern w:val="0"/>
          <w:sz w:val="24"/>
        </w:rPr>
      </w:pPr>
      <w:r>
        <w:rPr>
          <w:rFonts w:hint="eastAsia" w:ascii="仿宋_GB2312" w:hAnsi="仿宋" w:eastAsia="仿宋_GB2312" w:cs="仿宋_GB2312"/>
          <w:kern w:val="0"/>
          <w:sz w:val="24"/>
          <w:szCs w:val="24"/>
        </w:rPr>
        <w:t>供应商名称（电子签章）：</w:t>
      </w:r>
    </w:p>
    <w:p w14:paraId="6B40901B">
      <w:pPr>
        <w:autoSpaceDE w:val="0"/>
        <w:autoSpaceDN w:val="0"/>
        <w:spacing w:line="360" w:lineRule="auto"/>
        <w:ind w:firstLine="6480" w:firstLineChars="2700"/>
        <w:rPr>
          <w:rFonts w:hint="eastAsia" w:ascii="仿宋_GB2312" w:hAnsi="仿宋" w:eastAsia="仿宋_GB2312" w:cs="仿宋_GB2312"/>
          <w:b/>
          <w:bCs/>
          <w:sz w:val="24"/>
          <w:szCs w:val="24"/>
        </w:rPr>
      </w:pPr>
      <w:r>
        <w:rPr>
          <w:rFonts w:hint="eastAsia" w:ascii="仿宋_GB2312" w:hAnsi="仿宋" w:eastAsia="仿宋_GB2312" w:cs="仿宋_GB2312"/>
          <w:kern w:val="0"/>
          <w:sz w:val="24"/>
          <w:szCs w:val="24"/>
          <w:lang w:val="zh-CN"/>
        </w:rPr>
        <w:t>日期：  年  月   日</w:t>
      </w:r>
    </w:p>
    <w:p w14:paraId="343BA026">
      <w:pPr>
        <w:widowControl/>
        <w:spacing w:line="360" w:lineRule="auto"/>
        <w:jc w:val="left"/>
        <w:rPr>
          <w:rFonts w:ascii="宋体" w:hAnsi="宋体"/>
          <w:kern w:val="0"/>
          <w:szCs w:val="24"/>
        </w:rPr>
        <w:sectPr>
          <w:pgSz w:w="11910" w:h="16840"/>
          <w:pgMar w:top="1340" w:right="1500" w:bottom="280" w:left="1680" w:header="720" w:footer="720" w:gutter="0"/>
          <w:pgBorders>
            <w:top w:val="none" w:sz="0" w:space="0"/>
            <w:left w:val="none" w:sz="0" w:space="0"/>
            <w:bottom w:val="none" w:sz="0" w:space="0"/>
            <w:right w:val="none" w:sz="0" w:space="0"/>
          </w:pgBorders>
          <w:pgNumType w:fmt="decimal"/>
          <w:cols w:space="720" w:num="1"/>
        </w:sectPr>
      </w:pPr>
    </w:p>
    <w:p w14:paraId="43CF2C4E">
      <w:pPr>
        <w:spacing w:before="260" w:after="260" w:line="410" w:lineRule="auto"/>
        <w:jc w:val="center"/>
        <w:outlineLvl w:val="1"/>
        <w:rPr>
          <w:rFonts w:hint="eastAsia" w:ascii="宋体" w:hAnsi="宋体" w:cs="宋体"/>
          <w:bCs/>
          <w:sz w:val="32"/>
          <w:szCs w:val="32"/>
        </w:rPr>
      </w:pPr>
      <w:bookmarkStart w:id="54" w:name="_Toc179528721"/>
      <w:r>
        <w:rPr>
          <w:rFonts w:hint="eastAsia" w:ascii="宋体" w:hAnsi="宋体"/>
          <w:sz w:val="32"/>
          <w:szCs w:val="32"/>
        </w:rPr>
        <w:t xml:space="preserve">第三节 </w:t>
      </w:r>
      <w:r>
        <w:rPr>
          <w:rFonts w:hint="eastAsia" w:ascii="宋体" w:hAnsi="宋体"/>
          <w:bCs/>
          <w:sz w:val="32"/>
          <w:szCs w:val="32"/>
        </w:rPr>
        <w:t>商务技术文件格式</w:t>
      </w:r>
      <w:bookmarkEnd w:id="54"/>
    </w:p>
    <w:p w14:paraId="5BF1D7C2">
      <w:pPr>
        <w:snapToGrid w:val="0"/>
        <w:spacing w:before="120" w:beforeLines="50" w:after="50"/>
        <w:rPr>
          <w:rFonts w:hint="eastAsia" w:ascii="宋体" w:hAnsi="宋体" w:eastAsia="等线"/>
          <w:bCs/>
          <w:sz w:val="32"/>
          <w:szCs w:val="20"/>
        </w:rPr>
      </w:pPr>
      <w:r>
        <w:rPr>
          <w:rFonts w:hint="eastAsia" w:ascii="宋体" w:hAnsi="宋体"/>
          <w:sz w:val="24"/>
          <w:szCs w:val="24"/>
        </w:rPr>
        <w:t xml:space="preserve">                                                    </w:t>
      </w:r>
      <w:r>
        <w:rPr>
          <w:rFonts w:hint="eastAsia" w:ascii="宋体" w:hAnsi="宋体"/>
          <w:bCs/>
          <w:szCs w:val="24"/>
        </w:rPr>
        <w:t>全流程电子文件</w:t>
      </w:r>
    </w:p>
    <w:p w14:paraId="198D0327">
      <w:pPr>
        <w:snapToGrid w:val="0"/>
        <w:spacing w:before="120" w:beforeLines="50" w:after="50"/>
        <w:rPr>
          <w:rFonts w:hint="eastAsia" w:ascii="宋体" w:hAnsi="宋体"/>
          <w:sz w:val="24"/>
          <w:szCs w:val="20"/>
        </w:rPr>
      </w:pPr>
    </w:p>
    <w:p w14:paraId="0E0EFA2F">
      <w:pPr>
        <w:snapToGrid w:val="0"/>
        <w:spacing w:before="120" w:beforeLines="50" w:after="50"/>
        <w:rPr>
          <w:rFonts w:hint="eastAsia" w:ascii="宋体" w:hAnsi="宋体"/>
          <w:sz w:val="24"/>
          <w:szCs w:val="20"/>
        </w:rPr>
      </w:pPr>
    </w:p>
    <w:p w14:paraId="37CBF771">
      <w:pPr>
        <w:snapToGrid w:val="0"/>
        <w:spacing w:before="120" w:beforeLines="50" w:after="50"/>
        <w:rPr>
          <w:rFonts w:hint="eastAsia" w:ascii="宋体" w:hAnsi="宋体"/>
          <w:sz w:val="24"/>
          <w:szCs w:val="20"/>
        </w:rPr>
      </w:pPr>
    </w:p>
    <w:p w14:paraId="50995526">
      <w:pPr>
        <w:snapToGrid w:val="0"/>
        <w:spacing w:before="120" w:beforeLines="50" w:after="5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商  务  技  术  文  件（封面）</w:t>
      </w:r>
    </w:p>
    <w:p w14:paraId="0ED85843">
      <w:pPr>
        <w:snapToGrid w:val="0"/>
        <w:spacing w:before="120" w:beforeLines="50" w:after="50"/>
        <w:rPr>
          <w:rFonts w:hint="eastAsia" w:ascii="宋体" w:hAnsi="宋体" w:eastAsia="等线"/>
          <w:bCs/>
          <w:sz w:val="24"/>
          <w:szCs w:val="20"/>
        </w:rPr>
      </w:pPr>
    </w:p>
    <w:p w14:paraId="2D0C685F">
      <w:pPr>
        <w:snapToGrid w:val="0"/>
        <w:spacing w:before="120" w:beforeLines="50" w:after="50"/>
        <w:rPr>
          <w:rFonts w:hint="eastAsia" w:ascii="宋体" w:hAnsi="宋体"/>
          <w:bCs/>
          <w:sz w:val="24"/>
          <w:szCs w:val="20"/>
        </w:rPr>
      </w:pPr>
    </w:p>
    <w:p w14:paraId="4D733E68">
      <w:pPr>
        <w:snapToGrid w:val="0"/>
        <w:spacing w:before="120" w:beforeLines="50" w:after="50"/>
        <w:rPr>
          <w:rFonts w:hint="eastAsia" w:ascii="宋体" w:hAnsi="宋体"/>
          <w:bCs/>
          <w:sz w:val="24"/>
          <w:szCs w:val="20"/>
        </w:rPr>
      </w:pPr>
    </w:p>
    <w:p w14:paraId="710269BC">
      <w:pPr>
        <w:snapToGrid w:val="0"/>
        <w:spacing w:before="120" w:beforeLines="50" w:after="50"/>
        <w:rPr>
          <w:rFonts w:hint="eastAsia" w:ascii="宋体" w:hAnsi="宋体"/>
          <w:bCs/>
          <w:sz w:val="24"/>
          <w:szCs w:val="20"/>
        </w:rPr>
      </w:pPr>
    </w:p>
    <w:p w14:paraId="3DAB25ED">
      <w:pPr>
        <w:snapToGrid w:val="0"/>
        <w:spacing w:before="120" w:beforeLines="50" w:after="50"/>
        <w:rPr>
          <w:rFonts w:hint="eastAsia" w:ascii="宋体" w:hAnsi="宋体"/>
          <w:bCs/>
          <w:sz w:val="24"/>
          <w:szCs w:val="20"/>
        </w:rPr>
      </w:pPr>
    </w:p>
    <w:p w14:paraId="52682638">
      <w:pPr>
        <w:snapToGrid w:val="0"/>
        <w:spacing w:before="120" w:beforeLines="50" w:after="50"/>
        <w:ind w:firstLine="640" w:firstLineChars="200"/>
        <w:rPr>
          <w:rFonts w:hint="eastAsia" w:ascii="宋体" w:hAnsi="宋体" w:eastAsia="宋体" w:cs="仿宋_GB2312"/>
          <w:bCs/>
          <w:sz w:val="32"/>
          <w:szCs w:val="32"/>
          <w:lang w:eastAsia="zh-CN"/>
        </w:rPr>
      </w:pPr>
      <w:r>
        <w:rPr>
          <w:rFonts w:hint="eastAsia" w:ascii="宋体" w:hAnsi="宋体" w:cs="仿宋_GB2312"/>
          <w:bCs/>
          <w:sz w:val="32"/>
          <w:szCs w:val="32"/>
        </w:rPr>
        <w:t>项目名称：</w:t>
      </w:r>
      <w:r>
        <w:rPr>
          <w:rFonts w:hint="eastAsia" w:ascii="宋体" w:hAnsi="宋体" w:cs="仿宋_GB2312"/>
          <w:bCs/>
          <w:sz w:val="32"/>
          <w:szCs w:val="32"/>
          <w:lang w:eastAsia="zh-CN"/>
        </w:rPr>
        <w:t>2026年上林县幼儿园设备采购项目（重）</w:t>
      </w:r>
    </w:p>
    <w:p w14:paraId="0295B073">
      <w:pPr>
        <w:snapToGrid w:val="0"/>
        <w:spacing w:before="120" w:beforeLines="50" w:after="50"/>
        <w:ind w:firstLine="720" w:firstLineChars="225"/>
        <w:rPr>
          <w:rFonts w:hint="eastAsia" w:ascii="宋体" w:hAnsi="宋体" w:cs="仿宋_GB2312"/>
          <w:bCs/>
          <w:sz w:val="32"/>
          <w:szCs w:val="32"/>
        </w:rPr>
      </w:pPr>
    </w:p>
    <w:p w14:paraId="158F2073">
      <w:pPr>
        <w:snapToGrid w:val="0"/>
        <w:spacing w:before="120" w:beforeLines="50" w:after="50"/>
        <w:ind w:firstLine="640" w:firstLineChars="200"/>
        <w:rPr>
          <w:rFonts w:hint="eastAsia" w:ascii="宋体" w:hAnsi="宋体" w:eastAsia="宋体" w:cs="仿宋_GB2312"/>
          <w:bCs/>
          <w:sz w:val="32"/>
          <w:szCs w:val="32"/>
          <w:lang w:eastAsia="zh-CN"/>
        </w:rPr>
      </w:pPr>
      <w:r>
        <w:rPr>
          <w:rFonts w:hint="eastAsia" w:ascii="宋体" w:hAnsi="宋体" w:cs="仿宋_GB2312"/>
          <w:bCs/>
          <w:sz w:val="32"/>
          <w:szCs w:val="32"/>
        </w:rPr>
        <w:t>项目编号：</w:t>
      </w:r>
      <w:r>
        <w:rPr>
          <w:rFonts w:hint="eastAsia" w:ascii="宋体" w:hAnsi="宋体" w:cs="仿宋_GB2312"/>
          <w:bCs/>
          <w:sz w:val="32"/>
          <w:szCs w:val="32"/>
          <w:lang w:eastAsia="zh-CN"/>
        </w:rPr>
        <w:t xml:space="preserve"> NNZC2026-J1-250095-SLXZ</w:t>
      </w:r>
    </w:p>
    <w:p w14:paraId="0DBC4D97">
      <w:pPr>
        <w:snapToGrid w:val="0"/>
        <w:spacing w:before="120" w:beforeLines="50" w:after="50"/>
        <w:ind w:firstLine="720" w:firstLineChars="225"/>
        <w:rPr>
          <w:rFonts w:hint="eastAsia" w:ascii="宋体" w:hAnsi="宋体" w:cs="仿宋_GB2312"/>
          <w:bCs/>
          <w:sz w:val="32"/>
          <w:szCs w:val="32"/>
        </w:rPr>
      </w:pPr>
      <w:r>
        <w:rPr>
          <w:rFonts w:hint="eastAsia" w:ascii="宋体" w:hAnsi="宋体" w:cs="仿宋_GB2312"/>
          <w:bCs/>
          <w:sz w:val="32"/>
          <w:szCs w:val="32"/>
        </w:rPr>
        <w:t xml:space="preserve"> </w:t>
      </w:r>
    </w:p>
    <w:p w14:paraId="5EBCBBF1">
      <w:pPr>
        <w:snapToGrid w:val="0"/>
        <w:spacing w:before="120" w:beforeLines="50" w:after="50"/>
        <w:ind w:firstLine="640" w:firstLineChars="200"/>
        <w:rPr>
          <w:rFonts w:hint="eastAsia" w:ascii="宋体" w:hAnsi="宋体" w:cs="仿宋_GB2312"/>
          <w:bCs/>
          <w:sz w:val="32"/>
          <w:szCs w:val="32"/>
        </w:rPr>
      </w:pPr>
      <w:r>
        <w:rPr>
          <w:rFonts w:hint="eastAsia" w:ascii="宋体" w:hAnsi="宋体" w:cs="仿宋_GB2312"/>
          <w:bCs/>
          <w:sz w:val="32"/>
          <w:szCs w:val="32"/>
        </w:rPr>
        <w:t>所竞分标（如有则填写，无分标时填写“无”或者留空）：</w:t>
      </w:r>
    </w:p>
    <w:p w14:paraId="63780C25">
      <w:pPr>
        <w:snapToGrid w:val="0"/>
        <w:spacing w:before="120" w:beforeLines="50" w:after="50"/>
        <w:ind w:firstLine="720" w:firstLineChars="225"/>
        <w:rPr>
          <w:rFonts w:hint="eastAsia" w:ascii="宋体" w:hAnsi="宋体" w:cs="仿宋_GB2312"/>
          <w:bCs/>
          <w:sz w:val="32"/>
          <w:szCs w:val="32"/>
        </w:rPr>
      </w:pPr>
    </w:p>
    <w:p w14:paraId="1711D83D">
      <w:pPr>
        <w:snapToGrid w:val="0"/>
        <w:spacing w:before="50" w:after="50"/>
        <w:ind w:firstLine="640" w:firstLineChars="200"/>
        <w:rPr>
          <w:rFonts w:hint="eastAsia" w:ascii="宋体" w:hAnsi="宋体" w:cs="仿宋_GB2312"/>
          <w:bCs/>
          <w:sz w:val="32"/>
          <w:szCs w:val="32"/>
        </w:rPr>
      </w:pPr>
      <w:r>
        <w:rPr>
          <w:rFonts w:hint="eastAsia" w:ascii="宋体" w:hAnsi="宋体" w:cs="仿宋_GB2312"/>
          <w:bCs/>
          <w:sz w:val="32"/>
          <w:szCs w:val="32"/>
        </w:rPr>
        <w:t>供应商名称：</w:t>
      </w:r>
    </w:p>
    <w:p w14:paraId="387A1375">
      <w:pPr>
        <w:snapToGrid w:val="0"/>
        <w:spacing w:before="50" w:after="50"/>
        <w:ind w:firstLine="720" w:firstLineChars="225"/>
        <w:rPr>
          <w:rFonts w:hint="eastAsia" w:ascii="宋体" w:hAnsi="宋体" w:cs="仿宋_GB2312"/>
          <w:bCs/>
          <w:sz w:val="32"/>
          <w:szCs w:val="32"/>
        </w:rPr>
      </w:pPr>
    </w:p>
    <w:p w14:paraId="113DA971">
      <w:pPr>
        <w:snapToGrid w:val="0"/>
        <w:spacing w:before="50" w:after="50"/>
        <w:ind w:firstLine="720" w:firstLineChars="225"/>
        <w:rPr>
          <w:rFonts w:hint="eastAsia" w:ascii="宋体" w:hAnsi="宋体" w:cs="仿宋_GB2312"/>
          <w:bCs/>
          <w:sz w:val="32"/>
          <w:szCs w:val="32"/>
        </w:rPr>
      </w:pPr>
    </w:p>
    <w:p w14:paraId="36959498">
      <w:pPr>
        <w:snapToGrid w:val="0"/>
        <w:spacing w:before="50" w:after="50"/>
        <w:ind w:firstLine="1280" w:firstLineChars="400"/>
        <w:rPr>
          <w:rFonts w:hint="eastAsia" w:ascii="宋体" w:hAnsi="宋体" w:cs="仿宋_GB2312"/>
          <w:bCs/>
          <w:sz w:val="32"/>
          <w:szCs w:val="32"/>
        </w:rPr>
      </w:pPr>
    </w:p>
    <w:p w14:paraId="49D92F5B">
      <w:pPr>
        <w:snapToGrid w:val="0"/>
        <w:spacing w:before="120" w:beforeLines="50" w:after="50"/>
        <w:jc w:val="center"/>
        <w:rPr>
          <w:rFonts w:hint="eastAsia" w:ascii="宋体" w:hAnsi="宋体" w:cs="仿宋_GB2312"/>
          <w:sz w:val="32"/>
          <w:szCs w:val="32"/>
        </w:rPr>
      </w:pPr>
      <w:r>
        <w:rPr>
          <w:rFonts w:hint="eastAsia" w:ascii="宋体" w:hAnsi="宋体" w:cs="仿宋_GB2312"/>
          <w:sz w:val="32"/>
          <w:szCs w:val="32"/>
        </w:rPr>
        <w:t>年    月    日</w:t>
      </w:r>
    </w:p>
    <w:p w14:paraId="7B513A34">
      <w:pPr>
        <w:jc w:val="center"/>
        <w:rPr>
          <w:rFonts w:hint="eastAsia" w:ascii="仿宋_GB2312" w:hAnsi="仿宋" w:eastAsia="仿宋_GB2312" w:cs="仿宋_GB2312"/>
          <w:b/>
          <w:kern w:val="0"/>
          <w:sz w:val="28"/>
          <w:szCs w:val="28"/>
        </w:rPr>
      </w:pPr>
      <w:r>
        <w:rPr>
          <w:rFonts w:hint="eastAsia" w:ascii="宋体" w:hAnsi="宋体"/>
          <w:kern w:val="0"/>
          <w:sz w:val="24"/>
          <w:szCs w:val="24"/>
        </w:rPr>
        <w:br w:type="page"/>
      </w:r>
      <w:r>
        <w:rPr>
          <w:rFonts w:hint="eastAsia" w:ascii="仿宋_GB2312" w:hAnsi="仿宋" w:eastAsia="仿宋_GB2312" w:cs="仿宋_GB2312"/>
          <w:b/>
          <w:kern w:val="0"/>
          <w:sz w:val="28"/>
          <w:szCs w:val="28"/>
        </w:rPr>
        <w:t>商务技术文件目录</w:t>
      </w:r>
    </w:p>
    <w:p w14:paraId="5E7B974D">
      <w:pPr>
        <w:spacing w:line="360" w:lineRule="auto"/>
        <w:rPr>
          <w:rFonts w:hint="eastAsia" w:ascii="等线" w:hAnsi="等线" w:eastAsia="等线" w:cs="仿宋_GB2312"/>
        </w:rPr>
      </w:pPr>
      <w:r>
        <w:rPr>
          <w:rFonts w:hint="eastAsia" w:cs="仿宋_GB2312"/>
          <w:szCs w:val="24"/>
        </w:rPr>
        <w:t>一、无串标行为承诺函………………………………………………………（页码）</w:t>
      </w:r>
    </w:p>
    <w:p w14:paraId="60675F6A">
      <w:pPr>
        <w:spacing w:line="360" w:lineRule="auto"/>
        <w:rPr>
          <w:rFonts w:hint="eastAsia" w:cs="仿宋_GB2312"/>
          <w:szCs w:val="24"/>
        </w:rPr>
      </w:pPr>
      <w:r>
        <w:rPr>
          <w:rFonts w:hint="eastAsia" w:cs="仿宋_GB2312"/>
          <w:szCs w:val="24"/>
        </w:rPr>
        <w:t>二、法定代表人身份证明及法定代表人有效身份证正反面复印件………（页码）</w:t>
      </w:r>
    </w:p>
    <w:p w14:paraId="0CEF1070">
      <w:pPr>
        <w:spacing w:line="360" w:lineRule="auto"/>
        <w:rPr>
          <w:rFonts w:cs="仿宋_GB2312"/>
          <w:szCs w:val="24"/>
        </w:rPr>
      </w:pPr>
      <w:r>
        <w:rPr>
          <w:rFonts w:hint="eastAsia" w:cs="仿宋_GB2312"/>
          <w:szCs w:val="24"/>
        </w:rPr>
        <w:t>三、法定代表人授权委托书（如有委托时）………………………………（页码）</w:t>
      </w:r>
    </w:p>
    <w:p w14:paraId="11696EE9">
      <w:pPr>
        <w:spacing w:line="360" w:lineRule="auto"/>
        <w:rPr>
          <w:rFonts w:cs="仿宋_GB2312"/>
          <w:szCs w:val="24"/>
        </w:rPr>
      </w:pPr>
      <w:r>
        <w:rPr>
          <w:rFonts w:hint="eastAsia" w:cs="仿宋_GB2312"/>
          <w:szCs w:val="24"/>
        </w:rPr>
        <w:t>四、</w:t>
      </w:r>
      <w:r>
        <w:rPr>
          <w:rFonts w:hint="eastAsia" w:cs="仿宋_GB2312"/>
          <w:szCs w:val="24"/>
          <w:lang w:val="zh-CN"/>
        </w:rPr>
        <w:t>商务条款偏离表………………………………</w:t>
      </w:r>
      <w:r>
        <w:rPr>
          <w:rFonts w:hint="eastAsia" w:cs="仿宋_GB2312"/>
          <w:szCs w:val="24"/>
        </w:rPr>
        <w:t>…………………………（页码）</w:t>
      </w:r>
    </w:p>
    <w:p w14:paraId="64F72730">
      <w:pPr>
        <w:spacing w:line="360" w:lineRule="auto"/>
        <w:rPr>
          <w:rFonts w:cs="仿宋_GB2312"/>
          <w:szCs w:val="24"/>
        </w:rPr>
      </w:pPr>
      <w:r>
        <w:rPr>
          <w:rFonts w:hint="eastAsia" w:cs="仿宋_GB2312"/>
          <w:szCs w:val="24"/>
        </w:rPr>
        <w:t>五、</w:t>
      </w:r>
      <w:r>
        <w:rPr>
          <w:rFonts w:hint="eastAsia" w:cs="仿宋_GB2312"/>
          <w:szCs w:val="24"/>
          <w:lang w:eastAsia="zh-CN"/>
        </w:rPr>
        <w:t>响应</w:t>
      </w:r>
      <w:r>
        <w:rPr>
          <w:rFonts w:hint="eastAsia" w:cs="仿宋_GB2312"/>
          <w:szCs w:val="24"/>
        </w:rPr>
        <w:t>人情况介绍</w:t>
      </w:r>
      <w:r>
        <w:rPr>
          <w:rFonts w:hint="eastAsia" w:cs="仿宋_GB2312"/>
          <w:szCs w:val="24"/>
          <w:lang w:val="zh-CN"/>
        </w:rPr>
        <w:t>………………………………</w:t>
      </w:r>
      <w:r>
        <w:rPr>
          <w:rFonts w:hint="eastAsia" w:cs="仿宋_GB2312"/>
          <w:szCs w:val="24"/>
        </w:rPr>
        <w:t>…………………………（页码）</w:t>
      </w:r>
    </w:p>
    <w:p w14:paraId="74E9752C">
      <w:pPr>
        <w:spacing w:line="360" w:lineRule="auto"/>
        <w:rPr>
          <w:rFonts w:cs="仿宋_GB2312"/>
          <w:szCs w:val="24"/>
        </w:rPr>
      </w:pPr>
      <w:r>
        <w:rPr>
          <w:rFonts w:hint="eastAsia" w:cs="仿宋_GB2312"/>
          <w:szCs w:val="24"/>
        </w:rPr>
        <w:t>六、供应商类似业绩的证明文件（如有要求）</w:t>
      </w:r>
      <w:r>
        <w:rPr>
          <w:rFonts w:hint="eastAsia" w:cs="仿宋_GB2312"/>
          <w:szCs w:val="24"/>
          <w:lang w:val="zh-CN"/>
        </w:rPr>
        <w:t>……………………………</w:t>
      </w:r>
      <w:r>
        <w:rPr>
          <w:rFonts w:hint="eastAsia" w:cs="仿宋_GB2312"/>
          <w:szCs w:val="24"/>
        </w:rPr>
        <w:t>（页码）</w:t>
      </w:r>
    </w:p>
    <w:p w14:paraId="2E9E1967">
      <w:pPr>
        <w:spacing w:line="360" w:lineRule="auto"/>
        <w:rPr>
          <w:rFonts w:cs="仿宋_GB2312"/>
          <w:szCs w:val="24"/>
        </w:rPr>
      </w:pPr>
      <w:r>
        <w:rPr>
          <w:rFonts w:hint="eastAsia" w:cs="仿宋_GB2312"/>
          <w:szCs w:val="24"/>
        </w:rPr>
        <w:t>七、货物需求偏离表…………………………………………………………（页码）</w:t>
      </w:r>
    </w:p>
    <w:p w14:paraId="4871D2F8">
      <w:pPr>
        <w:spacing w:line="360" w:lineRule="auto"/>
        <w:rPr>
          <w:rFonts w:cs="仿宋_GB2312"/>
          <w:szCs w:val="24"/>
        </w:rPr>
      </w:pPr>
      <w:r>
        <w:rPr>
          <w:rFonts w:hint="eastAsia" w:cs="仿宋_GB2312"/>
          <w:szCs w:val="24"/>
        </w:rPr>
        <w:t>八、配置清单…………………………………………………………………（页码）</w:t>
      </w:r>
    </w:p>
    <w:p w14:paraId="325539FB">
      <w:pPr>
        <w:spacing w:line="360" w:lineRule="auto"/>
        <w:rPr>
          <w:rFonts w:cs="仿宋_GB2312"/>
          <w:szCs w:val="24"/>
        </w:rPr>
      </w:pPr>
      <w:r>
        <w:rPr>
          <w:rFonts w:hint="eastAsia" w:cs="仿宋_GB2312"/>
          <w:szCs w:val="24"/>
        </w:rPr>
        <w:t>九、售后服务方案………………………………</w:t>
      </w:r>
      <w:r>
        <w:rPr>
          <w:rFonts w:hint="eastAsia" w:cs="仿宋_GB2312"/>
          <w:szCs w:val="24"/>
          <w:lang w:val="zh-CN"/>
        </w:rPr>
        <w:t>………</w:t>
      </w:r>
      <w:r>
        <w:rPr>
          <w:rFonts w:hint="eastAsia" w:cs="仿宋_GB2312"/>
          <w:szCs w:val="24"/>
        </w:rPr>
        <w:t>……………………（页码）</w:t>
      </w:r>
    </w:p>
    <w:p w14:paraId="0DC8AD63">
      <w:pPr>
        <w:spacing w:line="360" w:lineRule="auto"/>
        <w:rPr>
          <w:rFonts w:cs="仿宋_GB2312"/>
          <w:szCs w:val="24"/>
        </w:rPr>
      </w:pPr>
      <w:r>
        <w:rPr>
          <w:rFonts w:hint="eastAsia" w:cs="仿宋_GB2312"/>
          <w:szCs w:val="24"/>
        </w:rPr>
        <w:t>十、</w:t>
      </w:r>
      <w:r>
        <w:rPr>
          <w:rFonts w:hint="eastAsia" w:cs="仿宋_GB2312"/>
          <w:szCs w:val="24"/>
          <w:lang w:val="zh-CN"/>
        </w:rPr>
        <w:t>项目实施人员一览表（如有要求）…………………………</w:t>
      </w:r>
      <w:r>
        <w:rPr>
          <w:rFonts w:hint="eastAsia" w:cs="仿宋_GB2312"/>
          <w:szCs w:val="24"/>
        </w:rPr>
        <w:t>…………（页码）</w:t>
      </w:r>
    </w:p>
    <w:p w14:paraId="19C9BCA5">
      <w:pPr>
        <w:spacing w:line="360" w:lineRule="auto"/>
        <w:rPr>
          <w:rFonts w:cs="仿宋_GB2312"/>
          <w:szCs w:val="24"/>
        </w:rPr>
      </w:pPr>
      <w:r>
        <w:rPr>
          <w:rFonts w:hint="eastAsia" w:cs="仿宋_GB2312"/>
          <w:szCs w:val="24"/>
        </w:rPr>
        <w:t>十一、货物需求、商务条款要求提供的其他材料</w:t>
      </w:r>
      <w:r>
        <w:rPr>
          <w:rFonts w:hint="eastAsia" w:cs="仿宋_GB2312"/>
          <w:szCs w:val="24"/>
          <w:lang w:val="zh-CN"/>
        </w:rPr>
        <w:t>…………………</w:t>
      </w:r>
      <w:r>
        <w:rPr>
          <w:rFonts w:hint="eastAsia" w:cs="仿宋_GB2312"/>
          <w:szCs w:val="24"/>
        </w:rPr>
        <w:t>………（页码）</w:t>
      </w:r>
    </w:p>
    <w:p w14:paraId="5CFE4E57">
      <w:pPr>
        <w:spacing w:line="360" w:lineRule="auto"/>
        <w:rPr>
          <w:rFonts w:ascii="仿宋_GB2312" w:hAnsi="仿宋" w:eastAsia="仿宋_GB2312" w:cs="仿宋_GB2312"/>
          <w:b/>
          <w:bCs/>
          <w:sz w:val="24"/>
          <w:szCs w:val="24"/>
        </w:rPr>
      </w:pPr>
      <w:r>
        <w:rPr>
          <w:rFonts w:hint="eastAsia" w:ascii="仿宋_GB2312" w:hAnsi="仿宋" w:eastAsia="仿宋_GB2312" w:cs="仿宋_GB2312"/>
          <w:b/>
          <w:bCs/>
          <w:sz w:val="24"/>
          <w:szCs w:val="24"/>
        </w:rPr>
        <w:t>注：以上目录是基本格式要求，各供应商可根据自身情况进一步向下增加内容或细化。</w:t>
      </w:r>
    </w:p>
    <w:p w14:paraId="72D64E6B">
      <w:pPr>
        <w:snapToGrid w:val="0"/>
        <w:spacing w:before="120" w:beforeLines="50" w:after="50" w:line="360" w:lineRule="auto"/>
        <w:ind w:left="142" w:firstLine="640" w:firstLineChars="200"/>
        <w:jc w:val="left"/>
        <w:rPr>
          <w:rFonts w:hint="eastAsia" w:ascii="仿宋_GB2312" w:hAnsi="仿宋_GB2312" w:eastAsia="仿宋_GB2312" w:cs="仿宋_GB2312"/>
          <w:sz w:val="32"/>
          <w:szCs w:val="32"/>
        </w:rPr>
      </w:pPr>
    </w:p>
    <w:p w14:paraId="3D7550C7">
      <w:pPr>
        <w:spacing w:line="520" w:lineRule="exact"/>
        <w:ind w:firstLine="880" w:firstLineChars="20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kern w:val="0"/>
          <w:sz w:val="44"/>
          <w:szCs w:val="44"/>
        </w:rPr>
        <w:br w:type="page"/>
      </w:r>
      <w:r>
        <w:rPr>
          <w:rFonts w:hint="eastAsia" w:ascii="仿宋" w:hAnsi="仿宋" w:eastAsia="仿宋" w:cs="仿宋_GB2312"/>
          <w:b/>
          <w:sz w:val="30"/>
          <w:szCs w:val="30"/>
        </w:rPr>
        <w:t>一、无串标行为承诺函</w:t>
      </w:r>
    </w:p>
    <w:p w14:paraId="204C016F">
      <w:pPr>
        <w:spacing w:line="520" w:lineRule="exact"/>
        <w:jc w:val="center"/>
        <w:rPr>
          <w:rFonts w:hint="eastAsia" w:ascii="方正小标宋简体" w:hAnsi="方正小标宋简体" w:eastAsia="方正小标宋简体" w:cs="方正小标宋简体"/>
          <w:sz w:val="44"/>
          <w:szCs w:val="44"/>
        </w:rPr>
      </w:pPr>
    </w:p>
    <w:p w14:paraId="1F027C75">
      <w:pPr>
        <w:spacing w:line="520" w:lineRule="exact"/>
        <w:jc w:val="center"/>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sz w:val="44"/>
          <w:szCs w:val="44"/>
        </w:rPr>
        <w:t>无串通</w:t>
      </w:r>
      <w:r>
        <w:rPr>
          <w:rFonts w:hint="eastAsia" w:ascii="方正小标宋简体" w:hAnsi="方正小标宋简体" w:eastAsia="方正小标宋简体" w:cs="方正小标宋简体"/>
          <w:sz w:val="44"/>
          <w:szCs w:val="44"/>
          <w:lang w:eastAsia="zh-CN"/>
        </w:rPr>
        <w:t>响应</w:t>
      </w:r>
      <w:r>
        <w:rPr>
          <w:rFonts w:hint="eastAsia" w:ascii="方正小标宋简体" w:hAnsi="方正小标宋简体" w:eastAsia="方正小标宋简体" w:cs="方正小标宋简体"/>
          <w:sz w:val="44"/>
          <w:szCs w:val="44"/>
        </w:rPr>
        <w:t>行为的承诺函</w:t>
      </w:r>
    </w:p>
    <w:p w14:paraId="31DDD556">
      <w:pPr>
        <w:spacing w:line="360" w:lineRule="auto"/>
        <w:rPr>
          <w:rFonts w:hint="eastAsia" w:ascii="仿宋_GB2312" w:hAnsi="仿宋_GB2312" w:eastAsia="仿宋_GB2312" w:cs="仿宋_GB2312"/>
          <w:color w:val="000000"/>
          <w:sz w:val="32"/>
          <w:szCs w:val="32"/>
        </w:rPr>
      </w:pPr>
    </w:p>
    <w:p w14:paraId="30B3E8D3">
      <w:pPr>
        <w:spacing w:line="360" w:lineRule="auto"/>
        <w:ind w:firstLine="482" w:firstLineChars="200"/>
        <w:rPr>
          <w:rFonts w:hint="eastAsia" w:ascii="宋体" w:hAnsi="宋体" w:eastAsia="等线" w:cs="仿宋_GB2312"/>
          <w:b/>
          <w:bCs/>
          <w:color w:val="000000"/>
          <w:sz w:val="24"/>
        </w:rPr>
      </w:pPr>
      <w:r>
        <w:rPr>
          <w:rFonts w:hint="eastAsia" w:ascii="宋体" w:hAnsi="宋体" w:cs="仿宋_GB2312"/>
          <w:b/>
          <w:bCs/>
          <w:color w:val="000000"/>
          <w:sz w:val="24"/>
          <w:szCs w:val="24"/>
        </w:rPr>
        <w:t>一、我方承诺无下列相互串通</w:t>
      </w:r>
      <w:r>
        <w:rPr>
          <w:rFonts w:hint="eastAsia" w:ascii="宋体" w:hAnsi="宋体" w:cs="仿宋_GB2312"/>
          <w:b/>
          <w:bCs/>
          <w:color w:val="000000"/>
          <w:sz w:val="24"/>
          <w:szCs w:val="24"/>
          <w:lang w:eastAsia="zh-CN"/>
        </w:rPr>
        <w:t>响应</w:t>
      </w:r>
      <w:r>
        <w:rPr>
          <w:rFonts w:hint="eastAsia" w:ascii="宋体" w:hAnsi="宋体" w:cs="仿宋_GB2312"/>
          <w:b/>
          <w:bCs/>
          <w:color w:val="000000"/>
          <w:sz w:val="24"/>
          <w:szCs w:val="24"/>
        </w:rPr>
        <w:t>的情形：</w:t>
      </w:r>
    </w:p>
    <w:p w14:paraId="60C877EC">
      <w:pPr>
        <w:spacing w:line="360" w:lineRule="auto"/>
        <w:ind w:firstLine="480" w:firstLineChars="200"/>
        <w:rPr>
          <w:rFonts w:hint="eastAsia" w:ascii="宋体" w:hAnsi="宋体" w:cs="仿宋_GB2312"/>
          <w:color w:val="000000"/>
          <w:sz w:val="24"/>
          <w:szCs w:val="24"/>
          <w:highlight w:val="yellow"/>
        </w:rPr>
      </w:pPr>
      <w:r>
        <w:rPr>
          <w:rFonts w:hint="eastAsia" w:ascii="宋体" w:hAnsi="宋体" w:cs="仿宋_GB2312"/>
          <w:color w:val="000000"/>
          <w:sz w:val="24"/>
          <w:szCs w:val="24"/>
        </w:rPr>
        <w:t>1.不同供应商的响应文件由同一单位或者个人编制；</w:t>
      </w:r>
      <w:r>
        <w:rPr>
          <w:rFonts w:hint="eastAsia" w:ascii="宋体" w:hAnsi="宋体"/>
          <w:color w:val="000000"/>
          <w:sz w:val="24"/>
          <w:szCs w:val="24"/>
        </w:rPr>
        <w:t>或者不同供应商报名的</w:t>
      </w:r>
      <w:r>
        <w:rPr>
          <w:rFonts w:hint="eastAsia" w:ascii="宋体" w:hAnsi="宋体"/>
          <w:sz w:val="24"/>
          <w:szCs w:val="24"/>
        </w:rPr>
        <w:t>IP地址一致的；或者编制响应文件硬件设备CPU编号、硬盘编号、网卡地址一致的情况。</w:t>
      </w:r>
    </w:p>
    <w:p w14:paraId="628F0C08">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2.不同供应商委托同一单位或者个人办理</w:t>
      </w:r>
      <w:r>
        <w:rPr>
          <w:rFonts w:hint="eastAsia" w:ascii="宋体" w:hAnsi="宋体" w:cs="仿宋_GB2312"/>
          <w:color w:val="000000"/>
          <w:sz w:val="24"/>
          <w:szCs w:val="24"/>
          <w:lang w:eastAsia="zh-CN"/>
        </w:rPr>
        <w:t>响应</w:t>
      </w:r>
      <w:r>
        <w:rPr>
          <w:rFonts w:hint="eastAsia" w:ascii="宋体" w:hAnsi="宋体" w:cs="仿宋_GB2312"/>
          <w:color w:val="000000"/>
          <w:sz w:val="24"/>
          <w:szCs w:val="24"/>
        </w:rPr>
        <w:t>事宜；</w:t>
      </w:r>
    </w:p>
    <w:p w14:paraId="7531E823">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3.不同的供应商的响应文件载明的项目管理员为同一个人；</w:t>
      </w:r>
    </w:p>
    <w:p w14:paraId="5CC3FFD2">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4.不</w:t>
      </w:r>
      <w:r>
        <w:rPr>
          <w:rFonts w:hint="eastAsia" w:ascii="宋体" w:hAnsi="宋体" w:cs="仿宋_GB2312"/>
          <w:color w:val="000000"/>
          <w:spacing w:val="-6"/>
          <w:sz w:val="24"/>
          <w:szCs w:val="24"/>
        </w:rPr>
        <w:t>同供应商的响应文件异常一致或者</w:t>
      </w:r>
      <w:r>
        <w:rPr>
          <w:rFonts w:hint="eastAsia" w:ascii="宋体" w:hAnsi="宋体" w:cs="仿宋_GB2312"/>
          <w:color w:val="000000"/>
          <w:spacing w:val="-6"/>
          <w:sz w:val="24"/>
          <w:szCs w:val="24"/>
          <w:lang w:eastAsia="zh-CN"/>
        </w:rPr>
        <w:t>响应</w:t>
      </w:r>
      <w:r>
        <w:rPr>
          <w:rFonts w:hint="eastAsia" w:ascii="宋体" w:hAnsi="宋体" w:cs="仿宋_GB2312"/>
          <w:color w:val="000000"/>
          <w:spacing w:val="-6"/>
          <w:sz w:val="24"/>
          <w:szCs w:val="24"/>
        </w:rPr>
        <w:t>报价呈规律性差异；</w:t>
      </w:r>
    </w:p>
    <w:p w14:paraId="356ADD33">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5.不同供应商的响应文件相互混装；</w:t>
      </w:r>
    </w:p>
    <w:p w14:paraId="5D6F22B0">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6.不同供应商的</w:t>
      </w:r>
      <w:r>
        <w:rPr>
          <w:rFonts w:hint="eastAsia" w:ascii="宋体" w:hAnsi="宋体" w:cs="仿宋_GB2312"/>
          <w:color w:val="000000"/>
          <w:sz w:val="24"/>
          <w:szCs w:val="24"/>
          <w:lang w:eastAsia="zh-CN"/>
        </w:rPr>
        <w:t>响应</w:t>
      </w:r>
      <w:r>
        <w:rPr>
          <w:rFonts w:hint="eastAsia" w:ascii="宋体" w:hAnsi="宋体" w:cs="仿宋_GB2312"/>
          <w:color w:val="000000"/>
          <w:sz w:val="24"/>
          <w:szCs w:val="24"/>
        </w:rPr>
        <w:t>保证金从同一单位或者个人账户转出。</w:t>
      </w:r>
    </w:p>
    <w:p w14:paraId="43664352">
      <w:pPr>
        <w:spacing w:line="360" w:lineRule="auto"/>
        <w:ind w:firstLine="482" w:firstLineChars="200"/>
        <w:rPr>
          <w:rFonts w:hint="eastAsia" w:ascii="宋体" w:hAnsi="宋体" w:cs="仿宋_GB2312"/>
          <w:b/>
          <w:bCs/>
          <w:color w:val="000000"/>
          <w:sz w:val="24"/>
          <w:szCs w:val="24"/>
        </w:rPr>
      </w:pPr>
      <w:r>
        <w:rPr>
          <w:rFonts w:hint="eastAsia" w:ascii="宋体" w:hAnsi="宋体" w:cs="仿宋_GB2312"/>
          <w:b/>
          <w:bCs/>
          <w:color w:val="000000"/>
          <w:sz w:val="24"/>
          <w:szCs w:val="24"/>
        </w:rPr>
        <w:t>二、</w:t>
      </w:r>
      <w:r>
        <w:rPr>
          <w:rFonts w:hint="eastAsia" w:ascii="宋体" w:hAnsi="宋体" w:cs="仿宋_GB2312"/>
          <w:b/>
          <w:bCs/>
          <w:color w:val="000000"/>
          <w:sz w:val="24"/>
          <w:szCs w:val="24"/>
          <w:highlight w:val="none"/>
        </w:rPr>
        <w:t>我方</w:t>
      </w:r>
      <w:r>
        <w:rPr>
          <w:rFonts w:hint="eastAsia" w:ascii="宋体" w:hAnsi="宋体" w:cs="仿宋_GB2312"/>
          <w:b/>
          <w:bCs/>
          <w:color w:val="000000"/>
          <w:sz w:val="24"/>
          <w:szCs w:val="24"/>
        </w:rPr>
        <w:t>承诺无下列恶意串通的情形：</w:t>
      </w:r>
    </w:p>
    <w:p w14:paraId="3902EE79">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1.供应商直接或者间接从采购人或者采购代理机构处获得其他供应商的相关信息并修改其响应文件；</w:t>
      </w:r>
    </w:p>
    <w:p w14:paraId="734DFE3F">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2.供应商按照采购人或者采购代理机构的授意撤换、修改响应文件；</w:t>
      </w:r>
    </w:p>
    <w:p w14:paraId="7FBD80F1">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3.供</w:t>
      </w:r>
      <w:r>
        <w:rPr>
          <w:rFonts w:hint="eastAsia" w:ascii="宋体" w:hAnsi="宋体" w:cs="仿宋_GB2312"/>
          <w:color w:val="000000"/>
          <w:spacing w:val="-6"/>
          <w:sz w:val="24"/>
          <w:szCs w:val="24"/>
        </w:rPr>
        <w:t>应商之间协商报价、技术方案等响应文件的实质性内容；</w:t>
      </w:r>
    </w:p>
    <w:p w14:paraId="52FCD389">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4.属于同一集团、协会、商会等组织成员的供应商按照该组织要求协同参加政府采购活动；</w:t>
      </w:r>
    </w:p>
    <w:p w14:paraId="4A0A676D">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5.供应商之间事先约定一致抬高或者压低</w:t>
      </w:r>
      <w:r>
        <w:rPr>
          <w:rFonts w:hint="eastAsia" w:ascii="宋体" w:hAnsi="宋体" w:cs="仿宋_GB2312"/>
          <w:color w:val="000000"/>
          <w:sz w:val="24"/>
          <w:szCs w:val="24"/>
          <w:lang w:eastAsia="zh-CN"/>
        </w:rPr>
        <w:t>响应</w:t>
      </w:r>
      <w:r>
        <w:rPr>
          <w:rFonts w:hint="eastAsia" w:ascii="宋体" w:hAnsi="宋体" w:cs="仿宋_GB2312"/>
          <w:color w:val="000000"/>
          <w:sz w:val="24"/>
          <w:szCs w:val="24"/>
        </w:rPr>
        <w:t>报价,或者在竞争性谈判项目中事先约定轮流以高价位或者低价位成交,或者事先约定由某一特定供应商成交,然后再参加</w:t>
      </w:r>
      <w:r>
        <w:rPr>
          <w:rFonts w:hint="eastAsia" w:ascii="宋体" w:hAnsi="宋体" w:cs="仿宋_GB2312"/>
          <w:color w:val="000000"/>
          <w:sz w:val="24"/>
          <w:szCs w:val="24"/>
          <w:lang w:eastAsia="zh-CN"/>
        </w:rPr>
        <w:t>响应</w:t>
      </w:r>
      <w:r>
        <w:rPr>
          <w:rFonts w:hint="eastAsia" w:ascii="宋体" w:hAnsi="宋体" w:cs="仿宋_GB2312"/>
          <w:color w:val="000000"/>
          <w:sz w:val="24"/>
          <w:szCs w:val="24"/>
        </w:rPr>
        <w:t>；</w:t>
      </w:r>
    </w:p>
    <w:p w14:paraId="33F95672">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6.供应商之间商定部分供应商放弃参加政府采购活动或者放弃成交；</w:t>
      </w:r>
    </w:p>
    <w:p w14:paraId="7074E562">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7.供应商与采购人或者采购代理机构之间、供应商相互之间，为</w:t>
      </w:r>
      <w:r>
        <w:rPr>
          <w:rFonts w:hint="eastAsia" w:ascii="宋体" w:hAnsi="宋体" w:cs="仿宋_GB2312"/>
          <w:color w:val="000000"/>
          <w:spacing w:val="-6"/>
          <w:sz w:val="24"/>
          <w:szCs w:val="24"/>
        </w:rPr>
        <w:t>谋求特定供应商成交或者排斥其他供应商的其他串通行为。</w:t>
      </w:r>
    </w:p>
    <w:p w14:paraId="183ADFC1">
      <w:pPr>
        <w:spacing w:line="360" w:lineRule="auto"/>
        <w:ind w:firstLine="480" w:firstLineChars="200"/>
        <w:rPr>
          <w:rFonts w:hint="eastAsia" w:ascii="宋体" w:hAnsi="宋体" w:cs="仿宋_GB2312"/>
          <w:color w:val="000000"/>
          <w:sz w:val="24"/>
          <w:szCs w:val="24"/>
        </w:rPr>
      </w:pPr>
    </w:p>
    <w:p w14:paraId="45BF26E4">
      <w:pPr>
        <w:spacing w:line="360" w:lineRule="auto"/>
        <w:ind w:firstLine="482" w:firstLineChars="200"/>
        <w:rPr>
          <w:rFonts w:hint="eastAsia" w:ascii="宋体" w:hAnsi="宋体" w:cs="仿宋_GB2312"/>
          <w:b/>
          <w:bCs/>
          <w:color w:val="000000"/>
          <w:sz w:val="24"/>
          <w:szCs w:val="24"/>
        </w:rPr>
      </w:pPr>
      <w:r>
        <w:rPr>
          <w:rFonts w:hint="eastAsia" w:ascii="宋体" w:hAnsi="宋体" w:cs="仿宋_GB2312"/>
          <w:b/>
          <w:bCs/>
          <w:color w:val="000000"/>
          <w:sz w:val="24"/>
          <w:szCs w:val="24"/>
        </w:rPr>
        <w:t>以上情形一经核查属实，接受政府采购监管部门对我方认定存在围标串标行为，我方愿意承担一切后果，并不再寻求任何旨在减轻或者免除法律责任的辩解。</w:t>
      </w:r>
    </w:p>
    <w:p w14:paraId="178D1D49">
      <w:pPr>
        <w:autoSpaceDE w:val="0"/>
        <w:autoSpaceDN w:val="0"/>
        <w:spacing w:line="360" w:lineRule="auto"/>
        <w:ind w:left="4335" w:leftChars="1950" w:hanging="240" w:hangingChars="100"/>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供应商名称（电子签章）：</w:t>
      </w:r>
    </w:p>
    <w:p w14:paraId="7F8E8DFE">
      <w:pPr>
        <w:spacing w:line="520" w:lineRule="exact"/>
        <w:ind w:firstLine="6360" w:firstLineChars="2650"/>
        <w:jc w:val="left"/>
        <w:rPr>
          <w:rFonts w:hint="eastAsia" w:ascii="方正小标宋简体" w:hAnsi="方正小标宋简体" w:eastAsia="方正小标宋简体" w:cs="方正小标宋简体"/>
          <w:bCs/>
          <w:sz w:val="44"/>
          <w:szCs w:val="44"/>
        </w:rPr>
      </w:pPr>
      <w:r>
        <w:rPr>
          <w:rFonts w:hint="eastAsia" w:ascii="仿宋_GB2312" w:hAnsi="仿宋" w:eastAsia="仿宋_GB2312" w:cs="仿宋_GB2312"/>
          <w:kern w:val="0"/>
          <w:sz w:val="24"/>
          <w:szCs w:val="24"/>
          <w:lang w:val="zh-CN"/>
        </w:rPr>
        <w:t xml:space="preserve">日期：  年  月   日        </w:t>
      </w:r>
      <w:r>
        <w:rPr>
          <w:rFonts w:hint="eastAsia" w:ascii="宋体" w:hAnsi="宋体"/>
          <w:b/>
          <w:bCs/>
          <w:sz w:val="32"/>
          <w:szCs w:val="32"/>
        </w:rPr>
        <w:br w:type="page"/>
      </w:r>
      <w:r>
        <w:rPr>
          <w:rFonts w:hint="eastAsia" w:ascii="仿宋" w:hAnsi="仿宋" w:eastAsia="仿宋" w:cs="仿宋_GB2312"/>
          <w:b/>
          <w:sz w:val="30"/>
          <w:szCs w:val="30"/>
        </w:rPr>
        <w:t>二、法定代表人身份证明及法定代表人有效身份证正反面复印件</w:t>
      </w:r>
    </w:p>
    <w:p w14:paraId="57432B4F">
      <w:pPr>
        <w:spacing w:line="520" w:lineRule="exact"/>
        <w:jc w:val="center"/>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bCs/>
          <w:sz w:val="44"/>
          <w:szCs w:val="44"/>
        </w:rPr>
        <w:t>法定代表人证明书</w:t>
      </w:r>
    </w:p>
    <w:p w14:paraId="18A3632F">
      <w:pPr>
        <w:spacing w:line="360" w:lineRule="auto"/>
        <w:ind w:left="540"/>
        <w:contextualSpacing/>
        <w:rPr>
          <w:rFonts w:hint="eastAsia" w:ascii="仿宋_GB2312" w:hAnsi="仿宋_GB2312" w:eastAsia="仿宋_GB2312" w:cs="仿宋_GB2312"/>
          <w:sz w:val="32"/>
          <w:szCs w:val="32"/>
        </w:rPr>
      </w:pPr>
    </w:p>
    <w:p w14:paraId="21E4FFA1">
      <w:pPr>
        <w:spacing w:line="360" w:lineRule="auto"/>
        <w:ind w:left="540"/>
        <w:contextualSpacing/>
        <w:rPr>
          <w:rFonts w:hint="eastAsia" w:ascii="宋体" w:hAnsi="宋体" w:eastAsia="等线" w:cs="仿宋_GB2312"/>
          <w:sz w:val="24"/>
        </w:rPr>
      </w:pPr>
      <w:r>
        <w:rPr>
          <w:rFonts w:hint="eastAsia" w:ascii="宋体" w:hAnsi="宋体" w:cs="仿宋_GB2312"/>
          <w:sz w:val="24"/>
          <w:szCs w:val="24"/>
        </w:rPr>
        <w:t>供应商名称：</w:t>
      </w:r>
      <w:r>
        <w:rPr>
          <w:rFonts w:hint="eastAsia" w:ascii="宋体" w:hAnsi="宋体" w:cs="仿宋_GB2312"/>
          <w:sz w:val="24"/>
          <w:szCs w:val="24"/>
          <w:u w:val="single"/>
        </w:rPr>
        <w:t xml:space="preserve">                                                        </w:t>
      </w:r>
    </w:p>
    <w:p w14:paraId="72D482F9">
      <w:pPr>
        <w:spacing w:line="360" w:lineRule="auto"/>
        <w:ind w:left="540"/>
        <w:contextualSpacing/>
        <w:rPr>
          <w:rFonts w:hint="eastAsia" w:ascii="宋体" w:hAnsi="宋体" w:cs="仿宋_GB2312"/>
          <w:sz w:val="24"/>
          <w:szCs w:val="24"/>
        </w:rPr>
      </w:pPr>
      <w:r>
        <w:rPr>
          <w:rFonts w:hint="eastAsia" w:ascii="宋体" w:hAnsi="宋体" w:cs="仿宋_GB2312"/>
          <w:sz w:val="24"/>
          <w:szCs w:val="24"/>
        </w:rPr>
        <w:t>地    址：</w:t>
      </w:r>
      <w:r>
        <w:rPr>
          <w:rFonts w:hint="eastAsia" w:ascii="宋体" w:hAnsi="宋体" w:cs="仿宋_GB2312"/>
          <w:sz w:val="24"/>
          <w:szCs w:val="24"/>
          <w:u w:val="single"/>
        </w:rPr>
        <w:t xml:space="preserve">                                                        </w:t>
      </w:r>
    </w:p>
    <w:p w14:paraId="10D7C0F1">
      <w:pPr>
        <w:spacing w:line="360" w:lineRule="auto"/>
        <w:ind w:left="540"/>
        <w:contextualSpacing/>
        <w:rPr>
          <w:rFonts w:hint="eastAsia" w:ascii="宋体" w:hAnsi="宋体" w:cs="仿宋_GB2312"/>
          <w:sz w:val="24"/>
          <w:szCs w:val="24"/>
        </w:rPr>
      </w:pPr>
      <w:r>
        <w:rPr>
          <w:rFonts w:hint="eastAsia" w:ascii="宋体" w:hAnsi="宋体" w:cs="仿宋_GB2312"/>
          <w:sz w:val="24"/>
          <w:szCs w:val="24"/>
        </w:rPr>
        <w:t>姓    名：</w:t>
      </w:r>
      <w:r>
        <w:rPr>
          <w:rFonts w:hint="eastAsia" w:ascii="宋体" w:hAnsi="宋体" w:cs="仿宋_GB2312"/>
          <w:sz w:val="24"/>
          <w:szCs w:val="24"/>
          <w:u w:val="single"/>
        </w:rPr>
        <w:t xml:space="preserve">                </w:t>
      </w:r>
      <w:r>
        <w:rPr>
          <w:rFonts w:hint="eastAsia" w:ascii="宋体" w:hAnsi="宋体" w:cs="仿宋_GB2312"/>
          <w:sz w:val="24"/>
          <w:szCs w:val="24"/>
        </w:rPr>
        <w:t>性     别：</w:t>
      </w:r>
      <w:r>
        <w:rPr>
          <w:rFonts w:hint="eastAsia" w:ascii="宋体" w:hAnsi="宋体" w:cs="仿宋_GB2312"/>
          <w:sz w:val="24"/>
          <w:szCs w:val="24"/>
          <w:u w:val="single"/>
        </w:rPr>
        <w:t xml:space="preserve">                </w:t>
      </w:r>
    </w:p>
    <w:p w14:paraId="54ED5941">
      <w:pPr>
        <w:spacing w:line="360" w:lineRule="auto"/>
        <w:ind w:left="540"/>
        <w:contextualSpacing/>
        <w:rPr>
          <w:rFonts w:hint="eastAsia" w:ascii="宋体" w:hAnsi="宋体" w:cs="仿宋_GB2312"/>
          <w:sz w:val="24"/>
          <w:szCs w:val="24"/>
          <w:u w:val="single"/>
        </w:rPr>
      </w:pPr>
      <w:r>
        <w:rPr>
          <w:rFonts w:hint="eastAsia" w:ascii="宋体" w:hAnsi="宋体" w:cs="仿宋_GB2312"/>
          <w:sz w:val="24"/>
          <w:szCs w:val="24"/>
        </w:rPr>
        <w:t>年    龄：</w:t>
      </w:r>
      <w:r>
        <w:rPr>
          <w:rFonts w:hint="eastAsia" w:ascii="宋体" w:hAnsi="宋体" w:cs="仿宋_GB2312"/>
          <w:sz w:val="24"/>
          <w:szCs w:val="24"/>
          <w:u w:val="single"/>
        </w:rPr>
        <w:t xml:space="preserve">                </w:t>
      </w:r>
      <w:r>
        <w:rPr>
          <w:rFonts w:hint="eastAsia" w:ascii="宋体" w:hAnsi="宋体" w:cs="仿宋_GB2312"/>
          <w:sz w:val="24"/>
          <w:szCs w:val="24"/>
        </w:rPr>
        <w:t>职     务：</w:t>
      </w:r>
      <w:r>
        <w:rPr>
          <w:rFonts w:hint="eastAsia" w:ascii="宋体" w:hAnsi="宋体" w:cs="仿宋_GB2312"/>
          <w:sz w:val="24"/>
          <w:szCs w:val="24"/>
          <w:u w:val="single"/>
        </w:rPr>
        <w:t xml:space="preserve">                </w:t>
      </w:r>
    </w:p>
    <w:p w14:paraId="65AB30D7">
      <w:pPr>
        <w:spacing w:line="360" w:lineRule="auto"/>
        <w:ind w:left="540"/>
        <w:contextualSpacing/>
        <w:rPr>
          <w:rFonts w:hint="eastAsia" w:ascii="宋体" w:hAnsi="宋体" w:cs="仿宋_GB2312"/>
          <w:sz w:val="24"/>
          <w:szCs w:val="24"/>
        </w:rPr>
      </w:pPr>
      <w:r>
        <w:rPr>
          <w:rFonts w:hint="eastAsia" w:ascii="宋体" w:hAnsi="宋体" w:cs="仿宋_GB2312"/>
          <w:sz w:val="24"/>
          <w:szCs w:val="24"/>
        </w:rPr>
        <w:t>身份证号码：</w:t>
      </w:r>
      <w:r>
        <w:rPr>
          <w:rFonts w:hint="eastAsia" w:ascii="宋体" w:hAnsi="宋体" w:cs="仿宋_GB2312"/>
          <w:sz w:val="24"/>
          <w:szCs w:val="24"/>
          <w:u w:val="single"/>
        </w:rPr>
        <w:t xml:space="preserve">                                        </w:t>
      </w:r>
    </w:p>
    <w:p w14:paraId="72993138">
      <w:pPr>
        <w:spacing w:line="360" w:lineRule="auto"/>
        <w:ind w:firstLine="480" w:firstLineChars="200"/>
        <w:rPr>
          <w:rFonts w:hint="eastAsia" w:ascii="宋体" w:hAnsi="宋体" w:cs="仿宋_GB2312"/>
          <w:sz w:val="24"/>
          <w:szCs w:val="24"/>
        </w:rPr>
      </w:pPr>
      <w:r>
        <w:rPr>
          <w:rFonts w:hint="eastAsia" w:ascii="宋体" w:hAnsi="宋体" w:cs="仿宋_GB2312"/>
          <w:sz w:val="24"/>
          <w:szCs w:val="24"/>
        </w:rPr>
        <w:t>系</w:t>
      </w:r>
      <w:r>
        <w:rPr>
          <w:rFonts w:hint="eastAsia" w:ascii="宋体" w:hAnsi="宋体" w:cs="仿宋_GB2312"/>
          <w:sz w:val="24"/>
          <w:szCs w:val="24"/>
          <w:u w:val="single"/>
        </w:rPr>
        <w:t>（供应商名称）</w:t>
      </w:r>
      <w:r>
        <w:rPr>
          <w:rFonts w:hint="eastAsia" w:ascii="宋体" w:hAnsi="宋体" w:cs="仿宋_GB2312"/>
          <w:sz w:val="24"/>
          <w:szCs w:val="24"/>
        </w:rPr>
        <w:t>的法定代表人。</w:t>
      </w:r>
    </w:p>
    <w:p w14:paraId="1CD73A80">
      <w:pPr>
        <w:spacing w:line="360" w:lineRule="auto"/>
        <w:ind w:left="540"/>
        <w:contextualSpacing/>
        <w:rPr>
          <w:rFonts w:hint="eastAsia" w:ascii="宋体" w:hAnsi="宋体" w:cs="仿宋_GB2312"/>
          <w:sz w:val="24"/>
          <w:szCs w:val="24"/>
        </w:rPr>
      </w:pPr>
      <w:r>
        <w:rPr>
          <w:rFonts w:hint="eastAsia" w:ascii="宋体" w:hAnsi="宋体" w:cs="仿宋_GB2312"/>
          <w:sz w:val="24"/>
          <w:szCs w:val="24"/>
        </w:rPr>
        <w:t>特此证明。</w:t>
      </w:r>
    </w:p>
    <w:p w14:paraId="2630B747">
      <w:pPr>
        <w:spacing w:line="360" w:lineRule="auto"/>
        <w:ind w:left="540"/>
        <w:contextualSpacing/>
        <w:rPr>
          <w:rFonts w:hint="eastAsia" w:ascii="宋体" w:hAnsi="宋体" w:cs="仿宋_GB2312"/>
          <w:sz w:val="24"/>
          <w:szCs w:val="24"/>
        </w:rPr>
      </w:pPr>
    </w:p>
    <w:p w14:paraId="2BE5FAB6">
      <w:pPr>
        <w:spacing w:line="360" w:lineRule="auto"/>
        <w:ind w:left="540"/>
        <w:contextualSpacing/>
        <w:rPr>
          <w:rFonts w:hint="eastAsia" w:ascii="宋体" w:hAnsi="宋体" w:cs="仿宋_GB2312"/>
          <w:sz w:val="24"/>
          <w:szCs w:val="24"/>
        </w:rPr>
      </w:pPr>
    </w:p>
    <w:p w14:paraId="07360DC2">
      <w:pPr>
        <w:spacing w:line="360" w:lineRule="auto"/>
        <w:ind w:left="540"/>
        <w:contextualSpacing/>
        <w:rPr>
          <w:rFonts w:hint="eastAsia" w:ascii="宋体" w:hAnsi="宋体" w:cs="仿宋_GB2312"/>
          <w:sz w:val="24"/>
          <w:szCs w:val="24"/>
        </w:rPr>
      </w:pPr>
    </w:p>
    <w:p w14:paraId="3EEF50F7">
      <w:pPr>
        <w:spacing w:line="360" w:lineRule="auto"/>
        <w:ind w:left="540"/>
        <w:contextualSpacing/>
        <w:rPr>
          <w:rFonts w:hint="eastAsia" w:ascii="宋体" w:hAnsi="宋体" w:cs="仿宋_GB2312"/>
          <w:sz w:val="24"/>
          <w:szCs w:val="24"/>
        </w:rPr>
      </w:pPr>
      <w:r>
        <w:rPr>
          <w:rFonts w:hint="eastAsia" w:ascii="宋体" w:hAnsi="宋体" w:cs="仿宋_GB2312"/>
          <w:sz w:val="24"/>
          <w:szCs w:val="24"/>
        </w:rPr>
        <w:t>附件：法定代表人有效身份证正反面复印件</w:t>
      </w:r>
    </w:p>
    <w:p w14:paraId="796047D4">
      <w:pPr>
        <w:spacing w:line="360" w:lineRule="auto"/>
        <w:ind w:left="540"/>
        <w:contextualSpacing/>
        <w:rPr>
          <w:rFonts w:hint="eastAsia" w:ascii="宋体" w:hAnsi="宋体" w:cs="仿宋_GB2312"/>
          <w:sz w:val="24"/>
          <w:szCs w:val="24"/>
        </w:rPr>
      </w:pPr>
    </w:p>
    <w:p w14:paraId="2CB71C4C">
      <w:pPr>
        <w:autoSpaceDE w:val="0"/>
        <w:autoSpaceDN w:val="0"/>
        <w:spacing w:line="360" w:lineRule="auto"/>
        <w:ind w:left="4335" w:leftChars="1950" w:hanging="240" w:hangingChars="100"/>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供应商名称（电子签章）：</w:t>
      </w:r>
    </w:p>
    <w:p w14:paraId="109631DB">
      <w:pPr>
        <w:spacing w:line="360" w:lineRule="auto"/>
        <w:jc w:val="center"/>
        <w:rPr>
          <w:rFonts w:hint="eastAsia" w:ascii="宋体" w:hAnsi="宋体" w:eastAsia="等线" w:cs="仿宋_GB2312"/>
          <w:b/>
          <w:sz w:val="24"/>
          <w:szCs w:val="24"/>
        </w:rPr>
      </w:pPr>
      <w:r>
        <w:rPr>
          <w:rFonts w:hint="eastAsia" w:ascii="仿宋_GB2312" w:hAnsi="仿宋" w:eastAsia="仿宋_GB2312" w:cs="仿宋_GB2312"/>
          <w:kern w:val="0"/>
          <w:sz w:val="24"/>
          <w:szCs w:val="24"/>
          <w:lang w:val="zh-CN"/>
        </w:rPr>
        <w:t xml:space="preserve">                                                   日期：  年  月   日</w:t>
      </w:r>
    </w:p>
    <w:p w14:paraId="1BC7BA32">
      <w:pPr>
        <w:spacing w:line="360" w:lineRule="auto"/>
        <w:jc w:val="left"/>
        <w:rPr>
          <w:rFonts w:hint="eastAsia" w:ascii="宋体" w:hAnsi="宋体" w:cs="仿宋_GB2312"/>
          <w:sz w:val="24"/>
          <w:szCs w:val="24"/>
        </w:rPr>
      </w:pPr>
    </w:p>
    <w:p w14:paraId="1DC7D8D1">
      <w:pPr>
        <w:spacing w:line="360" w:lineRule="auto"/>
        <w:jc w:val="left"/>
        <w:rPr>
          <w:rFonts w:hint="eastAsia" w:ascii="宋体" w:hAnsi="宋体" w:cs="仿宋_GB2312"/>
          <w:sz w:val="24"/>
          <w:szCs w:val="24"/>
        </w:rPr>
      </w:pPr>
      <w:r>
        <w:rPr>
          <w:rFonts w:hint="eastAsia" w:ascii="宋体" w:hAnsi="宋体" w:cs="仿宋_GB2312"/>
          <w:sz w:val="24"/>
          <w:szCs w:val="24"/>
        </w:rPr>
        <w:t>注：1.自然人</w:t>
      </w:r>
      <w:r>
        <w:rPr>
          <w:rFonts w:hint="eastAsia" w:ascii="宋体" w:hAnsi="宋体" w:cs="仿宋_GB2312"/>
          <w:sz w:val="24"/>
          <w:szCs w:val="24"/>
          <w:lang w:eastAsia="zh-CN"/>
        </w:rPr>
        <w:t>响应</w:t>
      </w:r>
      <w:r>
        <w:rPr>
          <w:rFonts w:hint="eastAsia" w:ascii="宋体" w:hAnsi="宋体" w:cs="仿宋_GB2312"/>
          <w:sz w:val="24"/>
          <w:szCs w:val="24"/>
        </w:rPr>
        <w:t>的无需提供，联合体</w:t>
      </w:r>
      <w:r>
        <w:rPr>
          <w:rFonts w:hint="eastAsia" w:ascii="宋体" w:hAnsi="宋体" w:cs="仿宋_GB2312"/>
          <w:sz w:val="24"/>
          <w:szCs w:val="24"/>
          <w:lang w:eastAsia="zh-CN"/>
        </w:rPr>
        <w:t>响应</w:t>
      </w:r>
      <w:r>
        <w:rPr>
          <w:rFonts w:hint="eastAsia" w:ascii="宋体" w:hAnsi="宋体" w:cs="仿宋_GB2312"/>
          <w:sz w:val="24"/>
          <w:szCs w:val="24"/>
        </w:rPr>
        <w:t>的只需牵头人出具。</w:t>
      </w:r>
    </w:p>
    <w:p w14:paraId="2210279D">
      <w:pPr>
        <w:spacing w:line="360" w:lineRule="auto"/>
        <w:ind w:firstLine="480" w:firstLineChars="200"/>
        <w:jc w:val="left"/>
        <w:rPr>
          <w:rFonts w:hint="eastAsia" w:ascii="宋体" w:hAnsi="宋体" w:cs="仿宋_GB2312"/>
          <w:sz w:val="24"/>
          <w:szCs w:val="24"/>
        </w:rPr>
      </w:pPr>
      <w:r>
        <w:rPr>
          <w:rFonts w:hint="eastAsia" w:ascii="宋体" w:hAnsi="宋体" w:cs="仿宋_GB2312"/>
          <w:sz w:val="24"/>
          <w:szCs w:val="24"/>
        </w:rPr>
        <w:t>2.供应商为其他组织或者自然人时，本谈判文件规定的法定代表人指负责人或者自然人。本谈判文件所称负责人是指参加</w:t>
      </w:r>
      <w:r>
        <w:rPr>
          <w:rFonts w:hint="eastAsia" w:ascii="宋体" w:hAnsi="宋体" w:cs="仿宋_GB2312"/>
          <w:sz w:val="24"/>
          <w:szCs w:val="24"/>
          <w:lang w:eastAsia="zh-CN"/>
        </w:rPr>
        <w:t>响应</w:t>
      </w:r>
      <w:r>
        <w:rPr>
          <w:rFonts w:hint="eastAsia" w:ascii="宋体" w:hAnsi="宋体" w:cs="仿宋_GB2312"/>
          <w:sz w:val="24"/>
          <w:szCs w:val="24"/>
        </w:rPr>
        <w:t>的其他组织营业执照上的负责人，本谈判文件所称自然人指参与</w:t>
      </w:r>
      <w:r>
        <w:rPr>
          <w:rFonts w:hint="eastAsia" w:ascii="宋体" w:hAnsi="宋体" w:cs="仿宋_GB2312"/>
          <w:sz w:val="24"/>
          <w:szCs w:val="24"/>
          <w:lang w:eastAsia="zh-CN"/>
        </w:rPr>
        <w:t>响应</w:t>
      </w:r>
      <w:r>
        <w:rPr>
          <w:rFonts w:hint="eastAsia" w:ascii="宋体" w:hAnsi="宋体" w:cs="仿宋_GB2312"/>
          <w:sz w:val="24"/>
          <w:szCs w:val="24"/>
        </w:rPr>
        <w:t>的自然人本人。</w:t>
      </w:r>
    </w:p>
    <w:p w14:paraId="0BDCBE91">
      <w:pPr>
        <w:widowControl/>
        <w:spacing w:line="360" w:lineRule="auto"/>
        <w:jc w:val="left"/>
        <w:rPr>
          <w:rFonts w:ascii="宋体" w:hAnsi="宋体" w:cs="仿宋_GB2312"/>
          <w:kern w:val="0"/>
          <w:sz w:val="24"/>
          <w:szCs w:val="24"/>
        </w:rPr>
        <w:sectPr>
          <w:pgSz w:w="11910" w:h="16840"/>
          <w:pgMar w:top="1340" w:right="1500" w:bottom="280" w:left="1680" w:header="720" w:footer="720" w:gutter="0"/>
          <w:pgBorders>
            <w:top w:val="none" w:sz="0" w:space="0"/>
            <w:left w:val="none" w:sz="0" w:space="0"/>
            <w:bottom w:val="none" w:sz="0" w:space="0"/>
            <w:right w:val="none" w:sz="0" w:space="0"/>
          </w:pgBorders>
          <w:pgNumType w:fmt="decimal"/>
          <w:cols w:space="720" w:num="1"/>
        </w:sectPr>
      </w:pPr>
    </w:p>
    <w:tbl>
      <w:tblPr>
        <w:tblStyle w:val="10"/>
        <w:tblpPr w:leftFromText="180" w:rightFromText="180" w:vertAnchor="text" w:horzAnchor="margin" w:tblpY="1169"/>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4221A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1" w:type="dxa"/>
            <w:tcBorders>
              <w:top w:val="single" w:color="auto" w:sz="4" w:space="0"/>
              <w:left w:val="single" w:color="auto" w:sz="4" w:space="0"/>
              <w:bottom w:val="single" w:color="auto" w:sz="4" w:space="0"/>
              <w:right w:val="single" w:color="auto" w:sz="4" w:space="0"/>
            </w:tcBorders>
            <w:noWrap w:val="0"/>
            <w:vAlign w:val="top"/>
          </w:tcPr>
          <w:p w14:paraId="488A824A">
            <w:pPr>
              <w:spacing w:line="360" w:lineRule="auto"/>
              <w:rPr>
                <w:rFonts w:ascii="宋体"/>
                <w:b/>
                <w:sz w:val="24"/>
                <w:szCs w:val="24"/>
              </w:rPr>
            </w:pPr>
          </w:p>
          <w:p w14:paraId="4FCF271F">
            <w:pPr>
              <w:spacing w:line="360" w:lineRule="auto"/>
              <w:rPr>
                <w:rFonts w:ascii="宋体"/>
                <w:b/>
                <w:sz w:val="24"/>
              </w:rPr>
            </w:pPr>
            <w:r>
              <w:rPr>
                <w:rFonts w:hint="eastAsia" w:ascii="宋体"/>
                <w:b/>
                <w:sz w:val="24"/>
                <w:szCs w:val="24"/>
              </w:rPr>
              <w:t>法定代表身份证复印件粘帖处（正、反面）</w:t>
            </w:r>
          </w:p>
        </w:tc>
      </w:tr>
    </w:tbl>
    <w:p w14:paraId="2F5F3160">
      <w:pPr>
        <w:spacing w:line="360" w:lineRule="auto"/>
        <w:ind w:firstLine="482" w:firstLineChars="200"/>
        <w:jc w:val="left"/>
        <w:rPr>
          <w:rFonts w:hint="eastAsia" w:ascii="仿宋_GB2312" w:hAnsi="仿宋_GB2312" w:eastAsia="仿宋_GB2312" w:cs="仿宋_GB2312"/>
          <w:b/>
          <w:sz w:val="32"/>
          <w:szCs w:val="32"/>
        </w:rPr>
      </w:pPr>
      <w:r>
        <w:rPr>
          <w:rFonts w:hint="eastAsia" w:hAnsi="宋体"/>
          <w:b/>
          <w:color w:val="000000"/>
          <w:sz w:val="24"/>
          <w:szCs w:val="24"/>
        </w:rPr>
        <w:t>附件：</w:t>
      </w:r>
    </w:p>
    <w:p w14:paraId="5ED3EB23">
      <w:pPr>
        <w:adjustRightInd w:val="0"/>
        <w:snapToGrid w:val="0"/>
        <w:spacing w:line="300" w:lineRule="auto"/>
        <w:jc w:val="left"/>
        <w:rPr>
          <w:rFonts w:hint="eastAsia" w:ascii="宋体" w:hAnsi="宋体" w:eastAsia="等线"/>
          <w:b/>
          <w:szCs w:val="21"/>
        </w:rPr>
      </w:pPr>
    </w:p>
    <w:p w14:paraId="5AC2F9C4">
      <w:pPr>
        <w:snapToGrid w:val="0"/>
        <w:spacing w:line="360" w:lineRule="auto"/>
        <w:ind w:firstLine="880" w:firstLineChars="200"/>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kern w:val="0"/>
          <w:sz w:val="44"/>
          <w:szCs w:val="44"/>
        </w:rPr>
        <w:br w:type="page"/>
      </w:r>
      <w:r>
        <w:rPr>
          <w:rFonts w:hint="eastAsia" w:ascii="仿宋" w:hAnsi="仿宋" w:eastAsia="仿宋" w:cs="仿宋_GB2312"/>
          <w:b/>
          <w:sz w:val="30"/>
          <w:szCs w:val="30"/>
        </w:rPr>
        <w:t>三、法定代表人授权委托书</w:t>
      </w:r>
    </w:p>
    <w:p w14:paraId="4C1B5410">
      <w:pPr>
        <w:spacing w:line="500" w:lineRule="exact"/>
        <w:jc w:val="center"/>
        <w:rPr>
          <w:rFonts w:hint="eastAsia" w:ascii="方正小标宋简体" w:hAnsi="方正小标宋简体" w:eastAsia="方正小标宋简体" w:cs="方正小标宋简体"/>
          <w:sz w:val="44"/>
          <w:szCs w:val="44"/>
        </w:rPr>
      </w:pPr>
    </w:p>
    <w:p w14:paraId="6D688657">
      <w:pPr>
        <w:spacing w:line="52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授权委托书（非联合体</w:t>
      </w:r>
      <w:r>
        <w:rPr>
          <w:rFonts w:hint="eastAsia" w:ascii="方正小标宋简体" w:hAnsi="方正小标宋简体" w:eastAsia="方正小标宋简体" w:cs="方正小标宋简体"/>
          <w:sz w:val="44"/>
          <w:szCs w:val="44"/>
          <w:lang w:eastAsia="zh-CN"/>
        </w:rPr>
        <w:t>响应</w:t>
      </w:r>
      <w:r>
        <w:rPr>
          <w:rFonts w:hint="eastAsia" w:ascii="方正小标宋简体" w:hAnsi="方正小标宋简体" w:eastAsia="方正小标宋简体" w:cs="方正小标宋简体"/>
          <w:sz w:val="44"/>
          <w:szCs w:val="44"/>
        </w:rPr>
        <w:t>格式）</w:t>
      </w:r>
    </w:p>
    <w:p w14:paraId="07AB569C">
      <w:pPr>
        <w:spacing w:line="52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（如有委托时）</w:t>
      </w:r>
    </w:p>
    <w:p w14:paraId="34AED1BB">
      <w:pPr>
        <w:spacing w:line="520" w:lineRule="exact"/>
        <w:rPr>
          <w:rFonts w:hint="eastAsia" w:ascii="仿宋_GB2312" w:hAnsi="仿宋_GB2312" w:eastAsia="仿宋_GB2312" w:cs="仿宋_GB2312"/>
          <w:sz w:val="32"/>
          <w:szCs w:val="32"/>
        </w:rPr>
      </w:pPr>
    </w:p>
    <w:p w14:paraId="7CDFF75A">
      <w:pPr>
        <w:spacing w:line="360" w:lineRule="auto"/>
        <w:rPr>
          <w:rFonts w:hint="eastAsia" w:ascii="宋体" w:hAnsi="宋体" w:eastAsia="等线" w:cs="仿宋_GB2312"/>
          <w:sz w:val="24"/>
        </w:rPr>
      </w:pPr>
      <w:r>
        <w:rPr>
          <w:rFonts w:hint="eastAsia" w:ascii="宋体" w:hAnsi="宋体" w:cs="仿宋_GB2312"/>
          <w:sz w:val="24"/>
          <w:szCs w:val="24"/>
        </w:rPr>
        <w:t>致：</w:t>
      </w:r>
      <w:r>
        <w:rPr>
          <w:rFonts w:hint="eastAsia" w:ascii="宋体" w:hAnsi="宋体" w:cs="仿宋_GB2312"/>
          <w:sz w:val="24"/>
          <w:szCs w:val="24"/>
          <w:u w:val="single"/>
          <w:lang w:eastAsia="zh-CN"/>
        </w:rPr>
        <w:t>上林县政府集中采购中心</w:t>
      </w:r>
      <w:r>
        <w:rPr>
          <w:rFonts w:hint="eastAsia" w:ascii="宋体" w:hAnsi="宋体" w:cs="仿宋_GB2312"/>
          <w:sz w:val="24"/>
          <w:szCs w:val="24"/>
        </w:rPr>
        <w:t>：</w:t>
      </w:r>
    </w:p>
    <w:p w14:paraId="69B5EAE7">
      <w:pPr>
        <w:spacing w:line="360" w:lineRule="auto"/>
        <w:ind w:firstLine="480" w:firstLineChars="200"/>
        <w:rPr>
          <w:rFonts w:hint="eastAsia" w:ascii="宋体" w:hAnsi="宋体" w:cs="仿宋_GB2312"/>
          <w:sz w:val="24"/>
          <w:szCs w:val="24"/>
        </w:rPr>
      </w:pPr>
      <w:r>
        <w:rPr>
          <w:rFonts w:hint="eastAsia" w:ascii="宋体" w:hAnsi="宋体" w:cs="仿宋_GB2312"/>
          <w:sz w:val="24"/>
          <w:szCs w:val="24"/>
        </w:rPr>
        <w:t>我</w:t>
      </w:r>
      <w:r>
        <w:rPr>
          <w:rFonts w:hint="eastAsia" w:ascii="宋体" w:hAnsi="宋体" w:cs="仿宋_GB2312"/>
          <w:sz w:val="24"/>
          <w:szCs w:val="24"/>
          <w:u w:val="single"/>
        </w:rPr>
        <w:t xml:space="preserve">  （姓名）  </w:t>
      </w:r>
      <w:r>
        <w:rPr>
          <w:rFonts w:hint="eastAsia" w:ascii="宋体" w:hAnsi="宋体" w:cs="仿宋_GB2312"/>
          <w:sz w:val="24"/>
          <w:szCs w:val="24"/>
        </w:rPr>
        <w:t>系</w:t>
      </w:r>
      <w:r>
        <w:rPr>
          <w:rFonts w:hint="eastAsia" w:ascii="宋体" w:hAnsi="宋体" w:cs="仿宋_GB2312"/>
          <w:sz w:val="24"/>
          <w:szCs w:val="24"/>
          <w:u w:val="single"/>
        </w:rPr>
        <w:t xml:space="preserve">  （供应商名称）  </w:t>
      </w:r>
      <w:r>
        <w:rPr>
          <w:rFonts w:hint="eastAsia" w:ascii="宋体" w:hAnsi="宋体" w:cs="仿宋_GB2312"/>
          <w:sz w:val="24"/>
          <w:szCs w:val="24"/>
        </w:rPr>
        <w:t>的（</w:t>
      </w:r>
      <w:r>
        <w:rPr>
          <w:rFonts w:hint="eastAsia" w:ascii="宋体" w:hAnsi="宋体" w:cs="仿宋_GB2312"/>
          <w:sz w:val="24"/>
          <w:szCs w:val="24"/>
          <w:u w:val="single"/>
        </w:rPr>
        <w:t>□法定代表人/□负责人/□自然人本人</w:t>
      </w:r>
      <w:r>
        <w:rPr>
          <w:rFonts w:hint="eastAsia" w:ascii="宋体" w:hAnsi="宋体" w:cs="仿宋_GB2312"/>
          <w:sz w:val="24"/>
          <w:szCs w:val="24"/>
        </w:rPr>
        <w:t>），现授权</w:t>
      </w:r>
      <w:r>
        <w:rPr>
          <w:rFonts w:hint="eastAsia" w:ascii="宋体" w:hAnsi="宋体" w:cs="仿宋_GB2312"/>
          <w:sz w:val="24"/>
          <w:szCs w:val="24"/>
          <w:u w:val="single"/>
        </w:rPr>
        <w:t xml:space="preserve"> （姓名） </w:t>
      </w:r>
      <w:r>
        <w:rPr>
          <w:rFonts w:hint="eastAsia" w:ascii="宋体" w:hAnsi="宋体" w:cs="仿宋_GB2312"/>
          <w:sz w:val="24"/>
          <w:szCs w:val="24"/>
        </w:rPr>
        <w:t>以我方的名义参加</w:t>
      </w:r>
      <w:r>
        <w:rPr>
          <w:rFonts w:hint="eastAsia" w:ascii="宋体" w:hAnsi="宋体" w:cs="仿宋_GB2312"/>
          <w:sz w:val="24"/>
          <w:szCs w:val="24"/>
          <w:u w:val="single"/>
        </w:rPr>
        <w:t xml:space="preserve">  </w:t>
      </w:r>
      <w:r>
        <w:rPr>
          <w:rFonts w:hint="eastAsia" w:ascii="宋体" w:hAnsi="宋体" w:cs="仿宋_GB2312"/>
          <w:sz w:val="24"/>
          <w:szCs w:val="24"/>
          <w:u w:val="single"/>
          <w:lang w:eastAsia="zh-CN"/>
        </w:rPr>
        <w:t>2026年上林县幼儿园设备采购项目（重）</w:t>
      </w:r>
      <w:r>
        <w:rPr>
          <w:rFonts w:hint="eastAsia" w:ascii="宋体" w:hAnsi="宋体" w:cs="仿宋_GB2312"/>
          <w:sz w:val="24"/>
          <w:szCs w:val="24"/>
        </w:rPr>
        <w:t>项目的</w:t>
      </w:r>
      <w:r>
        <w:rPr>
          <w:rFonts w:hint="eastAsia" w:ascii="宋体" w:hAnsi="宋体" w:cs="仿宋_GB2312"/>
          <w:sz w:val="24"/>
          <w:szCs w:val="24"/>
          <w:lang w:eastAsia="zh-CN"/>
        </w:rPr>
        <w:t>响应</w:t>
      </w:r>
      <w:r>
        <w:rPr>
          <w:rFonts w:hint="eastAsia" w:ascii="宋体" w:hAnsi="宋体" w:cs="仿宋_GB2312"/>
          <w:sz w:val="24"/>
          <w:szCs w:val="24"/>
        </w:rPr>
        <w:t>活动，并代表我方全权办理针对上述项目的所有采购程序和环节的具体事务和签署相关文件。</w:t>
      </w:r>
    </w:p>
    <w:p w14:paraId="62BCC79D">
      <w:pPr>
        <w:spacing w:line="360" w:lineRule="auto"/>
        <w:rPr>
          <w:rFonts w:hint="eastAsia" w:ascii="宋体" w:hAnsi="宋体" w:cs="仿宋_GB2312"/>
          <w:sz w:val="24"/>
          <w:szCs w:val="24"/>
        </w:rPr>
      </w:pPr>
      <w:r>
        <w:rPr>
          <w:rFonts w:hint="eastAsia" w:ascii="宋体" w:hAnsi="宋体" w:cs="仿宋_GB2312"/>
          <w:sz w:val="24"/>
          <w:szCs w:val="24"/>
        </w:rPr>
        <w:t xml:space="preserve">    我方对委托代理人的签字事项负全部责任。</w:t>
      </w:r>
    </w:p>
    <w:p w14:paraId="7942DAF8">
      <w:pPr>
        <w:spacing w:line="360" w:lineRule="auto"/>
        <w:ind w:firstLine="480" w:firstLineChars="200"/>
        <w:rPr>
          <w:rFonts w:hint="eastAsia" w:ascii="宋体" w:hAnsi="宋体" w:cs="仿宋_GB2312"/>
          <w:sz w:val="24"/>
          <w:szCs w:val="24"/>
        </w:rPr>
      </w:pPr>
      <w:r>
        <w:rPr>
          <w:rFonts w:hint="eastAsia" w:ascii="宋体" w:hAnsi="宋体" w:cs="仿宋_GB2312"/>
          <w:sz w:val="24"/>
          <w:szCs w:val="24"/>
        </w:rPr>
        <w:t>本授权书自签署之日起生效，在撤销授权的书面通知以前，本授权书一直有效。委托代理人在授权书有效期内签署的所有文件不因授权的撤销而失效。</w:t>
      </w:r>
    </w:p>
    <w:p w14:paraId="783B7230">
      <w:pPr>
        <w:spacing w:line="360" w:lineRule="auto"/>
        <w:ind w:firstLine="480" w:firstLineChars="200"/>
        <w:rPr>
          <w:rFonts w:hint="eastAsia" w:ascii="宋体" w:hAnsi="宋体" w:cs="仿宋_GB2312"/>
          <w:sz w:val="24"/>
          <w:szCs w:val="24"/>
        </w:rPr>
      </w:pPr>
      <w:r>
        <w:rPr>
          <w:rFonts w:hint="eastAsia" w:ascii="宋体" w:hAnsi="宋体" w:cs="仿宋_GB2312"/>
          <w:sz w:val="24"/>
          <w:szCs w:val="24"/>
        </w:rPr>
        <w:t>委托代理人无转委托权，特此委托。</w:t>
      </w:r>
    </w:p>
    <w:p w14:paraId="5C4B15CC">
      <w:pPr>
        <w:spacing w:line="360" w:lineRule="auto"/>
        <w:ind w:firstLine="480" w:firstLineChars="200"/>
        <w:rPr>
          <w:rFonts w:hint="eastAsia" w:ascii="宋体" w:hAnsi="宋体" w:cs="仿宋_GB2312"/>
          <w:sz w:val="24"/>
          <w:szCs w:val="24"/>
        </w:rPr>
      </w:pPr>
      <w:r>
        <w:rPr>
          <w:rFonts w:hint="eastAsia" w:ascii="宋体" w:hAnsi="宋体" w:cs="仿宋_GB2312"/>
          <w:sz w:val="24"/>
          <w:szCs w:val="24"/>
        </w:rPr>
        <w:t>附：法定代表人身份证明书及委托代理人有效身份证正反面复印件</w:t>
      </w:r>
    </w:p>
    <w:p w14:paraId="6AA4B751">
      <w:pPr>
        <w:spacing w:line="360" w:lineRule="auto"/>
        <w:rPr>
          <w:rFonts w:hint="eastAsia" w:ascii="宋体" w:hAnsi="宋体" w:cs="仿宋_GB2312"/>
          <w:sz w:val="24"/>
          <w:szCs w:val="24"/>
        </w:rPr>
      </w:pPr>
    </w:p>
    <w:p w14:paraId="35599CF8">
      <w:pPr>
        <w:spacing w:line="360" w:lineRule="auto"/>
        <w:rPr>
          <w:rFonts w:hint="eastAsia" w:ascii="宋体" w:hAnsi="宋体" w:cs="仿宋_GB2312"/>
          <w:sz w:val="24"/>
          <w:szCs w:val="24"/>
        </w:rPr>
      </w:pPr>
      <w:r>
        <w:rPr>
          <w:rFonts w:hint="eastAsia" w:ascii="宋体" w:hAnsi="宋体" w:cs="仿宋_GB2312"/>
          <w:sz w:val="24"/>
          <w:szCs w:val="24"/>
        </w:rPr>
        <w:t xml:space="preserve">委托代理人（签字）：                 法定代表人（签字或盖章）：                    </w:t>
      </w:r>
    </w:p>
    <w:p w14:paraId="0B9031AA">
      <w:pPr>
        <w:spacing w:line="360" w:lineRule="auto"/>
        <w:rPr>
          <w:rFonts w:hint="eastAsia" w:ascii="宋体" w:hAnsi="宋体" w:cs="仿宋_GB2312"/>
          <w:sz w:val="24"/>
          <w:szCs w:val="24"/>
        </w:rPr>
      </w:pPr>
      <w:r>
        <w:rPr>
          <w:rFonts w:hint="eastAsia" w:ascii="宋体" w:hAnsi="宋体" w:cs="仿宋_GB2312"/>
          <w:sz w:val="24"/>
          <w:szCs w:val="24"/>
        </w:rPr>
        <w:t xml:space="preserve">委托代理人身份证号码：                              </w:t>
      </w:r>
    </w:p>
    <w:p w14:paraId="08148DC3">
      <w:pPr>
        <w:spacing w:line="360" w:lineRule="auto"/>
        <w:rPr>
          <w:rFonts w:hint="eastAsia" w:ascii="宋体" w:hAnsi="宋体" w:cs="仿宋_GB2312"/>
          <w:sz w:val="24"/>
          <w:szCs w:val="24"/>
        </w:rPr>
      </w:pPr>
      <w:r>
        <w:rPr>
          <w:rFonts w:hint="eastAsia" w:ascii="宋体" w:hAnsi="宋体" w:cs="仿宋_GB2312"/>
          <w:sz w:val="24"/>
          <w:szCs w:val="24"/>
        </w:rPr>
        <w:t xml:space="preserve">                                </w:t>
      </w:r>
    </w:p>
    <w:p w14:paraId="1109A858">
      <w:pPr>
        <w:spacing w:line="360" w:lineRule="auto"/>
        <w:ind w:firstLine="3840" w:firstLineChars="1600"/>
        <w:rPr>
          <w:rFonts w:hint="eastAsia" w:ascii="宋体" w:hAnsi="宋体" w:cs="仿宋_GB2312"/>
          <w:sz w:val="24"/>
          <w:szCs w:val="24"/>
        </w:rPr>
      </w:pPr>
      <w:r>
        <w:rPr>
          <w:rFonts w:hint="eastAsia" w:ascii="宋体" w:hAnsi="宋体" w:cs="仿宋_GB2312"/>
          <w:sz w:val="24"/>
          <w:szCs w:val="24"/>
        </w:rPr>
        <w:t xml:space="preserve">  </w:t>
      </w:r>
      <w:r>
        <w:rPr>
          <w:rFonts w:hint="eastAsia" w:ascii="仿宋_GB2312" w:hAnsi="仿宋" w:eastAsia="仿宋_GB2312" w:cs="仿宋_GB2312"/>
          <w:kern w:val="0"/>
          <w:sz w:val="24"/>
          <w:szCs w:val="24"/>
        </w:rPr>
        <w:t>供应商名称（电子签章）：</w:t>
      </w:r>
    </w:p>
    <w:p w14:paraId="0FC67B85">
      <w:pPr>
        <w:spacing w:line="360" w:lineRule="auto"/>
        <w:jc w:val="center"/>
        <w:rPr>
          <w:rFonts w:hint="eastAsia" w:ascii="宋体" w:hAnsi="宋体" w:cs="仿宋_GB2312"/>
          <w:b/>
          <w:sz w:val="24"/>
          <w:szCs w:val="24"/>
        </w:rPr>
      </w:pPr>
      <w:r>
        <w:rPr>
          <w:rFonts w:hint="eastAsia" w:ascii="仿宋_GB2312" w:hAnsi="仿宋" w:eastAsia="仿宋_GB2312" w:cs="仿宋_GB2312"/>
          <w:kern w:val="0"/>
          <w:sz w:val="24"/>
          <w:szCs w:val="24"/>
          <w:lang w:val="zh-CN"/>
        </w:rPr>
        <w:t xml:space="preserve">                                                   日期：  年  月   日</w:t>
      </w:r>
    </w:p>
    <w:p w14:paraId="79B0269E">
      <w:pPr>
        <w:spacing w:line="360" w:lineRule="auto"/>
        <w:rPr>
          <w:rFonts w:hint="eastAsia" w:ascii="宋体" w:hAnsi="宋体" w:cs="仿宋_GB2312"/>
          <w:sz w:val="24"/>
          <w:szCs w:val="24"/>
        </w:rPr>
      </w:pPr>
    </w:p>
    <w:p w14:paraId="28AE0276">
      <w:pPr>
        <w:spacing w:line="360" w:lineRule="auto"/>
        <w:rPr>
          <w:rFonts w:hint="eastAsia" w:ascii="宋体" w:hAnsi="宋体" w:cs="仿宋_GB2312"/>
          <w:sz w:val="24"/>
          <w:szCs w:val="24"/>
        </w:rPr>
      </w:pPr>
      <w:r>
        <w:rPr>
          <w:rFonts w:hint="eastAsia" w:ascii="宋体" w:hAnsi="宋体" w:cs="仿宋_GB2312"/>
          <w:sz w:val="24"/>
          <w:szCs w:val="24"/>
        </w:rPr>
        <w:t>注：1. 法定代表人必须在授权委托书上亲笔签字或盖章，委托代理人必须在授权委托书上亲笔签字，</w:t>
      </w:r>
      <w:r>
        <w:rPr>
          <w:rFonts w:hint="eastAsia" w:ascii="宋体" w:hAnsi="宋体" w:cs="仿宋_GB2312"/>
          <w:b/>
          <w:sz w:val="24"/>
          <w:szCs w:val="24"/>
        </w:rPr>
        <w:t>否则其响应文件按无效响应处理。</w:t>
      </w:r>
    </w:p>
    <w:p w14:paraId="131A1424">
      <w:pPr>
        <w:spacing w:line="360" w:lineRule="auto"/>
        <w:ind w:firstLine="480" w:firstLineChars="200"/>
        <w:jc w:val="left"/>
        <w:rPr>
          <w:rFonts w:hint="eastAsia" w:ascii="宋体" w:hAnsi="宋体" w:cs="仿宋_GB2312"/>
          <w:sz w:val="24"/>
          <w:szCs w:val="24"/>
        </w:rPr>
      </w:pPr>
      <w:r>
        <w:rPr>
          <w:rFonts w:hint="eastAsia" w:ascii="宋体" w:hAnsi="宋体" w:cs="仿宋_GB2312"/>
          <w:sz w:val="24"/>
          <w:szCs w:val="24"/>
        </w:rPr>
        <w:t>2.供应商为其他组织或者自然人时，本谈判文件规定的法定代表人指负责人或者自然人。本谈判文件所称负责人是指参加</w:t>
      </w:r>
      <w:r>
        <w:rPr>
          <w:rFonts w:hint="eastAsia" w:ascii="宋体" w:hAnsi="宋体" w:cs="仿宋_GB2312"/>
          <w:sz w:val="24"/>
          <w:szCs w:val="24"/>
          <w:lang w:eastAsia="zh-CN"/>
        </w:rPr>
        <w:t>响应</w:t>
      </w:r>
      <w:r>
        <w:rPr>
          <w:rFonts w:hint="eastAsia" w:ascii="宋体" w:hAnsi="宋体" w:cs="仿宋_GB2312"/>
          <w:sz w:val="24"/>
          <w:szCs w:val="24"/>
        </w:rPr>
        <w:t>的其他组织营业执照上的负责人，本谈判文件所称自然人指参与</w:t>
      </w:r>
      <w:r>
        <w:rPr>
          <w:rFonts w:hint="eastAsia" w:ascii="宋体" w:hAnsi="宋体" w:cs="仿宋_GB2312"/>
          <w:sz w:val="24"/>
          <w:szCs w:val="24"/>
          <w:lang w:eastAsia="zh-CN"/>
        </w:rPr>
        <w:t>响应</w:t>
      </w:r>
      <w:r>
        <w:rPr>
          <w:rFonts w:hint="eastAsia" w:ascii="宋体" w:hAnsi="宋体" w:cs="仿宋_GB2312"/>
          <w:sz w:val="24"/>
          <w:szCs w:val="24"/>
        </w:rPr>
        <w:t>的自然人本人。</w:t>
      </w:r>
    </w:p>
    <w:p w14:paraId="335B50F6">
      <w:pPr>
        <w:spacing w:line="360" w:lineRule="auto"/>
        <w:ind w:firstLine="480" w:firstLineChars="200"/>
        <w:jc w:val="left"/>
        <w:rPr>
          <w:rFonts w:hint="eastAsia" w:ascii="宋体" w:hAnsi="宋体" w:cs="仿宋_GB2312"/>
          <w:sz w:val="24"/>
          <w:szCs w:val="24"/>
        </w:rPr>
      </w:pPr>
      <w:r>
        <w:rPr>
          <w:rFonts w:hint="eastAsia" w:ascii="宋体" w:hAnsi="宋体" w:cs="仿宋_GB2312"/>
          <w:sz w:val="24"/>
          <w:szCs w:val="24"/>
        </w:rPr>
        <w:t>3. 法人、其他组织</w:t>
      </w:r>
      <w:r>
        <w:rPr>
          <w:rFonts w:hint="eastAsia" w:ascii="宋体" w:hAnsi="宋体" w:cs="仿宋_GB2312"/>
          <w:sz w:val="24"/>
          <w:szCs w:val="24"/>
          <w:lang w:eastAsia="zh-CN"/>
        </w:rPr>
        <w:t>响应</w:t>
      </w:r>
      <w:r>
        <w:rPr>
          <w:rFonts w:hint="eastAsia" w:ascii="宋体" w:hAnsi="宋体" w:cs="仿宋_GB2312"/>
          <w:sz w:val="24"/>
          <w:szCs w:val="24"/>
        </w:rPr>
        <w:t>时“我方”是指“我单位”，自然人</w:t>
      </w:r>
      <w:r>
        <w:rPr>
          <w:rFonts w:hint="eastAsia" w:ascii="宋体" w:hAnsi="宋体" w:cs="仿宋_GB2312"/>
          <w:sz w:val="24"/>
          <w:szCs w:val="24"/>
          <w:lang w:eastAsia="zh-CN"/>
        </w:rPr>
        <w:t>响应</w:t>
      </w:r>
      <w:r>
        <w:rPr>
          <w:rFonts w:hint="eastAsia" w:ascii="宋体" w:hAnsi="宋体" w:cs="仿宋_GB2312"/>
          <w:sz w:val="24"/>
          <w:szCs w:val="24"/>
        </w:rPr>
        <w:t>时“我方”是指“本人”。</w:t>
      </w:r>
    </w:p>
    <w:p w14:paraId="62F21E13">
      <w:pPr>
        <w:spacing w:line="500" w:lineRule="exact"/>
        <w:jc w:val="center"/>
        <w:rPr>
          <w:rFonts w:hint="eastAsia" w:ascii="方正小标宋简体" w:hAnsi="方正小标宋简体" w:eastAsia="方正小标宋简体" w:cs="方正小标宋简体"/>
          <w:sz w:val="44"/>
          <w:szCs w:val="44"/>
        </w:rPr>
      </w:pPr>
      <w:r>
        <w:rPr>
          <w:rFonts w:hint="eastAsia" w:ascii="仿宋_GB2312" w:hAnsi="仿宋_GB2312" w:eastAsia="仿宋_GB2312" w:cs="仿宋_GB2312"/>
          <w:kern w:val="0"/>
          <w:szCs w:val="21"/>
        </w:rPr>
        <w:br w:type="page"/>
      </w:r>
      <w:r>
        <w:rPr>
          <w:rFonts w:hint="eastAsia" w:ascii="方正小标宋简体" w:hAnsi="方正小标宋简体" w:eastAsia="方正小标宋简体" w:cs="方正小标宋简体"/>
          <w:sz w:val="44"/>
          <w:szCs w:val="44"/>
        </w:rPr>
        <w:t>授权委托书（联合体</w:t>
      </w:r>
      <w:r>
        <w:rPr>
          <w:rFonts w:hint="eastAsia" w:ascii="方正小标宋简体" w:hAnsi="方正小标宋简体" w:eastAsia="方正小标宋简体" w:cs="方正小标宋简体"/>
          <w:sz w:val="44"/>
          <w:szCs w:val="44"/>
          <w:lang w:eastAsia="zh-CN"/>
        </w:rPr>
        <w:t>响应</w:t>
      </w:r>
      <w:r>
        <w:rPr>
          <w:rFonts w:hint="eastAsia" w:ascii="方正小标宋简体" w:hAnsi="方正小标宋简体" w:eastAsia="方正小标宋简体" w:cs="方正小标宋简体"/>
          <w:sz w:val="44"/>
          <w:szCs w:val="44"/>
        </w:rPr>
        <w:t>格式）</w:t>
      </w:r>
    </w:p>
    <w:p w14:paraId="58E7A075">
      <w:pPr>
        <w:spacing w:line="5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（如有委托时）</w:t>
      </w:r>
    </w:p>
    <w:p w14:paraId="4E1115E2">
      <w:pPr>
        <w:spacing w:line="500" w:lineRule="exact"/>
        <w:jc w:val="center"/>
        <w:rPr>
          <w:rFonts w:hint="eastAsia" w:ascii="方正小标宋简体" w:hAnsi="方正小标宋简体" w:eastAsia="方正小标宋简体" w:cs="方正小标宋简体"/>
          <w:sz w:val="44"/>
          <w:szCs w:val="44"/>
        </w:rPr>
      </w:pPr>
    </w:p>
    <w:p w14:paraId="0B7BFAA4">
      <w:pPr>
        <w:spacing w:line="500" w:lineRule="exact"/>
        <w:jc w:val="center"/>
        <w:rPr>
          <w:rFonts w:hint="eastAsia" w:ascii="仿宋_GB2312" w:hAnsi="仿宋_GB2312" w:eastAsia="仿宋_GB2312" w:cs="仿宋_GB2312"/>
          <w:sz w:val="32"/>
          <w:szCs w:val="32"/>
        </w:rPr>
      </w:pPr>
    </w:p>
    <w:p w14:paraId="6733BE16">
      <w:pPr>
        <w:spacing w:line="360" w:lineRule="auto"/>
        <w:ind w:firstLine="480" w:firstLineChars="200"/>
        <w:jc w:val="left"/>
        <w:rPr>
          <w:rFonts w:hint="eastAsia" w:ascii="宋体" w:hAnsi="宋体" w:eastAsia="等线" w:cs="仿宋_GB2312"/>
          <w:sz w:val="24"/>
        </w:rPr>
      </w:pPr>
      <w:r>
        <w:rPr>
          <w:rFonts w:hint="eastAsia" w:ascii="宋体" w:hAnsi="宋体" w:cs="仿宋_GB2312"/>
          <w:sz w:val="24"/>
          <w:szCs w:val="24"/>
        </w:rPr>
        <w:t>本授权委托书声明：根据</w:t>
      </w:r>
      <w:r>
        <w:rPr>
          <w:rFonts w:hint="eastAsia" w:ascii="宋体" w:hAnsi="宋体" w:cs="仿宋_GB2312"/>
          <w:sz w:val="24"/>
          <w:szCs w:val="24"/>
          <w:u w:val="single"/>
        </w:rPr>
        <w:t xml:space="preserve">                </w:t>
      </w:r>
      <w:r>
        <w:rPr>
          <w:rFonts w:hint="eastAsia" w:ascii="宋体" w:hAnsi="宋体" w:cs="仿宋_GB2312"/>
          <w:sz w:val="24"/>
          <w:szCs w:val="24"/>
        </w:rPr>
        <w:t>（牵头人名称）与</w:t>
      </w:r>
      <w:r>
        <w:rPr>
          <w:rFonts w:hint="eastAsia" w:ascii="宋体" w:hAnsi="宋体" w:cs="仿宋_GB2312"/>
          <w:sz w:val="24"/>
          <w:szCs w:val="24"/>
          <w:u w:val="single"/>
        </w:rPr>
        <w:t xml:space="preserve">              </w:t>
      </w:r>
      <w:r>
        <w:rPr>
          <w:rFonts w:hint="eastAsia" w:ascii="宋体" w:hAnsi="宋体" w:cs="仿宋_GB2312"/>
          <w:sz w:val="24"/>
          <w:szCs w:val="24"/>
        </w:rPr>
        <w:t>（联合体其他成员名称）签订的《联合体</w:t>
      </w:r>
      <w:r>
        <w:rPr>
          <w:rFonts w:hint="eastAsia" w:ascii="宋体" w:hAnsi="宋体" w:cs="仿宋_GB2312"/>
          <w:sz w:val="24"/>
          <w:szCs w:val="24"/>
          <w:lang w:eastAsia="zh-CN"/>
        </w:rPr>
        <w:t>响应</w:t>
      </w:r>
      <w:r>
        <w:rPr>
          <w:rFonts w:hint="eastAsia" w:ascii="宋体" w:hAnsi="宋体" w:cs="仿宋_GB2312"/>
          <w:sz w:val="24"/>
          <w:szCs w:val="24"/>
        </w:rPr>
        <w:t>协议书》的内容，</w:t>
      </w:r>
      <w:r>
        <w:rPr>
          <w:rFonts w:hint="eastAsia" w:ascii="宋体" w:hAnsi="宋体" w:cs="仿宋_GB2312"/>
          <w:sz w:val="24"/>
          <w:szCs w:val="24"/>
          <w:u w:val="single"/>
        </w:rPr>
        <w:t xml:space="preserve">                       </w:t>
      </w:r>
      <w:r>
        <w:rPr>
          <w:rFonts w:hint="eastAsia" w:ascii="宋体" w:hAnsi="宋体" w:cs="仿宋_GB2312"/>
          <w:sz w:val="24"/>
          <w:szCs w:val="24"/>
        </w:rPr>
        <w:t>（牵头人名称）的法定代表人</w:t>
      </w:r>
      <w:r>
        <w:rPr>
          <w:rFonts w:hint="eastAsia" w:ascii="宋体" w:hAnsi="宋体" w:cs="仿宋_GB2312"/>
          <w:sz w:val="24"/>
          <w:szCs w:val="24"/>
          <w:u w:val="single"/>
        </w:rPr>
        <w:t xml:space="preserve">      </w:t>
      </w:r>
      <w:r>
        <w:rPr>
          <w:rFonts w:hint="eastAsia" w:ascii="宋体" w:hAnsi="宋体" w:cs="仿宋_GB2312"/>
          <w:sz w:val="24"/>
          <w:szCs w:val="24"/>
        </w:rPr>
        <w:t>（姓名）现授权</w:t>
      </w:r>
      <w:r>
        <w:rPr>
          <w:rFonts w:hint="eastAsia" w:ascii="宋体" w:hAnsi="宋体" w:cs="仿宋_GB2312"/>
          <w:sz w:val="24"/>
          <w:szCs w:val="24"/>
          <w:u w:val="single"/>
        </w:rPr>
        <w:t xml:space="preserve">      </w:t>
      </w:r>
      <w:r>
        <w:rPr>
          <w:rFonts w:hint="eastAsia" w:ascii="宋体" w:hAnsi="宋体" w:cs="仿宋_GB2312"/>
          <w:sz w:val="24"/>
          <w:szCs w:val="24"/>
        </w:rPr>
        <w:t>（姓名）为联合委托代理人，并代表我方全权办理针对上述项目的所有采购程序和环节的具体事务和签署相关文件。</w:t>
      </w:r>
    </w:p>
    <w:p w14:paraId="4F002B5F">
      <w:pPr>
        <w:spacing w:line="360" w:lineRule="auto"/>
        <w:ind w:firstLine="480" w:firstLineChars="200"/>
        <w:rPr>
          <w:rFonts w:hint="eastAsia" w:ascii="宋体" w:hAnsi="宋体" w:cs="仿宋_GB2312"/>
          <w:sz w:val="24"/>
          <w:szCs w:val="24"/>
        </w:rPr>
      </w:pPr>
      <w:r>
        <w:rPr>
          <w:rFonts w:hint="eastAsia" w:ascii="宋体" w:hAnsi="宋体" w:cs="仿宋_GB2312"/>
          <w:sz w:val="24"/>
          <w:szCs w:val="24"/>
        </w:rPr>
        <w:t>我方对委托代理人的签字事项负全部责任。</w:t>
      </w:r>
    </w:p>
    <w:p w14:paraId="1FE9FDDA">
      <w:pPr>
        <w:spacing w:line="360" w:lineRule="auto"/>
        <w:ind w:firstLine="480" w:firstLineChars="200"/>
        <w:rPr>
          <w:rFonts w:hint="eastAsia" w:ascii="宋体" w:hAnsi="宋体" w:cs="仿宋_GB2312"/>
          <w:sz w:val="24"/>
          <w:szCs w:val="24"/>
        </w:rPr>
      </w:pPr>
      <w:r>
        <w:rPr>
          <w:rFonts w:hint="eastAsia" w:ascii="宋体" w:hAnsi="宋体" w:cs="仿宋_GB2312"/>
          <w:sz w:val="24"/>
          <w:szCs w:val="24"/>
        </w:rPr>
        <w:t>本授权书自签署之日起生效，在撤销授权的书面通知以前，本授权书一直有效。委托代理人在授权书有效期内签署的所有文件不因授权的撤销而失效。</w:t>
      </w:r>
    </w:p>
    <w:p w14:paraId="0A9B1136">
      <w:pPr>
        <w:spacing w:line="360" w:lineRule="auto"/>
        <w:ind w:firstLine="480" w:firstLineChars="200"/>
        <w:rPr>
          <w:rFonts w:hint="eastAsia" w:ascii="宋体" w:hAnsi="宋体" w:cs="仿宋_GB2312"/>
          <w:sz w:val="24"/>
          <w:szCs w:val="24"/>
        </w:rPr>
      </w:pPr>
      <w:r>
        <w:rPr>
          <w:rFonts w:hint="eastAsia" w:ascii="宋体" w:hAnsi="宋体" w:cs="仿宋_GB2312"/>
          <w:sz w:val="24"/>
          <w:szCs w:val="24"/>
        </w:rPr>
        <w:t>委托代理人无转委托权，特此委托。</w:t>
      </w:r>
    </w:p>
    <w:p w14:paraId="0396FC5D">
      <w:pPr>
        <w:spacing w:line="360" w:lineRule="auto"/>
        <w:rPr>
          <w:rFonts w:hint="eastAsia" w:ascii="宋体" w:hAnsi="宋体" w:cs="仿宋_GB2312"/>
          <w:sz w:val="24"/>
          <w:szCs w:val="24"/>
        </w:rPr>
      </w:pPr>
      <w:r>
        <w:rPr>
          <w:rFonts w:hint="eastAsia" w:ascii="宋体" w:hAnsi="宋体" w:cs="仿宋_GB2312"/>
          <w:sz w:val="24"/>
          <w:szCs w:val="24"/>
        </w:rPr>
        <w:t xml:space="preserve">    </w:t>
      </w:r>
    </w:p>
    <w:p w14:paraId="0B0FAFEF">
      <w:pPr>
        <w:spacing w:line="360" w:lineRule="auto"/>
        <w:ind w:firstLine="1560" w:firstLineChars="650"/>
        <w:rPr>
          <w:rFonts w:hint="eastAsia" w:ascii="宋体" w:hAnsi="宋体" w:cs="仿宋_GB2312"/>
          <w:sz w:val="24"/>
          <w:szCs w:val="24"/>
        </w:rPr>
      </w:pPr>
      <w:r>
        <w:rPr>
          <w:rFonts w:hint="eastAsia" w:ascii="宋体" w:hAnsi="宋体" w:cs="仿宋_GB2312"/>
          <w:sz w:val="24"/>
          <w:szCs w:val="24"/>
        </w:rPr>
        <w:t>牵头人法定代表人（签字或盖章）：</w:t>
      </w:r>
    </w:p>
    <w:p w14:paraId="2907D66C">
      <w:pPr>
        <w:spacing w:line="360" w:lineRule="auto"/>
        <w:ind w:firstLine="3000" w:firstLineChars="1250"/>
        <w:rPr>
          <w:rFonts w:hint="eastAsia" w:ascii="宋体" w:hAnsi="宋体" w:cs="仿宋_GB2312"/>
          <w:sz w:val="24"/>
          <w:szCs w:val="24"/>
        </w:rPr>
      </w:pPr>
      <w:r>
        <w:rPr>
          <w:rFonts w:hint="eastAsia" w:ascii="宋体" w:hAnsi="宋体" w:cs="仿宋_GB2312"/>
          <w:sz w:val="24"/>
          <w:szCs w:val="24"/>
        </w:rPr>
        <w:t>牵头人（电子签章）：</w:t>
      </w:r>
    </w:p>
    <w:p w14:paraId="6476353A">
      <w:pPr>
        <w:spacing w:line="360" w:lineRule="auto"/>
        <w:ind w:firstLine="3840" w:firstLineChars="1600"/>
        <w:rPr>
          <w:rFonts w:hint="eastAsia" w:ascii="宋体" w:hAnsi="宋体" w:cs="仿宋_GB2312"/>
          <w:sz w:val="24"/>
          <w:szCs w:val="24"/>
        </w:rPr>
      </w:pPr>
      <w:r>
        <w:rPr>
          <w:rFonts w:hint="eastAsia" w:ascii="宋体" w:hAnsi="宋体" w:cs="仿宋_GB2312"/>
          <w:sz w:val="24"/>
          <w:szCs w:val="24"/>
        </w:rPr>
        <w:t>日期：    年   月   日</w:t>
      </w:r>
    </w:p>
    <w:p w14:paraId="142B9474">
      <w:pPr>
        <w:spacing w:line="360" w:lineRule="auto"/>
        <w:rPr>
          <w:rFonts w:hint="eastAsia" w:ascii="宋体" w:hAnsi="宋体" w:cs="仿宋_GB2312"/>
          <w:sz w:val="24"/>
          <w:szCs w:val="24"/>
        </w:rPr>
      </w:pPr>
    </w:p>
    <w:p w14:paraId="386672A6">
      <w:pPr>
        <w:spacing w:line="360" w:lineRule="auto"/>
        <w:ind w:firstLine="3120" w:firstLineChars="1300"/>
        <w:rPr>
          <w:rFonts w:hint="eastAsia" w:ascii="宋体" w:hAnsi="宋体" w:cs="仿宋_GB2312"/>
          <w:sz w:val="24"/>
          <w:szCs w:val="24"/>
        </w:rPr>
      </w:pPr>
      <w:r>
        <w:rPr>
          <w:rFonts w:hint="eastAsia" w:ascii="宋体" w:hAnsi="宋体" w:cs="仿宋_GB2312"/>
          <w:sz w:val="24"/>
          <w:szCs w:val="24"/>
        </w:rPr>
        <w:t>被授权人（签字）：</w:t>
      </w:r>
    </w:p>
    <w:p w14:paraId="060E88FB">
      <w:pPr>
        <w:spacing w:line="360" w:lineRule="auto"/>
        <w:ind w:firstLine="3840" w:firstLineChars="1600"/>
        <w:rPr>
          <w:rFonts w:hint="eastAsia" w:ascii="宋体" w:hAnsi="宋体" w:cs="仿宋_GB2312"/>
          <w:sz w:val="24"/>
          <w:szCs w:val="24"/>
        </w:rPr>
      </w:pPr>
      <w:r>
        <w:rPr>
          <w:rFonts w:hint="eastAsia" w:ascii="宋体" w:hAnsi="宋体" w:cs="仿宋_GB2312"/>
          <w:sz w:val="24"/>
          <w:szCs w:val="24"/>
        </w:rPr>
        <w:t>日期：    年   月   日</w:t>
      </w:r>
    </w:p>
    <w:p w14:paraId="782D0F83">
      <w:pPr>
        <w:spacing w:line="360" w:lineRule="auto"/>
        <w:rPr>
          <w:rFonts w:hint="eastAsia" w:ascii="宋体" w:hAnsi="宋体" w:cs="仿宋_GB2312"/>
          <w:sz w:val="24"/>
          <w:szCs w:val="24"/>
        </w:rPr>
      </w:pPr>
    </w:p>
    <w:p w14:paraId="151BC428">
      <w:pPr>
        <w:spacing w:line="360" w:lineRule="auto"/>
        <w:rPr>
          <w:rFonts w:hint="eastAsia" w:ascii="宋体" w:hAnsi="宋体" w:cs="仿宋_GB2312"/>
          <w:sz w:val="24"/>
          <w:szCs w:val="24"/>
        </w:rPr>
      </w:pPr>
      <w:r>
        <w:rPr>
          <w:rFonts w:hint="eastAsia" w:ascii="宋体" w:hAnsi="宋体" w:cs="仿宋_GB2312"/>
          <w:sz w:val="24"/>
          <w:szCs w:val="24"/>
        </w:rPr>
        <w:t>注：</w:t>
      </w:r>
    </w:p>
    <w:p w14:paraId="10BC7CB0">
      <w:pPr>
        <w:spacing w:line="360" w:lineRule="auto"/>
        <w:rPr>
          <w:rFonts w:hint="eastAsia" w:ascii="宋体" w:hAnsi="宋体" w:cs="仿宋_GB2312"/>
          <w:sz w:val="24"/>
          <w:szCs w:val="24"/>
        </w:rPr>
      </w:pPr>
      <w:r>
        <w:rPr>
          <w:rFonts w:hint="eastAsia" w:ascii="宋体" w:hAnsi="宋体" w:cs="仿宋_GB2312"/>
          <w:sz w:val="24"/>
          <w:szCs w:val="24"/>
        </w:rPr>
        <w:t>1. 法定代表人必须在授权委托书上亲笔签字或盖章，委托代理人必须在授权委托书上亲笔签字，</w:t>
      </w:r>
      <w:r>
        <w:rPr>
          <w:rFonts w:hint="eastAsia" w:ascii="宋体" w:hAnsi="宋体" w:cs="仿宋_GB2312"/>
          <w:b/>
          <w:sz w:val="24"/>
          <w:szCs w:val="24"/>
        </w:rPr>
        <w:t>否则其响应文件按无效响应处理。</w:t>
      </w:r>
    </w:p>
    <w:p w14:paraId="2DCF01A1">
      <w:pPr>
        <w:spacing w:line="360" w:lineRule="auto"/>
        <w:ind w:firstLine="480" w:firstLineChars="200"/>
        <w:jc w:val="left"/>
        <w:rPr>
          <w:rFonts w:hint="eastAsia" w:ascii="宋体" w:hAnsi="宋体" w:cs="仿宋_GB2312"/>
          <w:sz w:val="24"/>
          <w:szCs w:val="24"/>
        </w:rPr>
      </w:pPr>
      <w:r>
        <w:rPr>
          <w:rFonts w:hint="eastAsia" w:ascii="宋体" w:hAnsi="宋体" w:cs="仿宋_GB2312"/>
          <w:sz w:val="24"/>
          <w:szCs w:val="24"/>
        </w:rPr>
        <w:t>2.本授权委托书应由联合体牵头人的法定代表人按上述规定签署。</w:t>
      </w:r>
    </w:p>
    <w:p w14:paraId="77F2570F">
      <w:pPr>
        <w:spacing w:line="360" w:lineRule="auto"/>
        <w:ind w:firstLine="480" w:firstLineChars="200"/>
        <w:jc w:val="left"/>
        <w:rPr>
          <w:rFonts w:hint="eastAsia" w:ascii="宋体" w:hAnsi="宋体" w:cs="仿宋_GB2312"/>
          <w:sz w:val="24"/>
          <w:szCs w:val="24"/>
        </w:rPr>
      </w:pPr>
      <w:r>
        <w:rPr>
          <w:rFonts w:hint="eastAsia" w:ascii="宋体" w:hAnsi="宋体" w:cs="仿宋_GB2312"/>
          <w:sz w:val="24"/>
          <w:szCs w:val="24"/>
        </w:rPr>
        <w:t>3.供应商为其他组织或者自然人时，本谈判文件规定的法定代表人指负责人或者自然人。本谈判文件所称负责人是指参加</w:t>
      </w:r>
      <w:r>
        <w:rPr>
          <w:rFonts w:hint="eastAsia" w:ascii="宋体" w:hAnsi="宋体" w:cs="仿宋_GB2312"/>
          <w:sz w:val="24"/>
          <w:szCs w:val="24"/>
          <w:lang w:eastAsia="zh-CN"/>
        </w:rPr>
        <w:t>响应</w:t>
      </w:r>
      <w:r>
        <w:rPr>
          <w:rFonts w:hint="eastAsia" w:ascii="宋体" w:hAnsi="宋体" w:cs="仿宋_GB2312"/>
          <w:sz w:val="24"/>
          <w:szCs w:val="24"/>
        </w:rPr>
        <w:t>的其他组织营业执照上的负责人，本谈判文件所称自然人指参与</w:t>
      </w:r>
      <w:r>
        <w:rPr>
          <w:rFonts w:hint="eastAsia" w:ascii="宋体" w:hAnsi="宋体" w:cs="仿宋_GB2312"/>
          <w:sz w:val="24"/>
          <w:szCs w:val="24"/>
          <w:lang w:eastAsia="zh-CN"/>
        </w:rPr>
        <w:t>响应</w:t>
      </w:r>
      <w:r>
        <w:rPr>
          <w:rFonts w:hint="eastAsia" w:ascii="宋体" w:hAnsi="宋体" w:cs="仿宋_GB2312"/>
          <w:sz w:val="24"/>
          <w:szCs w:val="24"/>
        </w:rPr>
        <w:t>的自然人本人。</w:t>
      </w:r>
    </w:p>
    <w:p w14:paraId="3F26E834">
      <w:pPr>
        <w:spacing w:line="360" w:lineRule="auto"/>
        <w:ind w:firstLine="480" w:firstLineChars="200"/>
        <w:jc w:val="left"/>
        <w:rPr>
          <w:rFonts w:hint="eastAsia" w:ascii="仿宋_GB2312" w:hAnsi="仿宋_GB2312" w:eastAsia="仿宋_GB2312" w:cs="仿宋_GB2312"/>
          <w:szCs w:val="21"/>
        </w:rPr>
      </w:pPr>
      <w:r>
        <w:rPr>
          <w:rFonts w:hint="eastAsia" w:ascii="宋体" w:hAnsi="宋体" w:cs="仿宋_GB2312"/>
          <w:sz w:val="24"/>
          <w:szCs w:val="24"/>
        </w:rPr>
        <w:t>4.法人、其他组织</w:t>
      </w:r>
      <w:r>
        <w:rPr>
          <w:rFonts w:hint="eastAsia" w:ascii="宋体" w:hAnsi="宋体" w:cs="仿宋_GB2312"/>
          <w:sz w:val="24"/>
          <w:szCs w:val="24"/>
          <w:lang w:eastAsia="zh-CN"/>
        </w:rPr>
        <w:t>响应</w:t>
      </w:r>
      <w:r>
        <w:rPr>
          <w:rFonts w:hint="eastAsia" w:ascii="宋体" w:hAnsi="宋体" w:cs="仿宋_GB2312"/>
          <w:sz w:val="24"/>
          <w:szCs w:val="24"/>
        </w:rPr>
        <w:t>时“我方”是指“我单位”，自然人</w:t>
      </w:r>
      <w:r>
        <w:rPr>
          <w:rFonts w:hint="eastAsia" w:ascii="宋体" w:hAnsi="宋体" w:cs="仿宋_GB2312"/>
          <w:sz w:val="24"/>
          <w:szCs w:val="24"/>
          <w:lang w:eastAsia="zh-CN"/>
        </w:rPr>
        <w:t>响应</w:t>
      </w:r>
      <w:r>
        <w:rPr>
          <w:rFonts w:hint="eastAsia" w:ascii="宋体" w:hAnsi="宋体" w:cs="仿宋_GB2312"/>
          <w:sz w:val="24"/>
          <w:szCs w:val="24"/>
        </w:rPr>
        <w:t>时“我方”是指“本人”。</w:t>
      </w:r>
    </w:p>
    <w:p w14:paraId="736460C6">
      <w:pPr>
        <w:snapToGrid w:val="0"/>
        <w:spacing w:line="360" w:lineRule="auto"/>
        <w:ind w:firstLine="640" w:firstLineChars="200"/>
        <w:rPr>
          <w:rFonts w:hint="eastAsia" w:ascii="宋体" w:hAnsi="宋体" w:eastAsia="等线"/>
          <w:b/>
          <w:bCs/>
          <w:sz w:val="32"/>
          <w:szCs w:val="32"/>
        </w:rPr>
      </w:pPr>
      <w:r>
        <w:rPr>
          <w:rFonts w:hint="eastAsia" w:ascii="仿宋_GB2312" w:hAnsi="仿宋_GB2312" w:eastAsia="仿宋_GB2312" w:cs="仿宋_GB2312"/>
          <w:kern w:val="0"/>
          <w:sz w:val="32"/>
          <w:szCs w:val="32"/>
        </w:rPr>
        <w:br w:type="page"/>
      </w:r>
      <w:r>
        <w:rPr>
          <w:rFonts w:hint="eastAsia" w:ascii="仿宋" w:hAnsi="仿宋" w:eastAsia="仿宋" w:cs="仿宋_GB2312"/>
          <w:b/>
          <w:sz w:val="30"/>
          <w:szCs w:val="30"/>
        </w:rPr>
        <w:t>四、商务条款偏离表</w:t>
      </w:r>
    </w:p>
    <w:p w14:paraId="2087ADC8">
      <w:pPr>
        <w:spacing w:line="50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商务条款偏离表（格式）</w:t>
      </w:r>
    </w:p>
    <w:p w14:paraId="35343746">
      <w:pPr>
        <w:spacing w:line="360" w:lineRule="auto"/>
        <w:rPr>
          <w:rFonts w:hint="eastAsia" w:ascii="宋体" w:hAnsi="宋体" w:eastAsia="等线" w:cs="仿宋_GB2312"/>
          <w:sz w:val="24"/>
          <w:u w:val="single"/>
        </w:rPr>
      </w:pPr>
      <w:r>
        <w:rPr>
          <w:rFonts w:hint="eastAsia" w:ascii="宋体" w:hAnsi="宋体" w:cs="仿宋_GB2312"/>
          <w:sz w:val="24"/>
          <w:szCs w:val="24"/>
        </w:rPr>
        <w:t>分标号</w:t>
      </w:r>
      <w:r>
        <w:rPr>
          <w:rFonts w:hint="eastAsia" w:ascii="宋体" w:hAnsi="宋体"/>
          <w:szCs w:val="21"/>
        </w:rPr>
        <w:t>（此处有分标时填写具体分标号，无分标时填写“无”）</w:t>
      </w:r>
      <w:r>
        <w:rPr>
          <w:rFonts w:hint="eastAsia" w:ascii="宋体" w:hAnsi="宋体" w:cs="仿宋_GB2312"/>
          <w:sz w:val="24"/>
          <w:szCs w:val="24"/>
        </w:rPr>
        <w:t>：</w:t>
      </w:r>
      <w:r>
        <w:rPr>
          <w:rFonts w:hint="eastAsia" w:ascii="宋体" w:hAnsi="宋体" w:cs="仿宋_GB2312"/>
          <w:sz w:val="24"/>
          <w:szCs w:val="24"/>
          <w:u w:val="single"/>
        </w:rPr>
        <w:t xml:space="preserve">                       </w:t>
      </w:r>
    </w:p>
    <w:tbl>
      <w:tblPr>
        <w:tblStyle w:val="10"/>
        <w:tblpPr w:leftFromText="180" w:rightFromText="180" w:vertAnchor="text" w:horzAnchor="margin" w:tblpXSpec="center" w:tblpY="94"/>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757"/>
        <w:gridCol w:w="2606"/>
        <w:gridCol w:w="2426"/>
      </w:tblGrid>
      <w:tr w14:paraId="5C1C8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tcBorders>
              <w:top w:val="single" w:color="auto" w:sz="4" w:space="0"/>
              <w:left w:val="single" w:color="auto" w:sz="4" w:space="0"/>
              <w:bottom w:val="single" w:color="auto" w:sz="4" w:space="0"/>
              <w:right w:val="single" w:color="auto" w:sz="4" w:space="0"/>
            </w:tcBorders>
            <w:noWrap/>
            <w:vAlign w:val="top"/>
          </w:tcPr>
          <w:p w14:paraId="4A19DCCB">
            <w:pPr>
              <w:spacing w:line="340" w:lineRule="exact"/>
              <w:jc w:val="center"/>
              <w:rPr>
                <w:rFonts w:ascii="宋体" w:hAnsi="宋体"/>
                <w:szCs w:val="21"/>
              </w:rPr>
            </w:pPr>
            <w:r>
              <w:rPr>
                <w:rFonts w:hint="eastAsia" w:ascii="宋体" w:hAnsi="宋体"/>
                <w:szCs w:val="21"/>
              </w:rPr>
              <w:t>项号</w:t>
            </w:r>
          </w:p>
        </w:tc>
        <w:tc>
          <w:tcPr>
            <w:tcW w:w="3757" w:type="dxa"/>
            <w:tcBorders>
              <w:top w:val="single" w:color="auto" w:sz="4" w:space="0"/>
              <w:left w:val="single" w:color="auto" w:sz="4" w:space="0"/>
              <w:bottom w:val="single" w:color="auto" w:sz="4" w:space="0"/>
              <w:right w:val="single" w:color="auto" w:sz="4" w:space="0"/>
            </w:tcBorders>
            <w:noWrap/>
            <w:vAlign w:val="top"/>
          </w:tcPr>
          <w:p w14:paraId="249B8330">
            <w:pPr>
              <w:spacing w:line="340" w:lineRule="exact"/>
              <w:jc w:val="center"/>
              <w:rPr>
                <w:rFonts w:ascii="宋体" w:hAnsi="宋体"/>
                <w:szCs w:val="21"/>
              </w:rPr>
            </w:pPr>
            <w:r>
              <w:rPr>
                <w:rFonts w:hint="eastAsia" w:ascii="宋体" w:hAnsi="宋体"/>
                <w:szCs w:val="21"/>
              </w:rPr>
              <w:t>竞争性谈判采购文件的商务需求</w:t>
            </w:r>
          </w:p>
        </w:tc>
        <w:tc>
          <w:tcPr>
            <w:tcW w:w="2606" w:type="dxa"/>
            <w:tcBorders>
              <w:top w:val="single" w:color="auto" w:sz="4" w:space="0"/>
              <w:left w:val="single" w:color="auto" w:sz="4" w:space="0"/>
              <w:bottom w:val="single" w:color="auto" w:sz="4" w:space="0"/>
              <w:right w:val="single" w:color="auto" w:sz="4" w:space="0"/>
            </w:tcBorders>
            <w:noWrap w:val="0"/>
            <w:vAlign w:val="top"/>
          </w:tcPr>
          <w:p w14:paraId="7F3F7C64">
            <w:pPr>
              <w:spacing w:line="340" w:lineRule="exact"/>
              <w:jc w:val="center"/>
              <w:rPr>
                <w:rFonts w:ascii="宋体" w:hAnsi="宋体"/>
                <w:szCs w:val="21"/>
              </w:rPr>
            </w:pPr>
            <w:r>
              <w:rPr>
                <w:rFonts w:hint="eastAsia" w:ascii="宋体" w:hAnsi="宋体"/>
                <w:szCs w:val="21"/>
              </w:rPr>
              <w:t>响应文件承诺的商务条款</w:t>
            </w:r>
          </w:p>
        </w:tc>
        <w:tc>
          <w:tcPr>
            <w:tcW w:w="2426" w:type="dxa"/>
            <w:tcBorders>
              <w:top w:val="single" w:color="auto" w:sz="4" w:space="0"/>
              <w:left w:val="single" w:color="auto" w:sz="4" w:space="0"/>
              <w:bottom w:val="single" w:color="auto" w:sz="4" w:space="0"/>
              <w:right w:val="single" w:color="auto" w:sz="4" w:space="0"/>
            </w:tcBorders>
            <w:noWrap w:val="0"/>
            <w:vAlign w:val="top"/>
          </w:tcPr>
          <w:p w14:paraId="1986829D">
            <w:pPr>
              <w:spacing w:line="300" w:lineRule="exact"/>
              <w:jc w:val="center"/>
              <w:rPr>
                <w:rFonts w:ascii="宋体" w:hAnsi="宋体"/>
                <w:szCs w:val="21"/>
              </w:rPr>
            </w:pPr>
            <w:r>
              <w:rPr>
                <w:rFonts w:hint="eastAsia" w:ascii="宋体" w:hAnsi="宋体"/>
                <w:szCs w:val="21"/>
              </w:rPr>
              <w:t>偏离说明</w:t>
            </w:r>
          </w:p>
        </w:tc>
      </w:tr>
      <w:tr w14:paraId="28CBE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vMerge w:val="restart"/>
            <w:tcBorders>
              <w:top w:val="single" w:color="auto" w:sz="4" w:space="0"/>
              <w:left w:val="single" w:color="auto" w:sz="4" w:space="0"/>
              <w:bottom w:val="single" w:color="auto" w:sz="4" w:space="0"/>
              <w:right w:val="single" w:color="auto" w:sz="4" w:space="0"/>
            </w:tcBorders>
            <w:noWrap/>
            <w:vAlign w:val="top"/>
          </w:tcPr>
          <w:p w14:paraId="5D3254DB">
            <w:pPr>
              <w:spacing w:line="340" w:lineRule="exact"/>
              <w:rPr>
                <w:rFonts w:ascii="宋体" w:hAnsi="宋体"/>
                <w:szCs w:val="21"/>
              </w:rPr>
            </w:pPr>
            <w:r>
              <w:rPr>
                <w:rFonts w:hint="eastAsia" w:ascii="宋体" w:hAnsi="宋体"/>
                <w:szCs w:val="21"/>
              </w:rPr>
              <w:t>一</w:t>
            </w:r>
          </w:p>
        </w:tc>
        <w:tc>
          <w:tcPr>
            <w:tcW w:w="3757" w:type="dxa"/>
            <w:tcBorders>
              <w:top w:val="single" w:color="auto" w:sz="4" w:space="0"/>
              <w:left w:val="single" w:color="auto" w:sz="4" w:space="0"/>
              <w:bottom w:val="single" w:color="auto" w:sz="4" w:space="0"/>
              <w:right w:val="single" w:color="auto" w:sz="4" w:space="0"/>
            </w:tcBorders>
            <w:noWrap/>
            <w:vAlign w:val="top"/>
          </w:tcPr>
          <w:p w14:paraId="09D6A8DF">
            <w:pPr>
              <w:rPr>
                <w:rFonts w:ascii="宋体" w:hAnsi="宋体"/>
                <w:szCs w:val="21"/>
              </w:rPr>
            </w:pPr>
            <w:r>
              <w:rPr>
                <w:rFonts w:hint="eastAsia" w:ascii="宋体" w:hAnsi="宋体"/>
                <w:szCs w:val="21"/>
              </w:rPr>
              <w:t>1  ……</w:t>
            </w:r>
          </w:p>
        </w:tc>
        <w:tc>
          <w:tcPr>
            <w:tcW w:w="2606" w:type="dxa"/>
            <w:tcBorders>
              <w:top w:val="single" w:color="auto" w:sz="4" w:space="0"/>
              <w:left w:val="single" w:color="auto" w:sz="4" w:space="0"/>
              <w:bottom w:val="single" w:color="auto" w:sz="4" w:space="0"/>
              <w:right w:val="single" w:color="auto" w:sz="4" w:space="0"/>
            </w:tcBorders>
            <w:noWrap w:val="0"/>
            <w:vAlign w:val="top"/>
          </w:tcPr>
          <w:p w14:paraId="13848110">
            <w:pPr>
              <w:rPr>
                <w:rFonts w:ascii="宋体" w:hAnsi="宋体"/>
                <w:szCs w:val="21"/>
              </w:rPr>
            </w:pPr>
            <w:r>
              <w:rPr>
                <w:rFonts w:hint="eastAsia" w:ascii="宋体" w:hAnsi="宋体"/>
                <w:szCs w:val="21"/>
              </w:rPr>
              <w:t>1  ……</w:t>
            </w:r>
          </w:p>
        </w:tc>
        <w:tc>
          <w:tcPr>
            <w:tcW w:w="2426" w:type="dxa"/>
            <w:tcBorders>
              <w:top w:val="single" w:color="auto" w:sz="4" w:space="0"/>
              <w:left w:val="single" w:color="auto" w:sz="4" w:space="0"/>
              <w:bottom w:val="single" w:color="auto" w:sz="4" w:space="0"/>
              <w:right w:val="single" w:color="auto" w:sz="4" w:space="0"/>
            </w:tcBorders>
            <w:noWrap w:val="0"/>
            <w:vAlign w:val="top"/>
          </w:tcPr>
          <w:p w14:paraId="7940D1F7">
            <w:pPr>
              <w:spacing w:line="300" w:lineRule="exact"/>
              <w:rPr>
                <w:rFonts w:ascii="宋体" w:hAnsi="宋体"/>
                <w:szCs w:val="21"/>
              </w:rPr>
            </w:pPr>
            <w:r>
              <w:rPr>
                <w:rFonts w:hint="eastAsia" w:ascii="宋体" w:hAnsi="宋体"/>
                <w:szCs w:val="21"/>
              </w:rPr>
              <w:t>正偏离（负偏离或无偏离）</w:t>
            </w:r>
          </w:p>
          <w:p w14:paraId="60852B7B">
            <w:pPr>
              <w:spacing w:line="300" w:lineRule="exact"/>
              <w:rPr>
                <w:rFonts w:ascii="宋体" w:hAnsi="宋体"/>
                <w:szCs w:val="21"/>
              </w:rPr>
            </w:pPr>
          </w:p>
        </w:tc>
      </w:tr>
      <w:tr w14:paraId="211D8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9480" w:type="dxa"/>
            <w:vMerge w:val="continue"/>
            <w:tcBorders>
              <w:top w:val="single" w:color="auto" w:sz="4" w:space="0"/>
              <w:left w:val="single" w:color="auto" w:sz="4" w:space="0"/>
              <w:bottom w:val="single" w:color="auto" w:sz="4" w:space="0"/>
              <w:right w:val="single" w:color="auto" w:sz="4" w:space="0"/>
            </w:tcBorders>
            <w:noWrap w:val="0"/>
            <w:vAlign w:val="center"/>
          </w:tcPr>
          <w:p w14:paraId="2EEA45A0">
            <w:pPr>
              <w:widowControl/>
              <w:jc w:val="left"/>
              <w:rPr>
                <w:rFonts w:ascii="宋体" w:hAnsi="宋体"/>
                <w:szCs w:val="21"/>
              </w:rPr>
            </w:pPr>
          </w:p>
        </w:tc>
        <w:tc>
          <w:tcPr>
            <w:tcW w:w="3757" w:type="dxa"/>
            <w:tcBorders>
              <w:top w:val="single" w:color="auto" w:sz="4" w:space="0"/>
              <w:left w:val="single" w:color="auto" w:sz="4" w:space="0"/>
              <w:bottom w:val="single" w:color="auto" w:sz="4" w:space="0"/>
              <w:right w:val="single" w:color="auto" w:sz="4" w:space="0"/>
            </w:tcBorders>
            <w:noWrap/>
            <w:vAlign w:val="top"/>
          </w:tcPr>
          <w:p w14:paraId="741FCC14">
            <w:pPr>
              <w:spacing w:line="340" w:lineRule="exact"/>
              <w:rPr>
                <w:rFonts w:ascii="宋体" w:hAnsi="宋体"/>
                <w:szCs w:val="21"/>
              </w:rPr>
            </w:pPr>
            <w:r>
              <w:rPr>
                <w:rFonts w:hint="eastAsia" w:ascii="宋体" w:hAnsi="宋体"/>
                <w:szCs w:val="21"/>
              </w:rPr>
              <w:t>2  ……</w:t>
            </w:r>
          </w:p>
          <w:p w14:paraId="5CA32949">
            <w:pPr>
              <w:spacing w:line="340" w:lineRule="exact"/>
              <w:rPr>
                <w:rFonts w:ascii="宋体" w:hAnsi="宋体"/>
                <w:szCs w:val="21"/>
              </w:rPr>
            </w:pPr>
          </w:p>
        </w:tc>
        <w:tc>
          <w:tcPr>
            <w:tcW w:w="2606" w:type="dxa"/>
            <w:tcBorders>
              <w:top w:val="single" w:color="auto" w:sz="4" w:space="0"/>
              <w:left w:val="single" w:color="auto" w:sz="4" w:space="0"/>
              <w:bottom w:val="single" w:color="auto" w:sz="4" w:space="0"/>
              <w:right w:val="single" w:color="auto" w:sz="4" w:space="0"/>
            </w:tcBorders>
            <w:noWrap w:val="0"/>
            <w:vAlign w:val="top"/>
          </w:tcPr>
          <w:p w14:paraId="168CA77C">
            <w:pPr>
              <w:spacing w:line="340" w:lineRule="exact"/>
              <w:rPr>
                <w:rFonts w:ascii="宋体" w:hAnsi="宋体"/>
                <w:szCs w:val="21"/>
              </w:rPr>
            </w:pPr>
            <w:r>
              <w:rPr>
                <w:rFonts w:hint="eastAsia" w:ascii="宋体" w:hAnsi="宋体"/>
                <w:szCs w:val="21"/>
              </w:rPr>
              <w:t>2  ……</w:t>
            </w:r>
          </w:p>
          <w:p w14:paraId="5F9AB54A">
            <w:pPr>
              <w:spacing w:line="300" w:lineRule="exact"/>
              <w:rPr>
                <w:rFonts w:ascii="宋体" w:hAnsi="宋体"/>
                <w:szCs w:val="21"/>
              </w:rPr>
            </w:pPr>
          </w:p>
        </w:tc>
        <w:tc>
          <w:tcPr>
            <w:tcW w:w="2426" w:type="dxa"/>
            <w:tcBorders>
              <w:top w:val="single" w:color="auto" w:sz="4" w:space="0"/>
              <w:left w:val="single" w:color="auto" w:sz="4" w:space="0"/>
              <w:bottom w:val="single" w:color="auto" w:sz="4" w:space="0"/>
              <w:right w:val="single" w:color="auto" w:sz="4" w:space="0"/>
            </w:tcBorders>
            <w:noWrap w:val="0"/>
            <w:vAlign w:val="top"/>
          </w:tcPr>
          <w:p w14:paraId="50283F3B">
            <w:pPr>
              <w:spacing w:line="300" w:lineRule="exact"/>
              <w:rPr>
                <w:rFonts w:ascii="宋体" w:hAnsi="宋体"/>
                <w:szCs w:val="21"/>
              </w:rPr>
            </w:pPr>
            <w:r>
              <w:rPr>
                <w:rFonts w:hint="eastAsia" w:ascii="宋体" w:hAnsi="宋体"/>
                <w:szCs w:val="21"/>
              </w:rPr>
              <w:t>正偏离（负偏离或无偏离）</w:t>
            </w:r>
          </w:p>
          <w:p w14:paraId="6FA969CA">
            <w:pPr>
              <w:spacing w:line="300" w:lineRule="exact"/>
              <w:rPr>
                <w:rFonts w:ascii="宋体" w:hAnsi="宋体"/>
                <w:szCs w:val="21"/>
              </w:rPr>
            </w:pPr>
          </w:p>
        </w:tc>
      </w:tr>
      <w:tr w14:paraId="48AB7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9480" w:type="dxa"/>
            <w:vMerge w:val="continue"/>
            <w:tcBorders>
              <w:top w:val="single" w:color="auto" w:sz="4" w:space="0"/>
              <w:left w:val="single" w:color="auto" w:sz="4" w:space="0"/>
              <w:bottom w:val="single" w:color="auto" w:sz="4" w:space="0"/>
              <w:right w:val="single" w:color="auto" w:sz="4" w:space="0"/>
            </w:tcBorders>
            <w:noWrap w:val="0"/>
            <w:vAlign w:val="center"/>
          </w:tcPr>
          <w:p w14:paraId="2CA5CA78">
            <w:pPr>
              <w:widowControl/>
              <w:jc w:val="left"/>
              <w:rPr>
                <w:rFonts w:ascii="宋体" w:hAnsi="宋体"/>
                <w:szCs w:val="21"/>
              </w:rPr>
            </w:pPr>
          </w:p>
        </w:tc>
        <w:tc>
          <w:tcPr>
            <w:tcW w:w="3757" w:type="dxa"/>
            <w:tcBorders>
              <w:top w:val="single" w:color="auto" w:sz="4" w:space="0"/>
              <w:left w:val="single" w:color="auto" w:sz="4" w:space="0"/>
              <w:bottom w:val="single" w:color="auto" w:sz="4" w:space="0"/>
              <w:right w:val="single" w:color="auto" w:sz="4" w:space="0"/>
            </w:tcBorders>
            <w:noWrap/>
            <w:vAlign w:val="top"/>
          </w:tcPr>
          <w:p w14:paraId="36B2714C">
            <w:pPr>
              <w:spacing w:line="340" w:lineRule="exact"/>
              <w:rPr>
                <w:rFonts w:ascii="宋体" w:hAnsi="宋体"/>
                <w:szCs w:val="21"/>
              </w:rPr>
            </w:pPr>
            <w:r>
              <w:rPr>
                <w:rFonts w:hint="eastAsia" w:ascii="宋体" w:hAnsi="宋体"/>
                <w:szCs w:val="21"/>
              </w:rPr>
              <w:t>3  ……</w:t>
            </w:r>
          </w:p>
          <w:p w14:paraId="28673C98">
            <w:pPr>
              <w:spacing w:line="340" w:lineRule="exact"/>
              <w:rPr>
                <w:rFonts w:ascii="宋体" w:hAnsi="宋体"/>
                <w:szCs w:val="21"/>
              </w:rPr>
            </w:pPr>
          </w:p>
        </w:tc>
        <w:tc>
          <w:tcPr>
            <w:tcW w:w="2606" w:type="dxa"/>
            <w:tcBorders>
              <w:top w:val="single" w:color="auto" w:sz="4" w:space="0"/>
              <w:left w:val="single" w:color="auto" w:sz="4" w:space="0"/>
              <w:bottom w:val="single" w:color="auto" w:sz="4" w:space="0"/>
              <w:right w:val="single" w:color="auto" w:sz="4" w:space="0"/>
            </w:tcBorders>
            <w:noWrap w:val="0"/>
            <w:vAlign w:val="top"/>
          </w:tcPr>
          <w:p w14:paraId="1EB4E82E">
            <w:pPr>
              <w:spacing w:line="340" w:lineRule="exact"/>
              <w:rPr>
                <w:rFonts w:ascii="宋体" w:hAnsi="宋体"/>
                <w:szCs w:val="21"/>
              </w:rPr>
            </w:pPr>
            <w:r>
              <w:rPr>
                <w:rFonts w:hint="eastAsia" w:ascii="宋体" w:hAnsi="宋体"/>
                <w:szCs w:val="21"/>
              </w:rPr>
              <w:t>3  ……</w:t>
            </w:r>
          </w:p>
          <w:p w14:paraId="7813CD5E">
            <w:pPr>
              <w:spacing w:line="300" w:lineRule="exact"/>
              <w:rPr>
                <w:rFonts w:ascii="宋体" w:hAnsi="宋体"/>
                <w:szCs w:val="21"/>
              </w:rPr>
            </w:pPr>
          </w:p>
        </w:tc>
        <w:tc>
          <w:tcPr>
            <w:tcW w:w="2426" w:type="dxa"/>
            <w:tcBorders>
              <w:top w:val="single" w:color="auto" w:sz="4" w:space="0"/>
              <w:left w:val="single" w:color="auto" w:sz="4" w:space="0"/>
              <w:bottom w:val="single" w:color="auto" w:sz="4" w:space="0"/>
              <w:right w:val="single" w:color="auto" w:sz="4" w:space="0"/>
            </w:tcBorders>
            <w:noWrap w:val="0"/>
            <w:vAlign w:val="top"/>
          </w:tcPr>
          <w:p w14:paraId="525C708A">
            <w:pPr>
              <w:spacing w:line="300" w:lineRule="exact"/>
              <w:rPr>
                <w:rFonts w:ascii="宋体" w:hAnsi="宋体"/>
                <w:szCs w:val="21"/>
              </w:rPr>
            </w:pPr>
            <w:r>
              <w:rPr>
                <w:rFonts w:hint="eastAsia" w:ascii="宋体" w:hAnsi="宋体"/>
                <w:szCs w:val="21"/>
              </w:rPr>
              <w:t>正偏离（负偏离或无偏离）</w:t>
            </w:r>
          </w:p>
          <w:p w14:paraId="0D49CE52">
            <w:pPr>
              <w:spacing w:line="300" w:lineRule="exact"/>
              <w:rPr>
                <w:rFonts w:ascii="宋体" w:hAnsi="宋体"/>
                <w:szCs w:val="21"/>
              </w:rPr>
            </w:pPr>
          </w:p>
        </w:tc>
      </w:tr>
      <w:tr w14:paraId="7DEDB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9480" w:type="dxa"/>
            <w:vMerge w:val="continue"/>
            <w:tcBorders>
              <w:top w:val="single" w:color="auto" w:sz="4" w:space="0"/>
              <w:left w:val="single" w:color="auto" w:sz="4" w:space="0"/>
              <w:bottom w:val="single" w:color="auto" w:sz="4" w:space="0"/>
              <w:right w:val="single" w:color="auto" w:sz="4" w:space="0"/>
            </w:tcBorders>
            <w:noWrap w:val="0"/>
            <w:vAlign w:val="center"/>
          </w:tcPr>
          <w:p w14:paraId="7797F201">
            <w:pPr>
              <w:widowControl/>
              <w:jc w:val="left"/>
              <w:rPr>
                <w:rFonts w:ascii="宋体" w:hAnsi="宋体"/>
                <w:szCs w:val="21"/>
              </w:rPr>
            </w:pPr>
          </w:p>
        </w:tc>
        <w:tc>
          <w:tcPr>
            <w:tcW w:w="3757" w:type="dxa"/>
            <w:tcBorders>
              <w:top w:val="single" w:color="auto" w:sz="4" w:space="0"/>
              <w:left w:val="single" w:color="auto" w:sz="4" w:space="0"/>
              <w:bottom w:val="single" w:color="auto" w:sz="4" w:space="0"/>
              <w:right w:val="single" w:color="auto" w:sz="4" w:space="0"/>
            </w:tcBorders>
            <w:noWrap/>
            <w:vAlign w:val="top"/>
          </w:tcPr>
          <w:p w14:paraId="4F7367E9">
            <w:pPr>
              <w:spacing w:line="340" w:lineRule="exact"/>
              <w:rPr>
                <w:rFonts w:ascii="宋体" w:hAnsi="宋体"/>
                <w:szCs w:val="21"/>
              </w:rPr>
            </w:pPr>
            <w:r>
              <w:rPr>
                <w:rFonts w:hint="eastAsia" w:ascii="宋体" w:hAnsi="宋体"/>
                <w:szCs w:val="21"/>
              </w:rPr>
              <w:t>……</w:t>
            </w:r>
          </w:p>
        </w:tc>
        <w:tc>
          <w:tcPr>
            <w:tcW w:w="2606" w:type="dxa"/>
            <w:tcBorders>
              <w:top w:val="single" w:color="auto" w:sz="4" w:space="0"/>
              <w:left w:val="single" w:color="auto" w:sz="4" w:space="0"/>
              <w:bottom w:val="single" w:color="auto" w:sz="4" w:space="0"/>
              <w:right w:val="single" w:color="auto" w:sz="4" w:space="0"/>
            </w:tcBorders>
            <w:noWrap w:val="0"/>
            <w:vAlign w:val="top"/>
          </w:tcPr>
          <w:p w14:paraId="270760A4">
            <w:pPr>
              <w:spacing w:line="300" w:lineRule="exact"/>
              <w:rPr>
                <w:rFonts w:ascii="宋体" w:hAnsi="宋体"/>
                <w:szCs w:val="21"/>
              </w:rPr>
            </w:pPr>
            <w:r>
              <w:rPr>
                <w:rFonts w:hint="eastAsia" w:ascii="宋体" w:hAnsi="宋体"/>
                <w:szCs w:val="21"/>
              </w:rPr>
              <w:t>……</w:t>
            </w:r>
          </w:p>
        </w:tc>
        <w:tc>
          <w:tcPr>
            <w:tcW w:w="2426" w:type="dxa"/>
            <w:tcBorders>
              <w:top w:val="single" w:color="auto" w:sz="4" w:space="0"/>
              <w:left w:val="single" w:color="auto" w:sz="4" w:space="0"/>
              <w:bottom w:val="single" w:color="auto" w:sz="4" w:space="0"/>
              <w:right w:val="single" w:color="auto" w:sz="4" w:space="0"/>
            </w:tcBorders>
            <w:noWrap w:val="0"/>
            <w:vAlign w:val="top"/>
          </w:tcPr>
          <w:p w14:paraId="715A2F59">
            <w:pPr>
              <w:spacing w:line="300" w:lineRule="exact"/>
              <w:rPr>
                <w:rFonts w:ascii="宋体" w:hAnsi="宋体"/>
                <w:szCs w:val="21"/>
              </w:rPr>
            </w:pPr>
            <w:r>
              <w:rPr>
                <w:rFonts w:hint="eastAsia" w:ascii="宋体" w:hAnsi="宋体"/>
                <w:szCs w:val="21"/>
              </w:rPr>
              <w:t>正偏离（负偏离或无偏离）</w:t>
            </w:r>
          </w:p>
          <w:p w14:paraId="1DB3F1E9">
            <w:pPr>
              <w:spacing w:line="300" w:lineRule="exact"/>
              <w:rPr>
                <w:rFonts w:ascii="宋体" w:hAnsi="宋体"/>
                <w:szCs w:val="21"/>
              </w:rPr>
            </w:pPr>
          </w:p>
        </w:tc>
      </w:tr>
      <w:tr w14:paraId="11A77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vMerge w:val="restart"/>
            <w:tcBorders>
              <w:top w:val="single" w:color="auto" w:sz="4" w:space="0"/>
              <w:left w:val="single" w:color="auto" w:sz="4" w:space="0"/>
              <w:bottom w:val="single" w:color="auto" w:sz="4" w:space="0"/>
              <w:right w:val="single" w:color="auto" w:sz="4" w:space="0"/>
            </w:tcBorders>
            <w:noWrap/>
            <w:vAlign w:val="top"/>
          </w:tcPr>
          <w:p w14:paraId="6D80728D">
            <w:pPr>
              <w:spacing w:line="340" w:lineRule="exact"/>
              <w:rPr>
                <w:rFonts w:ascii="宋体" w:hAnsi="宋体"/>
                <w:szCs w:val="21"/>
              </w:rPr>
            </w:pPr>
            <w:r>
              <w:rPr>
                <w:rFonts w:hint="eastAsia" w:ascii="宋体" w:hAnsi="宋体"/>
                <w:szCs w:val="21"/>
              </w:rPr>
              <w:t>二</w:t>
            </w:r>
          </w:p>
        </w:tc>
        <w:tc>
          <w:tcPr>
            <w:tcW w:w="3757" w:type="dxa"/>
            <w:tcBorders>
              <w:top w:val="single" w:color="auto" w:sz="4" w:space="0"/>
              <w:left w:val="single" w:color="auto" w:sz="4" w:space="0"/>
              <w:bottom w:val="single" w:color="auto" w:sz="4" w:space="0"/>
              <w:right w:val="single" w:color="auto" w:sz="4" w:space="0"/>
            </w:tcBorders>
            <w:noWrap/>
            <w:vAlign w:val="top"/>
          </w:tcPr>
          <w:p w14:paraId="54A88DAA">
            <w:pPr>
              <w:rPr>
                <w:rFonts w:ascii="宋体" w:hAnsi="宋体"/>
                <w:szCs w:val="21"/>
              </w:rPr>
            </w:pPr>
            <w:r>
              <w:rPr>
                <w:rFonts w:hint="eastAsia" w:ascii="宋体" w:hAnsi="宋体"/>
                <w:szCs w:val="21"/>
              </w:rPr>
              <w:t>1  ……</w:t>
            </w:r>
          </w:p>
        </w:tc>
        <w:tc>
          <w:tcPr>
            <w:tcW w:w="2606" w:type="dxa"/>
            <w:tcBorders>
              <w:top w:val="single" w:color="auto" w:sz="4" w:space="0"/>
              <w:left w:val="single" w:color="auto" w:sz="4" w:space="0"/>
              <w:bottom w:val="single" w:color="auto" w:sz="4" w:space="0"/>
              <w:right w:val="single" w:color="auto" w:sz="4" w:space="0"/>
            </w:tcBorders>
            <w:noWrap w:val="0"/>
            <w:vAlign w:val="top"/>
          </w:tcPr>
          <w:p w14:paraId="4BA1F656">
            <w:pPr>
              <w:rPr>
                <w:rFonts w:ascii="宋体" w:hAnsi="宋体"/>
                <w:szCs w:val="21"/>
              </w:rPr>
            </w:pPr>
            <w:r>
              <w:rPr>
                <w:rFonts w:hint="eastAsia" w:ascii="宋体" w:hAnsi="宋体"/>
                <w:szCs w:val="21"/>
              </w:rPr>
              <w:t>1  ……</w:t>
            </w:r>
          </w:p>
        </w:tc>
        <w:tc>
          <w:tcPr>
            <w:tcW w:w="2426" w:type="dxa"/>
            <w:tcBorders>
              <w:top w:val="single" w:color="auto" w:sz="4" w:space="0"/>
              <w:left w:val="single" w:color="auto" w:sz="4" w:space="0"/>
              <w:bottom w:val="single" w:color="auto" w:sz="4" w:space="0"/>
              <w:right w:val="single" w:color="auto" w:sz="4" w:space="0"/>
            </w:tcBorders>
            <w:noWrap w:val="0"/>
            <w:vAlign w:val="top"/>
          </w:tcPr>
          <w:p w14:paraId="5666C71D">
            <w:pPr>
              <w:spacing w:line="300" w:lineRule="exact"/>
              <w:rPr>
                <w:rFonts w:ascii="宋体" w:hAnsi="宋体"/>
                <w:szCs w:val="21"/>
              </w:rPr>
            </w:pPr>
            <w:r>
              <w:rPr>
                <w:rFonts w:hint="eastAsia" w:ascii="宋体" w:hAnsi="宋体"/>
                <w:szCs w:val="21"/>
              </w:rPr>
              <w:t>正偏离（负偏离或无偏离）</w:t>
            </w:r>
          </w:p>
          <w:p w14:paraId="146DA873">
            <w:pPr>
              <w:spacing w:line="300" w:lineRule="exact"/>
              <w:rPr>
                <w:rFonts w:ascii="宋体" w:hAnsi="宋体"/>
                <w:szCs w:val="21"/>
              </w:rPr>
            </w:pPr>
          </w:p>
        </w:tc>
      </w:tr>
      <w:tr w14:paraId="4A488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9480" w:type="dxa"/>
            <w:vMerge w:val="continue"/>
            <w:tcBorders>
              <w:top w:val="single" w:color="auto" w:sz="4" w:space="0"/>
              <w:left w:val="single" w:color="auto" w:sz="4" w:space="0"/>
              <w:bottom w:val="single" w:color="auto" w:sz="4" w:space="0"/>
              <w:right w:val="single" w:color="auto" w:sz="4" w:space="0"/>
            </w:tcBorders>
            <w:noWrap w:val="0"/>
            <w:vAlign w:val="center"/>
          </w:tcPr>
          <w:p w14:paraId="39E3FAC4">
            <w:pPr>
              <w:widowControl/>
              <w:jc w:val="left"/>
              <w:rPr>
                <w:rFonts w:ascii="宋体" w:hAnsi="宋体"/>
                <w:szCs w:val="21"/>
              </w:rPr>
            </w:pPr>
          </w:p>
        </w:tc>
        <w:tc>
          <w:tcPr>
            <w:tcW w:w="3757" w:type="dxa"/>
            <w:tcBorders>
              <w:top w:val="single" w:color="auto" w:sz="4" w:space="0"/>
              <w:left w:val="single" w:color="auto" w:sz="4" w:space="0"/>
              <w:bottom w:val="single" w:color="auto" w:sz="4" w:space="0"/>
              <w:right w:val="single" w:color="auto" w:sz="4" w:space="0"/>
            </w:tcBorders>
            <w:noWrap/>
            <w:vAlign w:val="top"/>
          </w:tcPr>
          <w:p w14:paraId="59F677B2">
            <w:pPr>
              <w:spacing w:line="340" w:lineRule="exact"/>
              <w:rPr>
                <w:rFonts w:ascii="宋体" w:hAnsi="宋体"/>
                <w:szCs w:val="21"/>
              </w:rPr>
            </w:pPr>
            <w:r>
              <w:rPr>
                <w:rFonts w:hint="eastAsia" w:ascii="宋体" w:hAnsi="宋体"/>
                <w:szCs w:val="21"/>
              </w:rPr>
              <w:t>2  ……</w:t>
            </w:r>
          </w:p>
          <w:p w14:paraId="301B3E27">
            <w:pPr>
              <w:spacing w:line="340" w:lineRule="exact"/>
              <w:rPr>
                <w:rFonts w:ascii="宋体" w:hAnsi="宋体"/>
                <w:szCs w:val="21"/>
              </w:rPr>
            </w:pPr>
          </w:p>
        </w:tc>
        <w:tc>
          <w:tcPr>
            <w:tcW w:w="2606" w:type="dxa"/>
            <w:tcBorders>
              <w:top w:val="single" w:color="auto" w:sz="4" w:space="0"/>
              <w:left w:val="single" w:color="auto" w:sz="4" w:space="0"/>
              <w:bottom w:val="single" w:color="auto" w:sz="4" w:space="0"/>
              <w:right w:val="single" w:color="auto" w:sz="4" w:space="0"/>
            </w:tcBorders>
            <w:noWrap w:val="0"/>
            <w:vAlign w:val="top"/>
          </w:tcPr>
          <w:p w14:paraId="145C87C7">
            <w:pPr>
              <w:spacing w:line="340" w:lineRule="exact"/>
              <w:rPr>
                <w:rFonts w:ascii="宋体" w:hAnsi="宋体"/>
                <w:szCs w:val="21"/>
              </w:rPr>
            </w:pPr>
            <w:r>
              <w:rPr>
                <w:rFonts w:hint="eastAsia" w:ascii="宋体" w:hAnsi="宋体"/>
                <w:szCs w:val="21"/>
              </w:rPr>
              <w:t>2  ……</w:t>
            </w:r>
          </w:p>
          <w:p w14:paraId="20B05685">
            <w:pPr>
              <w:spacing w:line="300" w:lineRule="exact"/>
              <w:rPr>
                <w:rFonts w:ascii="宋体" w:hAnsi="宋体"/>
                <w:szCs w:val="21"/>
              </w:rPr>
            </w:pPr>
          </w:p>
        </w:tc>
        <w:tc>
          <w:tcPr>
            <w:tcW w:w="2426" w:type="dxa"/>
            <w:tcBorders>
              <w:top w:val="single" w:color="auto" w:sz="4" w:space="0"/>
              <w:left w:val="single" w:color="auto" w:sz="4" w:space="0"/>
              <w:bottom w:val="single" w:color="auto" w:sz="4" w:space="0"/>
              <w:right w:val="single" w:color="auto" w:sz="4" w:space="0"/>
            </w:tcBorders>
            <w:noWrap w:val="0"/>
            <w:vAlign w:val="top"/>
          </w:tcPr>
          <w:p w14:paraId="36F2F4A1">
            <w:pPr>
              <w:spacing w:line="300" w:lineRule="exact"/>
              <w:rPr>
                <w:rFonts w:ascii="宋体" w:hAnsi="宋体"/>
                <w:szCs w:val="21"/>
              </w:rPr>
            </w:pPr>
            <w:r>
              <w:rPr>
                <w:rFonts w:hint="eastAsia" w:ascii="宋体" w:hAnsi="宋体"/>
                <w:szCs w:val="21"/>
              </w:rPr>
              <w:t>正偏离（负偏离或无偏离）</w:t>
            </w:r>
          </w:p>
          <w:p w14:paraId="4112854E">
            <w:pPr>
              <w:spacing w:line="300" w:lineRule="exact"/>
              <w:rPr>
                <w:rFonts w:ascii="宋体" w:hAnsi="宋体"/>
                <w:szCs w:val="21"/>
              </w:rPr>
            </w:pPr>
          </w:p>
        </w:tc>
      </w:tr>
      <w:tr w14:paraId="38459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9480" w:type="dxa"/>
            <w:vMerge w:val="continue"/>
            <w:tcBorders>
              <w:top w:val="single" w:color="auto" w:sz="4" w:space="0"/>
              <w:left w:val="single" w:color="auto" w:sz="4" w:space="0"/>
              <w:bottom w:val="single" w:color="auto" w:sz="4" w:space="0"/>
              <w:right w:val="single" w:color="auto" w:sz="4" w:space="0"/>
            </w:tcBorders>
            <w:noWrap w:val="0"/>
            <w:vAlign w:val="center"/>
          </w:tcPr>
          <w:p w14:paraId="45A420C7">
            <w:pPr>
              <w:widowControl/>
              <w:jc w:val="left"/>
              <w:rPr>
                <w:rFonts w:ascii="宋体" w:hAnsi="宋体"/>
                <w:szCs w:val="21"/>
              </w:rPr>
            </w:pPr>
          </w:p>
        </w:tc>
        <w:tc>
          <w:tcPr>
            <w:tcW w:w="3757" w:type="dxa"/>
            <w:tcBorders>
              <w:top w:val="single" w:color="auto" w:sz="4" w:space="0"/>
              <w:left w:val="single" w:color="auto" w:sz="4" w:space="0"/>
              <w:bottom w:val="single" w:color="auto" w:sz="4" w:space="0"/>
              <w:right w:val="single" w:color="auto" w:sz="4" w:space="0"/>
            </w:tcBorders>
            <w:noWrap/>
            <w:vAlign w:val="top"/>
          </w:tcPr>
          <w:p w14:paraId="5738DE34">
            <w:pPr>
              <w:spacing w:line="340" w:lineRule="exact"/>
              <w:rPr>
                <w:rFonts w:ascii="宋体" w:hAnsi="宋体"/>
                <w:szCs w:val="21"/>
              </w:rPr>
            </w:pPr>
            <w:r>
              <w:rPr>
                <w:rFonts w:hint="eastAsia" w:ascii="宋体" w:hAnsi="宋体"/>
                <w:szCs w:val="21"/>
              </w:rPr>
              <w:t>3  ……</w:t>
            </w:r>
          </w:p>
          <w:p w14:paraId="4C4D3368">
            <w:pPr>
              <w:spacing w:line="340" w:lineRule="exact"/>
              <w:rPr>
                <w:rFonts w:ascii="宋体" w:hAnsi="宋体"/>
                <w:szCs w:val="21"/>
              </w:rPr>
            </w:pPr>
          </w:p>
        </w:tc>
        <w:tc>
          <w:tcPr>
            <w:tcW w:w="2606" w:type="dxa"/>
            <w:tcBorders>
              <w:top w:val="single" w:color="auto" w:sz="4" w:space="0"/>
              <w:left w:val="single" w:color="auto" w:sz="4" w:space="0"/>
              <w:bottom w:val="single" w:color="auto" w:sz="4" w:space="0"/>
              <w:right w:val="single" w:color="auto" w:sz="4" w:space="0"/>
            </w:tcBorders>
            <w:noWrap w:val="0"/>
            <w:vAlign w:val="top"/>
          </w:tcPr>
          <w:p w14:paraId="2DE3D758">
            <w:pPr>
              <w:spacing w:line="340" w:lineRule="exact"/>
              <w:rPr>
                <w:rFonts w:ascii="宋体" w:hAnsi="宋体"/>
                <w:szCs w:val="21"/>
              </w:rPr>
            </w:pPr>
            <w:r>
              <w:rPr>
                <w:rFonts w:hint="eastAsia" w:ascii="宋体" w:hAnsi="宋体"/>
                <w:szCs w:val="21"/>
              </w:rPr>
              <w:t>3  ……</w:t>
            </w:r>
          </w:p>
          <w:p w14:paraId="31ED84B5">
            <w:pPr>
              <w:spacing w:line="300" w:lineRule="exact"/>
              <w:rPr>
                <w:rFonts w:ascii="宋体" w:hAnsi="宋体"/>
                <w:szCs w:val="21"/>
              </w:rPr>
            </w:pPr>
          </w:p>
        </w:tc>
        <w:tc>
          <w:tcPr>
            <w:tcW w:w="2426" w:type="dxa"/>
            <w:tcBorders>
              <w:top w:val="single" w:color="auto" w:sz="4" w:space="0"/>
              <w:left w:val="single" w:color="auto" w:sz="4" w:space="0"/>
              <w:bottom w:val="single" w:color="auto" w:sz="4" w:space="0"/>
              <w:right w:val="single" w:color="auto" w:sz="4" w:space="0"/>
            </w:tcBorders>
            <w:noWrap w:val="0"/>
            <w:vAlign w:val="top"/>
          </w:tcPr>
          <w:p w14:paraId="56078C25">
            <w:pPr>
              <w:spacing w:line="300" w:lineRule="exact"/>
              <w:rPr>
                <w:rFonts w:ascii="宋体" w:hAnsi="宋体"/>
                <w:szCs w:val="21"/>
              </w:rPr>
            </w:pPr>
            <w:r>
              <w:rPr>
                <w:rFonts w:hint="eastAsia" w:ascii="宋体" w:hAnsi="宋体"/>
                <w:szCs w:val="21"/>
              </w:rPr>
              <w:t>正偏离（负偏离或无偏离）</w:t>
            </w:r>
          </w:p>
          <w:p w14:paraId="2463C384">
            <w:pPr>
              <w:spacing w:line="300" w:lineRule="exact"/>
              <w:rPr>
                <w:rFonts w:ascii="宋体" w:hAnsi="宋体"/>
                <w:szCs w:val="21"/>
              </w:rPr>
            </w:pPr>
          </w:p>
        </w:tc>
      </w:tr>
      <w:tr w14:paraId="050E3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9480" w:type="dxa"/>
            <w:vMerge w:val="continue"/>
            <w:tcBorders>
              <w:top w:val="single" w:color="auto" w:sz="4" w:space="0"/>
              <w:left w:val="single" w:color="auto" w:sz="4" w:space="0"/>
              <w:bottom w:val="single" w:color="auto" w:sz="4" w:space="0"/>
              <w:right w:val="single" w:color="auto" w:sz="4" w:space="0"/>
            </w:tcBorders>
            <w:noWrap w:val="0"/>
            <w:vAlign w:val="center"/>
          </w:tcPr>
          <w:p w14:paraId="456471A4">
            <w:pPr>
              <w:widowControl/>
              <w:jc w:val="left"/>
              <w:rPr>
                <w:rFonts w:ascii="宋体" w:hAnsi="宋体"/>
                <w:szCs w:val="21"/>
              </w:rPr>
            </w:pPr>
          </w:p>
        </w:tc>
        <w:tc>
          <w:tcPr>
            <w:tcW w:w="3757" w:type="dxa"/>
            <w:tcBorders>
              <w:top w:val="single" w:color="auto" w:sz="4" w:space="0"/>
              <w:left w:val="single" w:color="auto" w:sz="4" w:space="0"/>
              <w:bottom w:val="single" w:color="auto" w:sz="4" w:space="0"/>
              <w:right w:val="single" w:color="auto" w:sz="4" w:space="0"/>
            </w:tcBorders>
            <w:noWrap/>
            <w:vAlign w:val="top"/>
          </w:tcPr>
          <w:p w14:paraId="4FFEAFA6">
            <w:pPr>
              <w:spacing w:line="340" w:lineRule="exact"/>
              <w:rPr>
                <w:rFonts w:ascii="宋体" w:hAnsi="宋体"/>
                <w:szCs w:val="21"/>
              </w:rPr>
            </w:pPr>
            <w:r>
              <w:rPr>
                <w:rFonts w:hint="eastAsia" w:ascii="宋体" w:hAnsi="宋体"/>
                <w:szCs w:val="21"/>
              </w:rPr>
              <w:t>……</w:t>
            </w:r>
          </w:p>
        </w:tc>
        <w:tc>
          <w:tcPr>
            <w:tcW w:w="2606" w:type="dxa"/>
            <w:tcBorders>
              <w:top w:val="single" w:color="auto" w:sz="4" w:space="0"/>
              <w:left w:val="single" w:color="auto" w:sz="4" w:space="0"/>
              <w:bottom w:val="single" w:color="auto" w:sz="4" w:space="0"/>
              <w:right w:val="single" w:color="auto" w:sz="4" w:space="0"/>
            </w:tcBorders>
            <w:noWrap w:val="0"/>
            <w:vAlign w:val="top"/>
          </w:tcPr>
          <w:p w14:paraId="4ADA5295">
            <w:pPr>
              <w:spacing w:line="300" w:lineRule="exact"/>
              <w:rPr>
                <w:rFonts w:ascii="宋体" w:hAnsi="宋体"/>
                <w:szCs w:val="21"/>
              </w:rPr>
            </w:pPr>
            <w:r>
              <w:rPr>
                <w:rFonts w:hint="eastAsia" w:ascii="宋体" w:hAnsi="宋体"/>
                <w:szCs w:val="21"/>
              </w:rPr>
              <w:t>……</w:t>
            </w:r>
          </w:p>
        </w:tc>
        <w:tc>
          <w:tcPr>
            <w:tcW w:w="2426" w:type="dxa"/>
            <w:tcBorders>
              <w:top w:val="single" w:color="auto" w:sz="4" w:space="0"/>
              <w:left w:val="single" w:color="auto" w:sz="4" w:space="0"/>
              <w:bottom w:val="single" w:color="auto" w:sz="4" w:space="0"/>
              <w:right w:val="single" w:color="auto" w:sz="4" w:space="0"/>
            </w:tcBorders>
            <w:noWrap w:val="0"/>
            <w:vAlign w:val="top"/>
          </w:tcPr>
          <w:p w14:paraId="1F56E647">
            <w:pPr>
              <w:spacing w:line="300" w:lineRule="exact"/>
              <w:rPr>
                <w:rFonts w:ascii="宋体" w:hAnsi="宋体"/>
                <w:szCs w:val="21"/>
              </w:rPr>
            </w:pPr>
            <w:r>
              <w:rPr>
                <w:rFonts w:hint="eastAsia" w:ascii="宋体" w:hAnsi="宋体"/>
                <w:szCs w:val="21"/>
              </w:rPr>
              <w:t>正偏离（负偏离或无偏离）</w:t>
            </w:r>
          </w:p>
          <w:p w14:paraId="3817AE16">
            <w:pPr>
              <w:spacing w:line="300" w:lineRule="exact"/>
              <w:rPr>
                <w:rFonts w:ascii="宋体" w:hAnsi="宋体"/>
                <w:szCs w:val="21"/>
              </w:rPr>
            </w:pPr>
          </w:p>
        </w:tc>
      </w:tr>
      <w:tr w14:paraId="4D5F0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vMerge w:val="restart"/>
            <w:tcBorders>
              <w:top w:val="single" w:color="auto" w:sz="4" w:space="0"/>
              <w:left w:val="single" w:color="auto" w:sz="4" w:space="0"/>
              <w:bottom w:val="single" w:color="auto" w:sz="4" w:space="0"/>
              <w:right w:val="single" w:color="auto" w:sz="4" w:space="0"/>
            </w:tcBorders>
            <w:noWrap/>
            <w:vAlign w:val="top"/>
          </w:tcPr>
          <w:p w14:paraId="06FE9E99">
            <w:pPr>
              <w:spacing w:line="340" w:lineRule="exact"/>
              <w:rPr>
                <w:rFonts w:ascii="宋体" w:hAnsi="宋体"/>
                <w:szCs w:val="21"/>
              </w:rPr>
            </w:pPr>
            <w:r>
              <w:rPr>
                <w:rFonts w:hint="eastAsia" w:ascii="宋体" w:hAnsi="宋体"/>
                <w:szCs w:val="21"/>
              </w:rPr>
              <w:t>……</w:t>
            </w:r>
          </w:p>
        </w:tc>
        <w:tc>
          <w:tcPr>
            <w:tcW w:w="3757" w:type="dxa"/>
            <w:tcBorders>
              <w:top w:val="single" w:color="auto" w:sz="4" w:space="0"/>
              <w:left w:val="single" w:color="auto" w:sz="4" w:space="0"/>
              <w:bottom w:val="single" w:color="auto" w:sz="4" w:space="0"/>
              <w:right w:val="single" w:color="auto" w:sz="4" w:space="0"/>
            </w:tcBorders>
            <w:noWrap/>
            <w:vAlign w:val="top"/>
          </w:tcPr>
          <w:p w14:paraId="25BA3A5D">
            <w:pPr>
              <w:rPr>
                <w:rFonts w:ascii="宋体" w:hAnsi="宋体"/>
                <w:szCs w:val="21"/>
              </w:rPr>
            </w:pPr>
            <w:r>
              <w:rPr>
                <w:rFonts w:hint="eastAsia" w:ascii="宋体" w:hAnsi="宋体"/>
                <w:szCs w:val="21"/>
              </w:rPr>
              <w:t>1  ……</w:t>
            </w:r>
          </w:p>
        </w:tc>
        <w:tc>
          <w:tcPr>
            <w:tcW w:w="2606" w:type="dxa"/>
            <w:tcBorders>
              <w:top w:val="single" w:color="auto" w:sz="4" w:space="0"/>
              <w:left w:val="single" w:color="auto" w:sz="4" w:space="0"/>
              <w:bottom w:val="single" w:color="auto" w:sz="4" w:space="0"/>
              <w:right w:val="single" w:color="auto" w:sz="4" w:space="0"/>
            </w:tcBorders>
            <w:noWrap w:val="0"/>
            <w:vAlign w:val="top"/>
          </w:tcPr>
          <w:p w14:paraId="05D9101C">
            <w:pPr>
              <w:rPr>
                <w:rFonts w:ascii="宋体" w:hAnsi="宋体"/>
                <w:szCs w:val="21"/>
              </w:rPr>
            </w:pPr>
            <w:r>
              <w:rPr>
                <w:rFonts w:hint="eastAsia" w:ascii="宋体" w:hAnsi="宋体"/>
                <w:szCs w:val="21"/>
              </w:rPr>
              <w:t>1  ……</w:t>
            </w:r>
          </w:p>
        </w:tc>
        <w:tc>
          <w:tcPr>
            <w:tcW w:w="2426" w:type="dxa"/>
            <w:tcBorders>
              <w:top w:val="single" w:color="auto" w:sz="4" w:space="0"/>
              <w:left w:val="single" w:color="auto" w:sz="4" w:space="0"/>
              <w:bottom w:val="single" w:color="auto" w:sz="4" w:space="0"/>
              <w:right w:val="single" w:color="auto" w:sz="4" w:space="0"/>
            </w:tcBorders>
            <w:noWrap w:val="0"/>
            <w:vAlign w:val="top"/>
          </w:tcPr>
          <w:p w14:paraId="6BA8618D">
            <w:pPr>
              <w:spacing w:line="300" w:lineRule="exact"/>
              <w:rPr>
                <w:rFonts w:ascii="宋体" w:hAnsi="宋体"/>
                <w:szCs w:val="21"/>
              </w:rPr>
            </w:pPr>
            <w:r>
              <w:rPr>
                <w:rFonts w:hint="eastAsia" w:ascii="宋体" w:hAnsi="宋体"/>
                <w:szCs w:val="21"/>
              </w:rPr>
              <w:t>正偏离（负偏离或无偏离）</w:t>
            </w:r>
          </w:p>
          <w:p w14:paraId="77F3AED7">
            <w:pPr>
              <w:spacing w:line="300" w:lineRule="exact"/>
              <w:rPr>
                <w:rFonts w:ascii="宋体" w:hAnsi="宋体"/>
                <w:szCs w:val="21"/>
              </w:rPr>
            </w:pPr>
          </w:p>
        </w:tc>
      </w:tr>
      <w:tr w14:paraId="01ACE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9480" w:type="dxa"/>
            <w:vMerge w:val="continue"/>
            <w:tcBorders>
              <w:top w:val="single" w:color="auto" w:sz="4" w:space="0"/>
              <w:left w:val="single" w:color="auto" w:sz="4" w:space="0"/>
              <w:bottom w:val="single" w:color="auto" w:sz="4" w:space="0"/>
              <w:right w:val="single" w:color="auto" w:sz="4" w:space="0"/>
            </w:tcBorders>
            <w:noWrap w:val="0"/>
            <w:vAlign w:val="center"/>
          </w:tcPr>
          <w:p w14:paraId="424EF60B">
            <w:pPr>
              <w:widowControl/>
              <w:jc w:val="left"/>
              <w:rPr>
                <w:rFonts w:ascii="宋体" w:hAnsi="宋体"/>
                <w:szCs w:val="21"/>
              </w:rPr>
            </w:pPr>
          </w:p>
        </w:tc>
        <w:tc>
          <w:tcPr>
            <w:tcW w:w="3757" w:type="dxa"/>
            <w:tcBorders>
              <w:top w:val="single" w:color="auto" w:sz="4" w:space="0"/>
              <w:left w:val="single" w:color="auto" w:sz="4" w:space="0"/>
              <w:bottom w:val="single" w:color="auto" w:sz="4" w:space="0"/>
              <w:right w:val="single" w:color="auto" w:sz="4" w:space="0"/>
            </w:tcBorders>
            <w:noWrap/>
            <w:vAlign w:val="top"/>
          </w:tcPr>
          <w:p w14:paraId="1B640EF1">
            <w:pPr>
              <w:spacing w:line="340" w:lineRule="exact"/>
              <w:rPr>
                <w:rFonts w:ascii="宋体" w:hAnsi="宋体"/>
                <w:szCs w:val="21"/>
              </w:rPr>
            </w:pPr>
            <w:r>
              <w:rPr>
                <w:rFonts w:hint="eastAsia" w:ascii="宋体" w:hAnsi="宋体"/>
                <w:szCs w:val="21"/>
              </w:rPr>
              <w:t>2  ……</w:t>
            </w:r>
          </w:p>
          <w:p w14:paraId="0C4024D8">
            <w:pPr>
              <w:spacing w:line="340" w:lineRule="exact"/>
              <w:rPr>
                <w:rFonts w:ascii="宋体" w:hAnsi="宋体"/>
                <w:szCs w:val="21"/>
              </w:rPr>
            </w:pPr>
          </w:p>
        </w:tc>
        <w:tc>
          <w:tcPr>
            <w:tcW w:w="2606" w:type="dxa"/>
            <w:tcBorders>
              <w:top w:val="single" w:color="auto" w:sz="4" w:space="0"/>
              <w:left w:val="single" w:color="auto" w:sz="4" w:space="0"/>
              <w:bottom w:val="single" w:color="auto" w:sz="4" w:space="0"/>
              <w:right w:val="single" w:color="auto" w:sz="4" w:space="0"/>
            </w:tcBorders>
            <w:noWrap w:val="0"/>
            <w:vAlign w:val="top"/>
          </w:tcPr>
          <w:p w14:paraId="42C6C681">
            <w:pPr>
              <w:spacing w:line="340" w:lineRule="exact"/>
              <w:rPr>
                <w:rFonts w:ascii="宋体" w:hAnsi="宋体"/>
                <w:szCs w:val="21"/>
              </w:rPr>
            </w:pPr>
            <w:r>
              <w:rPr>
                <w:rFonts w:hint="eastAsia" w:ascii="宋体" w:hAnsi="宋体"/>
                <w:szCs w:val="21"/>
              </w:rPr>
              <w:t>2  ……</w:t>
            </w:r>
          </w:p>
          <w:p w14:paraId="7C82D736">
            <w:pPr>
              <w:spacing w:line="300" w:lineRule="exact"/>
              <w:rPr>
                <w:rFonts w:ascii="宋体" w:hAnsi="宋体"/>
                <w:szCs w:val="21"/>
              </w:rPr>
            </w:pPr>
          </w:p>
        </w:tc>
        <w:tc>
          <w:tcPr>
            <w:tcW w:w="2426" w:type="dxa"/>
            <w:tcBorders>
              <w:top w:val="single" w:color="auto" w:sz="4" w:space="0"/>
              <w:left w:val="single" w:color="auto" w:sz="4" w:space="0"/>
              <w:bottom w:val="single" w:color="auto" w:sz="4" w:space="0"/>
              <w:right w:val="single" w:color="auto" w:sz="4" w:space="0"/>
            </w:tcBorders>
            <w:noWrap w:val="0"/>
            <w:vAlign w:val="top"/>
          </w:tcPr>
          <w:p w14:paraId="3D9F8156">
            <w:pPr>
              <w:spacing w:line="300" w:lineRule="exact"/>
              <w:rPr>
                <w:rFonts w:ascii="宋体" w:hAnsi="宋体"/>
                <w:szCs w:val="21"/>
              </w:rPr>
            </w:pPr>
            <w:r>
              <w:rPr>
                <w:rFonts w:hint="eastAsia" w:ascii="宋体" w:hAnsi="宋体"/>
                <w:szCs w:val="21"/>
              </w:rPr>
              <w:t>正偏离（负偏离或无偏离）</w:t>
            </w:r>
          </w:p>
          <w:p w14:paraId="3C7FFB4B">
            <w:pPr>
              <w:spacing w:line="300" w:lineRule="exact"/>
              <w:rPr>
                <w:rFonts w:ascii="宋体" w:hAnsi="宋体"/>
                <w:szCs w:val="21"/>
              </w:rPr>
            </w:pPr>
          </w:p>
        </w:tc>
      </w:tr>
      <w:tr w14:paraId="22A1B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9480" w:type="dxa"/>
            <w:vMerge w:val="continue"/>
            <w:tcBorders>
              <w:top w:val="single" w:color="auto" w:sz="4" w:space="0"/>
              <w:left w:val="single" w:color="auto" w:sz="4" w:space="0"/>
              <w:bottom w:val="single" w:color="auto" w:sz="4" w:space="0"/>
              <w:right w:val="single" w:color="auto" w:sz="4" w:space="0"/>
            </w:tcBorders>
            <w:noWrap w:val="0"/>
            <w:vAlign w:val="center"/>
          </w:tcPr>
          <w:p w14:paraId="384B2CEF">
            <w:pPr>
              <w:widowControl/>
              <w:jc w:val="left"/>
              <w:rPr>
                <w:rFonts w:ascii="宋体" w:hAnsi="宋体"/>
                <w:szCs w:val="21"/>
              </w:rPr>
            </w:pPr>
          </w:p>
        </w:tc>
        <w:tc>
          <w:tcPr>
            <w:tcW w:w="3757" w:type="dxa"/>
            <w:tcBorders>
              <w:top w:val="single" w:color="auto" w:sz="4" w:space="0"/>
              <w:left w:val="single" w:color="auto" w:sz="4" w:space="0"/>
              <w:bottom w:val="single" w:color="auto" w:sz="4" w:space="0"/>
              <w:right w:val="single" w:color="auto" w:sz="4" w:space="0"/>
            </w:tcBorders>
            <w:noWrap/>
            <w:vAlign w:val="top"/>
          </w:tcPr>
          <w:p w14:paraId="1DA973E4">
            <w:pPr>
              <w:spacing w:line="340" w:lineRule="exact"/>
              <w:rPr>
                <w:rFonts w:ascii="宋体" w:hAnsi="宋体"/>
                <w:szCs w:val="21"/>
              </w:rPr>
            </w:pPr>
            <w:r>
              <w:rPr>
                <w:rFonts w:hint="eastAsia" w:ascii="宋体" w:hAnsi="宋体"/>
                <w:szCs w:val="21"/>
              </w:rPr>
              <w:t>3  ……</w:t>
            </w:r>
          </w:p>
          <w:p w14:paraId="59175B7C">
            <w:pPr>
              <w:spacing w:line="340" w:lineRule="exact"/>
              <w:rPr>
                <w:rFonts w:ascii="宋体" w:hAnsi="宋体"/>
                <w:szCs w:val="21"/>
              </w:rPr>
            </w:pPr>
          </w:p>
        </w:tc>
        <w:tc>
          <w:tcPr>
            <w:tcW w:w="2606" w:type="dxa"/>
            <w:tcBorders>
              <w:top w:val="single" w:color="auto" w:sz="4" w:space="0"/>
              <w:left w:val="single" w:color="auto" w:sz="4" w:space="0"/>
              <w:bottom w:val="single" w:color="auto" w:sz="4" w:space="0"/>
              <w:right w:val="single" w:color="auto" w:sz="4" w:space="0"/>
            </w:tcBorders>
            <w:noWrap w:val="0"/>
            <w:vAlign w:val="top"/>
          </w:tcPr>
          <w:p w14:paraId="0E506FED">
            <w:pPr>
              <w:spacing w:line="340" w:lineRule="exact"/>
              <w:rPr>
                <w:rFonts w:ascii="宋体" w:hAnsi="宋体"/>
                <w:szCs w:val="21"/>
              </w:rPr>
            </w:pPr>
            <w:r>
              <w:rPr>
                <w:rFonts w:hint="eastAsia" w:ascii="宋体" w:hAnsi="宋体"/>
                <w:szCs w:val="21"/>
              </w:rPr>
              <w:t>3  ……</w:t>
            </w:r>
          </w:p>
          <w:p w14:paraId="12F39323">
            <w:pPr>
              <w:spacing w:line="300" w:lineRule="exact"/>
              <w:rPr>
                <w:rFonts w:ascii="宋体" w:hAnsi="宋体"/>
                <w:szCs w:val="21"/>
              </w:rPr>
            </w:pPr>
          </w:p>
        </w:tc>
        <w:tc>
          <w:tcPr>
            <w:tcW w:w="2426" w:type="dxa"/>
            <w:tcBorders>
              <w:top w:val="single" w:color="auto" w:sz="4" w:space="0"/>
              <w:left w:val="single" w:color="auto" w:sz="4" w:space="0"/>
              <w:bottom w:val="single" w:color="auto" w:sz="4" w:space="0"/>
              <w:right w:val="single" w:color="auto" w:sz="4" w:space="0"/>
            </w:tcBorders>
            <w:noWrap w:val="0"/>
            <w:vAlign w:val="top"/>
          </w:tcPr>
          <w:p w14:paraId="2F631765">
            <w:pPr>
              <w:spacing w:line="300" w:lineRule="exact"/>
              <w:rPr>
                <w:rFonts w:ascii="宋体" w:hAnsi="宋体"/>
                <w:szCs w:val="21"/>
              </w:rPr>
            </w:pPr>
            <w:r>
              <w:rPr>
                <w:rFonts w:hint="eastAsia" w:ascii="宋体" w:hAnsi="宋体"/>
                <w:szCs w:val="21"/>
              </w:rPr>
              <w:t>正偏离（负偏离或无偏离）</w:t>
            </w:r>
          </w:p>
          <w:p w14:paraId="7D2A3A02">
            <w:pPr>
              <w:spacing w:line="300" w:lineRule="exact"/>
              <w:rPr>
                <w:rFonts w:ascii="宋体" w:hAnsi="宋体"/>
                <w:szCs w:val="21"/>
              </w:rPr>
            </w:pPr>
          </w:p>
        </w:tc>
      </w:tr>
      <w:tr w14:paraId="36D11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9480" w:type="dxa"/>
            <w:vMerge w:val="continue"/>
            <w:tcBorders>
              <w:top w:val="single" w:color="auto" w:sz="4" w:space="0"/>
              <w:left w:val="single" w:color="auto" w:sz="4" w:space="0"/>
              <w:bottom w:val="single" w:color="auto" w:sz="4" w:space="0"/>
              <w:right w:val="single" w:color="auto" w:sz="4" w:space="0"/>
            </w:tcBorders>
            <w:noWrap w:val="0"/>
            <w:vAlign w:val="center"/>
          </w:tcPr>
          <w:p w14:paraId="5E9C46A0">
            <w:pPr>
              <w:widowControl/>
              <w:jc w:val="left"/>
              <w:rPr>
                <w:rFonts w:ascii="宋体" w:hAnsi="宋体"/>
                <w:szCs w:val="21"/>
              </w:rPr>
            </w:pPr>
          </w:p>
        </w:tc>
        <w:tc>
          <w:tcPr>
            <w:tcW w:w="3757" w:type="dxa"/>
            <w:tcBorders>
              <w:top w:val="single" w:color="auto" w:sz="4" w:space="0"/>
              <w:left w:val="single" w:color="auto" w:sz="4" w:space="0"/>
              <w:bottom w:val="single" w:color="auto" w:sz="4" w:space="0"/>
              <w:right w:val="single" w:color="auto" w:sz="4" w:space="0"/>
            </w:tcBorders>
            <w:noWrap/>
            <w:vAlign w:val="top"/>
          </w:tcPr>
          <w:p w14:paraId="76DB5C6B">
            <w:pPr>
              <w:spacing w:line="340" w:lineRule="exact"/>
              <w:rPr>
                <w:rFonts w:ascii="宋体" w:hAnsi="宋体"/>
                <w:szCs w:val="21"/>
              </w:rPr>
            </w:pPr>
            <w:r>
              <w:rPr>
                <w:rFonts w:hint="eastAsia" w:ascii="宋体" w:hAnsi="宋体"/>
                <w:szCs w:val="21"/>
              </w:rPr>
              <w:t>……</w:t>
            </w:r>
          </w:p>
        </w:tc>
        <w:tc>
          <w:tcPr>
            <w:tcW w:w="2606" w:type="dxa"/>
            <w:tcBorders>
              <w:top w:val="single" w:color="auto" w:sz="4" w:space="0"/>
              <w:left w:val="single" w:color="auto" w:sz="4" w:space="0"/>
              <w:bottom w:val="single" w:color="auto" w:sz="4" w:space="0"/>
              <w:right w:val="single" w:color="auto" w:sz="4" w:space="0"/>
            </w:tcBorders>
            <w:noWrap w:val="0"/>
            <w:vAlign w:val="top"/>
          </w:tcPr>
          <w:p w14:paraId="7577D153">
            <w:pPr>
              <w:spacing w:line="300" w:lineRule="exact"/>
              <w:rPr>
                <w:rFonts w:ascii="宋体" w:hAnsi="宋体"/>
                <w:szCs w:val="21"/>
              </w:rPr>
            </w:pPr>
            <w:r>
              <w:rPr>
                <w:rFonts w:hint="eastAsia" w:ascii="宋体" w:hAnsi="宋体"/>
                <w:szCs w:val="21"/>
              </w:rPr>
              <w:t>……</w:t>
            </w:r>
          </w:p>
        </w:tc>
        <w:tc>
          <w:tcPr>
            <w:tcW w:w="2426" w:type="dxa"/>
            <w:tcBorders>
              <w:top w:val="single" w:color="auto" w:sz="4" w:space="0"/>
              <w:left w:val="single" w:color="auto" w:sz="4" w:space="0"/>
              <w:bottom w:val="single" w:color="auto" w:sz="4" w:space="0"/>
              <w:right w:val="single" w:color="auto" w:sz="4" w:space="0"/>
            </w:tcBorders>
            <w:noWrap w:val="0"/>
            <w:vAlign w:val="top"/>
          </w:tcPr>
          <w:p w14:paraId="6B315E0C">
            <w:pPr>
              <w:spacing w:line="300" w:lineRule="exact"/>
              <w:rPr>
                <w:rFonts w:ascii="宋体" w:hAnsi="宋体"/>
                <w:szCs w:val="21"/>
              </w:rPr>
            </w:pPr>
            <w:r>
              <w:rPr>
                <w:rFonts w:hint="eastAsia" w:ascii="宋体" w:hAnsi="宋体"/>
                <w:szCs w:val="21"/>
              </w:rPr>
              <w:t>正偏离（负偏离或无偏离）</w:t>
            </w:r>
          </w:p>
          <w:p w14:paraId="0BDFEE9D">
            <w:pPr>
              <w:spacing w:line="300" w:lineRule="exact"/>
              <w:rPr>
                <w:rFonts w:ascii="宋体" w:hAnsi="宋体"/>
                <w:szCs w:val="21"/>
              </w:rPr>
            </w:pPr>
          </w:p>
        </w:tc>
      </w:tr>
      <w:tr w14:paraId="75295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480" w:type="dxa"/>
            <w:gridSpan w:val="4"/>
            <w:tcBorders>
              <w:top w:val="single" w:color="auto" w:sz="4" w:space="0"/>
              <w:left w:val="single" w:color="auto" w:sz="4" w:space="0"/>
              <w:bottom w:val="single" w:color="auto" w:sz="4" w:space="0"/>
              <w:right w:val="single" w:color="auto" w:sz="4" w:space="0"/>
            </w:tcBorders>
            <w:noWrap/>
            <w:vAlign w:val="top"/>
          </w:tcPr>
          <w:p w14:paraId="4E098DF7">
            <w:pPr>
              <w:spacing w:line="340" w:lineRule="exact"/>
              <w:rPr>
                <w:rFonts w:ascii="宋体" w:hAnsi="宋体"/>
                <w:szCs w:val="21"/>
              </w:rPr>
            </w:pPr>
            <w:r>
              <w:rPr>
                <w:rFonts w:hint="eastAsia" w:ascii="宋体" w:hAnsi="宋体"/>
                <w:szCs w:val="21"/>
                <w:u w:val="single"/>
              </w:rPr>
              <w:t>　　</w:t>
            </w:r>
            <w:r>
              <w:rPr>
                <w:rFonts w:hint="eastAsia" w:ascii="宋体" w:hAnsi="宋体"/>
                <w:szCs w:val="21"/>
              </w:rPr>
              <w:t>分标（此处有分标时填写具体分标号，无分标时填写“无”）</w:t>
            </w:r>
          </w:p>
        </w:tc>
      </w:tr>
    </w:tbl>
    <w:p w14:paraId="2122D6E7">
      <w:pPr>
        <w:spacing w:line="400" w:lineRule="exact"/>
        <w:rPr>
          <w:rFonts w:hint="eastAsia" w:ascii="宋体" w:hAnsi="宋体" w:cs="仿宋_GB2312"/>
          <w:sz w:val="24"/>
          <w:szCs w:val="24"/>
        </w:rPr>
      </w:pPr>
      <w:r>
        <w:rPr>
          <w:rFonts w:hint="eastAsia" w:ascii="宋体" w:hAnsi="宋体" w:cs="仿宋_GB2312"/>
          <w:sz w:val="24"/>
          <w:szCs w:val="24"/>
        </w:rPr>
        <w:t>注：</w:t>
      </w:r>
    </w:p>
    <w:p w14:paraId="31758FD3">
      <w:pPr>
        <w:spacing w:line="400" w:lineRule="exact"/>
        <w:ind w:firstLine="480" w:firstLineChars="200"/>
        <w:rPr>
          <w:rFonts w:hint="eastAsia" w:ascii="宋体" w:hAnsi="宋体" w:cs="仿宋_GB2312"/>
          <w:sz w:val="24"/>
          <w:szCs w:val="24"/>
        </w:rPr>
      </w:pPr>
      <w:r>
        <w:rPr>
          <w:rFonts w:hint="eastAsia" w:ascii="宋体" w:hAnsi="宋体" w:cs="仿宋_GB2312"/>
          <w:sz w:val="24"/>
          <w:szCs w:val="24"/>
        </w:rPr>
        <w:t>1.说明：应对照谈判文件“第二章 采购需求”中的商务条款逐条作出明确响应，并作出偏离说明。</w:t>
      </w:r>
    </w:p>
    <w:p w14:paraId="180738C1">
      <w:pPr>
        <w:spacing w:line="400" w:lineRule="exact"/>
        <w:ind w:firstLine="480" w:firstLineChars="200"/>
        <w:rPr>
          <w:rFonts w:hint="eastAsia" w:ascii="宋体" w:hAnsi="宋体" w:cs="仿宋_GB2312"/>
          <w:sz w:val="24"/>
          <w:szCs w:val="24"/>
        </w:rPr>
      </w:pPr>
      <w:r>
        <w:rPr>
          <w:rFonts w:hint="eastAsia" w:ascii="宋体" w:hAnsi="宋体" w:cs="仿宋_GB2312"/>
          <w:sz w:val="24"/>
          <w:szCs w:val="24"/>
        </w:rPr>
        <w:t>2.供应商应根据自身的承诺，对照谈判文件要求，在“偏离说明”中注明“正偏离”、“负偏离”或者“无偏离”。既不属于“正偏离”也不属于“负偏离”即为“无偏离”。 当响应文件的商务内容低于竞争性谈判采购文件要求时，</w:t>
      </w:r>
      <w:r>
        <w:rPr>
          <w:rFonts w:hint="eastAsia" w:ascii="宋体" w:hAnsi="宋体" w:cs="仿宋_GB2312"/>
          <w:sz w:val="24"/>
          <w:szCs w:val="24"/>
          <w:lang w:eastAsia="zh-CN"/>
        </w:rPr>
        <w:t>响应</w:t>
      </w:r>
      <w:r>
        <w:rPr>
          <w:rFonts w:hint="eastAsia" w:ascii="宋体" w:hAnsi="宋体" w:cs="仿宋_GB2312"/>
          <w:sz w:val="24"/>
          <w:szCs w:val="24"/>
        </w:rPr>
        <w:t>人应当如实写明“负偏离”，否则视为虚假应标</w:t>
      </w:r>
    </w:p>
    <w:p w14:paraId="34AE81E2">
      <w:pPr>
        <w:spacing w:line="400" w:lineRule="exact"/>
        <w:ind w:firstLine="480" w:firstLineChars="200"/>
        <w:rPr>
          <w:rFonts w:hint="eastAsia" w:ascii="宋体" w:hAnsi="宋体" w:eastAsia="等线" w:cs="仿宋_GB2312"/>
          <w:kern w:val="0"/>
          <w:sz w:val="24"/>
        </w:rPr>
      </w:pPr>
      <w:r>
        <w:rPr>
          <w:rFonts w:hint="eastAsia" w:ascii="宋体" w:hAnsi="宋体" w:cs="仿宋_GB2312"/>
          <w:kern w:val="0"/>
          <w:sz w:val="24"/>
          <w:szCs w:val="24"/>
        </w:rPr>
        <w:t>3.表格内容均需按要求填写并盖章，不得留空，否则按</w:t>
      </w:r>
      <w:r>
        <w:rPr>
          <w:rFonts w:hint="eastAsia" w:ascii="宋体" w:hAnsi="宋体" w:cs="仿宋_GB2312"/>
          <w:kern w:val="0"/>
          <w:sz w:val="24"/>
          <w:szCs w:val="24"/>
          <w:lang w:eastAsia="zh-CN"/>
        </w:rPr>
        <w:t>响应</w:t>
      </w:r>
      <w:r>
        <w:rPr>
          <w:rFonts w:hint="eastAsia" w:ascii="宋体" w:hAnsi="宋体" w:cs="仿宋_GB2312"/>
          <w:kern w:val="0"/>
          <w:sz w:val="24"/>
          <w:szCs w:val="24"/>
        </w:rPr>
        <w:t>无效处理。</w:t>
      </w:r>
    </w:p>
    <w:p w14:paraId="3636D571">
      <w:pPr>
        <w:spacing w:line="360" w:lineRule="auto"/>
        <w:ind w:right="-817" w:rightChars="-389"/>
        <w:contextualSpacing/>
        <w:rPr>
          <w:rFonts w:hint="eastAsia" w:ascii="宋体" w:hAnsi="宋体" w:cs="仿宋_GB2312"/>
          <w:sz w:val="24"/>
          <w:szCs w:val="24"/>
        </w:rPr>
      </w:pPr>
    </w:p>
    <w:p w14:paraId="15F38007">
      <w:pPr>
        <w:spacing w:line="360" w:lineRule="auto"/>
        <w:ind w:firstLine="3840" w:firstLineChars="1600"/>
        <w:rPr>
          <w:rFonts w:hint="eastAsia" w:ascii="宋体" w:hAnsi="宋体" w:cs="仿宋_GB2312"/>
          <w:sz w:val="24"/>
          <w:szCs w:val="24"/>
        </w:rPr>
      </w:pPr>
      <w:r>
        <w:rPr>
          <w:rFonts w:hint="eastAsia" w:ascii="仿宋_GB2312" w:hAnsi="仿宋" w:eastAsia="仿宋_GB2312" w:cs="仿宋_GB2312"/>
          <w:kern w:val="0"/>
          <w:sz w:val="24"/>
          <w:szCs w:val="24"/>
        </w:rPr>
        <w:t>供应商名称（电子签章）：</w:t>
      </w:r>
    </w:p>
    <w:p w14:paraId="69A2FD04">
      <w:pPr>
        <w:spacing w:line="360" w:lineRule="auto"/>
        <w:jc w:val="center"/>
        <w:rPr>
          <w:rFonts w:hint="eastAsia" w:ascii="宋体" w:hAnsi="宋体" w:cs="仿宋_GB2312"/>
          <w:b/>
          <w:sz w:val="24"/>
          <w:szCs w:val="24"/>
        </w:rPr>
      </w:pPr>
      <w:r>
        <w:rPr>
          <w:rFonts w:hint="eastAsia" w:ascii="仿宋_GB2312" w:hAnsi="仿宋" w:eastAsia="仿宋_GB2312" w:cs="仿宋_GB2312"/>
          <w:kern w:val="0"/>
          <w:sz w:val="24"/>
          <w:szCs w:val="24"/>
          <w:lang w:val="zh-CN"/>
        </w:rPr>
        <w:t xml:space="preserve">                                                   日期：  年  月   日</w:t>
      </w:r>
    </w:p>
    <w:p w14:paraId="04878588">
      <w:pPr>
        <w:snapToGrid w:val="0"/>
        <w:spacing w:line="360" w:lineRule="auto"/>
        <w:ind w:firstLine="602" w:firstLineChars="200"/>
        <w:rPr>
          <w:rFonts w:hint="eastAsia" w:ascii="仿宋" w:hAnsi="仿宋" w:eastAsia="仿宋" w:cs="仿宋_GB2312"/>
          <w:b/>
          <w:sz w:val="30"/>
          <w:szCs w:val="30"/>
        </w:rPr>
      </w:pPr>
    </w:p>
    <w:p w14:paraId="3CA075DE">
      <w:pPr>
        <w:snapToGrid w:val="0"/>
        <w:spacing w:line="360" w:lineRule="auto"/>
        <w:ind w:firstLine="602" w:firstLineChars="200"/>
        <w:rPr>
          <w:rFonts w:hint="eastAsia" w:ascii="仿宋" w:hAnsi="仿宋" w:eastAsia="仿宋" w:cs="仿宋_GB2312"/>
          <w:b/>
          <w:sz w:val="30"/>
          <w:szCs w:val="30"/>
        </w:rPr>
      </w:pPr>
    </w:p>
    <w:p w14:paraId="7CA2865F">
      <w:pPr>
        <w:snapToGrid w:val="0"/>
        <w:spacing w:line="360" w:lineRule="auto"/>
        <w:ind w:firstLine="602" w:firstLineChars="200"/>
        <w:rPr>
          <w:rFonts w:hint="eastAsia" w:ascii="仿宋" w:hAnsi="仿宋" w:eastAsia="仿宋" w:cs="仿宋_GB2312"/>
          <w:b/>
          <w:sz w:val="30"/>
          <w:szCs w:val="30"/>
        </w:rPr>
      </w:pPr>
      <w:r>
        <w:rPr>
          <w:rFonts w:hint="eastAsia" w:ascii="仿宋" w:hAnsi="仿宋" w:eastAsia="仿宋" w:cs="仿宋_GB2312"/>
          <w:b/>
          <w:sz w:val="30"/>
          <w:szCs w:val="30"/>
        </w:rPr>
        <w:t>五、</w:t>
      </w:r>
      <w:r>
        <w:rPr>
          <w:rFonts w:hint="eastAsia" w:ascii="仿宋" w:hAnsi="仿宋" w:eastAsia="仿宋" w:cs="仿宋_GB2312"/>
          <w:b/>
          <w:sz w:val="30"/>
          <w:szCs w:val="30"/>
          <w:lang w:eastAsia="zh-CN"/>
        </w:rPr>
        <w:t>响应</w:t>
      </w:r>
      <w:r>
        <w:rPr>
          <w:rFonts w:hint="eastAsia" w:ascii="仿宋" w:hAnsi="仿宋" w:eastAsia="仿宋" w:cs="仿宋_GB2312"/>
          <w:b/>
          <w:sz w:val="30"/>
          <w:szCs w:val="30"/>
        </w:rPr>
        <w:t>人情况介绍</w:t>
      </w:r>
    </w:p>
    <w:p w14:paraId="5DF2AC4E">
      <w:pPr>
        <w:spacing w:line="360" w:lineRule="auto"/>
        <w:jc w:val="center"/>
        <w:rPr>
          <w:rFonts w:hint="eastAsia" w:ascii="仿宋_GB2312" w:hAnsi="仿宋" w:eastAsia="仿宋_GB2312" w:cs="仿宋_GB2312"/>
          <w:b/>
          <w:bCs/>
          <w:sz w:val="24"/>
        </w:rPr>
      </w:pPr>
      <w:r>
        <w:rPr>
          <w:rFonts w:hint="eastAsia" w:ascii="仿宋_GB2312" w:hAnsi="仿宋" w:eastAsia="仿宋_GB2312" w:cs="仿宋_GB2312"/>
          <w:sz w:val="24"/>
          <w:szCs w:val="24"/>
        </w:rPr>
        <w:t>（由供应商根据采购需求及采购文件要求编制）</w:t>
      </w:r>
    </w:p>
    <w:p w14:paraId="67B15769">
      <w:pPr>
        <w:snapToGrid w:val="0"/>
        <w:spacing w:line="360" w:lineRule="auto"/>
        <w:ind w:firstLine="602" w:firstLineChars="200"/>
        <w:rPr>
          <w:rFonts w:hint="eastAsia" w:ascii="仿宋" w:hAnsi="仿宋" w:eastAsia="仿宋" w:cs="仿宋_GB2312"/>
          <w:b/>
          <w:sz w:val="30"/>
          <w:szCs w:val="30"/>
        </w:rPr>
      </w:pPr>
    </w:p>
    <w:p w14:paraId="132B4EED">
      <w:pPr>
        <w:autoSpaceDE w:val="0"/>
        <w:autoSpaceDN w:val="0"/>
        <w:spacing w:line="360" w:lineRule="auto"/>
        <w:ind w:left="4335" w:leftChars="1950" w:hanging="240" w:hangingChars="100"/>
        <w:rPr>
          <w:rFonts w:hint="eastAsia" w:ascii="仿宋_GB2312" w:hAnsi="仿宋" w:eastAsia="仿宋_GB2312" w:cs="仿宋_GB2312"/>
          <w:kern w:val="0"/>
          <w:sz w:val="24"/>
        </w:rPr>
      </w:pPr>
      <w:r>
        <w:rPr>
          <w:rFonts w:hint="eastAsia" w:ascii="仿宋_GB2312" w:hAnsi="仿宋" w:eastAsia="仿宋_GB2312" w:cs="仿宋_GB2312"/>
          <w:kern w:val="0"/>
          <w:sz w:val="24"/>
          <w:szCs w:val="24"/>
        </w:rPr>
        <w:t>供应商名称（电子签章）：</w:t>
      </w:r>
    </w:p>
    <w:p w14:paraId="4FE3FAC6">
      <w:pPr>
        <w:autoSpaceDE w:val="0"/>
        <w:autoSpaceDN w:val="0"/>
        <w:spacing w:line="360" w:lineRule="auto"/>
        <w:ind w:firstLine="6480" w:firstLineChars="2700"/>
        <w:rPr>
          <w:rFonts w:hint="eastAsia" w:ascii="仿宋_GB2312" w:hAnsi="仿宋" w:eastAsia="仿宋_GB2312" w:cs="仿宋_GB2312"/>
          <w:b/>
          <w:bCs/>
          <w:sz w:val="24"/>
          <w:szCs w:val="24"/>
        </w:rPr>
      </w:pPr>
      <w:r>
        <w:rPr>
          <w:rFonts w:hint="eastAsia" w:ascii="仿宋_GB2312" w:hAnsi="仿宋" w:eastAsia="仿宋_GB2312" w:cs="仿宋_GB2312"/>
          <w:kern w:val="0"/>
          <w:sz w:val="24"/>
          <w:szCs w:val="24"/>
          <w:lang w:val="zh-CN"/>
        </w:rPr>
        <w:t>日期：  年  月   日</w:t>
      </w:r>
    </w:p>
    <w:p w14:paraId="72811DE6">
      <w:pPr>
        <w:snapToGrid w:val="0"/>
        <w:spacing w:before="120" w:beforeLines="50" w:after="50"/>
        <w:ind w:firstLine="602" w:firstLineChars="200"/>
        <w:rPr>
          <w:rFonts w:hint="eastAsia" w:ascii="仿宋" w:hAnsi="仿宋" w:eastAsia="仿宋" w:cs="仿宋_GB2312"/>
          <w:b/>
          <w:sz w:val="30"/>
          <w:szCs w:val="30"/>
        </w:rPr>
      </w:pPr>
      <w:r>
        <w:rPr>
          <w:rFonts w:hint="eastAsia" w:ascii="仿宋" w:hAnsi="仿宋" w:eastAsia="仿宋" w:cs="仿宋_GB2312"/>
          <w:b/>
          <w:sz w:val="30"/>
          <w:szCs w:val="30"/>
        </w:rPr>
        <w:t>六、供应商类似的业绩证明文件</w:t>
      </w:r>
    </w:p>
    <w:p w14:paraId="5ED1C084">
      <w:pPr>
        <w:spacing w:line="360" w:lineRule="auto"/>
        <w:jc w:val="center"/>
        <w:rPr>
          <w:rFonts w:hint="eastAsia" w:ascii="仿宋_GB2312" w:hAnsi="仿宋" w:eastAsia="仿宋_GB2312" w:cs="仿宋_GB2312"/>
          <w:b/>
          <w:bCs/>
          <w:sz w:val="24"/>
        </w:rPr>
      </w:pPr>
      <w:r>
        <w:rPr>
          <w:rFonts w:hint="eastAsia" w:ascii="仿宋_GB2312" w:hAnsi="仿宋" w:eastAsia="仿宋_GB2312" w:cs="仿宋_GB2312"/>
          <w:sz w:val="24"/>
          <w:szCs w:val="24"/>
        </w:rPr>
        <w:t>（由供应商根据采购需求及采购文件要求编制）</w:t>
      </w:r>
    </w:p>
    <w:p w14:paraId="38FDED8A">
      <w:pPr>
        <w:snapToGrid w:val="0"/>
        <w:ind w:left="480" w:hanging="480"/>
        <w:rPr>
          <w:rFonts w:hint="eastAsia" w:ascii="宋体" w:hAnsi="宋体" w:eastAsia="等线"/>
          <w:b/>
          <w:color w:val="000000"/>
          <w:sz w:val="24"/>
          <w:szCs w:val="24"/>
        </w:rPr>
      </w:pPr>
    </w:p>
    <w:p w14:paraId="2AE0BD5E">
      <w:pPr>
        <w:snapToGrid w:val="0"/>
        <w:ind w:left="480" w:hanging="480"/>
        <w:rPr>
          <w:rFonts w:hint="eastAsia" w:ascii="宋体" w:hAnsi="宋体"/>
          <w:color w:val="000000"/>
          <w:sz w:val="24"/>
          <w:szCs w:val="24"/>
        </w:rPr>
      </w:pPr>
    </w:p>
    <w:p w14:paraId="5946DAF5">
      <w:pPr>
        <w:snapToGrid w:val="0"/>
        <w:ind w:left="480" w:hanging="480"/>
        <w:rPr>
          <w:rFonts w:hint="eastAsia" w:ascii="宋体" w:hAnsi="宋体"/>
          <w:color w:val="000000"/>
          <w:sz w:val="24"/>
          <w:szCs w:val="24"/>
        </w:rPr>
      </w:pPr>
    </w:p>
    <w:p w14:paraId="7B9C4393">
      <w:pPr>
        <w:snapToGrid w:val="0"/>
        <w:spacing w:line="360" w:lineRule="auto"/>
        <w:ind w:firstLine="4935" w:firstLineChars="2350"/>
        <w:rPr>
          <w:rFonts w:hint="eastAsia" w:ascii="等线" w:hAnsi="宋体"/>
          <w:color w:val="000000"/>
          <w:szCs w:val="21"/>
        </w:rPr>
      </w:pPr>
    </w:p>
    <w:p w14:paraId="2A34BAFA">
      <w:pPr>
        <w:snapToGrid w:val="0"/>
        <w:spacing w:line="360" w:lineRule="auto"/>
        <w:ind w:left="4410" w:leftChars="2100" w:firstLine="5670" w:firstLineChars="2700"/>
        <w:rPr>
          <w:rFonts w:hint="eastAsia" w:ascii="仿宋_GB2312" w:hAnsi="仿宋" w:eastAsia="仿宋_GB2312" w:cs="仿宋_GB2312"/>
          <w:kern w:val="0"/>
          <w:sz w:val="24"/>
        </w:rPr>
      </w:pPr>
      <w:r>
        <w:rPr>
          <w:rFonts w:hAnsi="宋体"/>
          <w:color w:val="000000"/>
          <w:szCs w:val="21"/>
        </w:rPr>
        <w:t xml:space="preserve"> </w:t>
      </w:r>
      <w:r>
        <w:rPr>
          <w:rFonts w:hint="eastAsia" w:ascii="仿宋_GB2312" w:hAnsi="仿宋" w:eastAsia="仿宋_GB2312" w:cs="仿宋_GB2312"/>
          <w:kern w:val="0"/>
          <w:sz w:val="24"/>
          <w:szCs w:val="24"/>
          <w:lang w:val="zh-CN"/>
        </w:rPr>
        <w:t>供应商名称(电子签章)：</w:t>
      </w:r>
    </w:p>
    <w:p w14:paraId="62C8F9E2">
      <w:pPr>
        <w:spacing w:line="500" w:lineRule="exact"/>
        <w:jc w:val="center"/>
        <w:rPr>
          <w:rFonts w:hint="eastAsia" w:ascii="仿宋_GB2312" w:hAnsi="仿宋_GB2312" w:eastAsia="仿宋_GB2312" w:cs="仿宋_GB2312"/>
          <w:sz w:val="32"/>
          <w:szCs w:val="32"/>
        </w:rPr>
      </w:pPr>
      <w:r>
        <w:rPr>
          <w:rFonts w:hint="eastAsia" w:ascii="仿宋_GB2312" w:hAnsi="仿宋" w:eastAsia="仿宋_GB2312" w:cs="仿宋_GB2312"/>
          <w:kern w:val="0"/>
          <w:sz w:val="24"/>
          <w:szCs w:val="24"/>
          <w:lang w:val="zh-CN"/>
        </w:rPr>
        <w:t xml:space="preserve">                                                     日期</w:t>
      </w:r>
      <w:r>
        <w:rPr>
          <w:rFonts w:hint="eastAsia" w:ascii="仿宋_GB2312" w:hAnsi="仿宋" w:eastAsia="仿宋_GB2312" w:cs="仿宋_GB2312"/>
          <w:kern w:val="0"/>
          <w:sz w:val="24"/>
          <w:szCs w:val="24"/>
        </w:rPr>
        <w:t xml:space="preserve">：  年  </w:t>
      </w:r>
      <w:r>
        <w:rPr>
          <w:rFonts w:hint="eastAsia" w:ascii="仿宋_GB2312" w:hAnsi="仿宋" w:eastAsia="仿宋_GB2312" w:cs="仿宋_GB2312"/>
          <w:kern w:val="0"/>
          <w:sz w:val="24"/>
          <w:szCs w:val="24"/>
          <w:lang w:val="zh-CN"/>
        </w:rPr>
        <w:t>月</w:t>
      </w:r>
      <w:r>
        <w:rPr>
          <w:rFonts w:hint="eastAsia" w:ascii="仿宋_GB2312" w:hAnsi="仿宋" w:eastAsia="仿宋_GB2312" w:cs="仿宋_GB2312"/>
          <w:kern w:val="0"/>
          <w:sz w:val="24"/>
          <w:szCs w:val="24"/>
        </w:rPr>
        <w:t xml:space="preserve">   </w:t>
      </w:r>
      <w:r>
        <w:rPr>
          <w:rFonts w:hint="eastAsia" w:ascii="仿宋_GB2312" w:hAnsi="仿宋" w:eastAsia="仿宋_GB2312" w:cs="仿宋_GB2312"/>
          <w:kern w:val="0"/>
          <w:sz w:val="24"/>
          <w:szCs w:val="24"/>
          <w:lang w:val="zh-CN"/>
        </w:rPr>
        <w:t>日</w:t>
      </w:r>
    </w:p>
    <w:p w14:paraId="63F755EE">
      <w:pPr>
        <w:widowControl/>
        <w:jc w:val="left"/>
        <w:rPr>
          <w:rFonts w:ascii="仿宋_GB2312" w:hAnsi="仿宋_GB2312" w:eastAsia="仿宋_GB2312" w:cs="仿宋_GB2312"/>
          <w:kern w:val="0"/>
          <w:sz w:val="32"/>
          <w:szCs w:val="32"/>
        </w:rPr>
        <w:sectPr>
          <w:pgSz w:w="11910" w:h="16840"/>
          <w:pgMar w:top="1340" w:right="1500" w:bottom="280" w:left="1680" w:header="720" w:footer="720" w:gutter="0"/>
          <w:pgBorders>
            <w:top w:val="none" w:sz="0" w:space="0"/>
            <w:left w:val="none" w:sz="0" w:space="0"/>
            <w:bottom w:val="none" w:sz="0" w:space="0"/>
            <w:right w:val="none" w:sz="0" w:space="0"/>
          </w:pgBorders>
          <w:pgNumType w:fmt="decimal"/>
          <w:cols w:space="720" w:num="1"/>
        </w:sectPr>
      </w:pPr>
    </w:p>
    <w:p w14:paraId="252A1E66">
      <w:pPr>
        <w:autoSpaceDE w:val="0"/>
        <w:autoSpaceDN w:val="0"/>
        <w:spacing w:line="360" w:lineRule="auto"/>
        <w:ind w:firstLine="6120" w:firstLineChars="2550"/>
        <w:rPr>
          <w:rFonts w:hint="eastAsia" w:ascii="仿宋_GB2312" w:hAnsi="仿宋" w:eastAsia="仿宋_GB2312" w:cs="仿宋_GB2312"/>
          <w:kern w:val="0"/>
          <w:sz w:val="24"/>
          <w:lang w:val="zh-CN"/>
        </w:rPr>
      </w:pPr>
    </w:p>
    <w:p w14:paraId="1213C3BC">
      <w:pPr>
        <w:snapToGrid w:val="0"/>
        <w:spacing w:line="360" w:lineRule="auto"/>
        <w:ind w:firstLine="602" w:firstLineChars="200"/>
        <w:rPr>
          <w:rFonts w:hint="eastAsia" w:ascii="仿宋" w:hAnsi="仿宋" w:eastAsia="仿宋" w:cs="仿宋_GB2312"/>
          <w:b/>
          <w:sz w:val="30"/>
          <w:szCs w:val="30"/>
        </w:rPr>
      </w:pPr>
      <w:r>
        <w:rPr>
          <w:rFonts w:hint="eastAsia" w:ascii="仿宋" w:hAnsi="仿宋" w:eastAsia="仿宋" w:cs="仿宋_GB2312"/>
          <w:b/>
          <w:sz w:val="30"/>
          <w:szCs w:val="30"/>
        </w:rPr>
        <w:t>七、货物需求偏离表</w:t>
      </w:r>
    </w:p>
    <w:p w14:paraId="38D9B6A4">
      <w:pPr>
        <w:spacing w:line="500" w:lineRule="exact"/>
        <w:jc w:val="center"/>
        <w:rPr>
          <w:rFonts w:hint="eastAsia" w:ascii="仿宋_GB2312" w:hAnsi="仿宋_GB2312" w:eastAsia="仿宋_GB2312" w:cs="仿宋_GB2312"/>
          <w:sz w:val="32"/>
          <w:szCs w:val="32"/>
        </w:rPr>
      </w:pPr>
    </w:p>
    <w:p w14:paraId="7AFCCEAD">
      <w:pPr>
        <w:spacing w:line="50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货物需求偏离表</w:t>
      </w:r>
    </w:p>
    <w:p w14:paraId="65446581">
      <w:pPr>
        <w:spacing w:line="500" w:lineRule="exact"/>
        <w:jc w:val="center"/>
        <w:rPr>
          <w:rFonts w:hint="eastAsia" w:ascii="宋体" w:hAnsi="宋体" w:eastAsia="等线"/>
          <w:b/>
          <w:sz w:val="32"/>
          <w:szCs w:val="32"/>
        </w:rPr>
      </w:pPr>
      <w:r>
        <w:rPr>
          <w:rFonts w:hint="eastAsia" w:ascii="方正小标宋简体" w:hAnsi="方正小标宋简体" w:eastAsia="方正小标宋简体" w:cs="方正小标宋简体"/>
          <w:bCs/>
          <w:sz w:val="44"/>
          <w:szCs w:val="44"/>
        </w:rPr>
        <w:t>(注：按采购需求具体条款修改)</w:t>
      </w:r>
    </w:p>
    <w:p w14:paraId="39E18B24">
      <w:pPr>
        <w:spacing w:line="360" w:lineRule="auto"/>
        <w:jc w:val="left"/>
        <w:rPr>
          <w:rFonts w:hint="eastAsia" w:ascii="宋体" w:hAnsi="宋体"/>
          <w:sz w:val="24"/>
        </w:rPr>
      </w:pPr>
    </w:p>
    <w:p w14:paraId="2ADA6C3C">
      <w:pPr>
        <w:spacing w:line="360" w:lineRule="auto"/>
        <w:ind w:firstLine="480"/>
        <w:rPr>
          <w:rFonts w:hint="eastAsia" w:ascii="等线" w:hAnsi="宋体" w:cs="仿宋_GB2312"/>
          <w:sz w:val="24"/>
          <w:szCs w:val="24"/>
        </w:rPr>
      </w:pPr>
      <w:r>
        <w:rPr>
          <w:rFonts w:hint="eastAsia" w:hAnsi="宋体" w:cs="仿宋_GB2312"/>
          <w:sz w:val="24"/>
          <w:szCs w:val="24"/>
        </w:rPr>
        <w:t>所竞分标：</w:t>
      </w:r>
      <w:r>
        <w:rPr>
          <w:rFonts w:hAnsi="宋体" w:cs="仿宋_GB2312"/>
          <w:sz w:val="24"/>
          <w:szCs w:val="24"/>
          <w:u w:val="single"/>
        </w:rPr>
        <w:t xml:space="preserve">              </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142"/>
        <w:gridCol w:w="736"/>
        <w:gridCol w:w="1576"/>
        <w:gridCol w:w="1140"/>
        <w:gridCol w:w="658"/>
        <w:gridCol w:w="1146"/>
        <w:gridCol w:w="1095"/>
      </w:tblGrid>
      <w:tr w14:paraId="580D4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593" w:type="dxa"/>
            <w:vMerge w:val="restart"/>
            <w:tcBorders>
              <w:top w:val="single" w:color="auto" w:sz="4" w:space="0"/>
              <w:left w:val="single" w:color="auto" w:sz="4" w:space="0"/>
              <w:bottom w:val="single" w:color="auto" w:sz="4" w:space="0"/>
              <w:right w:val="single" w:color="auto" w:sz="4" w:space="0"/>
            </w:tcBorders>
            <w:noWrap w:val="0"/>
            <w:vAlign w:val="center"/>
          </w:tcPr>
          <w:p w14:paraId="072D1D7A">
            <w:pPr>
              <w:rPr>
                <w:rFonts w:ascii="宋体" w:hAnsi="宋体"/>
                <w:szCs w:val="21"/>
              </w:rPr>
            </w:pPr>
            <w:r>
              <w:rPr>
                <w:rFonts w:hint="eastAsia" w:ascii="宋体" w:hAnsi="宋体"/>
                <w:szCs w:val="21"/>
              </w:rPr>
              <w:t>项号</w:t>
            </w:r>
          </w:p>
        </w:tc>
        <w:tc>
          <w:tcPr>
            <w:tcW w:w="3454" w:type="dxa"/>
            <w:gridSpan w:val="3"/>
            <w:tcBorders>
              <w:top w:val="single" w:color="auto" w:sz="4" w:space="0"/>
              <w:left w:val="single" w:color="auto" w:sz="4" w:space="0"/>
              <w:bottom w:val="single" w:color="auto" w:sz="4" w:space="0"/>
              <w:right w:val="single" w:color="auto" w:sz="4" w:space="0"/>
            </w:tcBorders>
            <w:noWrap w:val="0"/>
            <w:vAlign w:val="center"/>
          </w:tcPr>
          <w:p w14:paraId="4FE94FFA">
            <w:pPr>
              <w:jc w:val="center"/>
              <w:rPr>
                <w:rFonts w:ascii="宋体" w:hAnsi="宋体"/>
                <w:szCs w:val="21"/>
              </w:rPr>
            </w:pPr>
            <w:r>
              <w:rPr>
                <w:rFonts w:hint="eastAsia" w:ascii="宋体" w:hAnsi="宋体"/>
                <w:szCs w:val="21"/>
              </w:rPr>
              <w:t>竞争性谈判采购文件需求</w:t>
            </w:r>
          </w:p>
        </w:tc>
        <w:tc>
          <w:tcPr>
            <w:tcW w:w="2944" w:type="dxa"/>
            <w:gridSpan w:val="3"/>
            <w:tcBorders>
              <w:top w:val="single" w:color="auto" w:sz="4" w:space="0"/>
              <w:left w:val="single" w:color="auto" w:sz="4" w:space="0"/>
              <w:bottom w:val="single" w:color="auto" w:sz="4" w:space="0"/>
              <w:right w:val="single" w:color="auto" w:sz="4" w:space="0"/>
            </w:tcBorders>
            <w:noWrap w:val="0"/>
            <w:vAlign w:val="center"/>
          </w:tcPr>
          <w:p w14:paraId="3827438F">
            <w:pPr>
              <w:jc w:val="center"/>
              <w:rPr>
                <w:rFonts w:ascii="宋体" w:hAnsi="宋体"/>
                <w:szCs w:val="21"/>
              </w:rPr>
            </w:pPr>
            <w:r>
              <w:rPr>
                <w:rFonts w:hint="eastAsia" w:ascii="宋体" w:hAnsi="宋体"/>
                <w:szCs w:val="21"/>
              </w:rPr>
              <w:t>响应文件承诺</w:t>
            </w:r>
          </w:p>
        </w:tc>
        <w:tc>
          <w:tcPr>
            <w:tcW w:w="1095" w:type="dxa"/>
            <w:vMerge w:val="restart"/>
            <w:tcBorders>
              <w:top w:val="single" w:color="auto" w:sz="4" w:space="0"/>
              <w:left w:val="single" w:color="auto" w:sz="4" w:space="0"/>
              <w:bottom w:val="single" w:color="auto" w:sz="4" w:space="0"/>
              <w:right w:val="single" w:color="auto" w:sz="4" w:space="0"/>
            </w:tcBorders>
            <w:noWrap w:val="0"/>
            <w:vAlign w:val="center"/>
          </w:tcPr>
          <w:p w14:paraId="279F6661">
            <w:pPr>
              <w:rPr>
                <w:rFonts w:ascii="宋体" w:hAnsi="宋体"/>
                <w:szCs w:val="21"/>
              </w:rPr>
            </w:pPr>
            <w:r>
              <w:rPr>
                <w:rFonts w:hint="eastAsia" w:ascii="宋体" w:hAnsi="宋体"/>
                <w:szCs w:val="21"/>
              </w:rPr>
              <w:t>偏离说明</w:t>
            </w:r>
          </w:p>
        </w:tc>
      </w:tr>
      <w:tr w14:paraId="4CB91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593" w:type="dxa"/>
            <w:vMerge w:val="continue"/>
            <w:tcBorders>
              <w:top w:val="single" w:color="auto" w:sz="4" w:space="0"/>
              <w:left w:val="single" w:color="auto" w:sz="4" w:space="0"/>
              <w:bottom w:val="single" w:color="auto" w:sz="4" w:space="0"/>
              <w:right w:val="single" w:color="auto" w:sz="4" w:space="0"/>
            </w:tcBorders>
            <w:noWrap w:val="0"/>
            <w:vAlign w:val="center"/>
          </w:tcPr>
          <w:p w14:paraId="0261E708">
            <w:pPr>
              <w:widowControl/>
              <w:jc w:val="left"/>
              <w:rPr>
                <w:rFonts w:ascii="宋体" w:hAnsi="宋体"/>
                <w:szCs w:val="21"/>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14:paraId="1E8AA162">
            <w:pPr>
              <w:rPr>
                <w:rFonts w:ascii="宋体" w:hAnsi="宋体"/>
                <w:szCs w:val="21"/>
              </w:rPr>
            </w:pPr>
            <w:r>
              <w:rPr>
                <w:rFonts w:hint="eastAsia" w:ascii="宋体" w:hAnsi="宋体"/>
                <w:szCs w:val="21"/>
              </w:rPr>
              <w:t>货物名称</w:t>
            </w:r>
          </w:p>
        </w:tc>
        <w:tc>
          <w:tcPr>
            <w:tcW w:w="736" w:type="dxa"/>
            <w:tcBorders>
              <w:top w:val="single" w:color="auto" w:sz="4" w:space="0"/>
              <w:left w:val="single" w:color="auto" w:sz="4" w:space="0"/>
              <w:bottom w:val="single" w:color="auto" w:sz="4" w:space="0"/>
              <w:right w:val="single" w:color="auto" w:sz="4" w:space="0"/>
            </w:tcBorders>
            <w:noWrap w:val="0"/>
            <w:vAlign w:val="center"/>
          </w:tcPr>
          <w:p w14:paraId="53C665D2">
            <w:pPr>
              <w:rPr>
                <w:rFonts w:ascii="宋体" w:hAnsi="宋体"/>
                <w:szCs w:val="21"/>
              </w:rPr>
            </w:pPr>
            <w:r>
              <w:rPr>
                <w:rFonts w:hint="eastAsia" w:ascii="宋体" w:hAnsi="宋体"/>
                <w:szCs w:val="21"/>
              </w:rPr>
              <w:t>数量</w:t>
            </w:r>
          </w:p>
        </w:tc>
        <w:tc>
          <w:tcPr>
            <w:tcW w:w="1576" w:type="dxa"/>
            <w:tcBorders>
              <w:top w:val="single" w:color="auto" w:sz="4" w:space="0"/>
              <w:left w:val="single" w:color="auto" w:sz="4" w:space="0"/>
              <w:bottom w:val="single" w:color="auto" w:sz="4" w:space="0"/>
              <w:right w:val="single" w:color="auto" w:sz="4" w:space="0"/>
            </w:tcBorders>
            <w:noWrap w:val="0"/>
            <w:vAlign w:val="center"/>
          </w:tcPr>
          <w:p w14:paraId="13F91450">
            <w:pPr>
              <w:rPr>
                <w:rFonts w:ascii="宋体" w:hAnsi="宋体"/>
                <w:szCs w:val="21"/>
              </w:rPr>
            </w:pPr>
            <w:r>
              <w:rPr>
                <w:rFonts w:hint="eastAsia" w:ascii="宋体" w:hAnsi="宋体"/>
                <w:szCs w:val="21"/>
              </w:rPr>
              <w:t>货物参数要求</w:t>
            </w:r>
          </w:p>
        </w:tc>
        <w:tc>
          <w:tcPr>
            <w:tcW w:w="1140" w:type="dxa"/>
            <w:tcBorders>
              <w:top w:val="single" w:color="auto" w:sz="4" w:space="0"/>
              <w:left w:val="single" w:color="auto" w:sz="4" w:space="0"/>
              <w:bottom w:val="single" w:color="auto" w:sz="4" w:space="0"/>
              <w:right w:val="single" w:color="auto" w:sz="4" w:space="0"/>
            </w:tcBorders>
            <w:noWrap w:val="0"/>
            <w:vAlign w:val="center"/>
          </w:tcPr>
          <w:p w14:paraId="35FAAA0D">
            <w:pPr>
              <w:rPr>
                <w:rFonts w:ascii="宋体" w:hAnsi="宋体"/>
                <w:szCs w:val="21"/>
              </w:rPr>
            </w:pPr>
            <w:r>
              <w:rPr>
                <w:rFonts w:hint="eastAsia" w:ascii="宋体" w:hAnsi="宋体"/>
                <w:szCs w:val="21"/>
              </w:rPr>
              <w:t>货物名称</w:t>
            </w:r>
          </w:p>
        </w:tc>
        <w:tc>
          <w:tcPr>
            <w:tcW w:w="658" w:type="dxa"/>
            <w:tcBorders>
              <w:top w:val="single" w:color="auto" w:sz="4" w:space="0"/>
              <w:left w:val="single" w:color="auto" w:sz="4" w:space="0"/>
              <w:bottom w:val="single" w:color="auto" w:sz="4" w:space="0"/>
              <w:right w:val="single" w:color="auto" w:sz="4" w:space="0"/>
            </w:tcBorders>
            <w:noWrap w:val="0"/>
            <w:vAlign w:val="center"/>
          </w:tcPr>
          <w:p w14:paraId="2F098E04">
            <w:pPr>
              <w:rPr>
                <w:rFonts w:ascii="宋体" w:hAnsi="宋体"/>
                <w:szCs w:val="21"/>
              </w:rPr>
            </w:pPr>
            <w:r>
              <w:rPr>
                <w:rFonts w:hint="eastAsia" w:ascii="宋体" w:hAnsi="宋体"/>
                <w:szCs w:val="21"/>
              </w:rPr>
              <w:t>数量</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2900D2D4">
            <w:pPr>
              <w:rPr>
                <w:rFonts w:ascii="宋体" w:hAnsi="宋体"/>
                <w:szCs w:val="21"/>
              </w:rPr>
            </w:pPr>
            <w:r>
              <w:rPr>
                <w:rFonts w:hint="eastAsia" w:ascii="宋体" w:hAnsi="宋体"/>
                <w:szCs w:val="21"/>
              </w:rPr>
              <w:t>货物参数</w:t>
            </w:r>
          </w:p>
        </w:tc>
        <w:tc>
          <w:tcPr>
            <w:tcW w:w="1095" w:type="dxa"/>
            <w:vMerge w:val="continue"/>
            <w:tcBorders>
              <w:top w:val="single" w:color="auto" w:sz="4" w:space="0"/>
              <w:left w:val="single" w:color="auto" w:sz="4" w:space="0"/>
              <w:bottom w:val="single" w:color="auto" w:sz="4" w:space="0"/>
              <w:right w:val="single" w:color="auto" w:sz="4" w:space="0"/>
            </w:tcBorders>
            <w:noWrap w:val="0"/>
            <w:vAlign w:val="center"/>
          </w:tcPr>
          <w:p w14:paraId="5AA1CAD8">
            <w:pPr>
              <w:widowControl/>
              <w:jc w:val="left"/>
              <w:rPr>
                <w:rFonts w:ascii="宋体" w:hAnsi="宋体"/>
                <w:szCs w:val="21"/>
              </w:rPr>
            </w:pPr>
          </w:p>
        </w:tc>
      </w:tr>
      <w:tr w14:paraId="62B66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593" w:type="dxa"/>
            <w:tcBorders>
              <w:top w:val="single" w:color="auto" w:sz="4" w:space="0"/>
              <w:left w:val="single" w:color="auto" w:sz="4" w:space="0"/>
              <w:bottom w:val="single" w:color="auto" w:sz="4" w:space="0"/>
              <w:right w:val="single" w:color="auto" w:sz="4" w:space="0"/>
            </w:tcBorders>
            <w:noWrap w:val="0"/>
            <w:vAlign w:val="center"/>
          </w:tcPr>
          <w:p w14:paraId="0C9DEB08">
            <w:pPr>
              <w:rPr>
                <w:rFonts w:ascii="宋体" w:hAnsi="宋体"/>
                <w:szCs w:val="21"/>
              </w:rPr>
            </w:pPr>
            <w:r>
              <w:rPr>
                <w:rFonts w:hint="eastAsia" w:ascii="宋体" w:hAnsi="宋体"/>
                <w:szCs w:val="21"/>
              </w:rPr>
              <w:t>1</w:t>
            </w:r>
          </w:p>
        </w:tc>
        <w:tc>
          <w:tcPr>
            <w:tcW w:w="1142" w:type="dxa"/>
            <w:tcBorders>
              <w:top w:val="single" w:color="auto" w:sz="4" w:space="0"/>
              <w:left w:val="single" w:color="auto" w:sz="4" w:space="0"/>
              <w:bottom w:val="single" w:color="auto" w:sz="4" w:space="0"/>
              <w:right w:val="single" w:color="auto" w:sz="4" w:space="0"/>
            </w:tcBorders>
            <w:noWrap w:val="0"/>
            <w:vAlign w:val="center"/>
          </w:tcPr>
          <w:p w14:paraId="42D27481">
            <w:pPr>
              <w:rPr>
                <w:rFonts w:ascii="宋体" w:hAnsi="宋体"/>
                <w:szCs w:val="21"/>
              </w:rPr>
            </w:pPr>
            <w:r>
              <w:rPr>
                <w:rFonts w:hint="eastAsia" w:ascii="宋体" w:hAnsi="宋体"/>
                <w:szCs w:val="21"/>
              </w:rPr>
              <w:t>……</w:t>
            </w:r>
          </w:p>
        </w:tc>
        <w:tc>
          <w:tcPr>
            <w:tcW w:w="736" w:type="dxa"/>
            <w:tcBorders>
              <w:top w:val="single" w:color="auto" w:sz="4" w:space="0"/>
              <w:left w:val="single" w:color="auto" w:sz="4" w:space="0"/>
              <w:bottom w:val="single" w:color="auto" w:sz="4" w:space="0"/>
              <w:right w:val="single" w:color="auto" w:sz="4" w:space="0"/>
            </w:tcBorders>
            <w:noWrap w:val="0"/>
            <w:vAlign w:val="center"/>
          </w:tcPr>
          <w:p w14:paraId="1E3DF304">
            <w:pPr>
              <w:rPr>
                <w:rFonts w:ascii="宋体" w:hAnsi="宋体"/>
                <w:szCs w:val="21"/>
              </w:rPr>
            </w:pPr>
            <w:r>
              <w:rPr>
                <w:rFonts w:hint="eastAsia" w:ascii="宋体" w:hAnsi="宋体"/>
                <w:szCs w:val="21"/>
              </w:rPr>
              <w:t>…</w:t>
            </w:r>
          </w:p>
        </w:tc>
        <w:tc>
          <w:tcPr>
            <w:tcW w:w="1576" w:type="dxa"/>
            <w:tcBorders>
              <w:top w:val="single" w:color="auto" w:sz="4" w:space="0"/>
              <w:left w:val="single" w:color="auto" w:sz="4" w:space="0"/>
              <w:bottom w:val="single" w:color="auto" w:sz="4" w:space="0"/>
              <w:right w:val="single" w:color="auto" w:sz="4" w:space="0"/>
            </w:tcBorders>
            <w:noWrap w:val="0"/>
            <w:vAlign w:val="center"/>
          </w:tcPr>
          <w:p w14:paraId="477AFCA1">
            <w:pPr>
              <w:rPr>
                <w:rFonts w:ascii="宋体" w:hAnsi="宋体"/>
                <w:szCs w:val="21"/>
              </w:rPr>
            </w:pPr>
            <w:r>
              <w:rPr>
                <w:rFonts w:hint="eastAsia" w:ascii="宋体" w:hAnsi="宋体"/>
                <w:szCs w:val="21"/>
              </w:rPr>
              <w:t>1  ……</w:t>
            </w:r>
          </w:p>
          <w:p w14:paraId="5956E41B">
            <w:pPr>
              <w:rPr>
                <w:rFonts w:hint="eastAsia" w:ascii="宋体" w:hAnsi="宋体"/>
                <w:szCs w:val="21"/>
              </w:rPr>
            </w:pPr>
            <w:r>
              <w:rPr>
                <w:rFonts w:hint="eastAsia" w:ascii="宋体" w:hAnsi="宋体"/>
                <w:szCs w:val="21"/>
              </w:rPr>
              <w:t>2  ……</w:t>
            </w:r>
          </w:p>
          <w:p w14:paraId="61FABA59">
            <w:pPr>
              <w:rPr>
                <w:rFonts w:hint="eastAsia" w:ascii="宋体" w:hAnsi="宋体"/>
                <w:szCs w:val="21"/>
              </w:rPr>
            </w:pPr>
            <w:r>
              <w:rPr>
                <w:rFonts w:hint="eastAsia" w:ascii="宋体" w:hAnsi="宋体"/>
                <w:szCs w:val="21"/>
              </w:rPr>
              <w:t>3  ……</w:t>
            </w:r>
          </w:p>
          <w:p w14:paraId="45AEB740">
            <w:pPr>
              <w:rPr>
                <w:rFonts w:ascii="宋体" w:hAnsi="宋体"/>
                <w:szCs w:val="21"/>
              </w:rPr>
            </w:pPr>
            <w:r>
              <w:rPr>
                <w:rFonts w:hint="eastAsia" w:ascii="宋体" w:hAnsi="宋体"/>
                <w:szCs w:val="21"/>
              </w:rPr>
              <w:t>……</w:t>
            </w:r>
          </w:p>
        </w:tc>
        <w:tc>
          <w:tcPr>
            <w:tcW w:w="1140" w:type="dxa"/>
            <w:tcBorders>
              <w:top w:val="single" w:color="auto" w:sz="4" w:space="0"/>
              <w:left w:val="single" w:color="auto" w:sz="4" w:space="0"/>
              <w:bottom w:val="single" w:color="auto" w:sz="4" w:space="0"/>
              <w:right w:val="single" w:color="auto" w:sz="4" w:space="0"/>
            </w:tcBorders>
            <w:noWrap w:val="0"/>
            <w:vAlign w:val="center"/>
          </w:tcPr>
          <w:p w14:paraId="3A967E76">
            <w:pPr>
              <w:rPr>
                <w:rFonts w:ascii="宋体" w:hAnsi="宋体"/>
                <w:szCs w:val="21"/>
              </w:rPr>
            </w:pPr>
            <w:r>
              <w:rPr>
                <w:rFonts w:hint="eastAsia" w:ascii="宋体" w:hAnsi="宋体"/>
                <w:szCs w:val="21"/>
              </w:rPr>
              <w:t>……</w:t>
            </w:r>
          </w:p>
        </w:tc>
        <w:tc>
          <w:tcPr>
            <w:tcW w:w="658" w:type="dxa"/>
            <w:tcBorders>
              <w:top w:val="single" w:color="auto" w:sz="4" w:space="0"/>
              <w:left w:val="single" w:color="auto" w:sz="4" w:space="0"/>
              <w:bottom w:val="single" w:color="auto" w:sz="4" w:space="0"/>
              <w:right w:val="single" w:color="auto" w:sz="4" w:space="0"/>
            </w:tcBorders>
            <w:noWrap w:val="0"/>
            <w:vAlign w:val="center"/>
          </w:tcPr>
          <w:p w14:paraId="408D44DA">
            <w:pPr>
              <w:rPr>
                <w:rFonts w:ascii="宋体" w:hAnsi="宋体"/>
                <w:szCs w:val="21"/>
              </w:rPr>
            </w:pPr>
            <w:r>
              <w:rPr>
                <w:rFonts w:hint="eastAsia" w:ascii="宋体" w:hAnsi="宋体"/>
                <w:szCs w:val="21"/>
              </w:rPr>
              <w:t>…</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1CC98FE9">
            <w:pPr>
              <w:rPr>
                <w:rFonts w:ascii="宋体" w:hAnsi="宋体"/>
                <w:szCs w:val="21"/>
              </w:rPr>
            </w:pPr>
            <w:r>
              <w:rPr>
                <w:rFonts w:hint="eastAsia" w:ascii="宋体" w:hAnsi="宋体"/>
                <w:szCs w:val="21"/>
              </w:rPr>
              <w:t>1  ……</w:t>
            </w:r>
          </w:p>
          <w:p w14:paraId="7B9E752B">
            <w:pPr>
              <w:rPr>
                <w:rFonts w:hint="eastAsia" w:ascii="宋体" w:hAnsi="宋体"/>
                <w:szCs w:val="21"/>
              </w:rPr>
            </w:pPr>
            <w:r>
              <w:rPr>
                <w:rFonts w:hint="eastAsia" w:ascii="宋体" w:hAnsi="宋体"/>
                <w:szCs w:val="21"/>
              </w:rPr>
              <w:t>2  ……</w:t>
            </w:r>
          </w:p>
          <w:p w14:paraId="56F3D090">
            <w:pPr>
              <w:rPr>
                <w:rFonts w:hint="eastAsia" w:ascii="宋体" w:hAnsi="宋体"/>
                <w:szCs w:val="21"/>
              </w:rPr>
            </w:pPr>
            <w:r>
              <w:rPr>
                <w:rFonts w:hint="eastAsia" w:ascii="宋体" w:hAnsi="宋体"/>
                <w:szCs w:val="21"/>
              </w:rPr>
              <w:t>3  ……</w:t>
            </w:r>
          </w:p>
          <w:p w14:paraId="0EFD21B1">
            <w:pPr>
              <w:rPr>
                <w:rFonts w:ascii="宋体" w:hAnsi="宋体"/>
                <w:szCs w:val="21"/>
              </w:rPr>
            </w:pPr>
            <w:r>
              <w:rPr>
                <w:rFonts w:hint="eastAsia" w:ascii="宋体" w:hAnsi="宋体"/>
                <w:szCs w:val="21"/>
              </w:rPr>
              <w:t>……</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2B29905F">
            <w:pPr>
              <w:rPr>
                <w:rFonts w:ascii="宋体" w:hAnsi="宋体"/>
                <w:szCs w:val="21"/>
              </w:rPr>
            </w:pPr>
          </w:p>
        </w:tc>
      </w:tr>
      <w:tr w14:paraId="4B16A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593" w:type="dxa"/>
            <w:tcBorders>
              <w:top w:val="single" w:color="auto" w:sz="4" w:space="0"/>
              <w:left w:val="single" w:color="auto" w:sz="4" w:space="0"/>
              <w:bottom w:val="single" w:color="auto" w:sz="4" w:space="0"/>
              <w:right w:val="single" w:color="auto" w:sz="4" w:space="0"/>
            </w:tcBorders>
            <w:noWrap w:val="0"/>
            <w:vAlign w:val="center"/>
          </w:tcPr>
          <w:p w14:paraId="083196A4">
            <w:pPr>
              <w:rPr>
                <w:rFonts w:ascii="宋体" w:hAnsi="宋体"/>
                <w:szCs w:val="21"/>
              </w:rPr>
            </w:pPr>
            <w:r>
              <w:rPr>
                <w:rFonts w:hint="eastAsia" w:ascii="宋体" w:hAnsi="宋体"/>
                <w:szCs w:val="21"/>
              </w:rPr>
              <w:t>2</w:t>
            </w:r>
          </w:p>
        </w:tc>
        <w:tc>
          <w:tcPr>
            <w:tcW w:w="1142" w:type="dxa"/>
            <w:tcBorders>
              <w:top w:val="single" w:color="auto" w:sz="4" w:space="0"/>
              <w:left w:val="single" w:color="auto" w:sz="4" w:space="0"/>
              <w:bottom w:val="single" w:color="auto" w:sz="4" w:space="0"/>
              <w:right w:val="single" w:color="auto" w:sz="4" w:space="0"/>
            </w:tcBorders>
            <w:noWrap w:val="0"/>
            <w:vAlign w:val="center"/>
          </w:tcPr>
          <w:p w14:paraId="77594CA6">
            <w:pPr>
              <w:rPr>
                <w:rFonts w:ascii="宋体" w:hAnsi="宋体"/>
                <w:szCs w:val="21"/>
              </w:rPr>
            </w:pPr>
            <w:r>
              <w:rPr>
                <w:rFonts w:hint="eastAsia" w:ascii="宋体" w:hAnsi="宋体"/>
                <w:szCs w:val="21"/>
              </w:rPr>
              <w:t>……</w:t>
            </w:r>
          </w:p>
        </w:tc>
        <w:tc>
          <w:tcPr>
            <w:tcW w:w="736" w:type="dxa"/>
            <w:tcBorders>
              <w:top w:val="single" w:color="auto" w:sz="4" w:space="0"/>
              <w:left w:val="single" w:color="auto" w:sz="4" w:space="0"/>
              <w:bottom w:val="single" w:color="auto" w:sz="4" w:space="0"/>
              <w:right w:val="single" w:color="auto" w:sz="4" w:space="0"/>
            </w:tcBorders>
            <w:noWrap w:val="0"/>
            <w:vAlign w:val="center"/>
          </w:tcPr>
          <w:p w14:paraId="3EAD04AB">
            <w:pPr>
              <w:rPr>
                <w:rFonts w:ascii="宋体" w:hAnsi="宋体"/>
                <w:szCs w:val="21"/>
              </w:rPr>
            </w:pPr>
            <w:r>
              <w:rPr>
                <w:rFonts w:hint="eastAsia" w:ascii="宋体" w:hAnsi="宋体"/>
                <w:szCs w:val="21"/>
              </w:rPr>
              <w:t>…</w:t>
            </w:r>
          </w:p>
        </w:tc>
        <w:tc>
          <w:tcPr>
            <w:tcW w:w="1576" w:type="dxa"/>
            <w:tcBorders>
              <w:top w:val="single" w:color="auto" w:sz="4" w:space="0"/>
              <w:left w:val="single" w:color="auto" w:sz="4" w:space="0"/>
              <w:bottom w:val="single" w:color="auto" w:sz="4" w:space="0"/>
              <w:right w:val="single" w:color="auto" w:sz="4" w:space="0"/>
            </w:tcBorders>
            <w:noWrap w:val="0"/>
            <w:vAlign w:val="center"/>
          </w:tcPr>
          <w:p w14:paraId="17CCC9B0">
            <w:pPr>
              <w:rPr>
                <w:rFonts w:ascii="宋体" w:hAnsi="宋体"/>
                <w:szCs w:val="21"/>
              </w:rPr>
            </w:pPr>
            <w:r>
              <w:rPr>
                <w:rFonts w:hint="eastAsia" w:ascii="宋体" w:hAnsi="宋体"/>
                <w:szCs w:val="21"/>
              </w:rPr>
              <w:t>1  ……</w:t>
            </w:r>
          </w:p>
          <w:p w14:paraId="59610062">
            <w:pPr>
              <w:rPr>
                <w:rFonts w:hint="eastAsia" w:ascii="宋体" w:hAnsi="宋体"/>
                <w:szCs w:val="21"/>
              </w:rPr>
            </w:pPr>
            <w:r>
              <w:rPr>
                <w:rFonts w:hint="eastAsia" w:ascii="宋体" w:hAnsi="宋体"/>
                <w:szCs w:val="21"/>
              </w:rPr>
              <w:t>2  ……</w:t>
            </w:r>
          </w:p>
          <w:p w14:paraId="4AD25226">
            <w:pPr>
              <w:rPr>
                <w:rFonts w:hint="eastAsia" w:ascii="宋体" w:hAnsi="宋体"/>
                <w:szCs w:val="21"/>
              </w:rPr>
            </w:pPr>
            <w:r>
              <w:rPr>
                <w:rFonts w:hint="eastAsia" w:ascii="宋体" w:hAnsi="宋体"/>
                <w:szCs w:val="21"/>
              </w:rPr>
              <w:t>3  ……</w:t>
            </w:r>
          </w:p>
          <w:p w14:paraId="780BB20A">
            <w:pPr>
              <w:rPr>
                <w:rFonts w:ascii="宋体" w:hAnsi="宋体"/>
                <w:szCs w:val="21"/>
              </w:rPr>
            </w:pPr>
            <w:r>
              <w:rPr>
                <w:rFonts w:hint="eastAsia" w:ascii="宋体" w:hAnsi="宋体"/>
                <w:szCs w:val="21"/>
              </w:rPr>
              <w:t>……</w:t>
            </w:r>
          </w:p>
        </w:tc>
        <w:tc>
          <w:tcPr>
            <w:tcW w:w="1140" w:type="dxa"/>
            <w:tcBorders>
              <w:top w:val="single" w:color="auto" w:sz="4" w:space="0"/>
              <w:left w:val="single" w:color="auto" w:sz="4" w:space="0"/>
              <w:bottom w:val="single" w:color="auto" w:sz="4" w:space="0"/>
              <w:right w:val="single" w:color="auto" w:sz="4" w:space="0"/>
            </w:tcBorders>
            <w:noWrap w:val="0"/>
            <w:vAlign w:val="center"/>
          </w:tcPr>
          <w:p w14:paraId="4DB3BD29">
            <w:pPr>
              <w:rPr>
                <w:rFonts w:ascii="宋体" w:hAnsi="宋体"/>
                <w:szCs w:val="21"/>
              </w:rPr>
            </w:pPr>
            <w:r>
              <w:rPr>
                <w:rFonts w:hint="eastAsia" w:ascii="宋体" w:hAnsi="宋体"/>
                <w:szCs w:val="21"/>
              </w:rPr>
              <w:t>……</w:t>
            </w:r>
          </w:p>
        </w:tc>
        <w:tc>
          <w:tcPr>
            <w:tcW w:w="658" w:type="dxa"/>
            <w:tcBorders>
              <w:top w:val="single" w:color="auto" w:sz="4" w:space="0"/>
              <w:left w:val="single" w:color="auto" w:sz="4" w:space="0"/>
              <w:bottom w:val="single" w:color="auto" w:sz="4" w:space="0"/>
              <w:right w:val="single" w:color="auto" w:sz="4" w:space="0"/>
            </w:tcBorders>
            <w:noWrap w:val="0"/>
            <w:vAlign w:val="center"/>
          </w:tcPr>
          <w:p w14:paraId="72272772">
            <w:pPr>
              <w:rPr>
                <w:rFonts w:ascii="宋体" w:hAnsi="宋体"/>
                <w:szCs w:val="21"/>
              </w:rPr>
            </w:pPr>
            <w:r>
              <w:rPr>
                <w:rFonts w:hint="eastAsia" w:ascii="宋体" w:hAnsi="宋体"/>
                <w:szCs w:val="21"/>
              </w:rPr>
              <w:t>…</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02ADD9FD">
            <w:pPr>
              <w:rPr>
                <w:rFonts w:ascii="宋体" w:hAnsi="宋体"/>
                <w:szCs w:val="21"/>
              </w:rPr>
            </w:pPr>
            <w:r>
              <w:rPr>
                <w:rFonts w:hint="eastAsia" w:ascii="宋体" w:hAnsi="宋体"/>
                <w:szCs w:val="21"/>
              </w:rPr>
              <w:t>1  ……</w:t>
            </w:r>
          </w:p>
          <w:p w14:paraId="05DA35F3">
            <w:pPr>
              <w:rPr>
                <w:rFonts w:hint="eastAsia" w:ascii="宋体" w:hAnsi="宋体"/>
                <w:szCs w:val="21"/>
              </w:rPr>
            </w:pPr>
            <w:r>
              <w:rPr>
                <w:rFonts w:hint="eastAsia" w:ascii="宋体" w:hAnsi="宋体"/>
                <w:szCs w:val="21"/>
              </w:rPr>
              <w:t>2  ……</w:t>
            </w:r>
          </w:p>
          <w:p w14:paraId="2396E745">
            <w:pPr>
              <w:rPr>
                <w:rFonts w:hint="eastAsia" w:ascii="宋体" w:hAnsi="宋体"/>
                <w:szCs w:val="21"/>
              </w:rPr>
            </w:pPr>
            <w:r>
              <w:rPr>
                <w:rFonts w:hint="eastAsia" w:ascii="宋体" w:hAnsi="宋体"/>
                <w:szCs w:val="21"/>
              </w:rPr>
              <w:t>3  ……</w:t>
            </w:r>
          </w:p>
          <w:p w14:paraId="6C982111">
            <w:pPr>
              <w:rPr>
                <w:rFonts w:ascii="宋体" w:hAnsi="宋体"/>
                <w:szCs w:val="21"/>
              </w:rPr>
            </w:pPr>
            <w:r>
              <w:rPr>
                <w:rFonts w:hint="eastAsia" w:ascii="宋体" w:hAnsi="宋体"/>
                <w:szCs w:val="21"/>
              </w:rPr>
              <w:t>……</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C010FB0">
            <w:pPr>
              <w:rPr>
                <w:rFonts w:ascii="宋体" w:hAnsi="宋体"/>
                <w:szCs w:val="21"/>
              </w:rPr>
            </w:pPr>
          </w:p>
        </w:tc>
      </w:tr>
      <w:tr w14:paraId="6655F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93" w:type="dxa"/>
            <w:tcBorders>
              <w:top w:val="single" w:color="auto" w:sz="4" w:space="0"/>
              <w:left w:val="single" w:color="auto" w:sz="4" w:space="0"/>
              <w:bottom w:val="single" w:color="auto" w:sz="4" w:space="0"/>
              <w:right w:val="single" w:color="auto" w:sz="4" w:space="0"/>
            </w:tcBorders>
            <w:noWrap w:val="0"/>
            <w:vAlign w:val="center"/>
          </w:tcPr>
          <w:p w14:paraId="0FDE53CA">
            <w:pPr>
              <w:rPr>
                <w:rFonts w:ascii="宋体" w:hAnsi="宋体"/>
                <w:szCs w:val="21"/>
              </w:rPr>
            </w:pPr>
            <w:r>
              <w:rPr>
                <w:rFonts w:hint="eastAsia" w:ascii="宋体" w:hAnsi="宋体"/>
                <w:szCs w:val="21"/>
              </w:rPr>
              <w:t>...</w:t>
            </w:r>
          </w:p>
        </w:tc>
        <w:tc>
          <w:tcPr>
            <w:tcW w:w="1142" w:type="dxa"/>
            <w:tcBorders>
              <w:top w:val="single" w:color="auto" w:sz="4" w:space="0"/>
              <w:left w:val="single" w:color="auto" w:sz="4" w:space="0"/>
              <w:bottom w:val="single" w:color="auto" w:sz="4" w:space="0"/>
              <w:right w:val="single" w:color="auto" w:sz="4" w:space="0"/>
            </w:tcBorders>
            <w:noWrap w:val="0"/>
            <w:vAlign w:val="center"/>
          </w:tcPr>
          <w:p w14:paraId="1B616802">
            <w:pPr>
              <w:rPr>
                <w:rFonts w:ascii="宋体" w:hAnsi="宋体"/>
                <w:szCs w:val="21"/>
              </w:rPr>
            </w:pPr>
          </w:p>
        </w:tc>
        <w:tc>
          <w:tcPr>
            <w:tcW w:w="736" w:type="dxa"/>
            <w:tcBorders>
              <w:top w:val="single" w:color="auto" w:sz="4" w:space="0"/>
              <w:left w:val="single" w:color="auto" w:sz="4" w:space="0"/>
              <w:bottom w:val="single" w:color="auto" w:sz="4" w:space="0"/>
              <w:right w:val="single" w:color="auto" w:sz="4" w:space="0"/>
            </w:tcBorders>
            <w:noWrap w:val="0"/>
            <w:vAlign w:val="center"/>
          </w:tcPr>
          <w:p w14:paraId="3A4BF1B1">
            <w:pPr>
              <w:rPr>
                <w:rFonts w:ascii="宋体" w:hAnsi="宋体"/>
                <w:szCs w:val="21"/>
              </w:rPr>
            </w:pPr>
          </w:p>
        </w:tc>
        <w:tc>
          <w:tcPr>
            <w:tcW w:w="1576" w:type="dxa"/>
            <w:tcBorders>
              <w:top w:val="single" w:color="auto" w:sz="4" w:space="0"/>
              <w:left w:val="single" w:color="auto" w:sz="4" w:space="0"/>
              <w:bottom w:val="single" w:color="auto" w:sz="4" w:space="0"/>
              <w:right w:val="single" w:color="auto" w:sz="4" w:space="0"/>
            </w:tcBorders>
            <w:noWrap w:val="0"/>
            <w:vAlign w:val="center"/>
          </w:tcPr>
          <w:p w14:paraId="2180F07C">
            <w:pPr>
              <w:rPr>
                <w:rFonts w:ascii="宋体" w:hAnsi="宋体"/>
                <w:szCs w:val="21"/>
              </w:rPr>
            </w:pPr>
          </w:p>
        </w:tc>
        <w:tc>
          <w:tcPr>
            <w:tcW w:w="1140" w:type="dxa"/>
            <w:tcBorders>
              <w:top w:val="single" w:color="auto" w:sz="4" w:space="0"/>
              <w:left w:val="single" w:color="auto" w:sz="4" w:space="0"/>
              <w:bottom w:val="single" w:color="auto" w:sz="4" w:space="0"/>
              <w:right w:val="single" w:color="auto" w:sz="4" w:space="0"/>
            </w:tcBorders>
            <w:noWrap w:val="0"/>
            <w:vAlign w:val="center"/>
          </w:tcPr>
          <w:p w14:paraId="32B793D6">
            <w:pPr>
              <w:rPr>
                <w:rFonts w:ascii="宋体" w:hAnsi="宋体"/>
                <w:szCs w:val="21"/>
              </w:rPr>
            </w:pPr>
          </w:p>
        </w:tc>
        <w:tc>
          <w:tcPr>
            <w:tcW w:w="658" w:type="dxa"/>
            <w:tcBorders>
              <w:top w:val="single" w:color="auto" w:sz="4" w:space="0"/>
              <w:left w:val="single" w:color="auto" w:sz="4" w:space="0"/>
              <w:bottom w:val="single" w:color="auto" w:sz="4" w:space="0"/>
              <w:right w:val="single" w:color="auto" w:sz="4" w:space="0"/>
            </w:tcBorders>
            <w:noWrap w:val="0"/>
            <w:vAlign w:val="center"/>
          </w:tcPr>
          <w:p w14:paraId="7D4EC2E4">
            <w:pPr>
              <w:rPr>
                <w:rFonts w:ascii="宋体" w:hAnsi="宋体"/>
                <w:szCs w:val="21"/>
              </w:rPr>
            </w:pPr>
          </w:p>
        </w:tc>
        <w:tc>
          <w:tcPr>
            <w:tcW w:w="1146" w:type="dxa"/>
            <w:tcBorders>
              <w:top w:val="single" w:color="auto" w:sz="4" w:space="0"/>
              <w:left w:val="single" w:color="auto" w:sz="4" w:space="0"/>
              <w:bottom w:val="single" w:color="auto" w:sz="4" w:space="0"/>
              <w:right w:val="single" w:color="auto" w:sz="4" w:space="0"/>
            </w:tcBorders>
            <w:noWrap w:val="0"/>
            <w:vAlign w:val="center"/>
          </w:tcPr>
          <w:p w14:paraId="7B8FABE9">
            <w:pPr>
              <w:rPr>
                <w:rFonts w:ascii="宋体" w:hAnsi="宋体"/>
                <w:szCs w:val="21"/>
              </w:rPr>
            </w:pP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252E6AD">
            <w:pPr>
              <w:rPr>
                <w:rFonts w:ascii="宋体" w:hAnsi="宋体"/>
                <w:szCs w:val="21"/>
              </w:rPr>
            </w:pPr>
          </w:p>
        </w:tc>
      </w:tr>
    </w:tbl>
    <w:p w14:paraId="734E2F1D">
      <w:pPr>
        <w:spacing w:line="360" w:lineRule="auto"/>
        <w:rPr>
          <w:rFonts w:hint="eastAsia" w:ascii="宋体" w:hAnsi="宋体" w:eastAsia="等线"/>
          <w:kern w:val="0"/>
          <w:szCs w:val="21"/>
        </w:rPr>
      </w:pPr>
      <w:r>
        <w:rPr>
          <w:rFonts w:hint="eastAsia" w:ascii="宋体" w:hAnsi="宋体"/>
          <w:kern w:val="0"/>
          <w:szCs w:val="21"/>
        </w:rPr>
        <w:t>注：</w:t>
      </w:r>
    </w:p>
    <w:p w14:paraId="082024AE">
      <w:pPr>
        <w:spacing w:line="360" w:lineRule="auto"/>
        <w:rPr>
          <w:rFonts w:hint="eastAsia" w:ascii="宋体" w:hAnsi="宋体" w:cs="仿宋_GB2312"/>
          <w:kern w:val="0"/>
          <w:szCs w:val="21"/>
        </w:rPr>
      </w:pPr>
      <w:r>
        <w:rPr>
          <w:rFonts w:hint="eastAsia" w:ascii="宋体" w:hAnsi="宋体" w:cs="仿宋_GB2312"/>
          <w:kern w:val="0"/>
          <w:szCs w:val="21"/>
        </w:rPr>
        <w:t>1.说明：应对照谈判文件“第二章”中“货物需求一览表”的采购清单及技术参数条款逐条作出明确响应，并作出偏离说明。</w:t>
      </w:r>
    </w:p>
    <w:p w14:paraId="660D4046">
      <w:pPr>
        <w:spacing w:line="400" w:lineRule="exact"/>
        <w:rPr>
          <w:rFonts w:hint="eastAsia" w:ascii="宋体" w:hAnsi="宋体" w:cs="仿宋_GB2312"/>
          <w:szCs w:val="21"/>
        </w:rPr>
      </w:pPr>
      <w:r>
        <w:rPr>
          <w:rFonts w:hint="eastAsia" w:ascii="宋体" w:hAnsi="宋体" w:cs="仿宋_GB2312"/>
          <w:szCs w:val="21"/>
        </w:rPr>
        <w:t>2.供应商应根据自身的承诺，对照谈判文件要求，在“偏离说明”中注明“正偏离”、“负偏离”或者“无偏离”。既不属于“正偏离”也不属于“负偏离”即为“无偏离”。 当响应文件的商务内容低于竞争性谈判采购文件要求时，</w:t>
      </w:r>
      <w:r>
        <w:rPr>
          <w:rFonts w:hint="eastAsia" w:ascii="宋体" w:hAnsi="宋体" w:cs="仿宋_GB2312"/>
          <w:szCs w:val="21"/>
          <w:lang w:eastAsia="zh-CN"/>
        </w:rPr>
        <w:t>响应</w:t>
      </w:r>
      <w:r>
        <w:rPr>
          <w:rFonts w:hint="eastAsia" w:ascii="宋体" w:hAnsi="宋体" w:cs="仿宋_GB2312"/>
          <w:szCs w:val="21"/>
        </w:rPr>
        <w:t>人应当如实写明“负偏离”，否则视为虚假应标</w:t>
      </w:r>
    </w:p>
    <w:p w14:paraId="439E9F41">
      <w:pPr>
        <w:spacing w:line="400" w:lineRule="exact"/>
        <w:rPr>
          <w:rFonts w:hint="eastAsia" w:ascii="宋体" w:hAnsi="宋体" w:eastAsia="等线" w:cs="仿宋_GB2312"/>
          <w:kern w:val="0"/>
          <w:szCs w:val="21"/>
        </w:rPr>
      </w:pPr>
      <w:r>
        <w:rPr>
          <w:rFonts w:hint="eastAsia" w:ascii="宋体" w:hAnsi="宋体" w:cs="仿宋_GB2312"/>
          <w:kern w:val="0"/>
          <w:szCs w:val="21"/>
        </w:rPr>
        <w:t>3.表格内容均需按要求填写并盖章，不得留空，否则按</w:t>
      </w:r>
      <w:r>
        <w:rPr>
          <w:rFonts w:hint="eastAsia" w:ascii="宋体" w:hAnsi="宋体" w:cs="仿宋_GB2312"/>
          <w:kern w:val="0"/>
          <w:szCs w:val="21"/>
          <w:lang w:eastAsia="zh-CN"/>
        </w:rPr>
        <w:t>响应</w:t>
      </w:r>
      <w:r>
        <w:rPr>
          <w:rFonts w:hint="eastAsia" w:ascii="宋体" w:hAnsi="宋体" w:cs="仿宋_GB2312"/>
          <w:kern w:val="0"/>
          <w:szCs w:val="21"/>
        </w:rPr>
        <w:t>无效处理。</w:t>
      </w:r>
    </w:p>
    <w:p w14:paraId="7742135E">
      <w:pPr>
        <w:snapToGrid w:val="0"/>
        <w:spacing w:line="360" w:lineRule="auto"/>
        <w:ind w:firstLine="602" w:firstLineChars="200"/>
        <w:rPr>
          <w:rFonts w:hint="eastAsia" w:ascii="仿宋" w:hAnsi="仿宋" w:eastAsia="仿宋" w:cs="仿宋_GB2312"/>
          <w:b/>
          <w:sz w:val="30"/>
          <w:szCs w:val="30"/>
        </w:rPr>
      </w:pPr>
    </w:p>
    <w:p w14:paraId="2C5B4FCF">
      <w:pPr>
        <w:autoSpaceDE w:val="0"/>
        <w:autoSpaceDN w:val="0"/>
        <w:spacing w:line="360" w:lineRule="auto"/>
        <w:ind w:left="4335" w:leftChars="1950" w:hanging="240" w:hangingChars="100"/>
        <w:rPr>
          <w:rFonts w:hint="eastAsia" w:ascii="仿宋_GB2312" w:hAnsi="仿宋" w:eastAsia="仿宋_GB2312" w:cs="仿宋_GB2312"/>
          <w:kern w:val="0"/>
          <w:sz w:val="24"/>
        </w:rPr>
      </w:pPr>
      <w:r>
        <w:rPr>
          <w:rFonts w:hint="eastAsia" w:ascii="仿宋_GB2312" w:hAnsi="仿宋" w:eastAsia="仿宋_GB2312" w:cs="仿宋_GB2312"/>
          <w:kern w:val="0"/>
          <w:sz w:val="24"/>
          <w:szCs w:val="24"/>
        </w:rPr>
        <w:t>供应商名称（电子签章）：</w:t>
      </w:r>
    </w:p>
    <w:p w14:paraId="3803A234">
      <w:pPr>
        <w:autoSpaceDE w:val="0"/>
        <w:autoSpaceDN w:val="0"/>
        <w:spacing w:line="360" w:lineRule="auto"/>
        <w:ind w:firstLine="6480" w:firstLineChars="2700"/>
        <w:rPr>
          <w:rFonts w:hint="eastAsia" w:ascii="仿宋_GB2312" w:hAnsi="仿宋" w:eastAsia="仿宋_GB2312" w:cs="仿宋_GB2312"/>
          <w:b/>
          <w:bCs/>
          <w:sz w:val="24"/>
          <w:szCs w:val="24"/>
        </w:rPr>
      </w:pPr>
      <w:r>
        <w:rPr>
          <w:rFonts w:hint="eastAsia" w:ascii="仿宋_GB2312" w:hAnsi="仿宋" w:eastAsia="仿宋_GB2312" w:cs="仿宋_GB2312"/>
          <w:kern w:val="0"/>
          <w:sz w:val="24"/>
          <w:szCs w:val="24"/>
          <w:lang w:val="zh-CN"/>
        </w:rPr>
        <w:t>日期：  年  月   日</w:t>
      </w:r>
    </w:p>
    <w:p w14:paraId="4B6B6ED8">
      <w:pPr>
        <w:widowControl/>
        <w:jc w:val="left"/>
        <w:rPr>
          <w:rFonts w:ascii="仿宋_GB2312" w:hAnsi="仿宋_GB2312" w:eastAsia="仿宋_GB2312" w:cs="仿宋_GB2312"/>
          <w:kern w:val="0"/>
          <w:sz w:val="32"/>
          <w:szCs w:val="32"/>
        </w:rPr>
        <w:sectPr>
          <w:pgSz w:w="11910" w:h="16840"/>
          <w:pgMar w:top="1340" w:right="1500" w:bottom="280" w:left="1680" w:header="720" w:footer="720" w:gutter="0"/>
          <w:pgBorders>
            <w:top w:val="none" w:sz="0" w:space="0"/>
            <w:left w:val="none" w:sz="0" w:space="0"/>
            <w:bottom w:val="none" w:sz="0" w:space="0"/>
            <w:right w:val="none" w:sz="0" w:space="0"/>
          </w:pgBorders>
          <w:pgNumType w:fmt="decimal"/>
          <w:cols w:space="720" w:num="1"/>
        </w:sectPr>
      </w:pPr>
    </w:p>
    <w:p w14:paraId="42C6BE65">
      <w:pPr>
        <w:snapToGrid w:val="0"/>
        <w:spacing w:line="360" w:lineRule="auto"/>
        <w:ind w:firstLine="602" w:firstLineChars="200"/>
        <w:rPr>
          <w:rFonts w:hint="eastAsia" w:ascii="仿宋" w:hAnsi="仿宋" w:eastAsia="仿宋" w:cs="仿宋_GB2312"/>
          <w:b/>
          <w:sz w:val="30"/>
          <w:szCs w:val="30"/>
        </w:rPr>
      </w:pPr>
      <w:r>
        <w:rPr>
          <w:rFonts w:hint="eastAsia" w:ascii="仿宋" w:hAnsi="仿宋" w:eastAsia="仿宋" w:cs="仿宋_GB2312"/>
          <w:b/>
          <w:sz w:val="30"/>
          <w:szCs w:val="30"/>
        </w:rPr>
        <w:t>八、配置清单</w:t>
      </w:r>
    </w:p>
    <w:p w14:paraId="03AE140F">
      <w:pPr>
        <w:spacing w:line="360" w:lineRule="auto"/>
        <w:jc w:val="center"/>
        <w:rPr>
          <w:rFonts w:hint="eastAsia" w:ascii="仿宋_GB2312" w:hAnsi="仿宋" w:eastAsia="仿宋_GB2312" w:cs="仿宋_GB2312"/>
          <w:b/>
          <w:bCs/>
          <w:sz w:val="24"/>
        </w:rPr>
      </w:pPr>
      <w:r>
        <w:rPr>
          <w:rFonts w:hint="eastAsia" w:ascii="仿宋_GB2312" w:hAnsi="仿宋" w:eastAsia="仿宋_GB2312" w:cs="仿宋_GB2312"/>
          <w:sz w:val="24"/>
          <w:szCs w:val="24"/>
        </w:rPr>
        <w:t>（由供应商根据采购需求及采购文件要求编制）</w:t>
      </w:r>
    </w:p>
    <w:p w14:paraId="36C7C0EC">
      <w:pPr>
        <w:adjustRightInd w:val="0"/>
        <w:spacing w:line="360" w:lineRule="auto"/>
        <w:jc w:val="left"/>
        <w:rPr>
          <w:rFonts w:hint="eastAsia" w:ascii="宋体" w:hAnsi="宋体" w:eastAsia="等线" w:cs="仿宋_GB2312"/>
          <w:color w:val="000000"/>
          <w:sz w:val="24"/>
          <w:szCs w:val="24"/>
        </w:rPr>
      </w:pPr>
    </w:p>
    <w:p w14:paraId="68062801">
      <w:pPr>
        <w:autoSpaceDE w:val="0"/>
        <w:autoSpaceDN w:val="0"/>
        <w:spacing w:line="360" w:lineRule="auto"/>
        <w:ind w:left="4335" w:leftChars="1950" w:hanging="240" w:hangingChars="100"/>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供应商名称（电子签章）：</w:t>
      </w:r>
    </w:p>
    <w:p w14:paraId="1A83E6B8">
      <w:pPr>
        <w:autoSpaceDE w:val="0"/>
        <w:autoSpaceDN w:val="0"/>
        <w:spacing w:line="360" w:lineRule="auto"/>
        <w:ind w:firstLine="6480" w:firstLineChars="2700"/>
        <w:rPr>
          <w:rFonts w:hint="eastAsia" w:ascii="仿宋_GB2312" w:hAnsi="仿宋" w:eastAsia="仿宋_GB2312" w:cs="仿宋_GB2312"/>
          <w:b/>
          <w:bCs/>
          <w:sz w:val="24"/>
          <w:szCs w:val="24"/>
        </w:rPr>
      </w:pPr>
      <w:r>
        <w:rPr>
          <w:rFonts w:hint="eastAsia" w:ascii="仿宋_GB2312" w:hAnsi="仿宋" w:eastAsia="仿宋_GB2312" w:cs="仿宋_GB2312"/>
          <w:kern w:val="0"/>
          <w:sz w:val="24"/>
          <w:szCs w:val="24"/>
          <w:lang w:val="zh-CN"/>
        </w:rPr>
        <w:t>日期：  年  月   日</w:t>
      </w:r>
    </w:p>
    <w:p w14:paraId="21F0D67A">
      <w:pPr>
        <w:spacing w:line="500" w:lineRule="exact"/>
        <w:rPr>
          <w:rFonts w:hint="eastAsia" w:ascii="仿宋_GB2312" w:hAnsi="仿宋_GB2312" w:eastAsia="仿宋_GB2312" w:cs="仿宋_GB2312"/>
          <w:sz w:val="32"/>
          <w:szCs w:val="32"/>
        </w:rPr>
      </w:pPr>
    </w:p>
    <w:p w14:paraId="0E1C50E3">
      <w:pPr>
        <w:snapToGrid w:val="0"/>
        <w:spacing w:before="120" w:beforeLines="50" w:after="50"/>
        <w:ind w:left="143" w:leftChars="68" w:firstLine="596" w:firstLineChars="198"/>
        <w:rPr>
          <w:rFonts w:hint="eastAsia" w:ascii="仿宋" w:hAnsi="仿宋" w:eastAsia="仿宋" w:cs="仿宋_GB2312"/>
          <w:b/>
          <w:sz w:val="30"/>
          <w:szCs w:val="30"/>
        </w:rPr>
      </w:pPr>
      <w:r>
        <w:rPr>
          <w:rFonts w:hint="eastAsia" w:ascii="仿宋" w:hAnsi="仿宋" w:eastAsia="仿宋" w:cs="仿宋_GB2312"/>
          <w:b/>
          <w:sz w:val="30"/>
          <w:szCs w:val="30"/>
        </w:rPr>
        <w:t>九、售后服务方案</w:t>
      </w:r>
    </w:p>
    <w:p w14:paraId="34D5A496">
      <w:pPr>
        <w:spacing w:line="360" w:lineRule="auto"/>
        <w:jc w:val="center"/>
        <w:rPr>
          <w:rFonts w:hint="eastAsia" w:ascii="仿宋_GB2312" w:hAnsi="仿宋" w:eastAsia="仿宋_GB2312" w:cs="仿宋_GB2312"/>
          <w:b/>
          <w:bCs/>
          <w:sz w:val="24"/>
        </w:rPr>
      </w:pPr>
      <w:r>
        <w:rPr>
          <w:rFonts w:hint="eastAsia" w:ascii="仿宋_GB2312" w:hAnsi="仿宋" w:eastAsia="仿宋_GB2312" w:cs="仿宋_GB2312"/>
          <w:sz w:val="24"/>
          <w:szCs w:val="24"/>
        </w:rPr>
        <w:t>（由供应商根据采购需求及采购文件要求编制）</w:t>
      </w:r>
    </w:p>
    <w:p w14:paraId="403A5EA4">
      <w:pPr>
        <w:spacing w:line="500" w:lineRule="exact"/>
        <w:rPr>
          <w:rFonts w:hint="eastAsia" w:ascii="仿宋_GB2312" w:hAnsi="仿宋_GB2312" w:eastAsia="仿宋_GB2312" w:cs="仿宋_GB2312"/>
          <w:sz w:val="32"/>
          <w:szCs w:val="32"/>
        </w:rPr>
      </w:pPr>
    </w:p>
    <w:p w14:paraId="7A8DF1F7">
      <w:pPr>
        <w:autoSpaceDE w:val="0"/>
        <w:autoSpaceDN w:val="0"/>
        <w:spacing w:line="360" w:lineRule="auto"/>
        <w:ind w:left="4335" w:leftChars="1950" w:hanging="240" w:hangingChars="100"/>
        <w:rPr>
          <w:rFonts w:hint="eastAsia" w:ascii="仿宋_GB2312" w:hAnsi="仿宋" w:eastAsia="仿宋_GB2312" w:cs="仿宋_GB2312"/>
          <w:kern w:val="0"/>
          <w:sz w:val="24"/>
        </w:rPr>
      </w:pPr>
      <w:r>
        <w:rPr>
          <w:rFonts w:hint="eastAsia" w:ascii="仿宋_GB2312" w:hAnsi="仿宋" w:eastAsia="仿宋_GB2312" w:cs="仿宋_GB2312"/>
          <w:kern w:val="0"/>
          <w:sz w:val="24"/>
          <w:szCs w:val="24"/>
        </w:rPr>
        <w:t>供应商名称（电子签章）：</w:t>
      </w:r>
    </w:p>
    <w:p w14:paraId="40D1A3EA">
      <w:pPr>
        <w:autoSpaceDE w:val="0"/>
        <w:autoSpaceDN w:val="0"/>
        <w:spacing w:line="360" w:lineRule="auto"/>
        <w:ind w:firstLine="6480" w:firstLineChars="2700"/>
        <w:rPr>
          <w:rFonts w:hint="eastAsia" w:ascii="仿宋_GB2312" w:hAnsi="仿宋" w:eastAsia="仿宋_GB2312" w:cs="仿宋_GB2312"/>
          <w:kern w:val="0"/>
          <w:sz w:val="24"/>
          <w:szCs w:val="24"/>
          <w:lang w:val="zh-CN"/>
        </w:rPr>
      </w:pPr>
      <w:r>
        <w:rPr>
          <w:rFonts w:hint="eastAsia" w:ascii="仿宋_GB2312" w:hAnsi="仿宋" w:eastAsia="仿宋_GB2312" w:cs="仿宋_GB2312"/>
          <w:kern w:val="0"/>
          <w:sz w:val="24"/>
          <w:szCs w:val="24"/>
          <w:lang w:val="zh-CN"/>
        </w:rPr>
        <w:t>日期：  年  月   日</w:t>
      </w:r>
    </w:p>
    <w:p w14:paraId="54C913D9">
      <w:pPr>
        <w:snapToGrid w:val="0"/>
        <w:spacing w:line="360" w:lineRule="auto"/>
        <w:ind w:firstLine="602" w:firstLineChars="200"/>
        <w:rPr>
          <w:rFonts w:hint="eastAsia" w:ascii="仿宋" w:hAnsi="仿宋" w:eastAsia="仿宋" w:cs="仿宋_GB2312"/>
          <w:b/>
          <w:sz w:val="30"/>
          <w:szCs w:val="30"/>
        </w:rPr>
      </w:pPr>
      <w:r>
        <w:rPr>
          <w:rFonts w:hint="eastAsia" w:ascii="仿宋" w:hAnsi="仿宋" w:eastAsia="仿宋" w:cs="仿宋_GB2312"/>
          <w:b/>
          <w:sz w:val="30"/>
          <w:szCs w:val="30"/>
        </w:rPr>
        <w:t>十、项目实施人员一览表（如有要求）</w:t>
      </w:r>
    </w:p>
    <w:p w14:paraId="6E87759A">
      <w:pPr>
        <w:spacing w:line="360" w:lineRule="auto"/>
        <w:jc w:val="center"/>
        <w:rPr>
          <w:rFonts w:hint="eastAsia" w:ascii="仿宋_GB2312" w:hAnsi="仿宋" w:eastAsia="仿宋_GB2312" w:cs="仿宋_GB2312"/>
          <w:b/>
          <w:bCs/>
          <w:sz w:val="24"/>
        </w:rPr>
      </w:pPr>
      <w:r>
        <w:rPr>
          <w:rFonts w:hint="eastAsia" w:ascii="仿宋_GB2312" w:hAnsi="仿宋" w:eastAsia="仿宋_GB2312" w:cs="仿宋_GB2312"/>
          <w:sz w:val="24"/>
          <w:szCs w:val="24"/>
        </w:rPr>
        <w:t>（由供应商根据采购需求及采购文件要求编制）</w:t>
      </w:r>
    </w:p>
    <w:p w14:paraId="755B6CE7">
      <w:pPr>
        <w:autoSpaceDE w:val="0"/>
        <w:autoSpaceDN w:val="0"/>
        <w:spacing w:line="360" w:lineRule="auto"/>
        <w:ind w:firstLine="6505" w:firstLineChars="2700"/>
        <w:rPr>
          <w:rFonts w:hint="eastAsia" w:ascii="仿宋_GB2312" w:hAnsi="仿宋" w:eastAsia="仿宋_GB2312" w:cs="仿宋_GB2312"/>
          <w:b/>
          <w:bCs/>
          <w:sz w:val="24"/>
          <w:szCs w:val="24"/>
        </w:rPr>
      </w:pPr>
    </w:p>
    <w:p w14:paraId="7F421E4C">
      <w:pPr>
        <w:autoSpaceDE w:val="0"/>
        <w:autoSpaceDN w:val="0"/>
        <w:spacing w:line="360" w:lineRule="auto"/>
        <w:ind w:left="4335" w:leftChars="1950" w:hanging="240" w:hangingChars="100"/>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供应商名称（电子签章）：</w:t>
      </w:r>
    </w:p>
    <w:p w14:paraId="3E2B3D2E">
      <w:pPr>
        <w:autoSpaceDE w:val="0"/>
        <w:autoSpaceDN w:val="0"/>
        <w:spacing w:line="360" w:lineRule="auto"/>
        <w:ind w:firstLine="6480" w:firstLineChars="2700"/>
        <w:rPr>
          <w:rFonts w:hint="eastAsia" w:ascii="仿宋_GB2312" w:hAnsi="仿宋" w:eastAsia="仿宋_GB2312" w:cs="仿宋_GB2312"/>
          <w:kern w:val="0"/>
          <w:sz w:val="24"/>
          <w:szCs w:val="24"/>
          <w:lang w:val="zh-CN"/>
        </w:rPr>
      </w:pPr>
      <w:r>
        <w:rPr>
          <w:rFonts w:hint="eastAsia" w:ascii="仿宋_GB2312" w:hAnsi="仿宋" w:eastAsia="仿宋_GB2312" w:cs="仿宋_GB2312"/>
          <w:kern w:val="0"/>
          <w:sz w:val="24"/>
          <w:szCs w:val="24"/>
          <w:lang w:val="zh-CN"/>
        </w:rPr>
        <w:t>日期：  年  月   日</w:t>
      </w:r>
    </w:p>
    <w:p w14:paraId="52E6982E">
      <w:pPr>
        <w:spacing w:line="500" w:lineRule="exact"/>
        <w:rPr>
          <w:rFonts w:hint="eastAsia" w:ascii="仿宋_GB2312" w:hAnsi="仿宋_GB2312" w:eastAsia="仿宋_GB2312" w:cs="仿宋_GB2312"/>
          <w:sz w:val="32"/>
          <w:szCs w:val="32"/>
        </w:rPr>
      </w:pPr>
    </w:p>
    <w:p w14:paraId="15649A96">
      <w:pPr>
        <w:snapToGrid w:val="0"/>
        <w:spacing w:line="360" w:lineRule="auto"/>
        <w:ind w:firstLine="602" w:firstLineChars="200"/>
        <w:rPr>
          <w:rFonts w:hint="eastAsia" w:ascii="仿宋" w:hAnsi="仿宋" w:eastAsia="仿宋" w:cs="仿宋_GB2312"/>
          <w:b/>
          <w:sz w:val="30"/>
          <w:szCs w:val="30"/>
        </w:rPr>
      </w:pPr>
      <w:r>
        <w:rPr>
          <w:rFonts w:hint="eastAsia" w:ascii="仿宋" w:hAnsi="仿宋" w:eastAsia="仿宋" w:cs="仿宋_GB2312"/>
          <w:b/>
          <w:sz w:val="30"/>
          <w:szCs w:val="30"/>
        </w:rPr>
        <w:t>十一、货物需求、商务条款要求提供的其他材料</w:t>
      </w:r>
    </w:p>
    <w:p w14:paraId="60AD5271">
      <w:pPr>
        <w:spacing w:line="360" w:lineRule="auto"/>
        <w:jc w:val="center"/>
        <w:rPr>
          <w:rFonts w:hint="eastAsia" w:ascii="仿宋_GB2312" w:hAnsi="仿宋" w:eastAsia="仿宋_GB2312" w:cs="仿宋_GB2312"/>
          <w:b/>
          <w:bCs/>
          <w:sz w:val="24"/>
        </w:rPr>
      </w:pPr>
      <w:r>
        <w:rPr>
          <w:rFonts w:hint="eastAsia" w:ascii="仿宋_GB2312" w:hAnsi="仿宋" w:eastAsia="仿宋_GB2312" w:cs="仿宋_GB2312"/>
          <w:sz w:val="24"/>
          <w:szCs w:val="24"/>
        </w:rPr>
        <w:t>（由供应商根据采购需求及采购文件要求编制）</w:t>
      </w:r>
    </w:p>
    <w:p w14:paraId="1FF065B9">
      <w:pPr>
        <w:autoSpaceDE w:val="0"/>
        <w:autoSpaceDN w:val="0"/>
        <w:spacing w:line="360" w:lineRule="auto"/>
        <w:ind w:left="4335" w:leftChars="1950" w:hanging="240" w:hangingChars="100"/>
        <w:rPr>
          <w:rFonts w:hint="eastAsia" w:ascii="仿宋_GB2312" w:hAnsi="仿宋" w:eastAsia="仿宋_GB2312" w:cs="仿宋_GB2312"/>
          <w:kern w:val="0"/>
          <w:sz w:val="24"/>
          <w:szCs w:val="24"/>
        </w:rPr>
      </w:pPr>
    </w:p>
    <w:p w14:paraId="41D67B4A">
      <w:pPr>
        <w:autoSpaceDE w:val="0"/>
        <w:autoSpaceDN w:val="0"/>
        <w:spacing w:line="360" w:lineRule="auto"/>
        <w:ind w:left="4335" w:leftChars="1950" w:hanging="240" w:hangingChars="100"/>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供应商名称（电子签章）：</w:t>
      </w:r>
    </w:p>
    <w:p w14:paraId="6F7FC83D">
      <w:pPr>
        <w:autoSpaceDE w:val="0"/>
        <w:autoSpaceDN w:val="0"/>
        <w:spacing w:line="360" w:lineRule="auto"/>
        <w:ind w:firstLine="6480" w:firstLineChars="2700"/>
        <w:rPr>
          <w:rFonts w:hint="eastAsia" w:ascii="仿宋_GB2312" w:hAnsi="仿宋" w:eastAsia="仿宋_GB2312" w:cs="仿宋_GB2312"/>
          <w:kern w:val="0"/>
          <w:sz w:val="24"/>
          <w:szCs w:val="24"/>
          <w:lang w:val="zh-CN"/>
        </w:rPr>
      </w:pPr>
      <w:r>
        <w:rPr>
          <w:rFonts w:hint="eastAsia" w:ascii="仿宋_GB2312" w:hAnsi="仿宋" w:eastAsia="仿宋_GB2312" w:cs="仿宋_GB2312"/>
          <w:kern w:val="0"/>
          <w:sz w:val="24"/>
          <w:szCs w:val="24"/>
          <w:lang w:val="zh-CN"/>
        </w:rPr>
        <w:t>日期：  年  月   日</w:t>
      </w:r>
    </w:p>
    <w:p w14:paraId="0614324D">
      <w:pPr>
        <w:snapToGrid w:val="0"/>
        <w:spacing w:line="360" w:lineRule="auto"/>
        <w:ind w:firstLine="602" w:firstLineChars="200"/>
        <w:rPr>
          <w:rFonts w:hint="eastAsia" w:ascii="仿宋" w:hAnsi="仿宋" w:eastAsia="仿宋" w:cs="仿宋_GB2312"/>
          <w:b/>
          <w:sz w:val="30"/>
          <w:szCs w:val="30"/>
        </w:rPr>
      </w:pPr>
    </w:p>
    <w:p w14:paraId="75570479">
      <w:pPr>
        <w:widowControl/>
        <w:jc w:val="left"/>
        <w:rPr>
          <w:rFonts w:ascii="仿宋_GB2312" w:hAnsi="仿宋_GB2312" w:eastAsia="仿宋_GB2312" w:cs="仿宋_GB2312"/>
          <w:kern w:val="0"/>
          <w:sz w:val="32"/>
          <w:szCs w:val="32"/>
        </w:rPr>
        <w:sectPr>
          <w:pgSz w:w="11910" w:h="16840"/>
          <w:pgMar w:top="1340" w:right="1500" w:bottom="280" w:left="1680" w:header="720" w:footer="720" w:gutter="0"/>
          <w:pgBorders>
            <w:top w:val="none" w:sz="0" w:space="0"/>
            <w:left w:val="none" w:sz="0" w:space="0"/>
            <w:bottom w:val="none" w:sz="0" w:space="0"/>
            <w:right w:val="none" w:sz="0" w:space="0"/>
          </w:pgBorders>
          <w:pgNumType w:fmt="decimal"/>
          <w:cols w:space="720" w:num="1"/>
        </w:sectPr>
      </w:pPr>
    </w:p>
    <w:p w14:paraId="24B9C082">
      <w:pPr>
        <w:adjustRightInd w:val="0"/>
        <w:snapToGrid w:val="0"/>
        <w:spacing w:line="300" w:lineRule="auto"/>
        <w:rPr>
          <w:rFonts w:hint="eastAsia" w:ascii="宋体" w:hAnsi="宋体" w:eastAsia="等线"/>
          <w:color w:val="000000"/>
          <w:szCs w:val="21"/>
          <w:u w:val="single"/>
        </w:rPr>
      </w:pPr>
    </w:p>
    <w:p w14:paraId="6E0C068D">
      <w:pPr>
        <w:spacing w:before="260" w:after="260" w:line="410" w:lineRule="auto"/>
        <w:jc w:val="center"/>
        <w:outlineLvl w:val="1"/>
        <w:rPr>
          <w:rFonts w:hint="eastAsia" w:ascii="宋体" w:hAnsi="宋体"/>
          <w:b/>
          <w:bCs/>
          <w:sz w:val="32"/>
          <w:szCs w:val="32"/>
        </w:rPr>
      </w:pPr>
      <w:bookmarkStart w:id="55" w:name="_Toc179528722"/>
      <w:r>
        <w:rPr>
          <w:rFonts w:hint="eastAsia" w:ascii="宋体" w:hAnsi="宋体"/>
          <w:b/>
          <w:bCs/>
          <w:sz w:val="32"/>
          <w:szCs w:val="32"/>
        </w:rPr>
        <w:t>第四节 报价文件格式</w:t>
      </w:r>
      <w:bookmarkEnd w:id="55"/>
    </w:p>
    <w:p w14:paraId="302910F3">
      <w:pPr>
        <w:snapToGrid w:val="0"/>
        <w:spacing w:before="165" w:beforeLines="50" w:after="50"/>
        <w:rPr>
          <w:rFonts w:hint="eastAsia" w:ascii="宋体" w:hAnsi="宋体" w:eastAsia="等线"/>
          <w:bCs/>
          <w:sz w:val="32"/>
          <w:szCs w:val="20"/>
        </w:rPr>
      </w:pPr>
      <w:r>
        <w:rPr>
          <w:rFonts w:hint="eastAsia" w:ascii="宋体" w:hAnsi="宋体"/>
          <w:sz w:val="24"/>
          <w:szCs w:val="24"/>
        </w:rPr>
        <w:t xml:space="preserve">                                                    </w:t>
      </w:r>
      <w:r>
        <w:rPr>
          <w:rFonts w:hint="eastAsia" w:ascii="宋体" w:hAnsi="宋体"/>
          <w:bCs/>
          <w:szCs w:val="24"/>
        </w:rPr>
        <w:t>全流程电子文件</w:t>
      </w:r>
    </w:p>
    <w:p w14:paraId="0FEC36DA">
      <w:pPr>
        <w:snapToGrid w:val="0"/>
        <w:spacing w:before="165" w:beforeLines="50" w:after="50"/>
        <w:rPr>
          <w:rFonts w:hint="eastAsia" w:ascii="宋体" w:hAnsi="宋体"/>
          <w:sz w:val="24"/>
          <w:szCs w:val="20"/>
        </w:rPr>
      </w:pPr>
    </w:p>
    <w:p w14:paraId="0729DF84">
      <w:pPr>
        <w:snapToGrid w:val="0"/>
        <w:spacing w:before="165" w:beforeLines="50" w:after="50"/>
        <w:rPr>
          <w:rFonts w:hint="eastAsia" w:ascii="宋体" w:hAnsi="宋体"/>
          <w:sz w:val="24"/>
          <w:szCs w:val="20"/>
        </w:rPr>
      </w:pPr>
    </w:p>
    <w:p w14:paraId="11A6A1E7">
      <w:pPr>
        <w:snapToGrid w:val="0"/>
        <w:spacing w:before="165" w:beforeLines="50" w:after="50"/>
        <w:rPr>
          <w:rFonts w:hint="eastAsia" w:ascii="宋体" w:hAnsi="宋体"/>
          <w:sz w:val="24"/>
          <w:szCs w:val="20"/>
        </w:rPr>
      </w:pPr>
    </w:p>
    <w:p w14:paraId="423401E2">
      <w:pPr>
        <w:snapToGrid w:val="0"/>
        <w:spacing w:before="165" w:beforeLines="50" w:after="5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报  价  文  件（封面）</w:t>
      </w:r>
    </w:p>
    <w:p w14:paraId="57893FC0">
      <w:pPr>
        <w:snapToGrid w:val="0"/>
        <w:spacing w:before="165" w:beforeLines="50" w:after="50"/>
        <w:rPr>
          <w:rFonts w:hint="eastAsia" w:ascii="宋体" w:hAnsi="宋体" w:eastAsia="等线"/>
          <w:bCs/>
          <w:sz w:val="24"/>
          <w:szCs w:val="20"/>
        </w:rPr>
      </w:pPr>
    </w:p>
    <w:p w14:paraId="29108EC1">
      <w:pPr>
        <w:snapToGrid w:val="0"/>
        <w:spacing w:before="165" w:beforeLines="50" w:after="50"/>
        <w:rPr>
          <w:rFonts w:hint="eastAsia" w:ascii="宋体" w:hAnsi="宋体"/>
          <w:bCs/>
          <w:sz w:val="24"/>
          <w:szCs w:val="20"/>
        </w:rPr>
      </w:pPr>
    </w:p>
    <w:p w14:paraId="73D6F1AA">
      <w:pPr>
        <w:snapToGrid w:val="0"/>
        <w:spacing w:before="165" w:beforeLines="50" w:after="50"/>
        <w:rPr>
          <w:rFonts w:hint="eastAsia" w:ascii="宋体" w:hAnsi="宋体"/>
          <w:bCs/>
          <w:sz w:val="24"/>
          <w:szCs w:val="20"/>
        </w:rPr>
      </w:pPr>
    </w:p>
    <w:p w14:paraId="0BCB6409">
      <w:pPr>
        <w:snapToGrid w:val="0"/>
        <w:spacing w:before="165" w:beforeLines="50" w:after="50"/>
        <w:rPr>
          <w:rFonts w:hint="eastAsia" w:ascii="宋体" w:hAnsi="宋体"/>
          <w:bCs/>
          <w:sz w:val="24"/>
          <w:szCs w:val="20"/>
        </w:rPr>
      </w:pPr>
    </w:p>
    <w:p w14:paraId="7AA8F54C">
      <w:pPr>
        <w:snapToGrid w:val="0"/>
        <w:spacing w:before="165" w:beforeLines="50" w:after="50"/>
        <w:rPr>
          <w:rFonts w:hint="eastAsia" w:ascii="宋体" w:hAnsi="宋体"/>
          <w:bCs/>
          <w:sz w:val="24"/>
          <w:szCs w:val="20"/>
        </w:rPr>
      </w:pPr>
    </w:p>
    <w:p w14:paraId="26996781">
      <w:pPr>
        <w:snapToGrid w:val="0"/>
        <w:spacing w:before="165" w:beforeLines="50" w:after="50"/>
        <w:ind w:firstLine="640" w:firstLineChars="200"/>
        <w:rPr>
          <w:rFonts w:hint="eastAsia" w:ascii="宋体" w:hAnsi="宋体" w:eastAsia="宋体" w:cs="仿宋_GB2312"/>
          <w:bCs/>
          <w:sz w:val="32"/>
          <w:szCs w:val="32"/>
          <w:lang w:eastAsia="zh-CN"/>
        </w:rPr>
      </w:pPr>
      <w:r>
        <w:rPr>
          <w:rFonts w:hint="eastAsia" w:ascii="宋体" w:hAnsi="宋体" w:cs="仿宋_GB2312"/>
          <w:bCs/>
          <w:sz w:val="32"/>
          <w:szCs w:val="32"/>
        </w:rPr>
        <w:t>项目名称：</w:t>
      </w:r>
      <w:r>
        <w:rPr>
          <w:rFonts w:hint="eastAsia" w:ascii="宋体" w:hAnsi="宋体" w:cs="仿宋_GB2312"/>
          <w:bCs/>
          <w:sz w:val="32"/>
          <w:szCs w:val="32"/>
          <w:lang w:eastAsia="zh-CN"/>
        </w:rPr>
        <w:t>2026年上林县幼儿园设备采购项目（重）</w:t>
      </w:r>
    </w:p>
    <w:p w14:paraId="69712B6D">
      <w:pPr>
        <w:snapToGrid w:val="0"/>
        <w:spacing w:before="165" w:beforeLines="50" w:after="50"/>
        <w:ind w:firstLine="720" w:firstLineChars="225"/>
        <w:rPr>
          <w:rFonts w:hint="eastAsia" w:ascii="宋体" w:hAnsi="宋体" w:cs="仿宋_GB2312"/>
          <w:bCs/>
          <w:sz w:val="32"/>
          <w:szCs w:val="32"/>
        </w:rPr>
      </w:pPr>
    </w:p>
    <w:p w14:paraId="2F05CF37">
      <w:pPr>
        <w:snapToGrid w:val="0"/>
        <w:spacing w:before="165" w:beforeLines="50" w:after="50"/>
        <w:ind w:firstLine="640" w:firstLineChars="200"/>
        <w:rPr>
          <w:rFonts w:hint="eastAsia" w:ascii="宋体" w:hAnsi="宋体" w:eastAsia="宋体" w:cs="仿宋_GB2312"/>
          <w:bCs/>
          <w:sz w:val="32"/>
          <w:szCs w:val="32"/>
          <w:lang w:eastAsia="zh-CN"/>
        </w:rPr>
      </w:pPr>
      <w:r>
        <w:rPr>
          <w:rFonts w:hint="eastAsia" w:ascii="宋体" w:hAnsi="宋体" w:cs="仿宋_GB2312"/>
          <w:bCs/>
          <w:sz w:val="32"/>
          <w:szCs w:val="32"/>
        </w:rPr>
        <w:t>项目编号：</w:t>
      </w:r>
      <w:r>
        <w:rPr>
          <w:rFonts w:hint="eastAsia" w:ascii="宋体" w:hAnsi="宋体" w:cs="仿宋_GB2312"/>
          <w:bCs/>
          <w:sz w:val="32"/>
          <w:szCs w:val="32"/>
          <w:lang w:eastAsia="zh-CN"/>
        </w:rPr>
        <w:t xml:space="preserve"> NNZC2026-J1-250095-SLXZ</w:t>
      </w:r>
    </w:p>
    <w:p w14:paraId="76B66AA7">
      <w:pPr>
        <w:snapToGrid w:val="0"/>
        <w:spacing w:before="165" w:beforeLines="50" w:after="50"/>
        <w:ind w:firstLine="720" w:firstLineChars="225"/>
        <w:rPr>
          <w:rFonts w:hint="eastAsia" w:ascii="宋体" w:hAnsi="宋体" w:cs="仿宋_GB2312"/>
          <w:bCs/>
          <w:sz w:val="32"/>
          <w:szCs w:val="32"/>
        </w:rPr>
      </w:pPr>
      <w:r>
        <w:rPr>
          <w:rFonts w:hint="eastAsia" w:ascii="宋体" w:hAnsi="宋体" w:cs="仿宋_GB2312"/>
          <w:bCs/>
          <w:sz w:val="32"/>
          <w:szCs w:val="32"/>
        </w:rPr>
        <w:t xml:space="preserve"> </w:t>
      </w:r>
    </w:p>
    <w:p w14:paraId="3B46F4C4">
      <w:pPr>
        <w:snapToGrid w:val="0"/>
        <w:spacing w:before="165" w:beforeLines="50" w:after="50"/>
        <w:ind w:firstLine="640" w:firstLineChars="200"/>
        <w:rPr>
          <w:rFonts w:hint="eastAsia" w:ascii="宋体" w:hAnsi="宋体" w:cs="仿宋_GB2312"/>
          <w:bCs/>
          <w:sz w:val="32"/>
          <w:szCs w:val="32"/>
        </w:rPr>
      </w:pPr>
      <w:r>
        <w:rPr>
          <w:rFonts w:hint="eastAsia" w:ascii="宋体" w:hAnsi="宋体" w:cs="仿宋_GB2312"/>
          <w:bCs/>
          <w:sz w:val="32"/>
          <w:szCs w:val="32"/>
        </w:rPr>
        <w:t>所竞分标（如有则填写，无分标时填写“无”或者留空）：</w:t>
      </w:r>
    </w:p>
    <w:p w14:paraId="75F94CF8">
      <w:pPr>
        <w:snapToGrid w:val="0"/>
        <w:spacing w:before="165" w:beforeLines="50" w:after="50"/>
        <w:ind w:firstLine="720" w:firstLineChars="225"/>
        <w:rPr>
          <w:rFonts w:hint="eastAsia" w:ascii="宋体" w:hAnsi="宋体" w:cs="仿宋_GB2312"/>
          <w:bCs/>
          <w:sz w:val="32"/>
          <w:szCs w:val="32"/>
        </w:rPr>
      </w:pPr>
    </w:p>
    <w:p w14:paraId="3F29CA50">
      <w:pPr>
        <w:snapToGrid w:val="0"/>
        <w:spacing w:before="50" w:after="50"/>
        <w:ind w:firstLine="640" w:firstLineChars="200"/>
        <w:rPr>
          <w:rFonts w:hint="eastAsia" w:ascii="宋体" w:hAnsi="宋体" w:cs="仿宋_GB2312"/>
          <w:bCs/>
          <w:sz w:val="32"/>
          <w:szCs w:val="32"/>
        </w:rPr>
      </w:pPr>
      <w:r>
        <w:rPr>
          <w:rFonts w:hint="eastAsia" w:ascii="宋体" w:hAnsi="宋体" w:cs="仿宋_GB2312"/>
          <w:bCs/>
          <w:sz w:val="32"/>
          <w:szCs w:val="32"/>
        </w:rPr>
        <w:t>供应商名称：</w:t>
      </w:r>
    </w:p>
    <w:p w14:paraId="59089956">
      <w:pPr>
        <w:snapToGrid w:val="0"/>
        <w:spacing w:before="50" w:after="50"/>
        <w:ind w:firstLine="720" w:firstLineChars="225"/>
        <w:rPr>
          <w:rFonts w:hint="eastAsia" w:ascii="宋体" w:hAnsi="宋体" w:cs="仿宋_GB2312"/>
          <w:bCs/>
          <w:sz w:val="32"/>
          <w:szCs w:val="32"/>
        </w:rPr>
      </w:pPr>
    </w:p>
    <w:p w14:paraId="196903B2">
      <w:pPr>
        <w:snapToGrid w:val="0"/>
        <w:spacing w:before="50" w:after="50"/>
        <w:ind w:firstLine="720" w:firstLineChars="225"/>
        <w:rPr>
          <w:rFonts w:hint="eastAsia" w:ascii="宋体" w:hAnsi="宋体" w:cs="仿宋_GB2312"/>
          <w:bCs/>
          <w:sz w:val="32"/>
          <w:szCs w:val="32"/>
        </w:rPr>
      </w:pPr>
    </w:p>
    <w:p w14:paraId="0F7B95A9">
      <w:pPr>
        <w:snapToGrid w:val="0"/>
        <w:spacing w:before="50" w:after="50"/>
        <w:ind w:firstLine="1280" w:firstLineChars="400"/>
        <w:rPr>
          <w:rFonts w:hint="eastAsia" w:ascii="宋体" w:hAnsi="宋体" w:cs="仿宋_GB2312"/>
          <w:bCs/>
          <w:sz w:val="32"/>
          <w:szCs w:val="32"/>
        </w:rPr>
      </w:pPr>
    </w:p>
    <w:p w14:paraId="2C5F909E">
      <w:pPr>
        <w:snapToGrid w:val="0"/>
        <w:spacing w:before="165" w:beforeLines="50" w:after="50"/>
        <w:jc w:val="center"/>
        <w:rPr>
          <w:rFonts w:hint="eastAsia" w:ascii="宋体" w:hAnsi="宋体" w:cs="仿宋_GB2312"/>
          <w:sz w:val="32"/>
          <w:szCs w:val="32"/>
        </w:rPr>
      </w:pPr>
      <w:r>
        <w:rPr>
          <w:rFonts w:hint="eastAsia" w:ascii="宋体" w:hAnsi="宋体" w:cs="仿宋_GB2312"/>
          <w:sz w:val="32"/>
          <w:szCs w:val="32"/>
        </w:rPr>
        <w:t>年    月    日</w:t>
      </w:r>
    </w:p>
    <w:p w14:paraId="57F8D844">
      <w:pPr>
        <w:snapToGrid w:val="0"/>
        <w:spacing w:before="165" w:beforeLines="50" w:after="50" w:line="400" w:lineRule="exact"/>
        <w:jc w:val="center"/>
        <w:rPr>
          <w:rFonts w:hint="eastAsia" w:ascii="宋体" w:hAnsi="宋体"/>
          <w:b/>
          <w:bCs/>
          <w:color w:val="000000"/>
          <w:sz w:val="32"/>
          <w:szCs w:val="32"/>
        </w:rPr>
      </w:pPr>
      <w:r>
        <w:rPr>
          <w:rFonts w:hint="eastAsia" w:ascii="宋体" w:hAnsi="宋体"/>
          <w:kern w:val="0"/>
          <w:sz w:val="24"/>
          <w:szCs w:val="24"/>
        </w:rPr>
        <w:br w:type="page"/>
      </w:r>
      <w:r>
        <w:rPr>
          <w:rFonts w:hint="eastAsia" w:ascii="宋体" w:hAnsi="宋体"/>
          <w:b/>
          <w:bCs/>
          <w:color w:val="000000"/>
          <w:sz w:val="32"/>
          <w:szCs w:val="32"/>
        </w:rPr>
        <w:t>报价文件目录</w:t>
      </w:r>
    </w:p>
    <w:p w14:paraId="2B48DD1A">
      <w:pPr>
        <w:rPr>
          <w:rFonts w:hint="eastAsia" w:ascii="宋体" w:hAnsi="宋体" w:cs="宋体"/>
        </w:rPr>
      </w:pPr>
    </w:p>
    <w:p w14:paraId="0E610263">
      <w:pPr>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一、响应函………………………………………………………（页码）</w:t>
      </w:r>
    </w:p>
    <w:p w14:paraId="0CE2B700">
      <w:pPr>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二、响应报价表…………………………………………………（页码）</w:t>
      </w:r>
    </w:p>
    <w:p w14:paraId="354112E8">
      <w:pPr>
        <w:spacing w:line="360" w:lineRule="auto"/>
        <w:rPr>
          <w:rFonts w:hint="eastAsia" w:ascii="仿宋_GB2312" w:hAnsi="仿宋" w:eastAsia="仿宋_GB2312" w:cs="仿宋_GB2312"/>
          <w:color w:val="auto"/>
          <w:kern w:val="0"/>
          <w:sz w:val="24"/>
          <w:szCs w:val="24"/>
        </w:rPr>
      </w:pPr>
      <w:bookmarkStart w:id="56" w:name="OLE_LINK70"/>
      <w:r>
        <w:rPr>
          <w:rFonts w:hint="eastAsia" w:ascii="仿宋_GB2312" w:hAnsi="仿宋" w:eastAsia="仿宋_GB2312" w:cs="仿宋_GB2312"/>
          <w:color w:val="auto"/>
          <w:kern w:val="0"/>
          <w:sz w:val="24"/>
          <w:szCs w:val="24"/>
          <w:lang w:eastAsia="zh-CN"/>
        </w:rPr>
        <w:t>三</w:t>
      </w:r>
      <w:r>
        <w:rPr>
          <w:rFonts w:hint="eastAsia" w:ascii="仿宋_GB2312" w:hAnsi="仿宋" w:eastAsia="仿宋_GB2312" w:cs="仿宋_GB2312"/>
          <w:color w:val="auto"/>
          <w:kern w:val="0"/>
          <w:sz w:val="24"/>
          <w:szCs w:val="24"/>
        </w:rPr>
        <w:t>、关于符合本国产品标准的声明函………………………（页码）</w:t>
      </w:r>
    </w:p>
    <w:p w14:paraId="305D358E">
      <w:pPr>
        <w:pStyle w:val="9"/>
        <w:rPr>
          <w:rFonts w:hint="eastAsia" w:ascii="仿宋_GB2312" w:hAnsi="仿宋" w:eastAsia="仿宋_GB2312" w:cs="仿宋_GB2312"/>
          <w:color w:val="auto"/>
        </w:rPr>
      </w:pPr>
      <w:r>
        <w:rPr>
          <w:rFonts w:hint="eastAsia" w:ascii="仿宋_GB2312" w:hAnsi="仿宋" w:eastAsia="仿宋_GB2312" w:cs="仿宋_GB2312"/>
          <w:color w:val="auto"/>
          <w:lang w:eastAsia="zh-CN"/>
        </w:rPr>
        <w:t>四</w:t>
      </w:r>
      <w:r>
        <w:rPr>
          <w:rFonts w:hint="eastAsia" w:ascii="仿宋_GB2312" w:hAnsi="仿宋" w:eastAsia="仿宋_GB2312" w:cs="仿宋_GB2312"/>
          <w:color w:val="auto"/>
        </w:rPr>
        <w:t>、关于符合本国产品标准的成本占比承诺函…………（页码）</w:t>
      </w:r>
    </w:p>
    <w:p w14:paraId="55ACF722">
      <w:pPr>
        <w:pStyle w:val="9"/>
        <w:rPr>
          <w:rFonts w:ascii="宋体" w:hAnsi="宋体"/>
          <w:b/>
          <w:color w:val="auto"/>
          <w:sz w:val="32"/>
          <w:szCs w:val="32"/>
        </w:rPr>
      </w:pPr>
    </w:p>
    <w:p w14:paraId="447453B8">
      <w:pPr>
        <w:spacing w:line="360" w:lineRule="auto"/>
        <w:rPr>
          <w:rFonts w:ascii="仿宋_GB2312" w:hAnsi="仿宋" w:eastAsia="仿宋_GB2312" w:cs="仿宋_GB2312"/>
          <w:kern w:val="0"/>
          <w:sz w:val="24"/>
          <w:szCs w:val="24"/>
        </w:rPr>
      </w:pPr>
    </w:p>
    <w:bookmarkEnd w:id="56"/>
    <w:p w14:paraId="7B979134">
      <w:pPr>
        <w:spacing w:line="360" w:lineRule="auto"/>
        <w:rPr>
          <w:rFonts w:hint="eastAsia" w:ascii="仿宋_GB2312" w:hAnsi="仿宋" w:eastAsia="仿宋_GB2312" w:cs="仿宋_GB2312"/>
          <w:kern w:val="0"/>
          <w:sz w:val="24"/>
          <w:szCs w:val="24"/>
        </w:rPr>
      </w:pPr>
    </w:p>
    <w:p w14:paraId="0BA6CF9A">
      <w:pPr>
        <w:snapToGrid w:val="0"/>
        <w:spacing w:before="165" w:beforeLines="50" w:after="50" w:line="360" w:lineRule="auto"/>
        <w:ind w:left="142" w:firstLine="640" w:firstLineChars="200"/>
        <w:jc w:val="left"/>
        <w:rPr>
          <w:rFonts w:hint="eastAsia" w:ascii="仿宋_GB2312" w:hAnsi="仿宋_GB2312" w:eastAsia="仿宋_GB2312" w:cs="仿宋_GB2312"/>
          <w:sz w:val="32"/>
          <w:szCs w:val="32"/>
        </w:rPr>
      </w:pPr>
    </w:p>
    <w:p w14:paraId="471FE559">
      <w:pPr>
        <w:spacing w:line="500" w:lineRule="exact"/>
        <w:ind w:firstLine="480" w:firstLineChars="200"/>
        <w:rPr>
          <w:rFonts w:hint="eastAsia" w:ascii="等线" w:hAnsi="宋体" w:eastAsia="等线" w:cs="仿宋_GB2312"/>
          <w:sz w:val="24"/>
        </w:rPr>
      </w:pPr>
      <w:r>
        <w:rPr>
          <w:rFonts w:hAnsi="宋体" w:cs="仿宋_GB2312"/>
          <w:kern w:val="0"/>
          <w:sz w:val="24"/>
          <w:szCs w:val="24"/>
        </w:rPr>
        <w:br w:type="page"/>
      </w:r>
      <w:r>
        <w:rPr>
          <w:rFonts w:hint="eastAsia" w:ascii="仿宋" w:hAnsi="仿宋" w:eastAsia="仿宋" w:cs="仿宋_GB2312"/>
          <w:b/>
          <w:sz w:val="30"/>
          <w:szCs w:val="30"/>
        </w:rPr>
        <w:t>一、响应函</w:t>
      </w:r>
    </w:p>
    <w:p w14:paraId="6EB918F6">
      <w:pPr>
        <w:spacing w:line="500" w:lineRule="exact"/>
        <w:ind w:firstLine="602"/>
        <w:jc w:val="center"/>
        <w:rPr>
          <w:rFonts w:hint="eastAsia" w:ascii="Times New Roman" w:hAnsi="Times New Roman"/>
          <w:b/>
          <w:bCs/>
          <w:sz w:val="30"/>
          <w:szCs w:val="30"/>
        </w:rPr>
      </w:pPr>
      <w:r>
        <w:rPr>
          <w:rFonts w:hint="eastAsia" w:ascii="Times New Roman" w:hAnsi="Times New Roman"/>
          <w:b/>
          <w:bCs/>
          <w:sz w:val="30"/>
          <w:szCs w:val="30"/>
        </w:rPr>
        <w:t>响应函</w:t>
      </w:r>
    </w:p>
    <w:p w14:paraId="639F4EE7">
      <w:pPr>
        <w:spacing w:line="360" w:lineRule="auto"/>
        <w:rPr>
          <w:rFonts w:hint="eastAsia" w:ascii="Times New Roman" w:hAnsi="Times New Roman" w:eastAsia="宋体"/>
          <w:lang w:eastAsia="zh-CN"/>
        </w:rPr>
      </w:pPr>
      <w:r>
        <w:rPr>
          <w:rFonts w:hint="eastAsia" w:ascii="Times New Roman" w:hAnsi="Times New Roman"/>
          <w:szCs w:val="24"/>
        </w:rPr>
        <w:t>致：</w:t>
      </w:r>
      <w:r>
        <w:rPr>
          <w:rFonts w:ascii="Times New Roman" w:hAnsi="Times New Roman"/>
          <w:szCs w:val="24"/>
          <w:u w:val="single"/>
        </w:rPr>
        <w:t xml:space="preserve"> </w:t>
      </w:r>
      <w:r>
        <w:rPr>
          <w:rFonts w:hint="eastAsia" w:ascii="Times New Roman" w:hAnsi="Times New Roman"/>
          <w:szCs w:val="24"/>
          <w:u w:val="single"/>
          <w:lang w:eastAsia="zh-CN"/>
        </w:rPr>
        <w:t>上林县政府集中采购中心</w:t>
      </w:r>
    </w:p>
    <w:p w14:paraId="6FFF8DF7">
      <w:pPr>
        <w:spacing w:line="360" w:lineRule="auto"/>
        <w:ind w:firstLine="420" w:firstLineChars="200"/>
        <w:rPr>
          <w:rFonts w:ascii="Times New Roman" w:hAnsi="Times New Roman"/>
          <w:szCs w:val="24"/>
        </w:rPr>
      </w:pPr>
      <w:r>
        <w:rPr>
          <w:rFonts w:hint="eastAsia"/>
          <w:szCs w:val="24"/>
        </w:rPr>
        <w:t>我方已仔细阅读了贵方组织的</w:t>
      </w:r>
      <w:r>
        <w:rPr>
          <w:rFonts w:hint="eastAsia"/>
          <w:szCs w:val="24"/>
          <w:u w:val="single"/>
          <w:lang w:eastAsia="zh-CN"/>
        </w:rPr>
        <w:t>2026年上林县幼儿园设备采购项目（重）</w:t>
      </w:r>
      <w:r>
        <w:rPr>
          <w:szCs w:val="24"/>
          <w:u w:val="single"/>
        </w:rPr>
        <w:t xml:space="preserve"> </w:t>
      </w:r>
      <w:r>
        <w:rPr>
          <w:rFonts w:hint="eastAsia"/>
          <w:szCs w:val="24"/>
        </w:rPr>
        <w:t>项目（项目编号：</w:t>
      </w:r>
      <w:r>
        <w:rPr>
          <w:rFonts w:hint="eastAsia" w:hAnsi="宋体"/>
          <w:szCs w:val="24"/>
          <w:u w:val="single"/>
          <w:lang w:eastAsia="zh-CN"/>
        </w:rPr>
        <w:t xml:space="preserve"> NNZC2026-J1-250095-SLXZ</w:t>
      </w:r>
      <w:r>
        <w:rPr>
          <w:rFonts w:hint="eastAsia"/>
          <w:szCs w:val="24"/>
        </w:rPr>
        <w:t>）的竞争性谈判采购文件的全部内容，现正式递交下述文件参加贵方组织的本次政府采购活动：</w:t>
      </w:r>
      <w:r>
        <w:rPr>
          <w:szCs w:val="24"/>
        </w:rPr>
        <w:t xml:space="preserve"> </w:t>
      </w:r>
    </w:p>
    <w:p w14:paraId="1A84BC80">
      <w:pPr>
        <w:spacing w:line="360" w:lineRule="auto"/>
        <w:ind w:firstLine="420" w:firstLineChars="200"/>
        <w:rPr>
          <w:rFonts w:ascii="Times New Roman" w:hAnsi="Times New Roman"/>
          <w:szCs w:val="24"/>
        </w:rPr>
      </w:pPr>
      <w:r>
        <w:rPr>
          <w:rFonts w:hint="eastAsia"/>
          <w:szCs w:val="24"/>
        </w:rPr>
        <w:t>一、首次报价文件电子版</w:t>
      </w:r>
      <w:r>
        <w:rPr>
          <w:szCs w:val="24"/>
          <w:u w:val="single"/>
        </w:rPr>
        <w:t xml:space="preserve">   </w:t>
      </w:r>
      <w:r>
        <w:rPr>
          <w:rFonts w:hint="eastAsia"/>
          <w:szCs w:val="24"/>
        </w:rPr>
        <w:t>份（包含按“第三章</w:t>
      </w:r>
      <w:r>
        <w:rPr>
          <w:szCs w:val="24"/>
        </w:rPr>
        <w:t xml:space="preserve"> </w:t>
      </w:r>
      <w:r>
        <w:rPr>
          <w:rFonts w:hint="eastAsia"/>
          <w:szCs w:val="24"/>
        </w:rPr>
        <w:t>供应商须知”提交的全部文件）；</w:t>
      </w:r>
    </w:p>
    <w:p w14:paraId="27EB81D9">
      <w:pPr>
        <w:spacing w:line="360" w:lineRule="auto"/>
        <w:ind w:firstLine="420" w:firstLineChars="200"/>
        <w:rPr>
          <w:rFonts w:ascii="等线" w:hAnsi="等线"/>
          <w:szCs w:val="24"/>
        </w:rPr>
      </w:pPr>
      <w:r>
        <w:rPr>
          <w:rFonts w:hint="eastAsia"/>
          <w:szCs w:val="24"/>
        </w:rPr>
        <w:t>二、</w:t>
      </w:r>
      <w:r>
        <w:rPr>
          <w:rFonts w:hint="eastAsia" w:hAnsi="宋体"/>
          <w:szCs w:val="24"/>
        </w:rPr>
        <w:t>技术</w:t>
      </w:r>
      <w:r>
        <w:rPr>
          <w:rFonts w:hint="eastAsia"/>
          <w:szCs w:val="24"/>
        </w:rPr>
        <w:t>文件电子版</w:t>
      </w:r>
      <w:r>
        <w:rPr>
          <w:szCs w:val="24"/>
          <w:u w:val="single"/>
        </w:rPr>
        <w:t xml:space="preserve">   </w:t>
      </w:r>
      <w:r>
        <w:rPr>
          <w:rFonts w:hint="eastAsia"/>
          <w:szCs w:val="24"/>
        </w:rPr>
        <w:t>份（包含按“第三章</w:t>
      </w:r>
      <w:r>
        <w:rPr>
          <w:szCs w:val="24"/>
        </w:rPr>
        <w:t xml:space="preserve"> </w:t>
      </w:r>
      <w:r>
        <w:rPr>
          <w:rFonts w:hint="eastAsia"/>
          <w:szCs w:val="24"/>
        </w:rPr>
        <w:t>供应商须知”提交的全部文件）；商务</w:t>
      </w:r>
      <w:r>
        <w:rPr>
          <w:rFonts w:hint="eastAsia" w:hAnsi="宋体"/>
          <w:szCs w:val="24"/>
        </w:rPr>
        <w:t>文件</w:t>
      </w:r>
      <w:r>
        <w:rPr>
          <w:rFonts w:hint="eastAsia"/>
          <w:szCs w:val="24"/>
        </w:rPr>
        <w:t>电子版</w:t>
      </w:r>
      <w:r>
        <w:rPr>
          <w:szCs w:val="24"/>
          <w:u w:val="single"/>
        </w:rPr>
        <w:t xml:space="preserve">   </w:t>
      </w:r>
      <w:r>
        <w:rPr>
          <w:rFonts w:hint="eastAsia"/>
          <w:szCs w:val="24"/>
        </w:rPr>
        <w:t>份（包含按“第三章</w:t>
      </w:r>
      <w:r>
        <w:rPr>
          <w:szCs w:val="24"/>
        </w:rPr>
        <w:t xml:space="preserve"> </w:t>
      </w:r>
      <w:r>
        <w:rPr>
          <w:rFonts w:hint="eastAsia"/>
          <w:szCs w:val="24"/>
        </w:rPr>
        <w:t>供应商须知”提交的全部文件）；（商务技术文件已合并装订成册）</w:t>
      </w:r>
    </w:p>
    <w:p w14:paraId="5C7FFD57">
      <w:pPr>
        <w:spacing w:line="360" w:lineRule="auto"/>
        <w:ind w:firstLine="420" w:firstLineChars="200"/>
        <w:rPr>
          <w:rFonts w:hint="eastAsia"/>
          <w:szCs w:val="24"/>
        </w:rPr>
      </w:pPr>
      <w:r>
        <w:rPr>
          <w:rFonts w:hint="eastAsia"/>
          <w:szCs w:val="24"/>
        </w:rPr>
        <w:t>三、资格证明文件电子版（包含按“第三章供应商须知”提交的全部文件）；</w:t>
      </w:r>
    </w:p>
    <w:p w14:paraId="565611A2">
      <w:pPr>
        <w:spacing w:line="360" w:lineRule="auto"/>
        <w:ind w:firstLine="420" w:firstLineChars="200"/>
        <w:rPr>
          <w:rFonts w:ascii="Times New Roman" w:hAnsi="Times New Roman"/>
          <w:szCs w:val="24"/>
        </w:rPr>
      </w:pPr>
      <w:r>
        <w:rPr>
          <w:rFonts w:hint="eastAsia"/>
          <w:szCs w:val="24"/>
        </w:rPr>
        <w:t>据此函，签字人兹宣布：</w:t>
      </w:r>
    </w:p>
    <w:p w14:paraId="493A33E7">
      <w:pPr>
        <w:spacing w:line="360" w:lineRule="auto"/>
        <w:ind w:firstLine="420"/>
        <w:rPr>
          <w:rFonts w:ascii="Times New Roman" w:hAnsi="Times New Roman"/>
          <w:szCs w:val="24"/>
        </w:rPr>
      </w:pPr>
      <w:r>
        <w:rPr>
          <w:szCs w:val="24"/>
        </w:rPr>
        <w:t>1</w:t>
      </w:r>
      <w:r>
        <w:rPr>
          <w:rFonts w:hint="eastAsia"/>
          <w:szCs w:val="24"/>
        </w:rPr>
        <w:t>、我方愿意以（大写）人民币</w:t>
      </w:r>
      <w:r>
        <w:rPr>
          <w:szCs w:val="24"/>
          <w:u w:val="single"/>
        </w:rPr>
        <w:t xml:space="preserve">              </w:t>
      </w:r>
      <w:r>
        <w:rPr>
          <w:rFonts w:hint="eastAsia"/>
          <w:szCs w:val="24"/>
        </w:rPr>
        <w:t>（￥</w:t>
      </w:r>
      <w:r>
        <w:rPr>
          <w:szCs w:val="24"/>
          <w:u w:val="single"/>
        </w:rPr>
        <w:t xml:space="preserve">          </w:t>
      </w:r>
      <w:r>
        <w:rPr>
          <w:rFonts w:hint="eastAsia"/>
          <w:szCs w:val="24"/>
        </w:rPr>
        <w:t>元</w:t>
      </w:r>
      <w:r>
        <w:rPr>
          <w:szCs w:val="24"/>
        </w:rPr>
        <w:t>)</w:t>
      </w:r>
      <w:r>
        <w:rPr>
          <w:rFonts w:hint="eastAsia"/>
          <w:szCs w:val="24"/>
        </w:rPr>
        <w:t>的</w:t>
      </w:r>
      <w:r>
        <w:rPr>
          <w:rFonts w:hint="eastAsia"/>
          <w:szCs w:val="24"/>
          <w:lang w:eastAsia="zh-CN"/>
        </w:rPr>
        <w:t>响应</w:t>
      </w:r>
      <w:r>
        <w:rPr>
          <w:rFonts w:hint="eastAsia"/>
          <w:szCs w:val="24"/>
        </w:rPr>
        <w:t>总报价，交货期：</w:t>
      </w:r>
      <w:r>
        <w:rPr>
          <w:szCs w:val="24"/>
          <w:u w:val="single"/>
        </w:rPr>
        <w:t xml:space="preserve">            </w:t>
      </w:r>
      <w:r>
        <w:rPr>
          <w:rFonts w:hint="eastAsia"/>
          <w:szCs w:val="24"/>
        </w:rPr>
        <w:t>，提供本项目竞争性谈判采购文件第二章“服务需求一览表”中相应的采购内容。</w:t>
      </w:r>
    </w:p>
    <w:p w14:paraId="501C01F6">
      <w:pPr>
        <w:spacing w:line="360" w:lineRule="auto"/>
        <w:ind w:firstLine="420"/>
        <w:rPr>
          <w:rFonts w:ascii="等线" w:hAnsi="等线"/>
          <w:szCs w:val="24"/>
        </w:rPr>
      </w:pPr>
      <w:r>
        <w:rPr>
          <w:szCs w:val="24"/>
        </w:rPr>
        <w:t>2</w:t>
      </w:r>
      <w:r>
        <w:rPr>
          <w:rFonts w:hint="eastAsia"/>
          <w:szCs w:val="24"/>
        </w:rPr>
        <w:t>、我方同意自本项目竞争性谈判采购文件采购公告规定的递交响应文件截止时间起遵循</w:t>
      </w:r>
      <w:r>
        <w:rPr>
          <w:rFonts w:hint="eastAsia" w:hAnsi="宋体"/>
          <w:szCs w:val="24"/>
        </w:rPr>
        <w:t>本响应函</w:t>
      </w:r>
      <w:r>
        <w:rPr>
          <w:rFonts w:hint="eastAsia"/>
          <w:szCs w:val="24"/>
        </w:rPr>
        <w:t>，并承诺在“第三章</w:t>
      </w:r>
      <w:r>
        <w:rPr>
          <w:szCs w:val="24"/>
        </w:rPr>
        <w:t xml:space="preserve"> </w:t>
      </w:r>
      <w:r>
        <w:rPr>
          <w:rFonts w:hint="eastAsia"/>
          <w:szCs w:val="24"/>
        </w:rPr>
        <w:t>供应商须知”规定的响应有效期内不修改、撤销响应文件。</w:t>
      </w:r>
    </w:p>
    <w:p w14:paraId="3B711E7C">
      <w:pPr>
        <w:spacing w:line="360" w:lineRule="auto"/>
        <w:ind w:firstLine="420"/>
        <w:rPr>
          <w:rFonts w:hint="eastAsia"/>
          <w:szCs w:val="24"/>
        </w:rPr>
      </w:pPr>
      <w:r>
        <w:rPr>
          <w:szCs w:val="24"/>
        </w:rPr>
        <w:t>3</w:t>
      </w:r>
      <w:r>
        <w:rPr>
          <w:rFonts w:hint="eastAsia"/>
          <w:szCs w:val="24"/>
        </w:rPr>
        <w:t>、我方在此声明，所递交的响应文件及有关资料内容完整、真实和准确。</w:t>
      </w:r>
    </w:p>
    <w:p w14:paraId="34FA75B7">
      <w:pPr>
        <w:spacing w:line="360" w:lineRule="auto"/>
        <w:ind w:firstLine="420"/>
        <w:rPr>
          <w:szCs w:val="24"/>
        </w:rPr>
      </w:pPr>
      <w:r>
        <w:rPr>
          <w:szCs w:val="24"/>
        </w:rPr>
        <w:t>4</w:t>
      </w:r>
      <w:r>
        <w:rPr>
          <w:rFonts w:hint="eastAsia"/>
          <w:szCs w:val="24"/>
        </w:rPr>
        <w:t>、如本项目采购内容涉及须符合国家强制规定的，我方承诺我方本次</w:t>
      </w:r>
      <w:r>
        <w:rPr>
          <w:rFonts w:hint="eastAsia"/>
          <w:szCs w:val="24"/>
          <w:lang w:eastAsia="zh-CN"/>
        </w:rPr>
        <w:t>响应</w:t>
      </w:r>
      <w:r>
        <w:rPr>
          <w:rFonts w:hint="eastAsia"/>
          <w:szCs w:val="24"/>
        </w:rPr>
        <w:t>均符合国家有关强制规定。</w:t>
      </w:r>
    </w:p>
    <w:p w14:paraId="60F2DB6B">
      <w:pPr>
        <w:spacing w:line="360" w:lineRule="auto"/>
        <w:ind w:firstLine="420"/>
        <w:rPr>
          <w:szCs w:val="24"/>
        </w:rPr>
      </w:pPr>
      <w:r>
        <w:rPr>
          <w:szCs w:val="24"/>
        </w:rPr>
        <w:t>5</w:t>
      </w:r>
      <w:r>
        <w:rPr>
          <w:rFonts w:hint="eastAsia"/>
          <w:szCs w:val="24"/>
        </w:rPr>
        <w:t>、如我方成交，我方承诺在收到成交通知书后，在成交通知书规定的期限内，</w:t>
      </w:r>
      <w:r>
        <w:rPr>
          <w:rFonts w:hint="eastAsia" w:hAnsi="宋体"/>
          <w:szCs w:val="24"/>
        </w:rPr>
        <w:t>根据竞争性谈判采购文件、我方的响应文件及有关澄清承诺书的要求按第六章“合同文本”与采购人订立书面合同，并按照合同约定</w:t>
      </w:r>
      <w:r>
        <w:rPr>
          <w:rFonts w:hint="eastAsia"/>
          <w:szCs w:val="24"/>
        </w:rPr>
        <w:t>承担完成合同的责任和义务。</w:t>
      </w:r>
    </w:p>
    <w:p w14:paraId="70A2296E">
      <w:pPr>
        <w:spacing w:line="360" w:lineRule="auto"/>
        <w:ind w:firstLine="420"/>
        <w:rPr>
          <w:szCs w:val="24"/>
        </w:rPr>
      </w:pPr>
      <w:r>
        <w:rPr>
          <w:szCs w:val="24"/>
        </w:rPr>
        <w:t>6</w:t>
      </w:r>
      <w:r>
        <w:rPr>
          <w:rFonts w:hint="eastAsia"/>
          <w:szCs w:val="24"/>
        </w:rPr>
        <w:t>、我方已详细审核竞争性谈判采购文件，我方知道必须放弃提出含糊不清或误解问题的权利。</w:t>
      </w:r>
    </w:p>
    <w:p w14:paraId="592E7836">
      <w:pPr>
        <w:spacing w:line="360" w:lineRule="auto"/>
        <w:ind w:firstLine="420"/>
        <w:rPr>
          <w:szCs w:val="24"/>
        </w:rPr>
      </w:pPr>
      <w:r>
        <w:rPr>
          <w:szCs w:val="24"/>
        </w:rPr>
        <w:t>7</w:t>
      </w:r>
      <w:r>
        <w:rPr>
          <w:rFonts w:hint="eastAsia"/>
          <w:szCs w:val="24"/>
        </w:rPr>
        <w:t>、我方承诺满足竞争性谈判采购文件</w:t>
      </w:r>
      <w:r>
        <w:rPr>
          <w:rFonts w:hint="eastAsia" w:hAnsi="宋体"/>
          <w:szCs w:val="24"/>
        </w:rPr>
        <w:t>第六章“合同文本”</w:t>
      </w:r>
      <w:r>
        <w:rPr>
          <w:rFonts w:hint="eastAsia"/>
          <w:szCs w:val="24"/>
        </w:rPr>
        <w:t>的条款，承担完成合同的责任和义务。</w:t>
      </w:r>
    </w:p>
    <w:p w14:paraId="52B62A83">
      <w:pPr>
        <w:spacing w:line="360" w:lineRule="auto"/>
        <w:ind w:firstLine="420"/>
        <w:rPr>
          <w:szCs w:val="24"/>
        </w:rPr>
      </w:pPr>
      <w:r>
        <w:rPr>
          <w:szCs w:val="24"/>
        </w:rPr>
        <w:t>8</w:t>
      </w:r>
      <w:r>
        <w:rPr>
          <w:rFonts w:hint="eastAsia"/>
          <w:szCs w:val="24"/>
        </w:rPr>
        <w:t>、我方同意应贵方要求提供与本</w:t>
      </w:r>
      <w:r>
        <w:rPr>
          <w:rFonts w:hint="eastAsia"/>
          <w:szCs w:val="24"/>
          <w:lang w:eastAsia="zh-CN"/>
        </w:rPr>
        <w:t>响应</w:t>
      </w:r>
      <w:r>
        <w:rPr>
          <w:rFonts w:hint="eastAsia"/>
          <w:szCs w:val="24"/>
        </w:rPr>
        <w:t>有关的任何数据或资料。若贵方需要，我方愿意提供我方作出的一切承诺的证明材料。</w:t>
      </w:r>
    </w:p>
    <w:p w14:paraId="4B54DACA">
      <w:pPr>
        <w:spacing w:line="360" w:lineRule="auto"/>
        <w:ind w:firstLine="420"/>
        <w:rPr>
          <w:szCs w:val="24"/>
        </w:rPr>
      </w:pPr>
      <w:r>
        <w:rPr>
          <w:szCs w:val="24"/>
        </w:rPr>
        <w:t>9</w:t>
      </w:r>
      <w:r>
        <w:rPr>
          <w:rFonts w:hint="eastAsia"/>
          <w:szCs w:val="24"/>
        </w:rPr>
        <w:t>、我方完全理解贵方不一定接受响应报价最低的</w:t>
      </w:r>
      <w:r>
        <w:rPr>
          <w:rFonts w:hint="eastAsia"/>
          <w:szCs w:val="24"/>
          <w:lang w:eastAsia="zh-CN"/>
        </w:rPr>
        <w:t>响应</w:t>
      </w:r>
      <w:r>
        <w:rPr>
          <w:rFonts w:hint="eastAsia"/>
          <w:szCs w:val="24"/>
        </w:rPr>
        <w:t>人为成交供应商的行为。</w:t>
      </w:r>
    </w:p>
    <w:p w14:paraId="2E7F8E42">
      <w:pPr>
        <w:spacing w:line="360" w:lineRule="auto"/>
        <w:ind w:firstLine="420"/>
        <w:rPr>
          <w:szCs w:val="24"/>
        </w:rPr>
      </w:pPr>
      <w:r>
        <w:rPr>
          <w:szCs w:val="24"/>
        </w:rPr>
        <w:t>10</w:t>
      </w:r>
      <w:r>
        <w:rPr>
          <w:rFonts w:hint="eastAsia"/>
          <w:szCs w:val="24"/>
        </w:rPr>
        <w:t>、我方将严格遵守《中华人民共和国政府采购法》第七十七条的规定，即供应商有下列情形之一的，处以采购金额千分之五以上千分之十</w:t>
      </w:r>
      <w:r>
        <w:rPr>
          <w:rFonts w:hint="eastAsia" w:hAnsi="宋体"/>
          <w:szCs w:val="24"/>
        </w:rPr>
        <w:t>以下的罚款，列入不良行为记录名单，在一至三年内禁止参加政府采购活动，有违法所得的，并处没收违法所得，情节严重的，由工商行政管理机关吊销营业执照；构成犯罪的，依法追究刑事责任：</w:t>
      </w:r>
    </w:p>
    <w:p w14:paraId="1A886F7A">
      <w:pPr>
        <w:tabs>
          <w:tab w:val="left" w:pos="360"/>
          <w:tab w:val="left" w:pos="945"/>
          <w:tab w:val="left" w:pos="1140"/>
        </w:tabs>
        <w:spacing w:line="360" w:lineRule="auto"/>
        <w:ind w:firstLine="420"/>
        <w:rPr>
          <w:rFonts w:hAnsi="宋体"/>
          <w:szCs w:val="24"/>
        </w:rPr>
      </w:pPr>
      <w:r>
        <w:rPr>
          <w:rFonts w:hint="eastAsia" w:hAnsi="宋体"/>
          <w:szCs w:val="24"/>
        </w:rPr>
        <w:t>提供虚假材料谋取</w:t>
      </w:r>
      <w:r>
        <w:rPr>
          <w:rFonts w:hint="eastAsia" w:hAnsi="宋体"/>
          <w:szCs w:val="24"/>
          <w:lang w:eastAsia="zh-CN"/>
        </w:rPr>
        <w:t>成交</w:t>
      </w:r>
      <w:r>
        <w:rPr>
          <w:rFonts w:hint="eastAsia" w:hAnsi="宋体"/>
          <w:szCs w:val="24"/>
        </w:rPr>
        <w:t>、成交的；</w:t>
      </w:r>
    </w:p>
    <w:p w14:paraId="1A59EFB9">
      <w:pPr>
        <w:tabs>
          <w:tab w:val="left" w:pos="360"/>
          <w:tab w:val="left" w:pos="945"/>
          <w:tab w:val="left" w:pos="1140"/>
        </w:tabs>
        <w:spacing w:line="360" w:lineRule="auto"/>
        <w:ind w:firstLine="420"/>
        <w:rPr>
          <w:rFonts w:hAnsi="宋体"/>
          <w:szCs w:val="24"/>
        </w:rPr>
      </w:pPr>
      <w:r>
        <w:rPr>
          <w:rFonts w:hint="eastAsia" w:hAnsi="宋体"/>
          <w:szCs w:val="24"/>
        </w:rPr>
        <w:t>采取不正当手段诋毁、排挤其他供应商的；</w:t>
      </w:r>
    </w:p>
    <w:p w14:paraId="161D4FCF">
      <w:pPr>
        <w:tabs>
          <w:tab w:val="left" w:pos="360"/>
          <w:tab w:val="left" w:pos="945"/>
          <w:tab w:val="left" w:pos="1140"/>
        </w:tabs>
        <w:spacing w:line="360" w:lineRule="auto"/>
        <w:ind w:firstLine="420"/>
        <w:rPr>
          <w:rFonts w:hAnsi="等线"/>
          <w:szCs w:val="20"/>
        </w:rPr>
      </w:pPr>
      <w:r>
        <w:rPr>
          <w:rFonts w:hint="eastAsia" w:hAnsi="宋体"/>
          <w:szCs w:val="20"/>
        </w:rPr>
        <w:t>与采购人、其他供应商或者采购代理机构恶意串通的；</w:t>
      </w:r>
    </w:p>
    <w:p w14:paraId="10BD1E82">
      <w:pPr>
        <w:tabs>
          <w:tab w:val="left" w:pos="360"/>
          <w:tab w:val="left" w:pos="945"/>
          <w:tab w:val="left" w:pos="1140"/>
        </w:tabs>
        <w:spacing w:line="360" w:lineRule="auto"/>
        <w:ind w:firstLine="420"/>
        <w:rPr>
          <w:szCs w:val="20"/>
        </w:rPr>
      </w:pPr>
      <w:r>
        <w:rPr>
          <w:rFonts w:hint="eastAsia" w:hAnsi="宋体"/>
          <w:szCs w:val="20"/>
        </w:rPr>
        <w:t>向采购人、采购代理机构行贿或者提供其他不正当利益的；</w:t>
      </w:r>
    </w:p>
    <w:p w14:paraId="10BFB9D4">
      <w:pPr>
        <w:tabs>
          <w:tab w:val="left" w:pos="360"/>
          <w:tab w:val="left" w:pos="945"/>
          <w:tab w:val="left" w:pos="1140"/>
        </w:tabs>
        <w:spacing w:line="360" w:lineRule="auto"/>
        <w:ind w:firstLine="420"/>
        <w:rPr>
          <w:szCs w:val="20"/>
        </w:rPr>
      </w:pPr>
      <w:r>
        <w:rPr>
          <w:rFonts w:hint="eastAsia" w:hAnsi="宋体"/>
          <w:szCs w:val="20"/>
        </w:rPr>
        <w:t>在采购过程中与采购人进行协商谈判的；</w:t>
      </w:r>
    </w:p>
    <w:p w14:paraId="275DA4BB">
      <w:pPr>
        <w:tabs>
          <w:tab w:val="left" w:pos="360"/>
          <w:tab w:val="left" w:pos="945"/>
          <w:tab w:val="left" w:pos="1140"/>
        </w:tabs>
        <w:spacing w:line="360" w:lineRule="auto"/>
        <w:ind w:firstLine="420"/>
        <w:rPr>
          <w:szCs w:val="20"/>
        </w:rPr>
      </w:pPr>
      <w:r>
        <w:rPr>
          <w:rFonts w:hint="eastAsia" w:hAnsi="宋体"/>
          <w:szCs w:val="20"/>
        </w:rPr>
        <w:t>拒绝有关部门监督检查或提供虚假情况的。</w:t>
      </w:r>
    </w:p>
    <w:p w14:paraId="63B39198">
      <w:pPr>
        <w:spacing w:line="360" w:lineRule="auto"/>
        <w:ind w:firstLine="420"/>
        <w:rPr>
          <w:color w:val="000000"/>
          <w:szCs w:val="20"/>
        </w:rPr>
      </w:pPr>
      <w:r>
        <w:rPr>
          <w:rFonts w:hAnsi="宋体" w:cs="宋体"/>
          <w:color w:val="000000"/>
          <w:szCs w:val="20"/>
        </w:rPr>
        <w:t>11.</w:t>
      </w:r>
      <w:r>
        <w:rPr>
          <w:rFonts w:hint="eastAsia" w:hAnsi="宋体" w:cs="宋体"/>
          <w:color w:val="000000"/>
          <w:szCs w:val="20"/>
        </w:rPr>
        <w:t>与本谈判有关的一切正式往来信函请寄</w:t>
      </w:r>
      <w:r>
        <w:rPr>
          <w:rFonts w:hint="eastAsia"/>
          <w:color w:val="000000"/>
          <w:szCs w:val="20"/>
        </w:rPr>
        <w:t>：</w:t>
      </w:r>
      <w:r>
        <w:rPr>
          <w:szCs w:val="20"/>
          <w:u w:val="single"/>
        </w:rPr>
        <w:t xml:space="preserve"> </w:t>
      </w:r>
    </w:p>
    <w:p w14:paraId="519113E8">
      <w:pPr>
        <w:spacing w:line="360" w:lineRule="auto"/>
        <w:ind w:firstLine="420"/>
      </w:pPr>
      <w:r>
        <w:rPr>
          <w:rFonts w:hint="eastAsia"/>
          <w:szCs w:val="24"/>
        </w:rPr>
        <w:t>地址：</w:t>
      </w:r>
      <w:r>
        <w:rPr>
          <w:szCs w:val="24"/>
          <w:u w:val="single"/>
        </w:rPr>
        <w:t xml:space="preserve">                                                        </w:t>
      </w:r>
      <w:r>
        <w:rPr>
          <w:szCs w:val="24"/>
        </w:rPr>
        <w:t xml:space="preserve"> </w:t>
      </w:r>
    </w:p>
    <w:p w14:paraId="727F4B92">
      <w:pPr>
        <w:spacing w:line="360" w:lineRule="auto"/>
        <w:ind w:firstLine="420"/>
        <w:rPr>
          <w:szCs w:val="24"/>
          <w:u w:val="single"/>
        </w:rPr>
      </w:pPr>
      <w:r>
        <w:rPr>
          <w:rFonts w:hint="eastAsia"/>
          <w:szCs w:val="24"/>
        </w:rPr>
        <w:t>电话：</w:t>
      </w:r>
      <w:r>
        <w:rPr>
          <w:szCs w:val="24"/>
          <w:u w:val="single"/>
        </w:rPr>
        <w:t xml:space="preserve">                                      </w:t>
      </w:r>
      <w:r>
        <w:rPr>
          <w:rFonts w:hint="eastAsia"/>
          <w:szCs w:val="24"/>
          <w:u w:val="single"/>
        </w:rPr>
        <w:t>　　　　　　　　　</w:t>
      </w:r>
    </w:p>
    <w:p w14:paraId="0E7293EF">
      <w:pPr>
        <w:spacing w:line="360" w:lineRule="auto"/>
        <w:ind w:firstLine="420"/>
        <w:rPr>
          <w:szCs w:val="24"/>
        </w:rPr>
      </w:pPr>
      <w:r>
        <w:rPr>
          <w:rFonts w:hint="eastAsia"/>
          <w:szCs w:val="24"/>
        </w:rPr>
        <w:t>传真：</w:t>
      </w:r>
      <w:r>
        <w:rPr>
          <w:rFonts w:hint="eastAsia"/>
          <w:szCs w:val="24"/>
          <w:u w:val="single"/>
        </w:rPr>
        <w:t>　　　　　　　　　　　　　　　　　　　　　　　　　　　　</w:t>
      </w:r>
    </w:p>
    <w:p w14:paraId="171DA80F">
      <w:pPr>
        <w:spacing w:line="360" w:lineRule="auto"/>
        <w:ind w:firstLine="420"/>
        <w:rPr>
          <w:szCs w:val="24"/>
          <w:u w:val="single"/>
        </w:rPr>
      </w:pPr>
      <w:r>
        <w:rPr>
          <w:rFonts w:hint="eastAsia"/>
          <w:szCs w:val="24"/>
        </w:rPr>
        <w:t>邮政编码：</w:t>
      </w:r>
      <w:r>
        <w:rPr>
          <w:szCs w:val="24"/>
          <w:u w:val="single"/>
        </w:rPr>
        <w:t xml:space="preserve">                                                    </w:t>
      </w:r>
    </w:p>
    <w:p w14:paraId="132FCBA3">
      <w:pPr>
        <w:spacing w:line="360" w:lineRule="auto"/>
        <w:ind w:firstLine="420"/>
        <w:rPr>
          <w:szCs w:val="24"/>
          <w:u w:val="single"/>
        </w:rPr>
      </w:pPr>
      <w:r>
        <w:rPr>
          <w:rFonts w:hint="eastAsia"/>
          <w:szCs w:val="24"/>
        </w:rPr>
        <w:t>开户名称：</w:t>
      </w:r>
      <w:r>
        <w:rPr>
          <w:szCs w:val="24"/>
          <w:u w:val="single"/>
        </w:rPr>
        <w:t xml:space="preserve">                                                    </w:t>
      </w:r>
    </w:p>
    <w:p w14:paraId="6F811486">
      <w:pPr>
        <w:spacing w:line="360" w:lineRule="auto"/>
        <w:ind w:firstLine="420"/>
        <w:rPr>
          <w:szCs w:val="24"/>
          <w:u w:val="single"/>
        </w:rPr>
      </w:pPr>
      <w:r>
        <w:rPr>
          <w:rFonts w:hint="eastAsia"/>
          <w:szCs w:val="24"/>
        </w:rPr>
        <w:t>开户银行：</w:t>
      </w:r>
      <w:r>
        <w:rPr>
          <w:szCs w:val="24"/>
          <w:u w:val="single"/>
        </w:rPr>
        <w:t xml:space="preserve">                                                    </w:t>
      </w:r>
    </w:p>
    <w:p w14:paraId="0103E850">
      <w:pPr>
        <w:spacing w:line="360" w:lineRule="auto"/>
        <w:ind w:firstLine="420"/>
        <w:rPr>
          <w:szCs w:val="24"/>
          <w:u w:val="single"/>
        </w:rPr>
      </w:pPr>
      <w:r>
        <w:rPr>
          <w:rFonts w:hint="eastAsia"/>
          <w:szCs w:val="24"/>
        </w:rPr>
        <w:t>银行账号：</w:t>
      </w:r>
      <w:r>
        <w:rPr>
          <w:szCs w:val="24"/>
          <w:u w:val="single"/>
        </w:rPr>
        <w:t xml:space="preserve">                                                    </w:t>
      </w:r>
    </w:p>
    <w:p w14:paraId="64EC4579">
      <w:pPr>
        <w:tabs>
          <w:tab w:val="left" w:pos="939"/>
        </w:tabs>
        <w:spacing w:line="360" w:lineRule="auto"/>
        <w:ind w:left="141" w:leftChars="67" w:firstLine="315" w:firstLineChars="150"/>
        <w:rPr>
          <w:rFonts w:ascii="宋体" w:hAnsi="宋体" w:cs="宋体"/>
          <w:color w:val="000000"/>
          <w:szCs w:val="21"/>
        </w:rPr>
      </w:pPr>
      <w:r>
        <w:rPr>
          <w:rFonts w:hint="eastAsia" w:ascii="宋体" w:hAnsi="宋体" w:cs="宋体"/>
          <w:color w:val="000000"/>
          <w:szCs w:val="21"/>
        </w:rPr>
        <w:t>特此承诺。</w:t>
      </w:r>
    </w:p>
    <w:p w14:paraId="7F7B97A1">
      <w:pPr>
        <w:autoSpaceDE w:val="0"/>
        <w:autoSpaceDN w:val="0"/>
        <w:spacing w:line="360" w:lineRule="auto"/>
        <w:ind w:left="4335" w:leftChars="1950" w:hanging="240" w:hangingChars="100"/>
        <w:rPr>
          <w:rFonts w:hint="eastAsia" w:ascii="仿宋_GB2312" w:hAnsi="仿宋" w:eastAsia="仿宋_GB2312" w:cs="仿宋_GB2312"/>
          <w:kern w:val="0"/>
          <w:sz w:val="24"/>
        </w:rPr>
      </w:pPr>
      <w:r>
        <w:rPr>
          <w:rFonts w:hint="eastAsia" w:ascii="仿宋_GB2312" w:hAnsi="仿宋" w:eastAsia="仿宋_GB2312" w:cs="仿宋_GB2312"/>
          <w:kern w:val="0"/>
          <w:sz w:val="24"/>
          <w:szCs w:val="24"/>
        </w:rPr>
        <w:t>供应商名称（电子签章）：</w:t>
      </w:r>
    </w:p>
    <w:p w14:paraId="4CE7DEC9">
      <w:pPr>
        <w:ind w:firstLine="6000" w:firstLineChars="2500"/>
        <w:rPr>
          <w:rFonts w:hint="eastAsia" w:ascii="仿宋_GB2312" w:hAnsi="仿宋" w:eastAsia="仿宋_GB2312" w:cs="仿宋_GB2312"/>
          <w:kern w:val="0"/>
          <w:sz w:val="24"/>
          <w:szCs w:val="24"/>
          <w:lang w:val="zh-CN"/>
        </w:rPr>
      </w:pPr>
      <w:r>
        <w:rPr>
          <w:rFonts w:hint="eastAsia" w:ascii="仿宋_GB2312" w:hAnsi="仿宋" w:eastAsia="仿宋_GB2312" w:cs="仿宋_GB2312"/>
          <w:kern w:val="0"/>
          <w:sz w:val="24"/>
          <w:szCs w:val="24"/>
          <w:lang w:val="zh-CN"/>
        </w:rPr>
        <w:t>日期：  年  月   日</w:t>
      </w:r>
    </w:p>
    <w:p w14:paraId="20C32679">
      <w:pPr>
        <w:widowControl/>
        <w:jc w:val="left"/>
        <w:rPr>
          <w:rFonts w:ascii="仿宋_GB2312" w:hAnsi="仿宋" w:eastAsia="仿宋_GB2312" w:cs="仿宋_GB2312"/>
          <w:kern w:val="0"/>
          <w:sz w:val="24"/>
          <w:szCs w:val="24"/>
          <w:lang w:val="zh-CN"/>
        </w:rPr>
        <w:sectPr>
          <w:pgSz w:w="11906" w:h="16838"/>
          <w:pgMar w:top="1134" w:right="1134" w:bottom="1134" w:left="1134" w:header="720" w:footer="720" w:gutter="0"/>
          <w:pgBorders>
            <w:top w:val="none" w:sz="0" w:space="0"/>
            <w:left w:val="none" w:sz="0" w:space="0"/>
            <w:bottom w:val="none" w:sz="0" w:space="0"/>
            <w:right w:val="none" w:sz="0" w:space="0"/>
          </w:pgBorders>
          <w:pgNumType w:fmt="decimal"/>
          <w:cols w:space="720" w:num="1"/>
          <w:docGrid w:type="lines" w:linePitch="331" w:charSpace="0"/>
        </w:sectPr>
      </w:pPr>
    </w:p>
    <w:p w14:paraId="01916A1E">
      <w:pPr>
        <w:spacing w:line="500" w:lineRule="exact"/>
        <w:ind w:firstLine="602" w:firstLineChars="200"/>
        <w:rPr>
          <w:rFonts w:hint="eastAsia" w:ascii="仿宋" w:hAnsi="仿宋" w:eastAsia="仿宋" w:cs="仿宋_GB2312"/>
          <w:b/>
          <w:sz w:val="30"/>
          <w:szCs w:val="30"/>
        </w:rPr>
      </w:pPr>
      <w:r>
        <w:rPr>
          <w:rFonts w:hint="eastAsia" w:ascii="仿宋" w:hAnsi="仿宋" w:eastAsia="仿宋" w:cs="仿宋_GB2312"/>
          <w:b/>
          <w:sz w:val="30"/>
          <w:szCs w:val="30"/>
        </w:rPr>
        <w:t xml:space="preserve">二、响应报价表 </w:t>
      </w:r>
    </w:p>
    <w:p w14:paraId="710C836C">
      <w:pPr>
        <w:snapToGrid w:val="0"/>
        <w:spacing w:before="50" w:after="50" w:line="360" w:lineRule="auto"/>
        <w:rPr>
          <w:rFonts w:hint="eastAsia" w:ascii="宋体" w:hAnsi="宋体" w:eastAsia="等线"/>
          <w:sz w:val="24"/>
        </w:rPr>
      </w:pPr>
      <w:r>
        <w:rPr>
          <w:rFonts w:hint="eastAsia" w:ascii="宋体" w:hAnsi="宋体"/>
          <w:sz w:val="24"/>
          <w:szCs w:val="24"/>
        </w:rPr>
        <w:t>项目名称：</w:t>
      </w:r>
      <w:r>
        <w:rPr>
          <w:rFonts w:hint="eastAsia" w:ascii="宋体" w:hAnsi="宋体"/>
          <w:sz w:val="24"/>
          <w:szCs w:val="24"/>
          <w:u w:val="single"/>
          <w:lang w:eastAsia="zh-CN"/>
        </w:rPr>
        <w:t>2026年上林县幼儿园设备采购项目（重）</w:t>
      </w:r>
      <w:r>
        <w:rPr>
          <w:rFonts w:hint="eastAsia" w:ascii="宋体" w:hAnsi="宋体"/>
          <w:sz w:val="24"/>
          <w:szCs w:val="24"/>
          <w:u w:val="single"/>
        </w:rPr>
        <w:t xml:space="preserve"> </w:t>
      </w:r>
      <w:r>
        <w:rPr>
          <w:rFonts w:hint="eastAsia" w:ascii="宋体" w:hAnsi="宋体"/>
          <w:sz w:val="24"/>
          <w:szCs w:val="24"/>
        </w:rPr>
        <w:t xml:space="preserve">         </w:t>
      </w:r>
    </w:p>
    <w:p w14:paraId="27C47A38">
      <w:pPr>
        <w:snapToGrid w:val="0"/>
        <w:spacing w:before="50" w:after="50" w:line="360" w:lineRule="auto"/>
        <w:rPr>
          <w:rFonts w:hint="eastAsia" w:ascii="宋体" w:hAnsi="宋体"/>
          <w:sz w:val="24"/>
          <w:szCs w:val="24"/>
        </w:rPr>
      </w:pPr>
      <w:r>
        <w:rPr>
          <w:rFonts w:hint="eastAsia" w:ascii="宋体" w:hAnsi="宋体"/>
          <w:sz w:val="24"/>
          <w:szCs w:val="24"/>
        </w:rPr>
        <w:t>项目编号：</w:t>
      </w:r>
      <w:r>
        <w:rPr>
          <w:rFonts w:hint="eastAsia" w:ascii="宋体" w:hAnsi="宋体"/>
          <w:sz w:val="24"/>
          <w:szCs w:val="24"/>
          <w:u w:val="single"/>
          <w:lang w:eastAsia="zh-CN"/>
        </w:rPr>
        <w:t xml:space="preserve"> NNZC2026-J1-250095-SLXZ</w:t>
      </w:r>
      <w:r>
        <w:rPr>
          <w:rFonts w:hint="eastAsia" w:ascii="宋体" w:hAnsi="宋体"/>
          <w:sz w:val="24"/>
          <w:szCs w:val="24"/>
        </w:rPr>
        <w:t xml:space="preserve">         </w:t>
      </w:r>
    </w:p>
    <w:p w14:paraId="146EE7D1">
      <w:pPr>
        <w:snapToGrid w:val="0"/>
        <w:spacing w:before="50" w:after="50" w:line="360" w:lineRule="auto"/>
        <w:rPr>
          <w:rFonts w:hint="eastAsia" w:ascii="宋体" w:hAnsi="宋体"/>
          <w:sz w:val="24"/>
          <w:szCs w:val="24"/>
          <w:u w:val="single"/>
        </w:rPr>
      </w:pPr>
      <w:r>
        <w:rPr>
          <w:rFonts w:hint="eastAsia" w:hAnsi="宋体"/>
          <w:sz w:val="24"/>
          <w:szCs w:val="24"/>
        </w:rPr>
        <w:t>供应商名称：</w:t>
      </w:r>
      <w:r>
        <w:rPr>
          <w:rFonts w:hAnsi="宋体"/>
          <w:sz w:val="24"/>
          <w:szCs w:val="24"/>
          <w:u w:val="single"/>
        </w:rPr>
        <w:t xml:space="preserve">                     </w:t>
      </w:r>
      <w:r>
        <w:rPr>
          <w:rFonts w:hAnsi="宋体"/>
          <w:sz w:val="24"/>
          <w:szCs w:val="24"/>
        </w:rPr>
        <w:t xml:space="preserve">  </w:t>
      </w:r>
      <w:r>
        <w:rPr>
          <w:rFonts w:hint="eastAsia" w:ascii="宋体" w:hAnsi="宋体" w:cs="仿宋_GB2312"/>
          <w:color w:val="000000"/>
          <w:sz w:val="24"/>
          <w:szCs w:val="24"/>
        </w:rPr>
        <w:t xml:space="preserve">                    </w:t>
      </w:r>
    </w:p>
    <w:tbl>
      <w:tblPr>
        <w:tblStyle w:val="10"/>
        <w:tblpPr w:leftFromText="180" w:rightFromText="180" w:vertAnchor="text" w:horzAnchor="page" w:tblpX="1117" w:tblpY="528"/>
        <w:tblOverlap w:val="never"/>
        <w:tblW w:w="94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
        <w:gridCol w:w="1384"/>
        <w:gridCol w:w="1928"/>
        <w:gridCol w:w="1217"/>
        <w:gridCol w:w="1080"/>
        <w:gridCol w:w="954"/>
        <w:gridCol w:w="2310"/>
      </w:tblGrid>
      <w:tr w14:paraId="55DB7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595" w:type="dxa"/>
            <w:tcBorders>
              <w:top w:val="single" w:color="auto" w:sz="4" w:space="0"/>
              <w:left w:val="single" w:color="auto" w:sz="4" w:space="0"/>
              <w:bottom w:val="single" w:color="auto" w:sz="4" w:space="0"/>
              <w:right w:val="single" w:color="auto" w:sz="4" w:space="0"/>
            </w:tcBorders>
            <w:noWrap w:val="0"/>
            <w:vAlign w:val="center"/>
          </w:tcPr>
          <w:p w14:paraId="767DC140">
            <w:pPr>
              <w:rPr>
                <w:rFonts w:ascii="宋体" w:hAnsi="宋体"/>
              </w:rPr>
            </w:pPr>
            <w:r>
              <w:rPr>
                <w:rFonts w:hint="eastAsia" w:ascii="宋体" w:hAnsi="宋体"/>
                <w:szCs w:val="24"/>
              </w:rPr>
              <w:t>序号</w:t>
            </w:r>
          </w:p>
        </w:tc>
        <w:tc>
          <w:tcPr>
            <w:tcW w:w="1383" w:type="dxa"/>
            <w:tcBorders>
              <w:top w:val="single" w:color="auto" w:sz="4" w:space="0"/>
              <w:left w:val="single" w:color="auto" w:sz="4" w:space="0"/>
              <w:bottom w:val="single" w:color="auto" w:sz="4" w:space="0"/>
              <w:right w:val="single" w:color="auto" w:sz="4" w:space="0"/>
            </w:tcBorders>
            <w:noWrap w:val="0"/>
            <w:vAlign w:val="center"/>
          </w:tcPr>
          <w:p w14:paraId="16BFADC0">
            <w:pPr>
              <w:rPr>
                <w:rFonts w:ascii="宋体" w:hAnsi="宋体"/>
              </w:rPr>
            </w:pPr>
            <w:r>
              <w:rPr>
                <w:rFonts w:hint="eastAsia" w:ascii="宋体" w:hAnsi="宋体"/>
                <w:szCs w:val="24"/>
              </w:rPr>
              <w:t>货物名称</w:t>
            </w:r>
          </w:p>
        </w:tc>
        <w:tc>
          <w:tcPr>
            <w:tcW w:w="1927" w:type="dxa"/>
            <w:tcBorders>
              <w:top w:val="single" w:color="auto" w:sz="4" w:space="0"/>
              <w:left w:val="single" w:color="auto" w:sz="4" w:space="0"/>
              <w:bottom w:val="single" w:color="auto" w:sz="4" w:space="0"/>
              <w:right w:val="single" w:color="auto" w:sz="4" w:space="0"/>
            </w:tcBorders>
            <w:noWrap w:val="0"/>
            <w:vAlign w:val="center"/>
          </w:tcPr>
          <w:p w14:paraId="7655473B">
            <w:pPr>
              <w:jc w:val="center"/>
              <w:rPr>
                <w:rFonts w:ascii="宋体" w:hAnsi="宋体"/>
              </w:rPr>
            </w:pPr>
            <w:r>
              <w:rPr>
                <w:rFonts w:hint="eastAsia" w:ascii="宋体" w:hAnsi="宋体"/>
                <w:szCs w:val="24"/>
              </w:rPr>
              <w:t>货物规格型号</w:t>
            </w:r>
          </w:p>
        </w:tc>
        <w:tc>
          <w:tcPr>
            <w:tcW w:w="1216" w:type="dxa"/>
            <w:tcBorders>
              <w:top w:val="single" w:color="auto" w:sz="4" w:space="0"/>
              <w:left w:val="single" w:color="auto" w:sz="4" w:space="0"/>
              <w:bottom w:val="single" w:color="auto" w:sz="4" w:space="0"/>
              <w:right w:val="single" w:color="auto" w:sz="4" w:space="0"/>
            </w:tcBorders>
            <w:noWrap w:val="0"/>
            <w:vAlign w:val="center"/>
          </w:tcPr>
          <w:p w14:paraId="0C07AAB6">
            <w:pPr>
              <w:jc w:val="center"/>
              <w:rPr>
                <w:rFonts w:ascii="宋体" w:hAnsi="宋体"/>
              </w:rPr>
            </w:pPr>
            <w:r>
              <w:rPr>
                <w:rFonts w:hint="eastAsia" w:ascii="宋体" w:hAnsi="宋体"/>
                <w:szCs w:val="24"/>
              </w:rPr>
              <w:t>品牌（如有）</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612B9B4">
            <w:pPr>
              <w:jc w:val="center"/>
              <w:rPr>
                <w:rFonts w:ascii="宋体" w:hAnsi="宋体"/>
              </w:rPr>
            </w:pPr>
            <w:r>
              <w:rPr>
                <w:rFonts w:hint="eastAsia" w:ascii="宋体" w:hAnsi="宋体"/>
                <w:szCs w:val="24"/>
              </w:rPr>
              <w:t>数量①</w:t>
            </w:r>
          </w:p>
        </w:tc>
        <w:tc>
          <w:tcPr>
            <w:tcW w:w="954" w:type="dxa"/>
            <w:tcBorders>
              <w:top w:val="single" w:color="auto" w:sz="4" w:space="0"/>
              <w:left w:val="single" w:color="auto" w:sz="4" w:space="0"/>
              <w:bottom w:val="single" w:color="auto" w:sz="4" w:space="0"/>
              <w:right w:val="single" w:color="auto" w:sz="4" w:space="0"/>
            </w:tcBorders>
            <w:noWrap w:val="0"/>
            <w:vAlign w:val="center"/>
          </w:tcPr>
          <w:p w14:paraId="7E7F9F81">
            <w:pPr>
              <w:rPr>
                <w:rFonts w:ascii="宋体" w:hAnsi="宋体"/>
              </w:rPr>
            </w:pPr>
            <w:r>
              <w:rPr>
                <w:rFonts w:hint="eastAsia" w:ascii="宋体" w:hAnsi="宋体"/>
                <w:szCs w:val="24"/>
              </w:rPr>
              <w:t>单价(元)②</w:t>
            </w:r>
          </w:p>
        </w:tc>
        <w:tc>
          <w:tcPr>
            <w:tcW w:w="2309" w:type="dxa"/>
            <w:tcBorders>
              <w:top w:val="single" w:color="auto" w:sz="4" w:space="0"/>
              <w:left w:val="single" w:color="auto" w:sz="4" w:space="0"/>
              <w:bottom w:val="single" w:color="auto" w:sz="4" w:space="0"/>
              <w:right w:val="single" w:color="auto" w:sz="4" w:space="0"/>
            </w:tcBorders>
            <w:noWrap w:val="0"/>
            <w:vAlign w:val="center"/>
          </w:tcPr>
          <w:p w14:paraId="2D5E9D1A">
            <w:pPr>
              <w:rPr>
                <w:rFonts w:ascii="宋体" w:hAnsi="宋体"/>
                <w:szCs w:val="24"/>
              </w:rPr>
            </w:pPr>
            <w:r>
              <w:rPr>
                <w:rFonts w:hint="eastAsia" w:ascii="宋体" w:hAnsi="宋体"/>
                <w:szCs w:val="24"/>
              </w:rPr>
              <w:t>单项合价（元）</w:t>
            </w:r>
          </w:p>
          <w:p w14:paraId="224B1DB1">
            <w:pPr>
              <w:rPr>
                <w:rFonts w:ascii="宋体" w:hAnsi="宋体"/>
              </w:rPr>
            </w:pPr>
            <w:r>
              <w:rPr>
                <w:rFonts w:hint="eastAsia" w:ascii="宋体" w:hAnsi="宋体"/>
                <w:szCs w:val="24"/>
              </w:rPr>
              <w:t>③＝①×②</w:t>
            </w:r>
          </w:p>
        </w:tc>
      </w:tr>
      <w:tr w14:paraId="7F894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595" w:type="dxa"/>
            <w:tcBorders>
              <w:top w:val="single" w:color="auto" w:sz="4" w:space="0"/>
              <w:left w:val="single" w:color="auto" w:sz="4" w:space="0"/>
              <w:bottom w:val="single" w:color="auto" w:sz="4" w:space="0"/>
              <w:right w:val="single" w:color="auto" w:sz="4" w:space="0"/>
            </w:tcBorders>
            <w:noWrap w:val="0"/>
            <w:vAlign w:val="center"/>
          </w:tcPr>
          <w:p w14:paraId="6FBE3D73">
            <w:pPr>
              <w:rPr>
                <w:rFonts w:ascii="宋体" w:hAnsi="宋体"/>
              </w:rPr>
            </w:pPr>
            <w:r>
              <w:rPr>
                <w:rFonts w:hint="eastAsia" w:ascii="宋体" w:hAnsi="宋体"/>
                <w:szCs w:val="24"/>
              </w:rPr>
              <w:t>1</w:t>
            </w:r>
          </w:p>
        </w:tc>
        <w:tc>
          <w:tcPr>
            <w:tcW w:w="1383" w:type="dxa"/>
            <w:tcBorders>
              <w:top w:val="single" w:color="auto" w:sz="4" w:space="0"/>
              <w:left w:val="single" w:color="auto" w:sz="4" w:space="0"/>
              <w:bottom w:val="single" w:color="auto" w:sz="4" w:space="0"/>
              <w:right w:val="single" w:color="auto" w:sz="4" w:space="0"/>
            </w:tcBorders>
            <w:noWrap w:val="0"/>
            <w:vAlign w:val="center"/>
          </w:tcPr>
          <w:p w14:paraId="7701C7AB">
            <w:pPr>
              <w:rPr>
                <w:rFonts w:ascii="宋体" w:hAnsi="宋体"/>
              </w:rPr>
            </w:pPr>
          </w:p>
        </w:tc>
        <w:tc>
          <w:tcPr>
            <w:tcW w:w="1927" w:type="dxa"/>
            <w:tcBorders>
              <w:top w:val="single" w:color="auto" w:sz="4" w:space="0"/>
              <w:left w:val="single" w:color="auto" w:sz="4" w:space="0"/>
              <w:bottom w:val="single" w:color="auto" w:sz="4" w:space="0"/>
              <w:right w:val="single" w:color="auto" w:sz="4" w:space="0"/>
            </w:tcBorders>
            <w:noWrap w:val="0"/>
            <w:vAlign w:val="center"/>
          </w:tcPr>
          <w:p w14:paraId="7C4431D2">
            <w:pPr>
              <w:rPr>
                <w:rFonts w:ascii="宋体" w:hAnsi="宋体"/>
              </w:rPr>
            </w:pPr>
          </w:p>
        </w:tc>
        <w:tc>
          <w:tcPr>
            <w:tcW w:w="1216" w:type="dxa"/>
            <w:tcBorders>
              <w:top w:val="single" w:color="auto" w:sz="4" w:space="0"/>
              <w:left w:val="single" w:color="auto" w:sz="4" w:space="0"/>
              <w:bottom w:val="single" w:color="auto" w:sz="4" w:space="0"/>
              <w:right w:val="single" w:color="auto" w:sz="4" w:space="0"/>
            </w:tcBorders>
            <w:noWrap w:val="0"/>
            <w:vAlign w:val="center"/>
          </w:tcPr>
          <w:p w14:paraId="338EB3D1">
            <w:pPr>
              <w:rPr>
                <w:rFonts w:ascii="宋体" w:hAnsi="宋体"/>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A8A0E1A">
            <w:pPr>
              <w:rPr>
                <w:rFonts w:ascii="宋体" w:hAnsi="宋体"/>
              </w:rPr>
            </w:pPr>
          </w:p>
        </w:tc>
        <w:tc>
          <w:tcPr>
            <w:tcW w:w="954" w:type="dxa"/>
            <w:tcBorders>
              <w:top w:val="single" w:color="auto" w:sz="4" w:space="0"/>
              <w:left w:val="single" w:color="auto" w:sz="4" w:space="0"/>
              <w:bottom w:val="single" w:color="auto" w:sz="4" w:space="0"/>
              <w:right w:val="single" w:color="auto" w:sz="4" w:space="0"/>
            </w:tcBorders>
            <w:noWrap w:val="0"/>
            <w:vAlign w:val="center"/>
          </w:tcPr>
          <w:p w14:paraId="671EC91C">
            <w:pPr>
              <w:rPr>
                <w:rFonts w:ascii="宋体" w:hAnsi="宋体"/>
              </w:rPr>
            </w:pPr>
          </w:p>
        </w:tc>
        <w:tc>
          <w:tcPr>
            <w:tcW w:w="2309" w:type="dxa"/>
            <w:tcBorders>
              <w:top w:val="single" w:color="auto" w:sz="4" w:space="0"/>
              <w:left w:val="single" w:color="auto" w:sz="4" w:space="0"/>
              <w:bottom w:val="single" w:color="auto" w:sz="4" w:space="0"/>
              <w:right w:val="single" w:color="auto" w:sz="4" w:space="0"/>
            </w:tcBorders>
            <w:noWrap w:val="0"/>
            <w:vAlign w:val="center"/>
          </w:tcPr>
          <w:p w14:paraId="461BB811">
            <w:pPr>
              <w:rPr>
                <w:rFonts w:ascii="宋体" w:hAnsi="宋体"/>
              </w:rPr>
            </w:pPr>
          </w:p>
        </w:tc>
      </w:tr>
      <w:tr w14:paraId="110EF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595" w:type="dxa"/>
            <w:tcBorders>
              <w:top w:val="single" w:color="auto" w:sz="4" w:space="0"/>
              <w:left w:val="single" w:color="auto" w:sz="4" w:space="0"/>
              <w:bottom w:val="single" w:color="auto" w:sz="4" w:space="0"/>
              <w:right w:val="single" w:color="auto" w:sz="4" w:space="0"/>
            </w:tcBorders>
            <w:noWrap w:val="0"/>
            <w:vAlign w:val="center"/>
          </w:tcPr>
          <w:p w14:paraId="5791F2F1">
            <w:pPr>
              <w:rPr>
                <w:rFonts w:ascii="宋体" w:hAnsi="宋体"/>
              </w:rPr>
            </w:pPr>
            <w:r>
              <w:rPr>
                <w:rFonts w:hint="eastAsia" w:ascii="宋体" w:hAnsi="宋体"/>
                <w:szCs w:val="24"/>
              </w:rPr>
              <w:t>2</w:t>
            </w:r>
          </w:p>
        </w:tc>
        <w:tc>
          <w:tcPr>
            <w:tcW w:w="1383" w:type="dxa"/>
            <w:tcBorders>
              <w:top w:val="single" w:color="auto" w:sz="4" w:space="0"/>
              <w:left w:val="single" w:color="auto" w:sz="4" w:space="0"/>
              <w:bottom w:val="single" w:color="auto" w:sz="4" w:space="0"/>
              <w:right w:val="single" w:color="auto" w:sz="4" w:space="0"/>
            </w:tcBorders>
            <w:noWrap w:val="0"/>
            <w:vAlign w:val="center"/>
          </w:tcPr>
          <w:p w14:paraId="4B33946D">
            <w:pPr>
              <w:rPr>
                <w:rFonts w:ascii="宋体" w:hAnsi="宋体"/>
              </w:rPr>
            </w:pPr>
          </w:p>
        </w:tc>
        <w:tc>
          <w:tcPr>
            <w:tcW w:w="1927" w:type="dxa"/>
            <w:tcBorders>
              <w:top w:val="single" w:color="auto" w:sz="4" w:space="0"/>
              <w:left w:val="single" w:color="auto" w:sz="4" w:space="0"/>
              <w:bottom w:val="single" w:color="auto" w:sz="4" w:space="0"/>
              <w:right w:val="single" w:color="auto" w:sz="4" w:space="0"/>
            </w:tcBorders>
            <w:noWrap w:val="0"/>
            <w:vAlign w:val="center"/>
          </w:tcPr>
          <w:p w14:paraId="72B1034E">
            <w:pPr>
              <w:rPr>
                <w:rFonts w:ascii="宋体" w:hAnsi="宋体"/>
              </w:rPr>
            </w:pPr>
          </w:p>
        </w:tc>
        <w:tc>
          <w:tcPr>
            <w:tcW w:w="1216" w:type="dxa"/>
            <w:tcBorders>
              <w:top w:val="single" w:color="auto" w:sz="4" w:space="0"/>
              <w:left w:val="single" w:color="auto" w:sz="4" w:space="0"/>
              <w:bottom w:val="single" w:color="auto" w:sz="4" w:space="0"/>
              <w:right w:val="single" w:color="auto" w:sz="4" w:space="0"/>
            </w:tcBorders>
            <w:noWrap w:val="0"/>
            <w:vAlign w:val="center"/>
          </w:tcPr>
          <w:p w14:paraId="16F981CB">
            <w:pPr>
              <w:rPr>
                <w:rFonts w:ascii="宋体" w:hAnsi="宋体"/>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257B205">
            <w:pPr>
              <w:rPr>
                <w:rFonts w:ascii="宋体" w:hAnsi="宋体"/>
              </w:rPr>
            </w:pPr>
          </w:p>
        </w:tc>
        <w:tc>
          <w:tcPr>
            <w:tcW w:w="954" w:type="dxa"/>
            <w:tcBorders>
              <w:top w:val="single" w:color="auto" w:sz="4" w:space="0"/>
              <w:left w:val="single" w:color="auto" w:sz="4" w:space="0"/>
              <w:bottom w:val="single" w:color="auto" w:sz="4" w:space="0"/>
              <w:right w:val="single" w:color="auto" w:sz="4" w:space="0"/>
            </w:tcBorders>
            <w:noWrap w:val="0"/>
            <w:vAlign w:val="center"/>
          </w:tcPr>
          <w:p w14:paraId="33512DA1">
            <w:pPr>
              <w:rPr>
                <w:rFonts w:ascii="宋体" w:hAnsi="宋体"/>
              </w:rPr>
            </w:pPr>
          </w:p>
        </w:tc>
        <w:tc>
          <w:tcPr>
            <w:tcW w:w="2309" w:type="dxa"/>
            <w:tcBorders>
              <w:top w:val="single" w:color="auto" w:sz="4" w:space="0"/>
              <w:left w:val="single" w:color="auto" w:sz="4" w:space="0"/>
              <w:bottom w:val="single" w:color="auto" w:sz="4" w:space="0"/>
              <w:right w:val="single" w:color="auto" w:sz="4" w:space="0"/>
            </w:tcBorders>
            <w:noWrap w:val="0"/>
            <w:vAlign w:val="center"/>
          </w:tcPr>
          <w:p w14:paraId="215CF4B5">
            <w:pPr>
              <w:rPr>
                <w:rFonts w:ascii="宋体" w:hAnsi="宋体"/>
              </w:rPr>
            </w:pPr>
          </w:p>
        </w:tc>
      </w:tr>
      <w:tr w14:paraId="6DE86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 w:hRule="atLeast"/>
        </w:trPr>
        <w:tc>
          <w:tcPr>
            <w:tcW w:w="595" w:type="dxa"/>
            <w:tcBorders>
              <w:top w:val="single" w:color="auto" w:sz="4" w:space="0"/>
              <w:left w:val="single" w:color="auto" w:sz="4" w:space="0"/>
              <w:bottom w:val="single" w:color="auto" w:sz="4" w:space="0"/>
              <w:right w:val="single" w:color="auto" w:sz="4" w:space="0"/>
            </w:tcBorders>
            <w:noWrap w:val="0"/>
            <w:vAlign w:val="center"/>
          </w:tcPr>
          <w:p w14:paraId="6174D1C7">
            <w:pPr>
              <w:rPr>
                <w:rFonts w:ascii="宋体" w:hAnsi="宋体"/>
              </w:rPr>
            </w:pPr>
            <w:r>
              <w:rPr>
                <w:rFonts w:hint="eastAsia" w:ascii="宋体" w:hAnsi="宋体"/>
                <w:szCs w:val="24"/>
              </w:rPr>
              <w:t>...</w:t>
            </w:r>
          </w:p>
        </w:tc>
        <w:tc>
          <w:tcPr>
            <w:tcW w:w="1383" w:type="dxa"/>
            <w:tcBorders>
              <w:top w:val="single" w:color="auto" w:sz="4" w:space="0"/>
              <w:left w:val="single" w:color="auto" w:sz="4" w:space="0"/>
              <w:bottom w:val="single" w:color="auto" w:sz="4" w:space="0"/>
              <w:right w:val="single" w:color="auto" w:sz="4" w:space="0"/>
            </w:tcBorders>
            <w:noWrap w:val="0"/>
            <w:vAlign w:val="center"/>
          </w:tcPr>
          <w:p w14:paraId="4DEF5CE6">
            <w:pPr>
              <w:rPr>
                <w:rFonts w:ascii="宋体" w:hAnsi="宋体"/>
              </w:rPr>
            </w:pPr>
          </w:p>
        </w:tc>
        <w:tc>
          <w:tcPr>
            <w:tcW w:w="1927" w:type="dxa"/>
            <w:tcBorders>
              <w:top w:val="single" w:color="auto" w:sz="4" w:space="0"/>
              <w:left w:val="single" w:color="auto" w:sz="4" w:space="0"/>
              <w:bottom w:val="single" w:color="auto" w:sz="4" w:space="0"/>
              <w:right w:val="single" w:color="auto" w:sz="4" w:space="0"/>
            </w:tcBorders>
            <w:noWrap w:val="0"/>
            <w:vAlign w:val="center"/>
          </w:tcPr>
          <w:p w14:paraId="29905121">
            <w:pPr>
              <w:rPr>
                <w:rFonts w:ascii="宋体" w:hAnsi="宋体"/>
              </w:rPr>
            </w:pPr>
          </w:p>
        </w:tc>
        <w:tc>
          <w:tcPr>
            <w:tcW w:w="1216" w:type="dxa"/>
            <w:tcBorders>
              <w:top w:val="single" w:color="auto" w:sz="4" w:space="0"/>
              <w:left w:val="single" w:color="auto" w:sz="4" w:space="0"/>
              <w:bottom w:val="single" w:color="auto" w:sz="4" w:space="0"/>
              <w:right w:val="single" w:color="auto" w:sz="4" w:space="0"/>
            </w:tcBorders>
            <w:noWrap w:val="0"/>
            <w:vAlign w:val="center"/>
          </w:tcPr>
          <w:p w14:paraId="0534B30F">
            <w:pPr>
              <w:rPr>
                <w:rFonts w:ascii="宋体" w:hAnsi="宋体"/>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B3F2246">
            <w:pPr>
              <w:rPr>
                <w:rFonts w:ascii="宋体" w:hAnsi="宋体"/>
              </w:rPr>
            </w:pPr>
          </w:p>
        </w:tc>
        <w:tc>
          <w:tcPr>
            <w:tcW w:w="954" w:type="dxa"/>
            <w:tcBorders>
              <w:top w:val="single" w:color="auto" w:sz="4" w:space="0"/>
              <w:left w:val="single" w:color="auto" w:sz="4" w:space="0"/>
              <w:bottom w:val="single" w:color="auto" w:sz="4" w:space="0"/>
              <w:right w:val="single" w:color="auto" w:sz="4" w:space="0"/>
            </w:tcBorders>
            <w:noWrap w:val="0"/>
            <w:vAlign w:val="center"/>
          </w:tcPr>
          <w:p w14:paraId="32FB0806">
            <w:pPr>
              <w:rPr>
                <w:rFonts w:ascii="宋体" w:hAnsi="宋体"/>
              </w:rPr>
            </w:pPr>
          </w:p>
        </w:tc>
        <w:tc>
          <w:tcPr>
            <w:tcW w:w="2309" w:type="dxa"/>
            <w:tcBorders>
              <w:top w:val="single" w:color="auto" w:sz="4" w:space="0"/>
              <w:left w:val="single" w:color="auto" w:sz="4" w:space="0"/>
              <w:bottom w:val="single" w:color="auto" w:sz="4" w:space="0"/>
              <w:right w:val="single" w:color="auto" w:sz="4" w:space="0"/>
            </w:tcBorders>
            <w:noWrap w:val="0"/>
            <w:vAlign w:val="center"/>
          </w:tcPr>
          <w:p w14:paraId="791422C8">
            <w:pPr>
              <w:rPr>
                <w:rFonts w:ascii="宋体" w:hAnsi="宋体"/>
              </w:rPr>
            </w:pPr>
          </w:p>
        </w:tc>
      </w:tr>
      <w:tr w14:paraId="55221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464" w:type="dxa"/>
            <w:gridSpan w:val="7"/>
            <w:tcBorders>
              <w:top w:val="single" w:color="auto" w:sz="4" w:space="0"/>
              <w:left w:val="single" w:color="auto" w:sz="4" w:space="0"/>
              <w:bottom w:val="single" w:color="auto" w:sz="4" w:space="0"/>
              <w:right w:val="single" w:color="auto" w:sz="4" w:space="0"/>
            </w:tcBorders>
            <w:noWrap w:val="0"/>
            <w:vAlign w:val="top"/>
          </w:tcPr>
          <w:p w14:paraId="4D3C597E">
            <w:pPr>
              <w:rPr>
                <w:rFonts w:ascii="宋体" w:hAnsi="宋体"/>
              </w:rPr>
            </w:pPr>
            <w:r>
              <w:rPr>
                <w:rFonts w:hint="eastAsia" w:ascii="宋体" w:hAnsi="宋体"/>
                <w:szCs w:val="24"/>
              </w:rPr>
              <w:t>报价合计（包含税费等所有费用）：（大写）人民币                                       （￥                元）</w:t>
            </w:r>
          </w:p>
        </w:tc>
      </w:tr>
    </w:tbl>
    <w:p w14:paraId="54F5883A">
      <w:pPr>
        <w:snapToGrid w:val="0"/>
        <w:spacing w:before="50" w:after="50" w:line="360" w:lineRule="auto"/>
        <w:ind w:firstLine="480" w:firstLineChars="200"/>
        <w:jc w:val="left"/>
        <w:rPr>
          <w:rFonts w:hint="eastAsia" w:ascii="仿宋_GB2312" w:hAnsi="仿宋" w:eastAsia="仿宋_GB2312" w:cs="仿宋_GB2312"/>
          <w:kern w:val="0"/>
          <w:sz w:val="24"/>
          <w:lang w:val="zh-CN"/>
        </w:rPr>
      </w:pPr>
      <w:r>
        <w:rPr>
          <w:rFonts w:hint="eastAsia" w:ascii="仿宋_GB2312" w:hAnsi="仿宋" w:eastAsia="仿宋_GB2312" w:cs="仿宋_GB2312"/>
          <w:kern w:val="0"/>
          <w:sz w:val="24"/>
          <w:szCs w:val="24"/>
          <w:lang w:val="zh-CN"/>
        </w:rPr>
        <w:t xml:space="preserve"> </w:t>
      </w:r>
    </w:p>
    <w:p w14:paraId="2DF30D13">
      <w:pPr>
        <w:snapToGrid w:val="0"/>
        <w:spacing w:before="50" w:after="50" w:line="360" w:lineRule="auto"/>
        <w:ind w:firstLine="480" w:firstLineChars="200"/>
        <w:jc w:val="left"/>
        <w:rPr>
          <w:rFonts w:hint="eastAsia" w:ascii="仿宋_GB2312" w:hAnsi="仿宋" w:eastAsia="仿宋_GB2312" w:cs="仿宋_GB2312"/>
          <w:kern w:val="0"/>
          <w:sz w:val="24"/>
          <w:szCs w:val="24"/>
          <w:lang w:val="zh-CN"/>
        </w:rPr>
      </w:pPr>
      <w:r>
        <w:rPr>
          <w:rFonts w:hint="eastAsia" w:ascii="仿宋_GB2312" w:hAnsi="仿宋" w:eastAsia="仿宋_GB2312" w:cs="仿宋_GB2312"/>
          <w:kern w:val="0"/>
          <w:sz w:val="24"/>
          <w:szCs w:val="24"/>
          <w:lang w:val="zh-CN"/>
        </w:rPr>
        <w:t>1、 供应商需按本表格式填写，不得自行更改，也不得留空, 如有多分标，按分标分别提供响应报价表</w:t>
      </w:r>
      <w:r>
        <w:rPr>
          <w:rFonts w:hint="eastAsia" w:ascii="仿宋_GB2312" w:hAnsi="仿宋" w:eastAsia="仿宋_GB2312" w:cs="仿宋_GB2312"/>
          <w:b/>
          <w:kern w:val="0"/>
          <w:sz w:val="24"/>
          <w:szCs w:val="24"/>
          <w:lang w:val="zh-CN"/>
        </w:rPr>
        <w:t>。</w:t>
      </w:r>
    </w:p>
    <w:p w14:paraId="7D62C19B">
      <w:pPr>
        <w:snapToGrid w:val="0"/>
        <w:spacing w:before="50" w:after="50" w:line="360" w:lineRule="auto"/>
        <w:ind w:firstLine="480" w:firstLineChars="200"/>
        <w:jc w:val="left"/>
        <w:rPr>
          <w:rFonts w:hint="eastAsia" w:ascii="仿宋_GB2312" w:hAnsi="仿宋" w:eastAsia="仿宋_GB2312" w:cs="仿宋_GB2312"/>
          <w:b/>
          <w:kern w:val="0"/>
          <w:sz w:val="24"/>
          <w:szCs w:val="24"/>
          <w:lang w:val="zh-CN"/>
        </w:rPr>
      </w:pPr>
      <w:r>
        <w:rPr>
          <w:rFonts w:hint="eastAsia" w:ascii="仿宋_GB2312" w:hAnsi="仿宋" w:eastAsia="仿宋_GB2312" w:cs="仿宋_GB2312"/>
          <w:kern w:val="0"/>
          <w:sz w:val="24"/>
          <w:szCs w:val="24"/>
          <w:lang w:val="zh-CN"/>
        </w:rPr>
        <w:t>2、如为联合体响应的，“供应商名称”处必须列明联合体各方名称，并标注联合体牵头人名称，且盖章处须加盖联合体各方公章，</w:t>
      </w:r>
      <w:r>
        <w:rPr>
          <w:rFonts w:hint="eastAsia" w:ascii="仿宋_GB2312" w:hAnsi="仿宋" w:eastAsia="仿宋_GB2312" w:cs="仿宋_GB2312"/>
          <w:b/>
          <w:kern w:val="0"/>
          <w:sz w:val="24"/>
          <w:szCs w:val="24"/>
          <w:lang w:val="zh-CN"/>
        </w:rPr>
        <w:t>否则其响应作无效响应处理。</w:t>
      </w:r>
    </w:p>
    <w:p w14:paraId="5E1840E5">
      <w:pPr>
        <w:snapToGrid w:val="0"/>
        <w:spacing w:before="50" w:after="50" w:line="360" w:lineRule="auto"/>
        <w:ind w:firstLine="480" w:firstLineChars="200"/>
        <w:jc w:val="left"/>
        <w:rPr>
          <w:rFonts w:hint="eastAsia" w:ascii="仿宋_GB2312" w:hAnsi="仿宋" w:eastAsia="仿宋_GB2312" w:cs="仿宋_GB2312"/>
          <w:b/>
          <w:kern w:val="0"/>
          <w:sz w:val="24"/>
          <w:szCs w:val="24"/>
          <w:lang w:val="zh-CN"/>
        </w:rPr>
      </w:pPr>
      <w:r>
        <w:rPr>
          <w:rFonts w:hint="eastAsia" w:ascii="仿宋_GB2312" w:hAnsi="仿宋" w:eastAsia="仿宋_GB2312" w:cs="仿宋_GB2312"/>
          <w:kern w:val="0"/>
          <w:sz w:val="24"/>
          <w:szCs w:val="24"/>
          <w:lang w:val="zh-CN"/>
        </w:rPr>
        <w:t>3、以上表格要求细分项目及报价，在“货物名称”一栏中，填写具体货物，</w:t>
      </w:r>
      <w:r>
        <w:rPr>
          <w:rFonts w:hint="eastAsia" w:ascii="仿宋_GB2312" w:hAnsi="仿宋" w:eastAsia="仿宋_GB2312" w:cs="仿宋_GB2312"/>
          <w:b/>
          <w:kern w:val="0"/>
          <w:sz w:val="24"/>
          <w:szCs w:val="24"/>
          <w:lang w:val="zh-CN"/>
        </w:rPr>
        <w:t>否则其响应作无效响应处理。</w:t>
      </w:r>
    </w:p>
    <w:p w14:paraId="44AD4FDD">
      <w:pPr>
        <w:snapToGrid w:val="0"/>
        <w:spacing w:line="360" w:lineRule="auto"/>
        <w:ind w:firstLine="480" w:firstLineChars="200"/>
        <w:jc w:val="left"/>
        <w:rPr>
          <w:rFonts w:hint="eastAsia" w:ascii="仿宋_GB2312" w:hAnsi="仿宋" w:eastAsia="仿宋_GB2312" w:cs="仿宋_GB2312"/>
          <w:kern w:val="0"/>
          <w:sz w:val="24"/>
          <w:szCs w:val="24"/>
          <w:lang w:val="zh-CN"/>
        </w:rPr>
      </w:pPr>
      <w:r>
        <w:rPr>
          <w:rFonts w:hint="eastAsia" w:ascii="仿宋_GB2312" w:hAnsi="仿宋" w:eastAsia="仿宋_GB2312" w:cs="仿宋_GB2312"/>
          <w:kern w:val="0"/>
          <w:sz w:val="24"/>
          <w:szCs w:val="24"/>
          <w:lang w:val="zh-CN"/>
        </w:rPr>
        <w:t>4、特别提示：采购机构将对项目名称和项目编号，成交供应商名称、地址和成交金额，主要成交标的的名称、规格型号、数量、单价、货物要求等予以公示。</w:t>
      </w:r>
    </w:p>
    <w:p w14:paraId="6C15A662">
      <w:pPr>
        <w:snapToGrid w:val="0"/>
        <w:spacing w:line="360" w:lineRule="auto"/>
        <w:ind w:firstLine="480" w:firstLineChars="200"/>
        <w:jc w:val="left"/>
        <w:rPr>
          <w:rFonts w:hint="eastAsia" w:ascii="仿宋_GB2312" w:hAnsi="仿宋" w:eastAsia="仿宋_GB2312" w:cs="仿宋_GB2312"/>
          <w:kern w:val="0"/>
          <w:sz w:val="24"/>
          <w:szCs w:val="24"/>
          <w:lang w:val="zh-CN"/>
        </w:rPr>
      </w:pPr>
      <w:r>
        <w:rPr>
          <w:rFonts w:hint="eastAsia" w:ascii="仿宋_GB2312" w:hAnsi="仿宋" w:eastAsia="仿宋_GB2312" w:cs="仿宋_GB2312"/>
          <w:kern w:val="0"/>
          <w:sz w:val="24"/>
          <w:szCs w:val="24"/>
          <w:lang w:val="zh-CN"/>
        </w:rPr>
        <w:t>5、符合采购文件中列明的可享受中小企业扶持政策的供应商，请填写中小企业声明函。注：供应商提供的中小企业声明函内容不实的，属于提供虚假材料谋取成交、成交，依照《中华人民共和国政府采购法》等国家有关规定追究相应责任。</w:t>
      </w:r>
    </w:p>
    <w:p w14:paraId="1EA8A5FD">
      <w:pPr>
        <w:autoSpaceDE w:val="0"/>
        <w:autoSpaceDN w:val="0"/>
        <w:spacing w:line="360" w:lineRule="auto"/>
        <w:ind w:left="4335" w:leftChars="1950" w:hanging="240" w:hangingChars="100"/>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供应商名称（电子签章）：</w:t>
      </w:r>
    </w:p>
    <w:p w14:paraId="4684415F">
      <w:pPr>
        <w:autoSpaceDE w:val="0"/>
        <w:autoSpaceDN w:val="0"/>
        <w:spacing w:line="360" w:lineRule="auto"/>
        <w:ind w:firstLine="6480" w:firstLineChars="2700"/>
        <w:rPr>
          <w:rFonts w:hint="eastAsia" w:ascii="仿宋_GB2312" w:hAnsi="仿宋" w:eastAsia="仿宋_GB2312" w:cs="仿宋_GB2312"/>
          <w:kern w:val="0"/>
          <w:sz w:val="24"/>
          <w:szCs w:val="24"/>
          <w:lang w:val="zh-CN"/>
        </w:rPr>
      </w:pPr>
      <w:r>
        <w:rPr>
          <w:rFonts w:hint="eastAsia" w:ascii="仿宋_GB2312" w:hAnsi="仿宋" w:eastAsia="仿宋_GB2312" w:cs="仿宋_GB2312"/>
          <w:kern w:val="0"/>
          <w:sz w:val="24"/>
          <w:szCs w:val="24"/>
          <w:lang w:val="zh-CN"/>
        </w:rPr>
        <w:t>日期：  年  月   日</w:t>
      </w:r>
    </w:p>
    <w:p w14:paraId="63F30270">
      <w:pPr>
        <w:spacing w:line="500" w:lineRule="exact"/>
        <w:ind w:firstLine="602" w:firstLineChars="200"/>
        <w:rPr>
          <w:rFonts w:hint="eastAsia" w:ascii="仿宋" w:hAnsi="仿宋" w:eastAsia="仿宋" w:cs="仿宋_GB2312"/>
          <w:b/>
          <w:sz w:val="30"/>
          <w:szCs w:val="30"/>
        </w:rPr>
      </w:pPr>
    </w:p>
    <w:p w14:paraId="0B83B8EF">
      <w:pPr>
        <w:spacing w:line="500" w:lineRule="exact"/>
        <w:ind w:firstLine="602" w:firstLineChars="200"/>
        <w:rPr>
          <w:rFonts w:hint="eastAsia" w:ascii="仿宋" w:hAnsi="仿宋" w:eastAsia="仿宋" w:cs="仿宋_GB2312"/>
          <w:b/>
          <w:sz w:val="30"/>
          <w:szCs w:val="30"/>
        </w:rPr>
      </w:pPr>
    </w:p>
    <w:p w14:paraId="586F2B19">
      <w:pPr>
        <w:spacing w:line="500" w:lineRule="exact"/>
        <w:ind w:firstLine="602" w:firstLineChars="200"/>
        <w:rPr>
          <w:rFonts w:hint="eastAsia" w:ascii="仿宋" w:hAnsi="仿宋" w:eastAsia="仿宋" w:cs="仿宋_GB2312"/>
          <w:b/>
          <w:sz w:val="30"/>
          <w:szCs w:val="30"/>
        </w:rPr>
      </w:pPr>
    </w:p>
    <w:p w14:paraId="0D5F01C3">
      <w:pPr>
        <w:spacing w:line="500" w:lineRule="exact"/>
        <w:ind w:firstLine="602" w:firstLineChars="200"/>
        <w:rPr>
          <w:rFonts w:hint="eastAsia" w:ascii="仿宋" w:hAnsi="仿宋" w:eastAsia="仿宋" w:cs="仿宋_GB2312"/>
          <w:b/>
          <w:sz w:val="30"/>
          <w:szCs w:val="30"/>
        </w:rPr>
      </w:pPr>
    </w:p>
    <w:p w14:paraId="11869D65">
      <w:pPr>
        <w:snapToGrid w:val="0"/>
        <w:spacing w:before="50" w:after="50" w:line="360" w:lineRule="auto"/>
        <w:ind w:right="-817" w:rightChars="-389"/>
        <w:rPr>
          <w:rFonts w:hint="eastAsia" w:ascii="仿宋_GB2312" w:hAnsi="仿宋_GB2312" w:eastAsia="仿宋_GB2312" w:cs="仿宋_GB2312"/>
          <w:b/>
          <w:sz w:val="32"/>
          <w:szCs w:val="32"/>
        </w:rPr>
      </w:pPr>
    </w:p>
    <w:p w14:paraId="05782D9D">
      <w:pPr>
        <w:pStyle w:val="9"/>
        <w:ind w:firstLine="526"/>
        <w:jc w:val="center"/>
        <w:rPr>
          <w:rFonts w:hint="eastAsia" w:ascii="宋体" w:hAnsi="宋体"/>
          <w:b/>
          <w:color w:val="000000"/>
          <w:sz w:val="32"/>
          <w:szCs w:val="32"/>
        </w:rPr>
      </w:pPr>
      <w:r>
        <w:rPr>
          <w:rFonts w:hint="eastAsia" w:ascii="宋体" w:hAnsi="宋体"/>
          <w:szCs w:val="32"/>
        </w:rPr>
        <w:br w:type="page"/>
      </w:r>
      <w:bookmarkStart w:id="57" w:name="OLE_LINK31"/>
      <w:bookmarkStart w:id="58" w:name="OLE_LINK30"/>
      <w:bookmarkStart w:id="59" w:name="_Toc179528723"/>
      <w:r>
        <w:rPr>
          <w:rFonts w:hint="eastAsia" w:ascii="宋体" w:hAnsi="宋体"/>
          <w:b/>
          <w:color w:val="000000"/>
          <w:sz w:val="32"/>
          <w:szCs w:val="32"/>
          <w:lang w:eastAsia="zh-CN"/>
        </w:rPr>
        <w:t>三</w:t>
      </w:r>
      <w:r>
        <w:rPr>
          <w:rFonts w:hint="eastAsia" w:ascii="宋体" w:hAnsi="宋体"/>
          <w:b/>
          <w:color w:val="000000"/>
          <w:sz w:val="32"/>
          <w:szCs w:val="32"/>
        </w:rPr>
        <w:t>、关于符合本国产品标准的声明函</w:t>
      </w:r>
      <w:bookmarkEnd w:id="57"/>
      <w:bookmarkEnd w:id="58"/>
    </w:p>
    <w:p w14:paraId="0AC6452B">
      <w:pPr>
        <w:widowControl/>
        <w:ind w:firstLine="526"/>
        <w:jc w:val="center"/>
        <w:rPr>
          <w:rFonts w:ascii="宋体" w:hAnsi="宋体"/>
          <w:b/>
          <w:color w:val="000000"/>
          <w:sz w:val="32"/>
          <w:szCs w:val="32"/>
        </w:rPr>
      </w:pPr>
    </w:p>
    <w:p w14:paraId="13F155F2">
      <w:pPr>
        <w:widowControl/>
        <w:spacing w:line="360" w:lineRule="auto"/>
        <w:ind w:firstLine="443"/>
        <w:jc w:val="left"/>
        <w:rPr>
          <w:rFonts w:hint="eastAsia" w:ascii="宋体" w:hAnsi="宋体" w:cs="宋体"/>
          <w:color w:val="000000"/>
          <w:kern w:val="0"/>
          <w:sz w:val="24"/>
          <w:szCs w:val="24"/>
        </w:rPr>
      </w:pPr>
      <w:r>
        <w:rPr>
          <w:rFonts w:hint="eastAsia" w:ascii="宋体" w:hAnsi="宋体" w:cs="宋体"/>
          <w:color w:val="000000"/>
          <w:kern w:val="0"/>
          <w:sz w:val="24"/>
          <w:szCs w:val="24"/>
        </w:rPr>
        <w:t>本公司（单位）郑重声明，根据《国务院办公厅关于在政府采购中实施本国产品标准及相关政策的通知》（国办发〔2025〕34号）的规定，本公司（单位）提供的以下产品属于本国产品。具体情况如下：</w:t>
      </w:r>
    </w:p>
    <w:p w14:paraId="73472570">
      <w:pPr>
        <w:widowControl/>
        <w:spacing w:line="360" w:lineRule="auto"/>
        <w:ind w:firstLine="443"/>
        <w:jc w:val="left"/>
        <w:rPr>
          <w:rFonts w:hint="eastAsia" w:ascii="宋体" w:hAnsi="宋体" w:cs="宋体"/>
          <w:color w:val="000000"/>
          <w:kern w:val="0"/>
          <w:sz w:val="24"/>
          <w:szCs w:val="24"/>
        </w:rPr>
      </w:pPr>
      <w:r>
        <w:rPr>
          <w:rFonts w:hint="eastAsia" w:ascii="宋体" w:hAnsi="宋体" w:cs="宋体"/>
          <w:color w:val="000000"/>
          <w:kern w:val="0"/>
          <w:sz w:val="24"/>
          <w:szCs w:val="24"/>
        </w:rPr>
        <w:t>1.（产品名称1）1，生产厂为（厂名）2，厂址为（生产厂址）。（产品名称1）的中国境内生产的组件成本占比≥（规定比例）3。（产品名称1）的（关键组件）4在中国境内生产。（产品名称1）的（关键工序）5在中国境内完成。</w:t>
      </w:r>
    </w:p>
    <w:p w14:paraId="6B9350B8">
      <w:pPr>
        <w:widowControl/>
        <w:spacing w:line="360" w:lineRule="auto"/>
        <w:ind w:firstLine="443"/>
        <w:jc w:val="left"/>
        <w:rPr>
          <w:rFonts w:hint="eastAsia" w:ascii="宋体" w:hAnsi="宋体" w:cs="宋体"/>
          <w:color w:val="000000"/>
          <w:kern w:val="0"/>
          <w:sz w:val="24"/>
          <w:szCs w:val="24"/>
        </w:rPr>
      </w:pPr>
      <w:r>
        <w:rPr>
          <w:rFonts w:hint="eastAsia" w:ascii="宋体" w:hAnsi="宋体" w:cs="宋体"/>
          <w:color w:val="000000"/>
          <w:kern w:val="0"/>
          <w:sz w:val="24"/>
          <w:szCs w:val="24"/>
        </w:rPr>
        <w:t>2.（产品名称2），生产厂为（厂名），厂址为（生产厂址）。（产品名称2）的中国境内生产的组件成本占比≥（规定比例）。（产品名称2）的（关键组件）在中国境内生产。（产品名称2）的（关键工序）在中国境内完成。</w:t>
      </w:r>
    </w:p>
    <w:p w14:paraId="46C11E26">
      <w:pPr>
        <w:widowControl/>
        <w:spacing w:line="360" w:lineRule="auto"/>
        <w:ind w:firstLine="443"/>
        <w:jc w:val="left"/>
        <w:rPr>
          <w:rFonts w:hint="eastAsia" w:ascii="宋体" w:hAnsi="宋体" w:cs="宋体"/>
          <w:color w:val="000000"/>
          <w:kern w:val="0"/>
          <w:sz w:val="24"/>
          <w:szCs w:val="24"/>
        </w:rPr>
      </w:pPr>
      <w:r>
        <w:rPr>
          <w:rFonts w:hint="eastAsia" w:ascii="宋体" w:hAnsi="宋体" w:cs="宋体"/>
          <w:color w:val="000000"/>
          <w:kern w:val="0"/>
          <w:sz w:val="24"/>
          <w:szCs w:val="24"/>
        </w:rPr>
        <w:t>……</w:t>
      </w:r>
    </w:p>
    <w:p w14:paraId="2B7B207F">
      <w:pPr>
        <w:widowControl/>
        <w:spacing w:line="360" w:lineRule="auto"/>
        <w:ind w:firstLine="443"/>
        <w:jc w:val="left"/>
        <w:rPr>
          <w:rFonts w:hint="eastAsia" w:ascii="宋体" w:hAnsi="宋体" w:cs="宋体"/>
          <w:color w:val="000000"/>
          <w:kern w:val="0"/>
          <w:sz w:val="24"/>
          <w:szCs w:val="24"/>
        </w:rPr>
      </w:pPr>
      <w:bookmarkStart w:id="60" w:name="OLE_LINK56"/>
      <w:r>
        <w:rPr>
          <w:rFonts w:hint="eastAsia" w:ascii="宋体" w:hAnsi="宋体" w:cs="宋体"/>
          <w:color w:val="000000"/>
          <w:kern w:val="0"/>
          <w:sz w:val="24"/>
          <w:szCs w:val="24"/>
        </w:rPr>
        <w:t>本</w:t>
      </w:r>
      <w:bookmarkStart w:id="61" w:name="OLE_LINK55"/>
      <w:r>
        <w:rPr>
          <w:rFonts w:hint="eastAsia" w:ascii="宋体" w:hAnsi="宋体" w:cs="宋体"/>
          <w:color w:val="000000"/>
          <w:kern w:val="0"/>
          <w:sz w:val="24"/>
          <w:szCs w:val="24"/>
        </w:rPr>
        <w:t>公司（单位）</w:t>
      </w:r>
      <w:bookmarkEnd w:id="61"/>
      <w:r>
        <w:rPr>
          <w:rFonts w:hint="eastAsia" w:ascii="宋体" w:hAnsi="宋体" w:cs="宋体"/>
          <w:color w:val="000000"/>
          <w:kern w:val="0"/>
          <w:sz w:val="24"/>
          <w:szCs w:val="24"/>
        </w:rPr>
        <w:t>对上述声明内容的真实性负责。如有虚假，愿承担相应法律责任。</w:t>
      </w:r>
    </w:p>
    <w:p w14:paraId="0F5E611A">
      <w:pPr>
        <w:widowControl/>
        <w:spacing w:line="360" w:lineRule="auto"/>
        <w:ind w:firstLine="443"/>
        <w:jc w:val="left"/>
        <w:rPr>
          <w:rFonts w:hint="eastAsia" w:ascii="宋体" w:hAnsi="宋体" w:cs="宋体"/>
          <w:color w:val="000000"/>
          <w:kern w:val="0"/>
          <w:sz w:val="24"/>
          <w:szCs w:val="24"/>
        </w:rPr>
      </w:pPr>
      <w:r>
        <w:rPr>
          <w:rFonts w:ascii="Times New Roman" w:hAnsi="Times New Roman"/>
          <w:color w:val="000000"/>
          <w:kern w:val="0"/>
          <w:sz w:val="24"/>
          <w:szCs w:val="24"/>
        </w:rPr>
        <w:t>       </w:t>
      </w:r>
      <w:r>
        <w:rPr>
          <w:rFonts w:hint="eastAsia" w:ascii="Times New Roman" w:hAnsi="Times New Roman"/>
          <w:color w:val="000000"/>
          <w:kern w:val="0"/>
          <w:sz w:val="24"/>
          <w:szCs w:val="24"/>
        </w:rPr>
        <w:t xml:space="preserve">            </w:t>
      </w:r>
      <w:r>
        <w:rPr>
          <w:rFonts w:ascii="Times New Roman" w:hAnsi="Times New Roman"/>
          <w:color w:val="000000"/>
          <w:kern w:val="0"/>
          <w:sz w:val="24"/>
          <w:szCs w:val="24"/>
        </w:rPr>
        <w:t> </w:t>
      </w:r>
      <w:r>
        <w:rPr>
          <w:rFonts w:hint="eastAsia" w:ascii="宋体" w:hAnsi="宋体" w:cs="宋体"/>
          <w:b/>
          <w:color w:val="000000"/>
          <w:kern w:val="0"/>
          <w:sz w:val="24"/>
          <w:szCs w:val="24"/>
        </w:rPr>
        <w:t>公司（单位）名称（盖章）</w:t>
      </w:r>
      <w:r>
        <w:rPr>
          <w:rFonts w:hint="eastAsia" w:ascii="宋体" w:hAnsi="宋体" w:cs="宋体"/>
          <w:color w:val="000000"/>
          <w:kern w:val="0"/>
          <w:sz w:val="24"/>
          <w:szCs w:val="24"/>
        </w:rPr>
        <w:t>：</w:t>
      </w:r>
      <w:r>
        <w:rPr>
          <w:rFonts w:hint="eastAsia" w:ascii="宋体" w:hAnsi="宋体" w:cs="宋体"/>
          <w:color w:val="000000"/>
          <w:kern w:val="0"/>
          <w:sz w:val="24"/>
          <w:szCs w:val="24"/>
          <w:u w:val="single"/>
        </w:rPr>
        <w:t xml:space="preserve">　             </w:t>
      </w:r>
    </w:p>
    <w:p w14:paraId="34D23276">
      <w:pPr>
        <w:widowControl/>
        <w:spacing w:line="360" w:lineRule="auto"/>
        <w:ind w:firstLine="443"/>
        <w:jc w:val="left"/>
        <w:rPr>
          <w:rFonts w:hint="eastAsia" w:ascii="宋体" w:hAnsi="宋体" w:cs="宋体"/>
          <w:color w:val="000000"/>
          <w:kern w:val="0"/>
          <w:sz w:val="24"/>
          <w:szCs w:val="24"/>
          <w:u w:val="single"/>
        </w:rPr>
      </w:pPr>
      <w:r>
        <w:rPr>
          <w:rFonts w:ascii="Times New Roman" w:hAnsi="Times New Roman"/>
          <w:color w:val="000000"/>
          <w:kern w:val="0"/>
          <w:sz w:val="24"/>
          <w:szCs w:val="24"/>
        </w:rPr>
        <w:t>         </w:t>
      </w:r>
      <w:r>
        <w:rPr>
          <w:rFonts w:hint="eastAsia" w:ascii="Times New Roman" w:hAnsi="Times New Roman"/>
          <w:color w:val="000000"/>
          <w:kern w:val="0"/>
          <w:sz w:val="24"/>
          <w:szCs w:val="24"/>
        </w:rPr>
        <w:t xml:space="preserve">                              </w:t>
      </w:r>
      <w:r>
        <w:rPr>
          <w:rFonts w:ascii="Times New Roman" w:hAnsi="Times New Roman"/>
          <w:color w:val="000000"/>
          <w:kern w:val="0"/>
          <w:sz w:val="24"/>
          <w:szCs w:val="24"/>
        </w:rPr>
        <w:t> </w:t>
      </w:r>
      <w:r>
        <w:rPr>
          <w:rFonts w:hint="eastAsia" w:ascii="宋体" w:hAnsi="宋体" w:cs="宋体"/>
          <w:color w:val="000000"/>
          <w:kern w:val="0"/>
          <w:sz w:val="24"/>
          <w:szCs w:val="24"/>
        </w:rPr>
        <w:t>日期：</w:t>
      </w:r>
      <w:r>
        <w:rPr>
          <w:rFonts w:hint="eastAsia" w:ascii="宋体" w:hAnsi="宋体" w:cs="宋体"/>
          <w:color w:val="000000"/>
          <w:kern w:val="0"/>
          <w:sz w:val="24"/>
          <w:szCs w:val="24"/>
          <w:u w:val="single"/>
        </w:rPr>
        <w:t>　  年   月  日</w:t>
      </w:r>
    </w:p>
    <w:bookmarkEnd w:id="60"/>
    <w:p w14:paraId="7F92F8F1">
      <w:pPr>
        <w:widowControl/>
        <w:spacing w:line="360" w:lineRule="auto"/>
        <w:ind w:firstLine="526"/>
        <w:jc w:val="left"/>
        <w:rPr>
          <w:rFonts w:hint="eastAsia" w:ascii="宋体" w:hAnsi="宋体" w:cs="宋体"/>
          <w:color w:val="000000"/>
          <w:kern w:val="0"/>
          <w:sz w:val="24"/>
          <w:szCs w:val="24"/>
        </w:rPr>
      </w:pPr>
      <w:bookmarkStart w:id="62" w:name="OLE_LINK57"/>
      <w:bookmarkStart w:id="63" w:name="OLE_LINK58"/>
      <w:r>
        <w:rPr>
          <w:rFonts w:hint="eastAsia" w:ascii="宋体" w:hAnsi="宋体" w:cs="宋体"/>
          <w:color w:val="000000"/>
          <w:kern w:val="0"/>
          <w:sz w:val="24"/>
          <w:szCs w:val="24"/>
        </w:rPr>
        <w:t>注：</w:t>
      </w:r>
      <w:bookmarkEnd w:id="62"/>
      <w:bookmarkEnd w:id="63"/>
    </w:p>
    <w:p w14:paraId="427C5B94">
      <w:pPr>
        <w:widowControl/>
        <w:spacing w:line="360" w:lineRule="auto"/>
        <w:ind w:firstLine="526"/>
        <w:jc w:val="left"/>
        <w:rPr>
          <w:rFonts w:hint="eastAsia" w:ascii="宋体" w:hAnsi="宋体" w:cs="宋体"/>
          <w:color w:val="000000"/>
          <w:kern w:val="0"/>
          <w:szCs w:val="21"/>
        </w:rPr>
      </w:pPr>
      <w:r>
        <w:rPr>
          <w:rFonts w:hint="eastAsia" w:ascii="宋体" w:hAnsi="宋体" w:cs="宋体"/>
          <w:color w:val="000000"/>
          <w:kern w:val="0"/>
          <w:szCs w:val="21"/>
        </w:rPr>
        <w:t>1.产品如有型号，请在“产品名称”栏一并填写。</w:t>
      </w:r>
    </w:p>
    <w:p w14:paraId="2A266FBC">
      <w:pPr>
        <w:widowControl/>
        <w:spacing w:line="360" w:lineRule="auto"/>
        <w:ind w:firstLine="526"/>
        <w:jc w:val="left"/>
        <w:rPr>
          <w:rFonts w:hint="eastAsia" w:ascii="宋体" w:hAnsi="宋体" w:cs="宋体"/>
          <w:color w:val="000000"/>
          <w:kern w:val="0"/>
          <w:szCs w:val="21"/>
        </w:rPr>
      </w:pPr>
      <w:r>
        <w:rPr>
          <w:rFonts w:hint="eastAsia" w:ascii="宋体" w:hAnsi="宋体" w:cs="宋体"/>
          <w:color w:val="000000"/>
          <w:kern w:val="0"/>
          <w:szCs w:val="21"/>
        </w:rPr>
        <w:t>2.生产厂名与厂址应与生产厂营业执照载明的相关信息保持一致。</w:t>
      </w:r>
    </w:p>
    <w:p w14:paraId="2B865B81">
      <w:pPr>
        <w:widowControl/>
        <w:spacing w:line="360" w:lineRule="auto"/>
        <w:ind w:firstLine="526"/>
        <w:jc w:val="left"/>
        <w:rPr>
          <w:rFonts w:ascii="宋体" w:hAnsi="宋体" w:cs="宋体"/>
          <w:color w:val="000000"/>
          <w:kern w:val="0"/>
          <w:szCs w:val="21"/>
        </w:rPr>
      </w:pPr>
      <w:r>
        <w:rPr>
          <w:rFonts w:hint="eastAsia" w:ascii="宋体" w:hAnsi="宋体" w:cs="宋体"/>
          <w:color w:val="000000"/>
          <w:kern w:val="0"/>
          <w:szCs w:val="21"/>
        </w:rPr>
        <w:t>3.该产品的中国境内生产的组件成本占比相关要求实施前，“规定比例”栏可不填，下同。</w:t>
      </w:r>
    </w:p>
    <w:p w14:paraId="57924A42">
      <w:pPr>
        <w:widowControl/>
        <w:spacing w:line="360" w:lineRule="auto"/>
        <w:ind w:firstLine="526"/>
        <w:jc w:val="left"/>
        <w:rPr>
          <w:rFonts w:hint="eastAsia" w:ascii="宋体" w:hAnsi="宋体" w:cs="宋体"/>
          <w:color w:val="000000"/>
          <w:kern w:val="0"/>
          <w:szCs w:val="21"/>
        </w:rPr>
      </w:pPr>
      <w:r>
        <w:rPr>
          <w:rFonts w:hint="eastAsia" w:ascii="宋体" w:hAnsi="宋体" w:cs="宋体"/>
          <w:color w:val="000000"/>
          <w:kern w:val="0"/>
          <w:szCs w:val="21"/>
        </w:rPr>
        <w:t>4.该产品的关键组件要求实施前，“关键组件”栏可不填，下同。</w:t>
      </w:r>
    </w:p>
    <w:p w14:paraId="4D3161F1">
      <w:pPr>
        <w:widowControl/>
        <w:spacing w:line="360" w:lineRule="auto"/>
        <w:ind w:firstLine="526"/>
        <w:jc w:val="left"/>
        <w:rPr>
          <w:rFonts w:hint="eastAsia" w:ascii="宋体" w:hAnsi="宋体" w:cs="宋体"/>
          <w:color w:val="000000"/>
          <w:kern w:val="0"/>
          <w:szCs w:val="21"/>
        </w:rPr>
      </w:pPr>
      <w:r>
        <w:rPr>
          <w:rFonts w:hint="eastAsia" w:ascii="宋体" w:hAnsi="宋体" w:cs="宋体"/>
          <w:color w:val="000000"/>
          <w:kern w:val="0"/>
          <w:szCs w:val="21"/>
        </w:rPr>
        <w:t>5.该产品的关键工序要求实施前，“关键工序”栏可不填，下同。</w:t>
      </w:r>
    </w:p>
    <w:p w14:paraId="6D1E36CC">
      <w:pPr>
        <w:spacing w:before="260" w:after="260" w:line="410" w:lineRule="auto"/>
        <w:jc w:val="center"/>
        <w:outlineLvl w:val="1"/>
        <w:rPr>
          <w:rFonts w:hint="eastAsia" w:ascii="宋体" w:hAnsi="宋体"/>
          <w:kern w:val="0"/>
          <w:sz w:val="24"/>
          <w:szCs w:val="32"/>
        </w:rPr>
      </w:pPr>
    </w:p>
    <w:p w14:paraId="5EC00AAB">
      <w:pPr>
        <w:spacing w:before="260" w:after="260" w:line="410" w:lineRule="auto"/>
        <w:jc w:val="center"/>
        <w:outlineLvl w:val="1"/>
        <w:rPr>
          <w:rFonts w:hint="eastAsia" w:ascii="宋体" w:hAnsi="宋体"/>
          <w:kern w:val="0"/>
          <w:sz w:val="24"/>
          <w:szCs w:val="32"/>
        </w:rPr>
      </w:pPr>
    </w:p>
    <w:p w14:paraId="450A3896">
      <w:pPr>
        <w:spacing w:before="260" w:after="260" w:line="410" w:lineRule="auto"/>
        <w:jc w:val="center"/>
        <w:outlineLvl w:val="1"/>
        <w:rPr>
          <w:rFonts w:hint="eastAsia" w:ascii="宋体" w:hAnsi="宋体"/>
          <w:b/>
          <w:bCs/>
          <w:sz w:val="32"/>
          <w:szCs w:val="32"/>
        </w:rPr>
      </w:pPr>
    </w:p>
    <w:p w14:paraId="279D9065">
      <w:pPr>
        <w:spacing w:before="260" w:after="260" w:line="410" w:lineRule="auto"/>
        <w:jc w:val="center"/>
        <w:outlineLvl w:val="1"/>
        <w:rPr>
          <w:rFonts w:hint="eastAsia" w:ascii="宋体" w:hAnsi="宋体"/>
          <w:b/>
          <w:bCs/>
          <w:sz w:val="32"/>
          <w:szCs w:val="32"/>
        </w:rPr>
      </w:pPr>
    </w:p>
    <w:p w14:paraId="4721E3C8">
      <w:pPr>
        <w:pStyle w:val="9"/>
        <w:ind w:firstLine="526"/>
        <w:jc w:val="center"/>
        <w:rPr>
          <w:b/>
          <w:color w:val="000000"/>
          <w:kern w:val="2"/>
          <w:sz w:val="32"/>
          <w:szCs w:val="32"/>
        </w:rPr>
      </w:pPr>
      <w:r>
        <w:rPr>
          <w:rFonts w:hint="eastAsia" w:ascii="宋体" w:hAnsi="宋体"/>
          <w:b/>
          <w:color w:val="000000"/>
          <w:sz w:val="32"/>
          <w:szCs w:val="32"/>
          <w:lang w:eastAsia="zh-CN"/>
        </w:rPr>
        <w:t>四</w:t>
      </w:r>
      <w:r>
        <w:rPr>
          <w:rFonts w:hint="eastAsia" w:ascii="宋体" w:hAnsi="宋体"/>
          <w:b/>
          <w:color w:val="000000"/>
          <w:sz w:val="32"/>
          <w:szCs w:val="32"/>
        </w:rPr>
        <w:t>、</w:t>
      </w:r>
      <w:bookmarkStart w:id="64" w:name="OLE_LINK34"/>
      <w:bookmarkStart w:id="65" w:name="OLE_LINK33"/>
      <w:r>
        <w:rPr>
          <w:rFonts w:hint="eastAsia"/>
          <w:b/>
          <w:color w:val="000000"/>
          <w:kern w:val="2"/>
          <w:sz w:val="32"/>
          <w:szCs w:val="32"/>
        </w:rPr>
        <w:t>关于符合本国产品标准的成本占比承诺函</w:t>
      </w:r>
      <w:bookmarkEnd w:id="64"/>
      <w:bookmarkEnd w:id="65"/>
    </w:p>
    <w:p w14:paraId="4F80785D">
      <w:pPr>
        <w:tabs>
          <w:tab w:val="left" w:pos="7200"/>
        </w:tabs>
        <w:spacing w:line="360" w:lineRule="auto"/>
        <w:rPr>
          <w:rFonts w:ascii="Times New Roman" w:hAnsi="Times New Roman"/>
          <w:color w:val="000000"/>
          <w:sz w:val="24"/>
          <w:szCs w:val="24"/>
        </w:rPr>
      </w:pPr>
      <w:bookmarkStart w:id="66" w:name="PO_3000001867_PM031_5"/>
      <w:r>
        <w:rPr>
          <w:rFonts w:hint="eastAsia"/>
          <w:color w:val="000000"/>
          <w:sz w:val="24"/>
        </w:rPr>
        <w:t>致：</w:t>
      </w:r>
      <w:bookmarkEnd w:id="66"/>
      <w:r>
        <w:rPr>
          <w:rFonts w:hint="eastAsia" w:ascii="Times New Roman" w:hAnsi="Times New Roman"/>
          <w:color w:val="000000"/>
          <w:sz w:val="24"/>
          <w:szCs w:val="24"/>
          <w:u w:val="single"/>
          <w:lang w:eastAsia="zh-CN"/>
        </w:rPr>
        <w:t>上林县政府集中采购中心</w:t>
      </w:r>
      <w:r>
        <w:rPr>
          <w:rFonts w:hint="eastAsia" w:ascii="Times New Roman" w:hAnsi="Times New Roman"/>
          <w:color w:val="000000"/>
          <w:sz w:val="24"/>
          <w:szCs w:val="24"/>
        </w:rPr>
        <w:t xml:space="preserve"> </w:t>
      </w:r>
    </w:p>
    <w:p w14:paraId="672C97A7">
      <w:pPr>
        <w:snapToGrid w:val="0"/>
        <w:spacing w:line="360" w:lineRule="auto"/>
        <w:ind w:firstLine="480" w:firstLineChars="200"/>
        <w:jc w:val="left"/>
        <w:rPr>
          <w:rFonts w:ascii="宋体" w:hAnsi="宋体"/>
          <w:color w:val="000000"/>
          <w:sz w:val="24"/>
          <w:szCs w:val="24"/>
        </w:rPr>
      </w:pPr>
      <w:r>
        <w:rPr>
          <w:rFonts w:hint="eastAsia" w:ascii="Times New Roman" w:hAnsi="Times New Roman"/>
          <w:color w:val="000000"/>
          <w:sz w:val="24"/>
          <w:szCs w:val="24"/>
        </w:rPr>
        <w:t>我公司（单位）</w:t>
      </w:r>
      <w:r>
        <w:rPr>
          <w:rFonts w:hint="eastAsia" w:ascii="宋体" w:hAnsi="宋体"/>
          <w:color w:val="000000"/>
          <w:sz w:val="24"/>
          <w:szCs w:val="24"/>
        </w:rPr>
        <w:t>参加贵方组织的</w:t>
      </w:r>
      <w:r>
        <w:rPr>
          <w:rFonts w:hint="eastAsia" w:ascii="宋体" w:hAnsi="宋体"/>
          <w:sz w:val="24"/>
          <w:szCs w:val="24"/>
        </w:rPr>
        <w:t>_</w:t>
      </w:r>
      <w:r>
        <w:rPr>
          <w:rFonts w:hint="eastAsia" w:ascii="宋体" w:hAnsi="宋体"/>
          <w:sz w:val="24"/>
          <w:szCs w:val="24"/>
          <w:u w:val="single"/>
        </w:rPr>
        <w:t>项目名称：</w:t>
      </w:r>
      <w:r>
        <w:rPr>
          <w:rFonts w:hint="eastAsia" w:ascii="宋体" w:hAnsi="宋体" w:cs="仿宋_GB2312"/>
          <w:sz w:val="24"/>
          <w:szCs w:val="24"/>
          <w:u w:val="single"/>
          <w:lang w:eastAsia="zh-CN"/>
        </w:rPr>
        <w:t>2026年上林县幼儿园设备采购项目（重）</w:t>
      </w:r>
      <w:r>
        <w:rPr>
          <w:rFonts w:hint="eastAsia" w:ascii="宋体" w:hAnsi="宋体" w:cs="仿宋_GB2312"/>
          <w:sz w:val="24"/>
          <w:szCs w:val="24"/>
          <w:u w:val="single"/>
        </w:rPr>
        <w:t>的项目</w:t>
      </w:r>
      <w:r>
        <w:rPr>
          <w:rFonts w:hint="eastAsia" w:ascii="宋体" w:hAnsi="宋体"/>
          <w:color w:val="000000"/>
          <w:sz w:val="24"/>
          <w:szCs w:val="24"/>
        </w:rPr>
        <w:t>，郑重声明如下：</w:t>
      </w:r>
    </w:p>
    <w:p w14:paraId="5F32C7E9">
      <w:pPr>
        <w:widowControl/>
        <w:spacing w:line="360" w:lineRule="auto"/>
        <w:ind w:firstLine="443"/>
        <w:jc w:val="left"/>
        <w:rPr>
          <w:rFonts w:hint="eastAsia" w:ascii="宋体" w:hAnsi="宋体" w:cs="宋体"/>
          <w:color w:val="000000"/>
          <w:kern w:val="0"/>
          <w:sz w:val="24"/>
          <w:szCs w:val="24"/>
        </w:rPr>
      </w:pPr>
      <w:r>
        <w:rPr>
          <w:rFonts w:hint="eastAsia" w:ascii="宋体" w:hAnsi="宋体" w:cs="宋体"/>
          <w:color w:val="000000"/>
          <w:kern w:val="0"/>
          <w:sz w:val="24"/>
          <w:szCs w:val="24"/>
        </w:rPr>
        <w:t>本单位为该项目（或采购包）提供的符合本国产品标准的产品成本之和，占所提供全部产品成本之和的比例达到</w:t>
      </w:r>
      <w:r>
        <w:rPr>
          <w:rFonts w:hint="eastAsia" w:ascii="宋体" w:hAnsi="宋体" w:cs="宋体"/>
          <w:b/>
          <w:color w:val="000000"/>
          <w:kern w:val="0"/>
          <w:sz w:val="24"/>
          <w:szCs w:val="24"/>
        </w:rPr>
        <w:t>80%以上</w:t>
      </w:r>
      <w:r>
        <w:rPr>
          <w:rFonts w:hint="eastAsia" w:ascii="宋体" w:hAnsi="宋体" w:cs="宋体"/>
          <w:color w:val="000000"/>
          <w:kern w:val="0"/>
          <w:sz w:val="24"/>
          <w:szCs w:val="24"/>
        </w:rPr>
        <w:t>。</w:t>
      </w:r>
    </w:p>
    <w:p w14:paraId="74D5BE4A">
      <w:pPr>
        <w:widowControl/>
        <w:spacing w:line="360" w:lineRule="auto"/>
        <w:ind w:firstLine="443"/>
        <w:jc w:val="left"/>
        <w:rPr>
          <w:rFonts w:ascii="宋体" w:hAnsi="宋体" w:cs="宋体"/>
          <w:color w:val="000000"/>
          <w:kern w:val="0"/>
          <w:sz w:val="24"/>
          <w:szCs w:val="24"/>
        </w:rPr>
      </w:pPr>
      <w:r>
        <w:rPr>
          <w:rFonts w:hint="eastAsia" w:ascii="宋体" w:hAnsi="宋体" w:cs="宋体"/>
          <w:color w:val="000000"/>
          <w:kern w:val="0"/>
          <w:sz w:val="24"/>
          <w:szCs w:val="24"/>
        </w:rPr>
        <w:t>本公司（单位）对上述声明内容的真实性负责。如有虚假，愿承担相应法律责任。</w:t>
      </w:r>
    </w:p>
    <w:p w14:paraId="16D1AD62">
      <w:pPr>
        <w:widowControl/>
        <w:spacing w:line="360" w:lineRule="auto"/>
        <w:ind w:firstLine="443"/>
        <w:jc w:val="left"/>
        <w:rPr>
          <w:rFonts w:hint="eastAsia" w:ascii="宋体" w:hAnsi="宋体" w:cs="宋体"/>
          <w:color w:val="000000"/>
          <w:kern w:val="0"/>
          <w:sz w:val="24"/>
          <w:szCs w:val="24"/>
        </w:rPr>
      </w:pPr>
      <w:r>
        <w:rPr>
          <w:rFonts w:ascii="Times New Roman" w:hAnsi="Times New Roman"/>
          <w:color w:val="000000"/>
          <w:kern w:val="0"/>
          <w:sz w:val="24"/>
          <w:szCs w:val="24"/>
        </w:rPr>
        <w:t>                    </w:t>
      </w:r>
      <w:r>
        <w:rPr>
          <w:rFonts w:hint="eastAsia" w:ascii="宋体" w:hAnsi="宋体" w:cs="宋体"/>
          <w:color w:val="000000"/>
          <w:kern w:val="0"/>
          <w:sz w:val="24"/>
          <w:szCs w:val="24"/>
        </w:rPr>
        <w:t>公司（单位）名称（盖章）：</w:t>
      </w:r>
      <w:r>
        <w:rPr>
          <w:rFonts w:hint="eastAsia" w:ascii="宋体" w:hAnsi="宋体" w:cs="宋体"/>
          <w:color w:val="000000"/>
          <w:kern w:val="0"/>
          <w:sz w:val="24"/>
          <w:szCs w:val="24"/>
          <w:u w:val="single"/>
        </w:rPr>
        <w:t xml:space="preserve">　             </w:t>
      </w:r>
    </w:p>
    <w:p w14:paraId="48569BDC">
      <w:pPr>
        <w:widowControl/>
        <w:spacing w:line="360" w:lineRule="auto"/>
        <w:ind w:firstLine="443"/>
        <w:jc w:val="left"/>
        <w:rPr>
          <w:rFonts w:hint="eastAsia" w:ascii="宋体" w:hAnsi="宋体" w:cs="宋体"/>
          <w:color w:val="000000"/>
          <w:kern w:val="0"/>
          <w:sz w:val="24"/>
          <w:szCs w:val="24"/>
          <w:u w:val="single"/>
        </w:rPr>
      </w:pPr>
      <w:r>
        <w:rPr>
          <w:rFonts w:ascii="Times New Roman" w:hAnsi="Times New Roman"/>
          <w:color w:val="000000"/>
          <w:kern w:val="0"/>
          <w:sz w:val="24"/>
          <w:szCs w:val="24"/>
        </w:rPr>
        <w:t>                                        </w:t>
      </w:r>
      <w:r>
        <w:rPr>
          <w:rFonts w:hint="eastAsia" w:ascii="宋体" w:hAnsi="宋体" w:cs="宋体"/>
          <w:color w:val="000000"/>
          <w:kern w:val="0"/>
          <w:sz w:val="24"/>
          <w:szCs w:val="24"/>
        </w:rPr>
        <w:t>日期：</w:t>
      </w:r>
      <w:r>
        <w:rPr>
          <w:rFonts w:hint="eastAsia" w:ascii="宋体" w:hAnsi="宋体" w:cs="宋体"/>
          <w:color w:val="000000"/>
          <w:kern w:val="0"/>
          <w:sz w:val="24"/>
          <w:szCs w:val="24"/>
          <w:u w:val="single"/>
        </w:rPr>
        <w:t>　  年   月  日</w:t>
      </w:r>
    </w:p>
    <w:p w14:paraId="5AB616BF">
      <w:pPr>
        <w:snapToGrid w:val="0"/>
        <w:spacing w:before="50" w:after="165" w:afterLines="50"/>
        <w:jc w:val="left"/>
        <w:rPr>
          <w:rFonts w:hint="eastAsia" w:ascii="Times New Roman" w:hAnsi="Times New Roman"/>
          <w:color w:val="000000"/>
          <w:szCs w:val="24"/>
        </w:rPr>
      </w:pPr>
      <w:r>
        <w:rPr>
          <w:rFonts w:hint="eastAsia" w:ascii="Times New Roman" w:hAnsi="Times New Roman"/>
          <w:color w:val="000000"/>
          <w:szCs w:val="24"/>
        </w:rPr>
        <w:t>注：</w:t>
      </w:r>
    </w:p>
    <w:p w14:paraId="4E1FA5F0">
      <w:pPr>
        <w:snapToGrid w:val="0"/>
        <w:spacing w:before="50" w:after="165" w:afterLines="50"/>
        <w:jc w:val="left"/>
        <w:rPr>
          <w:rFonts w:ascii="宋体" w:hAnsi="宋体"/>
          <w:szCs w:val="21"/>
        </w:rPr>
      </w:pPr>
      <w:r>
        <w:rPr>
          <w:rFonts w:hint="eastAsia" w:ascii="Times New Roman" w:hAnsi="Times New Roman"/>
          <w:color w:val="000000"/>
          <w:szCs w:val="21"/>
        </w:rPr>
        <w:t>1</w:t>
      </w:r>
      <w:r>
        <w:rPr>
          <w:rFonts w:hint="eastAsia" w:ascii="宋体" w:hAnsi="宋体"/>
          <w:color w:val="000000"/>
          <w:szCs w:val="21"/>
        </w:rPr>
        <w:t>.</w:t>
      </w:r>
      <w:r>
        <w:rPr>
          <w:rFonts w:hint="eastAsia" w:ascii="Times New Roman" w:hAnsi="Times New Roman"/>
          <w:color w:val="000000"/>
          <w:szCs w:val="21"/>
        </w:rPr>
        <w:t>针对多种产品采购项目，填写此函《关于符合本国产品标准的成本占比承诺函》；</w:t>
      </w:r>
    </w:p>
    <w:p w14:paraId="616C6564">
      <w:pPr>
        <w:snapToGrid w:val="0"/>
        <w:spacing w:before="50" w:after="331" w:afterLines="100" w:line="360" w:lineRule="auto"/>
        <w:jc w:val="left"/>
        <w:rPr>
          <w:rFonts w:ascii="宋体" w:hAnsi="宋体"/>
          <w:color w:val="000000"/>
          <w:szCs w:val="21"/>
        </w:rPr>
      </w:pPr>
      <w:r>
        <w:rPr>
          <w:rFonts w:hint="eastAsia" w:ascii="宋体" w:hAnsi="宋体"/>
          <w:color w:val="000000"/>
          <w:szCs w:val="21"/>
        </w:rPr>
        <w:t>2</w:t>
      </w:r>
      <w:bookmarkStart w:id="67" w:name="OLE_LINK62"/>
      <w:bookmarkStart w:id="68" w:name="OLE_LINK63"/>
      <w:r>
        <w:rPr>
          <w:rFonts w:hint="eastAsia" w:ascii="宋体" w:hAnsi="宋体"/>
          <w:color w:val="000000"/>
          <w:szCs w:val="21"/>
        </w:rPr>
        <w:t>.</w:t>
      </w:r>
      <w:bookmarkEnd w:id="67"/>
      <w:bookmarkEnd w:id="68"/>
      <w:r>
        <w:rPr>
          <w:rFonts w:hint="eastAsia" w:ascii="宋体" w:hAnsi="宋体"/>
          <w:color w:val="000000"/>
          <w:szCs w:val="21"/>
        </w:rPr>
        <w:t>全部产品是指货物或服务采购项目或采购包中包含的全部货物、服务产品。</w:t>
      </w:r>
    </w:p>
    <w:p w14:paraId="133C93E0">
      <w:pPr>
        <w:spacing w:before="260" w:after="260" w:line="410" w:lineRule="auto"/>
        <w:jc w:val="center"/>
        <w:outlineLvl w:val="1"/>
        <w:rPr>
          <w:rFonts w:hint="eastAsia" w:ascii="宋体" w:hAnsi="宋体"/>
          <w:b/>
          <w:bCs/>
          <w:sz w:val="32"/>
          <w:szCs w:val="32"/>
        </w:rPr>
      </w:pPr>
    </w:p>
    <w:p w14:paraId="33CF6E88">
      <w:pPr>
        <w:spacing w:before="260" w:after="260" w:line="410" w:lineRule="auto"/>
        <w:jc w:val="center"/>
        <w:outlineLvl w:val="1"/>
        <w:rPr>
          <w:rFonts w:hint="eastAsia" w:ascii="宋体" w:hAnsi="宋体"/>
          <w:b/>
          <w:bCs/>
          <w:sz w:val="32"/>
          <w:szCs w:val="32"/>
        </w:rPr>
      </w:pPr>
    </w:p>
    <w:p w14:paraId="44046779">
      <w:pPr>
        <w:spacing w:before="260" w:after="260" w:line="410" w:lineRule="auto"/>
        <w:jc w:val="center"/>
        <w:outlineLvl w:val="1"/>
        <w:rPr>
          <w:rFonts w:hint="eastAsia" w:ascii="宋体" w:hAnsi="宋体"/>
          <w:b/>
          <w:bCs/>
          <w:sz w:val="32"/>
          <w:szCs w:val="32"/>
        </w:rPr>
      </w:pPr>
    </w:p>
    <w:p w14:paraId="1DFDF019">
      <w:pPr>
        <w:spacing w:before="260" w:after="260" w:line="410" w:lineRule="auto"/>
        <w:jc w:val="center"/>
        <w:outlineLvl w:val="1"/>
        <w:rPr>
          <w:rFonts w:hint="eastAsia" w:ascii="宋体" w:hAnsi="宋体"/>
          <w:b/>
          <w:bCs/>
          <w:sz w:val="32"/>
          <w:szCs w:val="32"/>
        </w:rPr>
      </w:pPr>
    </w:p>
    <w:p w14:paraId="230C26E6">
      <w:pPr>
        <w:spacing w:before="260" w:after="260" w:line="410" w:lineRule="auto"/>
        <w:jc w:val="center"/>
        <w:outlineLvl w:val="1"/>
        <w:rPr>
          <w:rFonts w:hint="eastAsia" w:ascii="宋体" w:hAnsi="宋体"/>
          <w:b/>
          <w:bCs/>
          <w:sz w:val="32"/>
          <w:szCs w:val="32"/>
        </w:rPr>
      </w:pPr>
    </w:p>
    <w:p w14:paraId="2F792170">
      <w:pPr>
        <w:spacing w:before="260" w:after="260" w:line="410" w:lineRule="auto"/>
        <w:jc w:val="center"/>
        <w:outlineLvl w:val="1"/>
        <w:rPr>
          <w:rFonts w:hint="eastAsia" w:ascii="宋体" w:hAnsi="宋体"/>
          <w:b/>
          <w:bCs/>
          <w:sz w:val="32"/>
          <w:szCs w:val="32"/>
        </w:rPr>
      </w:pPr>
    </w:p>
    <w:p w14:paraId="207185F7">
      <w:pPr>
        <w:spacing w:before="260" w:after="260" w:line="410" w:lineRule="auto"/>
        <w:jc w:val="center"/>
        <w:outlineLvl w:val="1"/>
        <w:rPr>
          <w:rFonts w:hint="eastAsia" w:ascii="宋体" w:hAnsi="宋体"/>
          <w:b/>
          <w:bCs/>
          <w:sz w:val="32"/>
          <w:szCs w:val="32"/>
        </w:rPr>
      </w:pPr>
    </w:p>
    <w:p w14:paraId="6B1ACD83">
      <w:pPr>
        <w:spacing w:before="260" w:after="260" w:line="410" w:lineRule="auto"/>
        <w:jc w:val="center"/>
        <w:outlineLvl w:val="1"/>
        <w:rPr>
          <w:rFonts w:hint="eastAsia" w:ascii="宋体" w:hAnsi="宋体"/>
          <w:b/>
          <w:bCs/>
          <w:sz w:val="32"/>
          <w:szCs w:val="32"/>
        </w:rPr>
      </w:pPr>
    </w:p>
    <w:p w14:paraId="3D71B562">
      <w:pPr>
        <w:spacing w:before="260" w:after="260" w:line="410" w:lineRule="auto"/>
        <w:jc w:val="center"/>
        <w:outlineLvl w:val="1"/>
        <w:rPr>
          <w:rFonts w:hint="eastAsia" w:ascii="宋体" w:hAnsi="宋体"/>
          <w:b/>
          <w:bCs/>
          <w:sz w:val="32"/>
          <w:szCs w:val="32"/>
        </w:rPr>
      </w:pPr>
    </w:p>
    <w:p w14:paraId="2A207231">
      <w:pPr>
        <w:spacing w:before="260" w:after="260" w:line="410" w:lineRule="auto"/>
        <w:jc w:val="center"/>
        <w:outlineLvl w:val="1"/>
        <w:rPr>
          <w:rFonts w:hint="eastAsia" w:ascii="宋体" w:hAnsi="宋体" w:cs="宋体"/>
          <w:bCs/>
          <w:sz w:val="32"/>
          <w:szCs w:val="32"/>
        </w:rPr>
      </w:pPr>
      <w:r>
        <w:rPr>
          <w:rFonts w:hint="eastAsia" w:ascii="宋体" w:hAnsi="宋体"/>
          <w:b/>
          <w:bCs/>
          <w:sz w:val="32"/>
          <w:szCs w:val="32"/>
        </w:rPr>
        <w:t>第五节 其他文书、文件格式</w:t>
      </w:r>
      <w:bookmarkEnd w:id="59"/>
    </w:p>
    <w:p w14:paraId="733AEFD6">
      <w:pPr>
        <w:jc w:val="center"/>
        <w:rPr>
          <w:rFonts w:hint="eastAsia" w:ascii="宋体" w:hAnsi="宋体" w:eastAsia="等线" w:cs="宋体"/>
          <w:b/>
          <w:bCs/>
          <w:sz w:val="32"/>
          <w:szCs w:val="32"/>
          <w:lang w:val="en"/>
        </w:rPr>
      </w:pPr>
      <w:r>
        <w:rPr>
          <w:rFonts w:hint="eastAsia" w:ascii="宋体" w:hAnsi="宋体" w:cs="宋体"/>
          <w:b/>
          <w:bCs/>
          <w:sz w:val="32"/>
          <w:szCs w:val="32"/>
          <w:lang w:val="en"/>
        </w:rPr>
        <w:t>知识产权合规性声明</w:t>
      </w:r>
    </w:p>
    <w:p w14:paraId="0748C272">
      <w:pPr>
        <w:ind w:firstLine="600" w:firstLineChars="200"/>
        <w:rPr>
          <w:rFonts w:hint="eastAsia" w:ascii="仿宋_GB2312" w:hAnsi="仿宋_GB2312" w:eastAsia="仿宋_GB2312" w:cs="仿宋_GB2312"/>
          <w:sz w:val="30"/>
          <w:szCs w:val="30"/>
        </w:rPr>
      </w:pPr>
    </w:p>
    <w:p w14:paraId="18FE8590">
      <w:pPr>
        <w:ind w:firstLine="600" w:firstLineChars="200"/>
        <w:rPr>
          <w:rFonts w:hint="eastAsia" w:ascii="仿宋_GB2312" w:hAnsi="仿宋_GB2312" w:eastAsia="仿宋_GB2312" w:cs="仿宋_GB2312"/>
          <w:sz w:val="30"/>
          <w:szCs w:val="30"/>
          <w:lang w:val="en"/>
        </w:rPr>
      </w:pPr>
      <w:r>
        <w:rPr>
          <w:rFonts w:hint="eastAsia" w:ascii="仿宋_GB2312" w:hAnsi="仿宋_GB2312" w:eastAsia="仿宋_GB2312" w:cs="仿宋_GB2312"/>
          <w:sz w:val="30"/>
          <w:szCs w:val="30"/>
        </w:rPr>
        <w:t>本</w:t>
      </w:r>
      <w:r>
        <w:rPr>
          <w:rFonts w:hint="eastAsia" w:ascii="仿宋_GB2312" w:hAnsi="仿宋_GB2312" w:eastAsia="仿宋_GB2312" w:cs="仿宋_GB2312"/>
          <w:sz w:val="30"/>
          <w:szCs w:val="30"/>
          <w:lang w:val="en"/>
        </w:rPr>
        <w:t>企业（单位）自愿参与政府投资政府采购的</w:t>
      </w:r>
      <w:r>
        <w:rPr>
          <w:rFonts w:hint="eastAsia" w:ascii="仿宋_GB2312" w:hAnsi="仿宋_GB2312" w:eastAsia="仿宋_GB2312" w:cs="仿宋_GB2312"/>
          <w:sz w:val="30"/>
          <w:szCs w:val="30"/>
          <w:u w:val="single"/>
          <w:lang w:val="en" w:eastAsia="zh-CN"/>
        </w:rPr>
        <w:t>2026年上林县幼儿园设备采购项目（重）</w:t>
      </w:r>
      <w:r>
        <w:rPr>
          <w:rFonts w:hint="eastAsia" w:ascii="仿宋_GB2312" w:hAnsi="仿宋_GB2312" w:eastAsia="仿宋_GB2312" w:cs="仿宋_GB2312"/>
          <w:sz w:val="30"/>
          <w:szCs w:val="30"/>
          <w:lang w:val="en"/>
        </w:rPr>
        <w:t>项目，</w:t>
      </w:r>
      <w:r>
        <w:rPr>
          <w:rFonts w:hint="eastAsia" w:ascii="仿宋_GB2312" w:hAnsi="仿宋_GB2312" w:eastAsia="仿宋_GB2312" w:cs="仿宋_GB2312"/>
          <w:b/>
          <w:bCs/>
          <w:sz w:val="30"/>
          <w:szCs w:val="30"/>
          <w:lang w:val="en"/>
        </w:rPr>
        <w:t>在此郑重承诺：</w:t>
      </w:r>
      <w:r>
        <w:rPr>
          <w:rFonts w:hint="eastAsia" w:ascii="仿宋_GB2312" w:hAnsi="仿宋_GB2312" w:eastAsia="仿宋_GB2312" w:cs="仿宋_GB2312"/>
          <w:sz w:val="30"/>
          <w:szCs w:val="30"/>
          <w:lang w:val="en"/>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w:t>
      </w:r>
      <w:r>
        <w:rPr>
          <w:rFonts w:hint="eastAsia" w:ascii="仿宋_GB2312" w:hAnsi="仿宋_GB2312" w:eastAsia="仿宋_GB2312" w:cs="仿宋_GB2312"/>
          <w:sz w:val="30"/>
          <w:szCs w:val="30"/>
        </w:rPr>
        <w:t>单位</w:t>
      </w:r>
      <w:r>
        <w:rPr>
          <w:rFonts w:hint="eastAsia" w:ascii="仿宋_GB2312" w:hAnsi="仿宋_GB2312" w:eastAsia="仿宋_GB2312" w:cs="仿宋_GB2312"/>
          <w:sz w:val="30"/>
          <w:szCs w:val="30"/>
          <w:lang w:val="en"/>
        </w:rPr>
        <w:t>）将承担由此产生的全部责任。</w:t>
      </w:r>
    </w:p>
    <w:p w14:paraId="34361962">
      <w:pPr>
        <w:snapToGrid w:val="0"/>
        <w:spacing w:line="360" w:lineRule="auto"/>
        <w:ind w:left="5137" w:leftChars="1736" w:hanging="1491" w:hangingChars="825"/>
        <w:rPr>
          <w:rFonts w:hint="eastAsia" w:ascii="等线" w:hAnsi="等线" w:eastAsia="等线"/>
          <w:b/>
          <w:sz w:val="18"/>
          <w:szCs w:val="18"/>
        </w:rPr>
      </w:pPr>
      <w:r>
        <w:rPr>
          <w:b/>
          <w:sz w:val="18"/>
          <w:szCs w:val="18"/>
        </w:rPr>
        <w:t xml:space="preserve">           </w:t>
      </w:r>
    </w:p>
    <w:p w14:paraId="0CB89FFB">
      <w:pPr>
        <w:snapToGrid w:val="0"/>
        <w:spacing w:line="360" w:lineRule="auto"/>
        <w:ind w:left="5137" w:leftChars="1736" w:hanging="1491" w:hangingChars="825"/>
        <w:rPr>
          <w:rFonts w:hint="eastAsia"/>
          <w:b/>
          <w:sz w:val="18"/>
          <w:szCs w:val="18"/>
        </w:rPr>
      </w:pPr>
    </w:p>
    <w:p w14:paraId="67A211B1">
      <w:pPr>
        <w:snapToGrid w:val="0"/>
        <w:spacing w:line="360" w:lineRule="auto"/>
        <w:ind w:left="5137" w:leftChars="1736" w:hanging="1491" w:hangingChars="825"/>
        <w:rPr>
          <w:b/>
          <w:sz w:val="18"/>
          <w:szCs w:val="18"/>
        </w:rPr>
      </w:pPr>
    </w:p>
    <w:p w14:paraId="01554F04">
      <w:pPr>
        <w:snapToGrid w:val="0"/>
        <w:spacing w:line="360" w:lineRule="auto"/>
        <w:ind w:left="5137" w:leftChars="1736" w:hanging="1491" w:hangingChars="825"/>
        <w:rPr>
          <w:b/>
          <w:sz w:val="18"/>
          <w:szCs w:val="18"/>
        </w:rPr>
      </w:pPr>
    </w:p>
    <w:p w14:paraId="6A0BB6CC">
      <w:pPr>
        <w:snapToGrid w:val="0"/>
        <w:spacing w:line="360" w:lineRule="auto"/>
        <w:ind w:left="5137" w:leftChars="1736" w:hanging="1491" w:hangingChars="825"/>
        <w:rPr>
          <w:rFonts w:ascii="仿宋_GB2312" w:hAnsi="仿宋" w:eastAsia="仿宋_GB2312" w:cs="仿宋_GB2312"/>
          <w:kern w:val="0"/>
          <w:sz w:val="24"/>
        </w:rPr>
      </w:pPr>
      <w:r>
        <w:rPr>
          <w:b/>
          <w:sz w:val="18"/>
          <w:szCs w:val="18"/>
        </w:rPr>
        <w:t xml:space="preserve">      </w:t>
      </w:r>
      <w:r>
        <w:rPr>
          <w:rFonts w:hint="eastAsia" w:ascii="仿宋_GB2312" w:hAnsi="仿宋" w:eastAsia="仿宋_GB2312" w:cs="仿宋_GB2312"/>
          <w:kern w:val="0"/>
          <w:sz w:val="24"/>
          <w:szCs w:val="24"/>
          <w:lang w:val="zh-CN"/>
        </w:rPr>
        <w:t>响应供应商名称(电子签章)：</w:t>
      </w:r>
    </w:p>
    <w:p w14:paraId="1839D956">
      <w:pPr>
        <w:snapToGrid w:val="0"/>
        <w:spacing w:line="360" w:lineRule="auto"/>
        <w:ind w:firstLine="5160" w:firstLineChars="2150"/>
        <w:rPr>
          <w:rFonts w:hint="eastAsia" w:ascii="仿宋_GB2312" w:hAnsi="仿宋" w:eastAsia="仿宋_GB2312" w:cs="仿宋_GB2312"/>
          <w:kern w:val="0"/>
          <w:sz w:val="24"/>
          <w:szCs w:val="24"/>
          <w:lang w:val="zh-CN"/>
        </w:rPr>
      </w:pPr>
      <w:r>
        <w:rPr>
          <w:rFonts w:hint="eastAsia" w:ascii="仿宋_GB2312" w:hAnsi="仿宋" w:eastAsia="仿宋_GB2312" w:cs="仿宋_GB2312"/>
          <w:kern w:val="0"/>
          <w:sz w:val="24"/>
          <w:szCs w:val="24"/>
          <w:lang w:val="zh-CN"/>
        </w:rPr>
        <w:t>日期</w:t>
      </w:r>
      <w:r>
        <w:rPr>
          <w:rFonts w:hint="eastAsia" w:ascii="仿宋_GB2312" w:hAnsi="仿宋" w:eastAsia="仿宋_GB2312" w:cs="仿宋_GB2312"/>
          <w:kern w:val="0"/>
          <w:sz w:val="24"/>
          <w:szCs w:val="24"/>
        </w:rPr>
        <w:t xml:space="preserve">：  年  </w:t>
      </w:r>
      <w:r>
        <w:rPr>
          <w:rFonts w:hint="eastAsia" w:ascii="仿宋_GB2312" w:hAnsi="仿宋" w:eastAsia="仿宋_GB2312" w:cs="仿宋_GB2312"/>
          <w:kern w:val="0"/>
          <w:sz w:val="24"/>
          <w:szCs w:val="24"/>
          <w:lang w:val="zh-CN"/>
        </w:rPr>
        <w:t>月</w:t>
      </w:r>
      <w:r>
        <w:rPr>
          <w:rFonts w:hint="eastAsia" w:ascii="仿宋_GB2312" w:hAnsi="仿宋" w:eastAsia="仿宋_GB2312" w:cs="仿宋_GB2312"/>
          <w:kern w:val="0"/>
          <w:sz w:val="24"/>
          <w:szCs w:val="24"/>
        </w:rPr>
        <w:t xml:space="preserve">   </w:t>
      </w:r>
      <w:r>
        <w:rPr>
          <w:rFonts w:hint="eastAsia" w:ascii="仿宋_GB2312" w:hAnsi="仿宋" w:eastAsia="仿宋_GB2312" w:cs="仿宋_GB2312"/>
          <w:kern w:val="0"/>
          <w:sz w:val="24"/>
          <w:szCs w:val="24"/>
          <w:lang w:val="zh-CN"/>
        </w:rPr>
        <w:t>日</w:t>
      </w:r>
    </w:p>
    <w:p w14:paraId="67B66BD9">
      <w:pPr>
        <w:widowControl/>
        <w:jc w:val="left"/>
        <w:rPr>
          <w:rFonts w:ascii="宋体" w:hAnsi="宋体" w:cs="仿宋_GB2312"/>
          <w:kern w:val="0"/>
          <w:sz w:val="24"/>
          <w:szCs w:val="24"/>
        </w:rPr>
        <w:sectPr>
          <w:pgSz w:w="11906" w:h="16838"/>
          <w:pgMar w:top="1134" w:right="1134" w:bottom="1134" w:left="1134" w:header="720" w:footer="720" w:gutter="0"/>
          <w:pgBorders>
            <w:top w:val="none" w:sz="0" w:space="0"/>
            <w:left w:val="none" w:sz="0" w:space="0"/>
            <w:bottom w:val="none" w:sz="0" w:space="0"/>
            <w:right w:val="none" w:sz="0" w:space="0"/>
          </w:pgBorders>
          <w:pgNumType w:fmt="decimal"/>
          <w:cols w:space="720" w:num="1"/>
          <w:docGrid w:type="lines" w:linePitch="331" w:charSpace="0"/>
        </w:sectPr>
      </w:pPr>
    </w:p>
    <w:p w14:paraId="46566700">
      <w:pPr>
        <w:spacing w:line="520" w:lineRule="exact"/>
        <w:rPr>
          <w:rFonts w:hint="eastAsia" w:ascii="宋体" w:hAnsi="宋体" w:eastAsia="等线" w:cs="仿宋_GB2312"/>
          <w:sz w:val="24"/>
          <w:szCs w:val="24"/>
        </w:rPr>
      </w:pPr>
    </w:p>
    <w:p w14:paraId="4320D68D">
      <w:pPr>
        <w:spacing w:line="520" w:lineRule="exact"/>
        <w:jc w:val="center"/>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sz w:val="44"/>
          <w:szCs w:val="44"/>
        </w:rPr>
        <w:t>残疾人福利性单位声明函</w:t>
      </w:r>
    </w:p>
    <w:p w14:paraId="7592CDE0">
      <w:pPr>
        <w:spacing w:line="520" w:lineRule="exact"/>
        <w:rPr>
          <w:rFonts w:hint="eastAsia" w:ascii="仿宋_GB2312" w:hAnsi="仿宋_GB2312" w:eastAsia="仿宋_GB2312" w:cs="仿宋_GB2312"/>
          <w:color w:val="000000"/>
          <w:sz w:val="32"/>
          <w:szCs w:val="32"/>
        </w:rPr>
      </w:pPr>
    </w:p>
    <w:p w14:paraId="2391947F">
      <w:pPr>
        <w:spacing w:line="360" w:lineRule="auto"/>
        <w:ind w:firstLine="480" w:firstLineChars="200"/>
        <w:rPr>
          <w:rFonts w:hint="eastAsia" w:ascii="宋体" w:hAnsi="宋体" w:eastAsia="等线" w:cs="仿宋_GB2312"/>
          <w:sz w:val="24"/>
        </w:rPr>
      </w:pPr>
      <w:r>
        <w:rPr>
          <w:rFonts w:hint="eastAsia" w:ascii="宋体" w:hAnsi="宋体" w:cs="仿宋_GB2312"/>
          <w:sz w:val="24"/>
          <w:szCs w:val="24"/>
        </w:rPr>
        <w:t>本单位郑重声明，根据《财政部 民政部 中国残疾人联合会关于促进残疾人就业政府采购政策的通知》（财库〔2017〕141号）的规定，本单位为符合条件的残疾人福利性单位，且本单位参加</w:t>
      </w:r>
      <w:bookmarkStart w:id="69" w:name="OLE_LINK61"/>
      <w:bookmarkStart w:id="70" w:name="OLE_LINK64"/>
      <w:r>
        <w:rPr>
          <w:rFonts w:hint="eastAsia" w:ascii="宋体" w:hAnsi="宋体" w:cs="仿宋_GB2312"/>
          <w:sz w:val="24"/>
          <w:szCs w:val="24"/>
          <w:u w:val="single"/>
          <w:lang w:eastAsia="zh-CN"/>
        </w:rPr>
        <w:t>上林县教育局</w:t>
      </w:r>
      <w:r>
        <w:rPr>
          <w:rFonts w:hint="eastAsia" w:ascii="宋体" w:hAnsi="宋体" w:cs="仿宋_GB2312"/>
          <w:sz w:val="24"/>
          <w:szCs w:val="24"/>
        </w:rPr>
        <w:t>单位的</w:t>
      </w:r>
      <w:bookmarkEnd w:id="69"/>
      <w:bookmarkEnd w:id="70"/>
      <w:r>
        <w:rPr>
          <w:rFonts w:hint="eastAsia" w:ascii="宋体" w:hAnsi="宋体" w:cs="仿宋_GB2312"/>
          <w:sz w:val="24"/>
          <w:szCs w:val="24"/>
          <w:u w:val="single"/>
          <w:lang w:eastAsia="zh-CN"/>
        </w:rPr>
        <w:t>2026年上林县幼儿园设备采购项目（重）</w:t>
      </w:r>
      <w:r>
        <w:rPr>
          <w:rFonts w:hint="eastAsia" w:ascii="宋体" w:hAnsi="宋体" w:cs="仿宋_GB2312"/>
          <w:sz w:val="24"/>
          <w:szCs w:val="24"/>
        </w:rPr>
        <w:t>项目采购活动提供本单位制造的货物（由本单位承担工程/提供服务），或者提供其他残疾人福利性单位制造的货物（不包括使用非残疾人福利性单位注册商标的货物）。</w:t>
      </w:r>
    </w:p>
    <w:p w14:paraId="178435BD">
      <w:pPr>
        <w:spacing w:line="360" w:lineRule="auto"/>
        <w:ind w:firstLine="480" w:firstLineChars="200"/>
        <w:rPr>
          <w:rFonts w:hint="eastAsia" w:ascii="宋体" w:hAnsi="宋体" w:cs="仿宋_GB2312"/>
          <w:sz w:val="24"/>
          <w:szCs w:val="24"/>
        </w:rPr>
      </w:pPr>
      <w:r>
        <w:rPr>
          <w:rFonts w:hint="eastAsia" w:ascii="宋体" w:hAnsi="宋体" w:cs="仿宋_GB2312"/>
          <w:sz w:val="24"/>
          <w:szCs w:val="24"/>
        </w:rPr>
        <w:t>本单位对上述声明的真实性负责。如有虚假，将依法承担相应责任。</w:t>
      </w:r>
    </w:p>
    <w:p w14:paraId="0777CEBC">
      <w:pPr>
        <w:spacing w:line="360" w:lineRule="auto"/>
        <w:rPr>
          <w:rFonts w:hint="eastAsia" w:ascii="宋体" w:hAnsi="宋体" w:cs="仿宋_GB2312"/>
          <w:color w:val="000000"/>
          <w:sz w:val="24"/>
          <w:szCs w:val="24"/>
        </w:rPr>
      </w:pPr>
    </w:p>
    <w:p w14:paraId="60CD8A5D">
      <w:pPr>
        <w:spacing w:line="360" w:lineRule="auto"/>
        <w:rPr>
          <w:rFonts w:hint="eastAsia" w:ascii="宋体" w:hAnsi="宋体" w:cs="仿宋_GB2312"/>
          <w:color w:val="000000"/>
          <w:sz w:val="24"/>
          <w:szCs w:val="24"/>
        </w:rPr>
      </w:pPr>
    </w:p>
    <w:p w14:paraId="0C0F91B9">
      <w:pPr>
        <w:spacing w:line="360" w:lineRule="auto"/>
        <w:rPr>
          <w:rFonts w:hint="eastAsia" w:ascii="宋体" w:hAnsi="宋体" w:cs="仿宋_GB2312"/>
          <w:color w:val="000000"/>
          <w:sz w:val="24"/>
          <w:szCs w:val="24"/>
        </w:rPr>
      </w:pPr>
    </w:p>
    <w:p w14:paraId="7D170F8E">
      <w:pPr>
        <w:spacing w:line="360" w:lineRule="auto"/>
        <w:ind w:firstLine="2400" w:firstLineChars="1000"/>
        <w:rPr>
          <w:rFonts w:hint="eastAsia" w:ascii="宋体" w:hAnsi="宋体" w:cs="仿宋_GB2312"/>
          <w:color w:val="000000"/>
          <w:sz w:val="24"/>
          <w:szCs w:val="24"/>
        </w:rPr>
      </w:pPr>
      <w:r>
        <w:rPr>
          <w:rFonts w:hint="eastAsia" w:ascii="宋体" w:hAnsi="宋体" w:cs="仿宋_GB2312"/>
          <w:color w:val="000000"/>
          <w:sz w:val="24"/>
          <w:szCs w:val="24"/>
        </w:rPr>
        <w:t>供应商名称（电子签章）：</w:t>
      </w:r>
    </w:p>
    <w:p w14:paraId="38EF1FB2">
      <w:pPr>
        <w:spacing w:line="360" w:lineRule="auto"/>
        <w:ind w:firstLine="4320" w:firstLineChars="1800"/>
        <w:rPr>
          <w:rFonts w:hint="eastAsia" w:ascii="宋体" w:hAnsi="宋体" w:cs="仿宋_GB2312"/>
          <w:color w:val="000000"/>
          <w:sz w:val="24"/>
          <w:szCs w:val="24"/>
        </w:rPr>
      </w:pPr>
      <w:r>
        <w:rPr>
          <w:rFonts w:hint="eastAsia" w:ascii="宋体" w:hAnsi="宋体" w:cs="仿宋_GB2312"/>
          <w:color w:val="000000"/>
          <w:sz w:val="24"/>
          <w:szCs w:val="24"/>
        </w:rPr>
        <w:t>日  期：     年   月   日</w:t>
      </w:r>
    </w:p>
    <w:p w14:paraId="21425867">
      <w:pPr>
        <w:spacing w:line="360" w:lineRule="auto"/>
        <w:rPr>
          <w:rFonts w:hint="eastAsia" w:ascii="宋体" w:hAnsi="宋体" w:cs="仿宋_GB2312"/>
          <w:color w:val="000000"/>
          <w:sz w:val="24"/>
          <w:szCs w:val="24"/>
        </w:rPr>
      </w:pPr>
    </w:p>
    <w:p w14:paraId="301D81E3">
      <w:pPr>
        <w:spacing w:line="360" w:lineRule="auto"/>
        <w:rPr>
          <w:rFonts w:hint="eastAsia" w:ascii="宋体" w:hAnsi="宋体" w:cs="仿宋_GB2312"/>
          <w:color w:val="000000"/>
          <w:sz w:val="24"/>
          <w:szCs w:val="24"/>
        </w:rPr>
      </w:pPr>
    </w:p>
    <w:p w14:paraId="4C94BD43">
      <w:pPr>
        <w:spacing w:line="360" w:lineRule="auto"/>
        <w:rPr>
          <w:rFonts w:hint="eastAsia" w:ascii="宋体" w:hAnsi="宋体" w:cs="仿宋_GB2312"/>
          <w:color w:val="000000"/>
          <w:sz w:val="24"/>
          <w:szCs w:val="24"/>
        </w:rPr>
      </w:pPr>
    </w:p>
    <w:p w14:paraId="2597E0A5">
      <w:pPr>
        <w:spacing w:line="360" w:lineRule="auto"/>
        <w:rPr>
          <w:rFonts w:hint="eastAsia" w:ascii="宋体" w:hAnsi="宋体" w:cs="仿宋_GB2312"/>
          <w:color w:val="000000"/>
          <w:sz w:val="24"/>
          <w:szCs w:val="24"/>
        </w:rPr>
      </w:pPr>
      <w:r>
        <w:rPr>
          <w:rFonts w:hint="eastAsia" w:ascii="宋体" w:hAnsi="宋体" w:cs="仿宋_GB2312"/>
          <w:color w:val="000000"/>
          <w:sz w:val="24"/>
          <w:szCs w:val="24"/>
        </w:rPr>
        <w:t>注：请根据自己的真实情况出具《残疾人福利性单位声明函》。依法享受中小企业优惠政策的，采购人或者采购代理机构在公告</w:t>
      </w:r>
      <w:r>
        <w:rPr>
          <w:rFonts w:hint="eastAsia" w:ascii="宋体" w:hAnsi="宋体" w:cs="仿宋_GB2312"/>
          <w:color w:val="000000"/>
          <w:sz w:val="24"/>
          <w:szCs w:val="24"/>
          <w:lang w:eastAsia="zh-CN"/>
        </w:rPr>
        <w:t>成交</w:t>
      </w:r>
      <w:r>
        <w:rPr>
          <w:rFonts w:hint="eastAsia" w:ascii="宋体" w:hAnsi="宋体" w:cs="仿宋_GB2312"/>
          <w:color w:val="000000"/>
          <w:sz w:val="24"/>
          <w:szCs w:val="24"/>
        </w:rPr>
        <w:t>结果时，同时公告其《残疾人福利性单位声明函》，接受社会监督；根据《关于政府采购支持监狱企业发展有关问题的通知》（财库[2014]68号）的规定，</w:t>
      </w:r>
      <w:r>
        <w:rPr>
          <w:rFonts w:hint="eastAsia" w:ascii="宋体" w:hAnsi="宋体" w:cs="仿宋_GB2312"/>
          <w:color w:val="000000"/>
          <w:sz w:val="24"/>
          <w:szCs w:val="24"/>
          <w:lang w:eastAsia="zh-CN"/>
        </w:rPr>
        <w:t>响应供应商</w:t>
      </w:r>
      <w:r>
        <w:rPr>
          <w:rFonts w:hint="eastAsia" w:ascii="宋体" w:hAnsi="宋体" w:cs="仿宋_GB2312"/>
          <w:color w:val="000000"/>
          <w:sz w:val="24"/>
          <w:szCs w:val="24"/>
        </w:rPr>
        <w:t>提供由省级以上监狱管理局、戒毒管理局（含新疆生产建设兵团）出具的属于监狱企业证明文件的，视同为小型和微型企业。</w:t>
      </w:r>
    </w:p>
    <w:p w14:paraId="05C13B50">
      <w:pPr>
        <w:spacing w:line="520" w:lineRule="exact"/>
        <w:jc w:val="center"/>
        <w:rPr>
          <w:rFonts w:hint="eastAsia" w:ascii="宋体" w:hAnsi="宋体"/>
          <w:sz w:val="24"/>
          <w:szCs w:val="24"/>
        </w:rPr>
      </w:pPr>
    </w:p>
    <w:p w14:paraId="60805C35">
      <w:pPr>
        <w:spacing w:line="520" w:lineRule="exact"/>
        <w:jc w:val="center"/>
        <w:rPr>
          <w:rFonts w:hint="eastAsia" w:ascii="宋体" w:hAnsi="宋体"/>
          <w:sz w:val="24"/>
          <w:szCs w:val="24"/>
        </w:rPr>
      </w:pPr>
    </w:p>
    <w:p w14:paraId="17DFBD3F">
      <w:pPr>
        <w:spacing w:line="520" w:lineRule="exact"/>
        <w:jc w:val="center"/>
        <w:rPr>
          <w:rFonts w:hint="eastAsia" w:ascii="宋体" w:hAnsi="宋体"/>
          <w:sz w:val="24"/>
          <w:szCs w:val="24"/>
        </w:rPr>
      </w:pPr>
    </w:p>
    <w:p w14:paraId="6D682698">
      <w:pPr>
        <w:spacing w:line="520" w:lineRule="exact"/>
        <w:jc w:val="center"/>
        <w:rPr>
          <w:rFonts w:hint="eastAsia" w:ascii="宋体" w:hAnsi="宋体"/>
          <w:sz w:val="24"/>
          <w:szCs w:val="24"/>
        </w:rPr>
      </w:pPr>
    </w:p>
    <w:p w14:paraId="4FC9D8C6">
      <w:pPr>
        <w:spacing w:line="520" w:lineRule="exact"/>
        <w:jc w:val="center"/>
        <w:rPr>
          <w:rFonts w:hint="eastAsia" w:ascii="宋体" w:hAnsi="宋体"/>
          <w:sz w:val="24"/>
          <w:szCs w:val="24"/>
        </w:rPr>
      </w:pPr>
    </w:p>
    <w:p w14:paraId="45853D95">
      <w:pPr>
        <w:spacing w:line="520" w:lineRule="exact"/>
        <w:jc w:val="center"/>
        <w:rPr>
          <w:rFonts w:hint="eastAsia" w:ascii="宋体" w:hAnsi="宋体"/>
          <w:sz w:val="24"/>
          <w:szCs w:val="24"/>
        </w:rPr>
      </w:pPr>
    </w:p>
    <w:p w14:paraId="5EE9C9D2">
      <w:pPr>
        <w:spacing w:line="520" w:lineRule="exact"/>
        <w:jc w:val="center"/>
        <w:rPr>
          <w:rFonts w:hint="eastAsia" w:ascii="宋体" w:hAnsi="宋体"/>
          <w:sz w:val="24"/>
          <w:szCs w:val="24"/>
        </w:rPr>
      </w:pPr>
    </w:p>
    <w:p w14:paraId="407AD854">
      <w:pPr>
        <w:spacing w:line="520" w:lineRule="exact"/>
        <w:jc w:val="center"/>
        <w:rPr>
          <w:rFonts w:hint="eastAsia" w:ascii="宋体" w:hAnsi="宋体"/>
          <w:sz w:val="24"/>
          <w:szCs w:val="24"/>
        </w:rPr>
      </w:pPr>
    </w:p>
    <w:p w14:paraId="31D6E98E">
      <w:pPr>
        <w:spacing w:line="520" w:lineRule="exact"/>
        <w:jc w:val="center"/>
        <w:rPr>
          <w:rFonts w:hint="eastAsia" w:ascii="宋体" w:hAnsi="宋体"/>
          <w:sz w:val="24"/>
          <w:szCs w:val="24"/>
        </w:rPr>
      </w:pPr>
    </w:p>
    <w:p w14:paraId="1B14FDEC">
      <w:pPr>
        <w:spacing w:line="360" w:lineRule="auto"/>
        <w:jc w:val="center"/>
        <w:rPr>
          <w:rFonts w:hint="eastAsia" w:ascii="宋体" w:hAnsi="宋体"/>
          <w:b/>
          <w:bCs/>
          <w:sz w:val="44"/>
          <w:szCs w:val="44"/>
        </w:rPr>
      </w:pPr>
    </w:p>
    <w:p w14:paraId="757388C2">
      <w:pPr>
        <w:spacing w:line="360" w:lineRule="auto"/>
        <w:jc w:val="center"/>
        <w:rPr>
          <w:rFonts w:hint="eastAsia" w:ascii="宋体" w:hAnsi="宋体"/>
          <w:b/>
          <w:bCs/>
          <w:sz w:val="44"/>
          <w:szCs w:val="44"/>
        </w:rPr>
      </w:pPr>
    </w:p>
    <w:p w14:paraId="5D4894C4">
      <w:pPr>
        <w:spacing w:line="360" w:lineRule="auto"/>
        <w:jc w:val="center"/>
        <w:rPr>
          <w:rFonts w:hint="eastAsia" w:ascii="宋体" w:hAnsi="宋体"/>
          <w:b/>
          <w:bCs/>
          <w:sz w:val="44"/>
          <w:szCs w:val="44"/>
        </w:rPr>
      </w:pPr>
    </w:p>
    <w:p w14:paraId="442157E6">
      <w:pPr>
        <w:spacing w:line="360" w:lineRule="auto"/>
        <w:jc w:val="center"/>
        <w:rPr>
          <w:rFonts w:hint="eastAsia" w:ascii="宋体" w:hAnsi="宋体"/>
          <w:b/>
          <w:bCs/>
          <w:sz w:val="44"/>
          <w:szCs w:val="44"/>
        </w:rPr>
      </w:pPr>
    </w:p>
    <w:p w14:paraId="4D1E3A85">
      <w:pPr>
        <w:spacing w:line="360" w:lineRule="auto"/>
        <w:jc w:val="center"/>
        <w:rPr>
          <w:rFonts w:hint="eastAsia" w:ascii="宋体" w:hAnsi="宋体"/>
          <w:b/>
          <w:bCs/>
          <w:sz w:val="44"/>
          <w:szCs w:val="44"/>
        </w:rPr>
      </w:pPr>
    </w:p>
    <w:p w14:paraId="72588994">
      <w:pPr>
        <w:spacing w:line="360" w:lineRule="auto"/>
        <w:jc w:val="center"/>
        <w:rPr>
          <w:rFonts w:hint="eastAsia" w:ascii="宋体" w:hAnsi="宋体"/>
          <w:b/>
          <w:bCs/>
          <w:sz w:val="44"/>
          <w:szCs w:val="44"/>
        </w:rPr>
      </w:pPr>
    </w:p>
    <w:p w14:paraId="312E58D6">
      <w:pPr>
        <w:spacing w:before="340" w:after="330" w:line="576" w:lineRule="auto"/>
        <w:jc w:val="center"/>
        <w:outlineLvl w:val="0"/>
        <w:rPr>
          <w:rFonts w:hint="eastAsia" w:ascii="仿宋_GB2312" w:hAnsi="楷体" w:eastAsia="仿宋_GB2312"/>
          <w:b/>
          <w:bCs/>
          <w:kern w:val="44"/>
          <w:sz w:val="24"/>
          <w:szCs w:val="44"/>
          <w:u w:val="single"/>
        </w:rPr>
      </w:pPr>
      <w:bookmarkStart w:id="71" w:name="_Toc179528724"/>
      <w:r>
        <w:rPr>
          <w:rFonts w:hint="eastAsia" w:ascii="宋体" w:hAnsi="宋体"/>
          <w:kern w:val="44"/>
          <w:sz w:val="44"/>
          <w:szCs w:val="44"/>
        </w:rPr>
        <w:t>第六章  合同文本</w:t>
      </w:r>
      <w:bookmarkEnd w:id="71"/>
      <w:r>
        <w:rPr>
          <w:rFonts w:hint="eastAsia" w:ascii="宋体" w:hAnsi="宋体"/>
          <w:kern w:val="44"/>
          <w:sz w:val="44"/>
          <w:szCs w:val="44"/>
        </w:rPr>
        <w:br w:type="page"/>
      </w:r>
    </w:p>
    <w:p w14:paraId="52DAC6B0">
      <w:pPr>
        <w:spacing w:line="360" w:lineRule="auto"/>
        <w:rPr>
          <w:rFonts w:hint="eastAsia" w:ascii="宋体" w:hAnsi="宋体" w:eastAsia="等线"/>
          <w:b/>
          <w:bCs/>
        </w:rPr>
      </w:pPr>
      <w:r>
        <w:rPr>
          <w:rFonts w:hint="eastAsia" w:ascii="仿宋_GB2312" w:hAnsi="楷体" w:eastAsia="仿宋_GB2312"/>
          <w:sz w:val="24"/>
          <w:szCs w:val="24"/>
        </w:rPr>
        <w:t>“政采云”平台合同编号：</w:t>
      </w:r>
    </w:p>
    <w:p w14:paraId="0E1FA6B1">
      <w:pPr>
        <w:spacing w:line="360" w:lineRule="auto"/>
        <w:jc w:val="center"/>
        <w:rPr>
          <w:rFonts w:hint="eastAsia" w:ascii="宋体" w:hAnsi="等线"/>
          <w:b/>
          <w:bCs/>
          <w:sz w:val="52"/>
          <w:szCs w:val="24"/>
        </w:rPr>
      </w:pPr>
      <w:r>
        <w:rPr>
          <w:rFonts w:hint="eastAsia" w:ascii="宋体"/>
          <w:b/>
          <w:bCs/>
          <w:sz w:val="52"/>
          <w:szCs w:val="24"/>
        </w:rPr>
        <w:t>南 宁 市 政 府 采 购</w:t>
      </w:r>
    </w:p>
    <w:p w14:paraId="6E6235F6">
      <w:pPr>
        <w:spacing w:line="360" w:lineRule="auto"/>
        <w:ind w:firstLine="420" w:firstLineChars="200"/>
        <w:rPr>
          <w:rFonts w:hint="eastAsia" w:ascii="宋体"/>
          <w:szCs w:val="24"/>
        </w:rPr>
      </w:pPr>
    </w:p>
    <w:p w14:paraId="671C02FB">
      <w:pPr>
        <w:spacing w:line="360" w:lineRule="auto"/>
        <w:ind w:firstLine="420" w:firstLineChars="200"/>
        <w:rPr>
          <w:rFonts w:hint="eastAsia" w:ascii="宋体"/>
          <w:szCs w:val="24"/>
        </w:rPr>
      </w:pPr>
      <w:r>
        <w:rPr>
          <w:rFonts w:hint="eastAsia" w:ascii="宋体"/>
          <w:szCs w:val="24"/>
        </w:rPr>
        <w:t xml:space="preserve">                                                 </w:t>
      </w:r>
    </w:p>
    <w:p w14:paraId="0AD4475A">
      <w:pPr>
        <w:spacing w:line="360" w:lineRule="auto"/>
        <w:jc w:val="center"/>
        <w:rPr>
          <w:rFonts w:hint="eastAsia" w:ascii="宋体"/>
          <w:b/>
          <w:bCs/>
          <w:sz w:val="44"/>
          <w:szCs w:val="24"/>
        </w:rPr>
      </w:pPr>
      <w:r>
        <w:rPr>
          <w:rFonts w:hint="eastAsia" w:ascii="宋体"/>
          <w:b/>
          <w:bCs/>
          <w:sz w:val="44"/>
          <w:szCs w:val="24"/>
          <w:u w:val="single"/>
          <w:lang w:eastAsia="zh-CN"/>
        </w:rPr>
        <w:t>2026年上林县幼儿园设备采购项目（重）</w:t>
      </w:r>
      <w:r>
        <w:rPr>
          <w:rFonts w:hint="eastAsia" w:ascii="宋体"/>
          <w:b/>
          <w:bCs/>
          <w:sz w:val="44"/>
          <w:szCs w:val="24"/>
        </w:rPr>
        <w:t>合同</w:t>
      </w:r>
    </w:p>
    <w:p w14:paraId="2F05E2ED">
      <w:pPr>
        <w:spacing w:line="360" w:lineRule="auto"/>
        <w:jc w:val="center"/>
        <w:rPr>
          <w:rFonts w:hint="eastAsia" w:ascii="宋体"/>
          <w:b/>
          <w:bCs/>
          <w:sz w:val="44"/>
          <w:szCs w:val="24"/>
        </w:rPr>
      </w:pPr>
    </w:p>
    <w:p w14:paraId="0E892A2B">
      <w:pPr>
        <w:spacing w:line="360" w:lineRule="auto"/>
        <w:ind w:firstLine="3507" w:firstLineChars="794"/>
        <w:rPr>
          <w:rFonts w:hint="eastAsia" w:ascii="宋体"/>
          <w:b/>
          <w:bCs/>
          <w:sz w:val="44"/>
          <w:szCs w:val="24"/>
        </w:rPr>
      </w:pPr>
    </w:p>
    <w:p w14:paraId="088EEBB6">
      <w:pPr>
        <w:spacing w:line="360" w:lineRule="auto"/>
        <w:ind w:firstLine="3507" w:firstLineChars="794"/>
        <w:rPr>
          <w:rFonts w:hint="eastAsia" w:ascii="宋体"/>
          <w:b/>
          <w:bCs/>
          <w:sz w:val="44"/>
          <w:szCs w:val="24"/>
        </w:rPr>
      </w:pPr>
    </w:p>
    <w:p w14:paraId="2118290D">
      <w:pPr>
        <w:ind w:firstLine="1995" w:firstLineChars="552"/>
        <w:rPr>
          <w:rFonts w:hint="eastAsia" w:ascii="宋体" w:hAnsi="宋体"/>
          <w:b/>
          <w:sz w:val="36"/>
          <w:szCs w:val="36"/>
        </w:rPr>
      </w:pPr>
      <w:r>
        <w:rPr>
          <w:rFonts w:hint="eastAsia" w:ascii="宋体" w:hAnsi="宋体"/>
          <w:b/>
          <w:sz w:val="36"/>
          <w:szCs w:val="36"/>
        </w:rPr>
        <w:t>采购项目编号：</w:t>
      </w:r>
      <w:r>
        <w:rPr>
          <w:rFonts w:hint="eastAsia" w:ascii="宋体" w:hAnsi="宋体"/>
          <w:b/>
          <w:sz w:val="36"/>
          <w:szCs w:val="36"/>
          <w:u w:val="single"/>
          <w:lang w:eastAsia="zh-CN"/>
        </w:rPr>
        <w:t xml:space="preserve"> NNZC2026-J1-250095-SLXZ</w:t>
      </w:r>
      <w:r>
        <w:rPr>
          <w:rFonts w:hint="eastAsia" w:ascii="宋体" w:hAnsi="宋体"/>
          <w:b/>
          <w:sz w:val="36"/>
          <w:szCs w:val="36"/>
          <w:u w:val="single"/>
        </w:rPr>
        <w:t xml:space="preserve"> </w:t>
      </w:r>
    </w:p>
    <w:p w14:paraId="7CC5E791">
      <w:pPr>
        <w:ind w:firstLine="1995" w:firstLineChars="552"/>
        <w:rPr>
          <w:rFonts w:hint="eastAsia" w:ascii="宋体" w:hAnsi="宋体"/>
          <w:b/>
          <w:sz w:val="36"/>
          <w:szCs w:val="36"/>
        </w:rPr>
      </w:pPr>
      <w:r>
        <w:rPr>
          <w:rFonts w:hint="eastAsia" w:ascii="宋体" w:hAnsi="宋体"/>
          <w:b/>
          <w:sz w:val="36"/>
          <w:szCs w:val="36"/>
        </w:rPr>
        <w:t>采购计划编号：</w:t>
      </w:r>
      <w:r>
        <w:rPr>
          <w:rFonts w:hint="eastAsia" w:ascii="宋体" w:hAnsi="宋体"/>
          <w:b/>
          <w:sz w:val="36"/>
          <w:szCs w:val="36"/>
          <w:u w:val="single"/>
        </w:rPr>
        <w:t xml:space="preserve"> [采购计划文号（5）] </w:t>
      </w:r>
    </w:p>
    <w:p w14:paraId="1FB390BA">
      <w:pPr>
        <w:ind w:firstLine="1308" w:firstLineChars="545"/>
        <w:rPr>
          <w:rFonts w:hint="eastAsia" w:ascii="宋体" w:hAnsi="宋体" w:cs="宋体"/>
          <w:color w:val="000000"/>
          <w:sz w:val="24"/>
          <w:highlight w:val="yellow"/>
        </w:rPr>
      </w:pPr>
    </w:p>
    <w:p w14:paraId="134F40C2">
      <w:pPr>
        <w:ind w:firstLine="1995" w:firstLineChars="552"/>
        <w:rPr>
          <w:rFonts w:hint="eastAsia" w:ascii="宋体" w:hAnsi="宋体"/>
          <w:b/>
          <w:sz w:val="36"/>
          <w:szCs w:val="36"/>
          <w:u w:val="single"/>
        </w:rPr>
      </w:pPr>
    </w:p>
    <w:p w14:paraId="6A92C034">
      <w:pPr>
        <w:ind w:firstLine="1995" w:firstLineChars="552"/>
        <w:rPr>
          <w:rFonts w:hint="eastAsia" w:ascii="宋体" w:hAnsi="宋体"/>
          <w:b/>
          <w:sz w:val="36"/>
          <w:szCs w:val="36"/>
          <w:u w:val="single"/>
        </w:rPr>
      </w:pPr>
    </w:p>
    <w:p w14:paraId="2B76DCC9">
      <w:pPr>
        <w:tabs>
          <w:tab w:val="left" w:pos="7200"/>
        </w:tabs>
        <w:spacing w:line="360" w:lineRule="auto"/>
        <w:ind w:firstLine="1995" w:firstLineChars="552"/>
        <w:rPr>
          <w:rFonts w:hint="eastAsia" w:ascii="宋体" w:hAnsi="宋体"/>
          <w:b/>
          <w:sz w:val="36"/>
          <w:szCs w:val="36"/>
          <w:u w:val="single"/>
        </w:rPr>
      </w:pPr>
      <w:r>
        <w:rPr>
          <w:rFonts w:hint="eastAsia" w:ascii="宋体" w:hAnsi="宋体"/>
          <w:b/>
          <w:sz w:val="36"/>
          <w:szCs w:val="36"/>
        </w:rPr>
        <w:t>采购人：</w:t>
      </w:r>
      <w:r>
        <w:rPr>
          <w:rFonts w:hint="eastAsia" w:ascii="宋体" w:hAnsi="宋体"/>
          <w:b/>
          <w:sz w:val="36"/>
          <w:szCs w:val="36"/>
          <w:u w:val="single"/>
          <w:lang w:eastAsia="zh-CN"/>
        </w:rPr>
        <w:t>上林县教育局</w:t>
      </w:r>
      <w:r>
        <w:rPr>
          <w:rFonts w:hint="eastAsia" w:ascii="宋体" w:hAnsi="宋体"/>
          <w:b/>
          <w:sz w:val="36"/>
          <w:szCs w:val="36"/>
          <w:u w:val="single"/>
        </w:rPr>
        <w:t xml:space="preserve"> </w:t>
      </w:r>
    </w:p>
    <w:p w14:paraId="29B15F65">
      <w:pPr>
        <w:tabs>
          <w:tab w:val="left" w:pos="7380"/>
        </w:tabs>
        <w:spacing w:line="360" w:lineRule="auto"/>
        <w:ind w:firstLine="1995" w:firstLineChars="552"/>
        <w:rPr>
          <w:rFonts w:hint="eastAsia" w:ascii="宋体" w:hAnsi="等线"/>
          <w:b/>
          <w:bCs/>
          <w:sz w:val="44"/>
        </w:rPr>
      </w:pPr>
      <w:r>
        <w:rPr>
          <w:rFonts w:hint="eastAsia" w:ascii="宋体" w:hAnsi="宋体"/>
          <w:b/>
          <w:sz w:val="36"/>
          <w:szCs w:val="36"/>
        </w:rPr>
        <w:t>成交供应商：</w:t>
      </w:r>
      <w:r>
        <w:rPr>
          <w:rFonts w:hint="eastAsia" w:ascii="宋体" w:hAnsi="宋体"/>
          <w:b/>
          <w:sz w:val="36"/>
          <w:szCs w:val="36"/>
          <w:u w:val="single"/>
        </w:rPr>
        <w:t xml:space="preserve">                   </w:t>
      </w:r>
    </w:p>
    <w:p w14:paraId="5D33073A">
      <w:pPr>
        <w:tabs>
          <w:tab w:val="left" w:pos="7380"/>
        </w:tabs>
        <w:spacing w:line="360" w:lineRule="auto"/>
        <w:rPr>
          <w:rFonts w:hint="eastAsia" w:ascii="宋体"/>
          <w:b/>
          <w:bCs/>
          <w:sz w:val="44"/>
          <w:szCs w:val="24"/>
        </w:rPr>
      </w:pPr>
    </w:p>
    <w:p w14:paraId="5096F613">
      <w:pPr>
        <w:tabs>
          <w:tab w:val="left" w:pos="7380"/>
        </w:tabs>
        <w:spacing w:line="360" w:lineRule="auto"/>
        <w:ind w:firstLine="3360" w:firstLineChars="1400"/>
        <w:rPr>
          <w:rFonts w:hint="eastAsia" w:ascii="仿宋_GB2312" w:hAnsi="楷体" w:eastAsia="仿宋_GB2312"/>
          <w:sz w:val="24"/>
          <w:szCs w:val="24"/>
          <w:lang w:val="zh-CN"/>
        </w:rPr>
      </w:pPr>
      <w:r>
        <w:rPr>
          <w:rFonts w:hint="eastAsia" w:ascii="仿宋_GB2312" w:hAnsi="楷体" w:eastAsia="仿宋_GB2312"/>
          <w:sz w:val="24"/>
          <w:szCs w:val="24"/>
          <w:lang w:val="zh-CN"/>
        </w:rPr>
        <w:t>签订时间：</w:t>
      </w:r>
      <w:r>
        <w:rPr>
          <w:rFonts w:hint="eastAsia" w:ascii="仿宋_GB2312" w:hAnsi="楷体" w:eastAsia="仿宋_GB2312"/>
          <w:sz w:val="24"/>
          <w:szCs w:val="24"/>
          <w:u w:val="single"/>
          <w:lang w:val="zh-CN"/>
        </w:rPr>
        <w:t xml:space="preserve">     </w:t>
      </w:r>
      <w:r>
        <w:rPr>
          <w:rFonts w:hint="eastAsia" w:ascii="仿宋_GB2312" w:hAnsi="楷体" w:eastAsia="仿宋_GB2312"/>
          <w:sz w:val="24"/>
          <w:szCs w:val="24"/>
          <w:lang w:val="zh-CN"/>
        </w:rPr>
        <w:t>年</w:t>
      </w:r>
      <w:r>
        <w:rPr>
          <w:rFonts w:hint="eastAsia" w:ascii="仿宋_GB2312" w:hAnsi="楷体" w:eastAsia="仿宋_GB2312"/>
          <w:sz w:val="24"/>
          <w:szCs w:val="24"/>
          <w:u w:val="single"/>
          <w:lang w:val="zh-CN"/>
        </w:rPr>
        <w:t xml:space="preserve">    </w:t>
      </w:r>
      <w:r>
        <w:rPr>
          <w:rFonts w:hint="eastAsia" w:ascii="仿宋_GB2312" w:hAnsi="楷体" w:eastAsia="仿宋_GB2312"/>
          <w:sz w:val="24"/>
          <w:szCs w:val="24"/>
          <w:lang w:val="zh-CN"/>
        </w:rPr>
        <w:t>月</w:t>
      </w:r>
      <w:r>
        <w:rPr>
          <w:rFonts w:hint="eastAsia" w:ascii="仿宋_GB2312" w:hAnsi="楷体" w:eastAsia="仿宋_GB2312"/>
          <w:sz w:val="24"/>
          <w:szCs w:val="24"/>
          <w:u w:val="single"/>
          <w:lang w:val="zh-CN"/>
        </w:rPr>
        <w:t xml:space="preserve">    </w:t>
      </w:r>
      <w:r>
        <w:rPr>
          <w:rFonts w:hint="eastAsia" w:ascii="仿宋_GB2312" w:hAnsi="楷体" w:eastAsia="仿宋_GB2312"/>
          <w:sz w:val="24"/>
          <w:szCs w:val="24"/>
          <w:lang w:val="zh-CN"/>
        </w:rPr>
        <w:t>日</w:t>
      </w:r>
    </w:p>
    <w:p w14:paraId="1E929281">
      <w:pPr>
        <w:snapToGrid w:val="0"/>
        <w:spacing w:line="360" w:lineRule="auto"/>
        <w:jc w:val="center"/>
        <w:rPr>
          <w:rFonts w:hint="eastAsia" w:ascii="仿宋_GB2312" w:hAnsi="楷体" w:eastAsia="仿宋_GB2312"/>
          <w:b/>
          <w:sz w:val="24"/>
          <w:szCs w:val="24"/>
        </w:rPr>
      </w:pPr>
      <w:r>
        <w:rPr>
          <w:rFonts w:hint="eastAsia" w:ascii="宋体"/>
          <w:b/>
          <w:bCs/>
          <w:kern w:val="0"/>
          <w:sz w:val="44"/>
          <w:szCs w:val="24"/>
        </w:rPr>
        <w:br w:type="page"/>
      </w:r>
      <w:r>
        <w:rPr>
          <w:rFonts w:hint="eastAsia" w:ascii="仿宋_GB2312" w:hAnsi="楷体" w:eastAsia="仿宋_GB2312"/>
          <w:b/>
          <w:sz w:val="24"/>
          <w:szCs w:val="24"/>
        </w:rPr>
        <w:t>合同目录</w:t>
      </w:r>
    </w:p>
    <w:p w14:paraId="33E9E974">
      <w:pPr>
        <w:snapToGrid w:val="0"/>
        <w:spacing w:line="360" w:lineRule="auto"/>
        <w:jc w:val="center"/>
        <w:rPr>
          <w:rFonts w:hint="eastAsia" w:ascii="宋体" w:hAnsi="等线" w:eastAsia="等线"/>
          <w:b/>
          <w:bCs/>
          <w:sz w:val="44"/>
          <w:szCs w:val="24"/>
        </w:rPr>
      </w:pPr>
    </w:p>
    <w:p w14:paraId="659EA517">
      <w:pPr>
        <w:snapToGrid w:val="0"/>
        <w:spacing w:line="360" w:lineRule="auto"/>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一、</w:t>
      </w:r>
      <w:r>
        <w:rPr>
          <w:rFonts w:hint="eastAsia" w:ascii="仿宋_GB2312" w:hAnsi="仿宋" w:eastAsia="仿宋_GB2312"/>
          <w:sz w:val="24"/>
          <w:szCs w:val="24"/>
        </w:rPr>
        <w:t>第一部分 合同书</w:t>
      </w:r>
      <w:r>
        <w:rPr>
          <w:rFonts w:hint="eastAsia" w:ascii="仿宋_GB2312" w:hAnsi="仿宋" w:eastAsia="仿宋_GB2312" w:cs="仿宋_GB2312"/>
          <w:kern w:val="0"/>
          <w:sz w:val="24"/>
          <w:szCs w:val="24"/>
        </w:rPr>
        <w:t>……………………………………………………………（页码）</w:t>
      </w:r>
    </w:p>
    <w:p w14:paraId="20FD5C63">
      <w:pPr>
        <w:snapToGrid w:val="0"/>
        <w:spacing w:line="360" w:lineRule="auto"/>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二、第二部分 合同一般条款……………………………………………………（页码）</w:t>
      </w:r>
    </w:p>
    <w:p w14:paraId="28145122">
      <w:pPr>
        <w:snapToGrid w:val="0"/>
        <w:spacing w:line="360" w:lineRule="auto"/>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三、第三部分 合同专用条款……………………………………………………（页码）</w:t>
      </w:r>
    </w:p>
    <w:p w14:paraId="682F0041">
      <w:pPr>
        <w:snapToGrid w:val="0"/>
        <w:spacing w:line="360" w:lineRule="auto"/>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四、</w:t>
      </w:r>
      <w:r>
        <w:rPr>
          <w:rFonts w:hint="eastAsia" w:ascii="仿宋_GB2312" w:hAnsi="仿宋" w:eastAsia="仿宋_GB2312"/>
          <w:sz w:val="24"/>
          <w:szCs w:val="24"/>
        </w:rPr>
        <w:t>第四部分 合同附件</w:t>
      </w:r>
      <w:r>
        <w:rPr>
          <w:rFonts w:hint="eastAsia" w:ascii="仿宋_GB2312" w:hAnsi="仿宋" w:eastAsia="仿宋_GB2312" w:cs="仿宋_GB2312"/>
          <w:kern w:val="0"/>
          <w:sz w:val="24"/>
          <w:szCs w:val="24"/>
        </w:rPr>
        <w:t>…………………………………………………………（页码）</w:t>
      </w:r>
    </w:p>
    <w:p w14:paraId="2E29DD1D">
      <w:pPr>
        <w:snapToGrid w:val="0"/>
        <w:spacing w:line="360" w:lineRule="auto"/>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4.1成交通知书 …………………………………………………………………（页码）</w:t>
      </w:r>
    </w:p>
    <w:p w14:paraId="628FC993">
      <w:pPr>
        <w:snapToGrid w:val="0"/>
        <w:spacing w:line="360" w:lineRule="auto"/>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4.2采购文件货物需求一览表 …………………………………………………（页码）</w:t>
      </w:r>
    </w:p>
    <w:p w14:paraId="2529721E">
      <w:pPr>
        <w:snapToGrid w:val="0"/>
        <w:spacing w:line="360" w:lineRule="auto"/>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4.3采购文件的更改通知（如有） ……………………………………………（页码）</w:t>
      </w:r>
    </w:p>
    <w:p w14:paraId="5F6D3AD2">
      <w:pPr>
        <w:snapToGrid w:val="0"/>
        <w:spacing w:line="360" w:lineRule="auto"/>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4.4响应函 ………………………………………………………………………（页码）</w:t>
      </w:r>
    </w:p>
    <w:p w14:paraId="2BF141EF">
      <w:pPr>
        <w:snapToGrid w:val="0"/>
        <w:spacing w:line="360" w:lineRule="auto"/>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4.5响应报价表 …………………………………………………………………（页码）</w:t>
      </w:r>
    </w:p>
    <w:p w14:paraId="546C6980">
      <w:pPr>
        <w:snapToGrid w:val="0"/>
        <w:spacing w:line="360" w:lineRule="auto"/>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4.6响应货物技术资料表 ………………………………………………………（页码）</w:t>
      </w:r>
    </w:p>
    <w:p w14:paraId="37A2379D">
      <w:pPr>
        <w:snapToGrid w:val="0"/>
        <w:spacing w:line="360" w:lineRule="auto"/>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4.7商务条款偏离表 ……………………………………………………………（页码）</w:t>
      </w:r>
    </w:p>
    <w:p w14:paraId="5CBE19B5">
      <w:pPr>
        <w:snapToGrid w:val="0"/>
        <w:spacing w:line="360" w:lineRule="auto"/>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4.8成交供应商澄清函（如有请提供） ………………………………………（页码）</w:t>
      </w:r>
    </w:p>
    <w:p w14:paraId="3A12E2B0">
      <w:pPr>
        <w:snapToGrid w:val="0"/>
        <w:spacing w:line="360" w:lineRule="auto"/>
        <w:rPr>
          <w:rFonts w:hint="eastAsia" w:ascii="仿宋_GB2312" w:hAnsi="仿宋" w:eastAsia="仿宋_GB2312" w:cs="仿宋_GB2312"/>
          <w:kern w:val="0"/>
          <w:sz w:val="24"/>
          <w:szCs w:val="24"/>
        </w:rPr>
      </w:pPr>
      <w:r>
        <w:rPr>
          <w:rFonts w:hint="eastAsia" w:ascii="仿宋_GB2312" w:hAnsi="仿宋" w:eastAsia="仿宋_GB2312" w:cs="仿宋_GB2312"/>
          <w:kern w:val="0"/>
          <w:sz w:val="24"/>
          <w:szCs w:val="24"/>
        </w:rPr>
        <w:t>4.9其他与本合同相关的资料（如有请提供） ………………………………（页码）</w:t>
      </w:r>
    </w:p>
    <w:p w14:paraId="47086441">
      <w:pPr>
        <w:snapToGrid w:val="0"/>
        <w:spacing w:line="360" w:lineRule="auto"/>
        <w:rPr>
          <w:rFonts w:hint="eastAsia" w:ascii="仿宋_GB2312" w:hAnsi="仿宋" w:eastAsia="仿宋_GB2312" w:cs="仿宋_GB2312"/>
          <w:kern w:val="0"/>
          <w:sz w:val="24"/>
          <w:szCs w:val="24"/>
        </w:rPr>
      </w:pPr>
    </w:p>
    <w:p w14:paraId="127D7FC6">
      <w:pPr>
        <w:widowControl/>
        <w:jc w:val="left"/>
        <w:rPr>
          <w:rFonts w:ascii="仿宋_GB2312" w:eastAsia="仿宋_GB2312"/>
          <w:kern w:val="0"/>
          <w:sz w:val="32"/>
          <w:szCs w:val="20"/>
        </w:rPr>
        <w:sectPr>
          <w:pgSz w:w="11906" w:h="16838"/>
          <w:pgMar w:top="1134" w:right="1134" w:bottom="1134" w:left="1134" w:header="720" w:footer="720" w:gutter="0"/>
          <w:pgBorders>
            <w:top w:val="none" w:sz="0" w:space="0"/>
            <w:left w:val="none" w:sz="0" w:space="0"/>
            <w:bottom w:val="none" w:sz="0" w:space="0"/>
            <w:right w:val="none" w:sz="0" w:space="0"/>
          </w:pgBorders>
          <w:pgNumType w:fmt="decimal"/>
          <w:cols w:space="720" w:num="1"/>
          <w:docGrid w:type="lines" w:linePitch="331" w:charSpace="0"/>
        </w:sectPr>
      </w:pPr>
    </w:p>
    <w:p w14:paraId="05D54136">
      <w:pPr>
        <w:ind w:firstLine="562"/>
        <w:jc w:val="center"/>
        <w:outlineLvl w:val="1"/>
        <w:rPr>
          <w:rFonts w:hint="eastAsia" w:ascii="仿宋_GB2312" w:hAnsi="楷体" w:eastAsia="仿宋_GB2312"/>
          <w:b/>
          <w:sz w:val="28"/>
          <w:szCs w:val="28"/>
        </w:rPr>
      </w:pPr>
      <w:bookmarkStart w:id="72" w:name="_Toc179528725"/>
      <w:r>
        <w:rPr>
          <w:rFonts w:hint="eastAsia" w:ascii="仿宋_GB2312" w:hAnsi="楷体" w:eastAsia="仿宋_GB2312"/>
          <w:b/>
          <w:sz w:val="28"/>
          <w:szCs w:val="28"/>
        </w:rPr>
        <w:t>第一部分 合同书</w:t>
      </w:r>
      <w:bookmarkEnd w:id="72"/>
    </w:p>
    <w:p w14:paraId="737CAF5F">
      <w:pPr>
        <w:spacing w:line="360" w:lineRule="auto"/>
        <w:ind w:firstLine="480" w:firstLineChars="200"/>
        <w:rPr>
          <w:rFonts w:hint="eastAsia" w:ascii="仿宋_GB2312" w:hAnsi="楷体" w:eastAsia="仿宋_GB2312"/>
          <w:sz w:val="24"/>
        </w:rPr>
      </w:pPr>
      <w:r>
        <w:rPr>
          <w:rFonts w:hint="eastAsia" w:ascii="仿宋_GB2312" w:hAnsi="楷体" w:eastAsia="仿宋_GB2312"/>
          <w:sz w:val="24"/>
          <w:szCs w:val="24"/>
          <w:u w:val="single"/>
          <w:lang w:val="zh-CN"/>
        </w:rPr>
        <w:t xml:space="preserve">     </w:t>
      </w:r>
      <w:r>
        <w:rPr>
          <w:rFonts w:hint="eastAsia" w:ascii="仿宋_GB2312" w:hAnsi="楷体" w:eastAsia="仿宋_GB2312"/>
          <w:sz w:val="24"/>
          <w:szCs w:val="24"/>
          <w:lang w:val="zh-CN"/>
        </w:rPr>
        <w:t>年</w:t>
      </w:r>
      <w:r>
        <w:rPr>
          <w:rFonts w:hint="eastAsia" w:ascii="仿宋_GB2312" w:hAnsi="楷体" w:eastAsia="仿宋_GB2312"/>
          <w:sz w:val="24"/>
          <w:szCs w:val="24"/>
          <w:u w:val="single"/>
          <w:lang w:val="zh-CN"/>
        </w:rPr>
        <w:t xml:space="preserve">    </w:t>
      </w:r>
      <w:r>
        <w:rPr>
          <w:rFonts w:hint="eastAsia" w:ascii="仿宋_GB2312" w:hAnsi="楷体" w:eastAsia="仿宋_GB2312"/>
          <w:sz w:val="24"/>
          <w:szCs w:val="24"/>
          <w:lang w:val="zh-CN"/>
        </w:rPr>
        <w:t>月</w:t>
      </w:r>
      <w:r>
        <w:rPr>
          <w:rFonts w:hint="eastAsia" w:ascii="仿宋_GB2312" w:hAnsi="楷体" w:eastAsia="仿宋_GB2312"/>
          <w:sz w:val="24"/>
          <w:szCs w:val="24"/>
          <w:u w:val="single"/>
          <w:lang w:val="zh-CN"/>
        </w:rPr>
        <w:t xml:space="preserve">    </w:t>
      </w:r>
      <w:r>
        <w:rPr>
          <w:rFonts w:hint="eastAsia" w:ascii="仿宋_GB2312" w:hAnsi="楷体" w:eastAsia="仿宋_GB2312"/>
          <w:sz w:val="24"/>
          <w:szCs w:val="24"/>
          <w:lang w:val="zh-CN"/>
        </w:rPr>
        <w:t>日</w:t>
      </w:r>
      <w:r>
        <w:rPr>
          <w:rFonts w:hint="eastAsia" w:ascii="仿宋_GB2312" w:hAnsi="楷体" w:eastAsia="仿宋_GB2312"/>
          <w:sz w:val="24"/>
          <w:szCs w:val="24"/>
        </w:rPr>
        <w:t>，</w:t>
      </w:r>
      <w:r>
        <w:rPr>
          <w:rFonts w:hint="eastAsia" w:ascii="仿宋_GB2312" w:hAnsi="仿宋" w:eastAsia="仿宋_GB2312"/>
          <w:sz w:val="24"/>
          <w:szCs w:val="24"/>
          <w:u w:val="single"/>
        </w:rPr>
        <w:t xml:space="preserve">  </w:t>
      </w:r>
      <w:r>
        <w:rPr>
          <w:rFonts w:hint="eastAsia" w:ascii="仿宋_GB2312" w:hAnsi="仿宋" w:eastAsia="仿宋_GB2312"/>
          <w:sz w:val="24"/>
          <w:szCs w:val="24"/>
          <w:u w:val="single"/>
          <w:lang w:eastAsia="zh-CN"/>
        </w:rPr>
        <w:t>上林县教育局</w:t>
      </w:r>
      <w:r>
        <w:rPr>
          <w:rFonts w:hint="eastAsia" w:ascii="仿宋_GB2312" w:hAnsi="仿宋" w:eastAsia="仿宋_GB2312"/>
          <w:sz w:val="24"/>
          <w:szCs w:val="24"/>
          <w:u w:val="single"/>
        </w:rPr>
        <w:t xml:space="preserve"> </w:t>
      </w:r>
      <w:r>
        <w:rPr>
          <w:rFonts w:hint="eastAsia" w:ascii="仿宋_GB2312" w:hAnsi="仿宋" w:eastAsia="仿宋_GB2312"/>
          <w:sz w:val="24"/>
          <w:szCs w:val="24"/>
        </w:rPr>
        <w:t>以</w:t>
      </w:r>
      <w:r>
        <w:rPr>
          <w:rFonts w:hint="eastAsia" w:ascii="仿宋_GB2312" w:hAnsi="仿宋" w:eastAsia="仿宋_GB2312"/>
          <w:sz w:val="24"/>
          <w:szCs w:val="24"/>
          <w:u w:val="single"/>
        </w:rPr>
        <w:t xml:space="preserve">   竞争性谈判方式  </w:t>
      </w:r>
      <w:r>
        <w:rPr>
          <w:rFonts w:hint="eastAsia" w:ascii="仿宋_GB2312" w:hAnsi="仿宋" w:eastAsia="仿宋_GB2312"/>
          <w:sz w:val="24"/>
          <w:szCs w:val="24"/>
        </w:rPr>
        <w:t>对</w:t>
      </w:r>
      <w:r>
        <w:rPr>
          <w:rFonts w:hint="eastAsia" w:ascii="仿宋_GB2312" w:hAnsi="仿宋" w:eastAsia="仿宋_GB2312"/>
          <w:sz w:val="24"/>
          <w:szCs w:val="24"/>
          <w:u w:val="single"/>
        </w:rPr>
        <w:t xml:space="preserve">        </w:t>
      </w:r>
      <w:r>
        <w:rPr>
          <w:rFonts w:hint="eastAsia" w:ascii="仿宋_GB2312" w:hAnsi="楷体" w:eastAsia="仿宋_GB2312"/>
          <w:sz w:val="24"/>
          <w:szCs w:val="24"/>
        </w:rPr>
        <w:t>项目进行了采购。经</w:t>
      </w:r>
      <w:r>
        <w:rPr>
          <w:rFonts w:hint="eastAsia" w:ascii="仿宋_GB2312" w:hAnsi="楷体" w:eastAsia="仿宋_GB2312"/>
          <w:sz w:val="24"/>
          <w:szCs w:val="24"/>
          <w:u w:val="single"/>
        </w:rPr>
        <w:t xml:space="preserve">   （相关评定主体名称）   </w:t>
      </w:r>
      <w:r>
        <w:rPr>
          <w:rFonts w:hint="eastAsia" w:ascii="仿宋_GB2312" w:hAnsi="楷体" w:eastAsia="仿宋_GB2312"/>
          <w:sz w:val="24"/>
          <w:szCs w:val="24"/>
        </w:rPr>
        <w:t>评定，</w:t>
      </w:r>
      <w:r>
        <w:rPr>
          <w:rFonts w:hint="eastAsia" w:ascii="仿宋_GB2312" w:hAnsi="楷体" w:eastAsia="仿宋_GB2312"/>
          <w:sz w:val="24"/>
          <w:szCs w:val="24"/>
          <w:u w:val="single"/>
        </w:rPr>
        <w:t xml:space="preserve">   （供应商名称）</w:t>
      </w:r>
      <w:r>
        <w:rPr>
          <w:rFonts w:hint="eastAsia" w:ascii="仿宋_GB2312" w:hAnsi="楷体" w:eastAsia="仿宋_GB2312"/>
          <w:sz w:val="24"/>
          <w:szCs w:val="24"/>
        </w:rPr>
        <w:t>为该项目成交供应商。现于成交通知书发出之日起</w:t>
      </w:r>
      <w:r>
        <w:rPr>
          <w:rFonts w:hint="eastAsia" w:ascii="仿宋_GB2312" w:hAnsi="楷体" w:eastAsia="仿宋_GB2312"/>
          <w:sz w:val="24"/>
          <w:szCs w:val="24"/>
          <w:u w:val="single"/>
        </w:rPr>
        <w:t xml:space="preserve">    </w:t>
      </w:r>
      <w:r>
        <w:rPr>
          <w:rFonts w:hint="eastAsia" w:ascii="仿宋_GB2312" w:hAnsi="楷体" w:eastAsia="仿宋_GB2312"/>
          <w:sz w:val="24"/>
          <w:szCs w:val="24"/>
        </w:rPr>
        <w:t>日</w:t>
      </w:r>
      <w:r>
        <w:rPr>
          <w:rFonts w:hint="eastAsia" w:ascii="仿宋_GB2312" w:hAnsi="楷体" w:eastAsia="仿宋_GB2312"/>
          <w:color w:val="FF0000"/>
          <w:sz w:val="24"/>
          <w:szCs w:val="24"/>
        </w:rPr>
        <w:t>（时限根据项目情况而定，不得超过25日）</w:t>
      </w:r>
      <w:r>
        <w:rPr>
          <w:rFonts w:hint="eastAsia" w:ascii="仿宋_GB2312" w:hAnsi="楷体" w:eastAsia="仿宋_GB2312"/>
          <w:sz w:val="24"/>
          <w:szCs w:val="24"/>
        </w:rPr>
        <w:t>内，按照采购文件确定的事项签订本合同。</w:t>
      </w:r>
    </w:p>
    <w:p w14:paraId="59640D24">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lang w:val="zh-CN"/>
        </w:rPr>
        <w:t>根据《中华人民共和国民法典》、《中华人民共和国政府采购法》等相关法律法规之规定，按照平等、自愿、公平和诚实信用的原则，经</w:t>
      </w:r>
      <w:r>
        <w:rPr>
          <w:rFonts w:hint="eastAsia" w:ascii="仿宋_GB2312" w:hAnsi="楷体" w:eastAsia="仿宋_GB2312"/>
          <w:sz w:val="24"/>
          <w:szCs w:val="24"/>
          <w:u w:val="single"/>
        </w:rPr>
        <w:t xml:space="preserve">  </w:t>
      </w:r>
      <w:r>
        <w:rPr>
          <w:rFonts w:hint="eastAsia" w:ascii="仿宋_GB2312" w:hAnsi="楷体" w:eastAsia="仿宋_GB2312"/>
          <w:sz w:val="24"/>
          <w:szCs w:val="24"/>
          <w:u w:val="single"/>
          <w:lang w:eastAsia="zh-CN"/>
        </w:rPr>
        <w:t>上林县教育局</w:t>
      </w:r>
      <w:r>
        <w:rPr>
          <w:rFonts w:hint="eastAsia" w:ascii="仿宋_GB2312" w:hAnsi="楷体" w:eastAsia="仿宋_GB2312"/>
          <w:sz w:val="24"/>
          <w:szCs w:val="24"/>
          <w:u w:val="single"/>
        </w:rPr>
        <w:t xml:space="preserve"> </w:t>
      </w:r>
      <w:r>
        <w:rPr>
          <w:rFonts w:hint="eastAsia" w:ascii="仿宋_GB2312" w:hAnsi="楷体" w:eastAsia="仿宋_GB2312"/>
          <w:sz w:val="24"/>
          <w:szCs w:val="24"/>
          <w:lang w:val="zh-CN"/>
        </w:rPr>
        <w:t>(以下简称：甲方)和</w:t>
      </w:r>
      <w:r>
        <w:rPr>
          <w:rFonts w:hint="eastAsia" w:ascii="仿宋_GB2312" w:hAnsi="楷体" w:eastAsia="仿宋_GB2312"/>
          <w:sz w:val="24"/>
          <w:szCs w:val="24"/>
          <w:u w:val="single"/>
        </w:rPr>
        <w:t xml:space="preserve">   （</w:t>
      </w:r>
      <w:r>
        <w:rPr>
          <w:rFonts w:hint="eastAsia" w:ascii="仿宋_GB2312" w:hAnsi="楷体" w:eastAsia="仿宋_GB2312"/>
          <w:sz w:val="24"/>
          <w:szCs w:val="24"/>
          <w:u w:val="single"/>
          <w:lang w:eastAsia="zh-CN"/>
        </w:rPr>
        <w:t>成交</w:t>
      </w:r>
      <w:r>
        <w:rPr>
          <w:rFonts w:hint="eastAsia" w:ascii="仿宋_GB2312" w:hAnsi="楷体" w:eastAsia="仿宋_GB2312"/>
          <w:sz w:val="24"/>
          <w:szCs w:val="24"/>
          <w:u w:val="single"/>
        </w:rPr>
        <w:t xml:space="preserve">人名称）   </w:t>
      </w:r>
      <w:r>
        <w:rPr>
          <w:rFonts w:hint="eastAsia" w:ascii="仿宋_GB2312" w:hAnsi="楷体" w:eastAsia="仿宋_GB2312"/>
          <w:sz w:val="24"/>
          <w:szCs w:val="24"/>
          <w:lang w:val="zh-CN"/>
        </w:rPr>
        <w:t>(以下简称：乙方)协商一致，约定以下合同</w:t>
      </w:r>
      <w:r>
        <w:rPr>
          <w:rFonts w:hint="eastAsia" w:ascii="仿宋_GB2312" w:hAnsi="楷体" w:eastAsia="仿宋_GB2312"/>
          <w:sz w:val="24"/>
          <w:szCs w:val="24"/>
        </w:rPr>
        <w:t>条款，以兹共同遵守、全面履行。</w:t>
      </w:r>
    </w:p>
    <w:p w14:paraId="732389BD">
      <w:pPr>
        <w:spacing w:line="360" w:lineRule="auto"/>
        <w:ind w:firstLine="482" w:firstLineChars="200"/>
        <w:rPr>
          <w:rFonts w:hint="eastAsia" w:ascii="仿宋_GB2312" w:hAnsi="楷体" w:eastAsia="仿宋_GB2312"/>
          <w:b/>
          <w:sz w:val="24"/>
          <w:szCs w:val="24"/>
        </w:rPr>
      </w:pPr>
      <w:r>
        <w:rPr>
          <w:rFonts w:hint="eastAsia" w:ascii="仿宋_GB2312" w:hAnsi="楷体" w:eastAsia="仿宋_GB2312"/>
          <w:b/>
          <w:sz w:val="24"/>
          <w:szCs w:val="24"/>
        </w:rPr>
        <w:t>1.1 合同组成部分</w:t>
      </w:r>
    </w:p>
    <w:p w14:paraId="6589E568">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下列文件为本合同的组成部分，并构成一个整体，需综合解释、相互补充。如果下列文件内容出现不一致的情形，在保证按照采购文件确定的事项的前提下，组成本合同的多个文件的优先适用顺序如下：</w:t>
      </w:r>
    </w:p>
    <w:p w14:paraId="619795B2">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1.1.1 本合同及其补充合同、变更协议；</w:t>
      </w:r>
    </w:p>
    <w:p w14:paraId="5A51EA2C">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1.1.2 成交通知书；</w:t>
      </w:r>
    </w:p>
    <w:p w14:paraId="1DD4ECE7">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1.1.3 采购文件及“响应报价”（含澄清或者说明文件）；</w:t>
      </w:r>
    </w:p>
    <w:p w14:paraId="6416E5C1">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1.1.4 采购文件（含澄清或者修改文件）；</w:t>
      </w:r>
    </w:p>
    <w:p w14:paraId="41A3F7CE">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1.1.5 其他相关采购文件。</w:t>
      </w:r>
    </w:p>
    <w:p w14:paraId="29AD04DB">
      <w:pPr>
        <w:spacing w:line="360" w:lineRule="auto"/>
        <w:ind w:firstLine="482" w:firstLineChars="200"/>
        <w:rPr>
          <w:rFonts w:hint="eastAsia" w:ascii="仿宋_GB2312" w:hAnsi="楷体" w:eastAsia="仿宋_GB2312"/>
          <w:b/>
          <w:sz w:val="24"/>
          <w:szCs w:val="24"/>
        </w:rPr>
      </w:pPr>
      <w:r>
        <w:rPr>
          <w:rFonts w:hint="eastAsia" w:ascii="仿宋_GB2312" w:hAnsi="楷体" w:eastAsia="仿宋_GB2312"/>
          <w:b/>
          <w:sz w:val="24"/>
          <w:szCs w:val="24"/>
        </w:rPr>
        <w:t>1.2 标的物</w:t>
      </w:r>
    </w:p>
    <w:p w14:paraId="745E3F1D">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1.2.1 标的物1信息</w:t>
      </w:r>
    </w:p>
    <w:p w14:paraId="0621FD2C">
      <w:pPr>
        <w:spacing w:line="360" w:lineRule="auto"/>
        <w:ind w:firstLine="480" w:firstLineChars="200"/>
        <w:rPr>
          <w:rFonts w:hint="eastAsia" w:ascii="仿宋_GB2312" w:hAnsi="楷体" w:eastAsia="仿宋_GB2312"/>
          <w:sz w:val="24"/>
          <w:szCs w:val="24"/>
          <w:u w:val="single"/>
        </w:rPr>
      </w:pPr>
      <w:r>
        <w:rPr>
          <w:rFonts w:hint="eastAsia" w:ascii="仿宋_GB2312" w:hAnsi="楷体" w:eastAsia="仿宋_GB2312"/>
          <w:sz w:val="24"/>
          <w:szCs w:val="24"/>
        </w:rPr>
        <w:t>1.2.1.1名称：</w:t>
      </w:r>
      <w:r>
        <w:rPr>
          <w:rFonts w:hint="eastAsia" w:ascii="仿宋_GB2312" w:hAnsi="楷体" w:eastAsia="仿宋_GB2312"/>
          <w:sz w:val="24"/>
          <w:szCs w:val="24"/>
          <w:u w:val="single"/>
        </w:rPr>
        <w:t xml:space="preserve">                                        </w:t>
      </w:r>
      <w:r>
        <w:rPr>
          <w:rFonts w:hint="eastAsia" w:ascii="仿宋_GB2312" w:hAnsi="楷体" w:eastAsia="仿宋_GB2312"/>
          <w:sz w:val="24"/>
          <w:szCs w:val="24"/>
        </w:rPr>
        <w:t>；</w:t>
      </w:r>
    </w:p>
    <w:p w14:paraId="7D15325B">
      <w:pPr>
        <w:spacing w:line="360" w:lineRule="auto"/>
        <w:ind w:firstLine="480" w:firstLineChars="200"/>
        <w:rPr>
          <w:rFonts w:hint="eastAsia" w:ascii="仿宋_GB2312" w:hAnsi="楷体" w:eastAsia="仿宋_GB2312"/>
          <w:sz w:val="24"/>
          <w:szCs w:val="24"/>
          <w:u w:val="single"/>
        </w:rPr>
      </w:pPr>
      <w:r>
        <w:rPr>
          <w:rFonts w:hint="eastAsia" w:ascii="仿宋_GB2312" w:hAnsi="楷体" w:eastAsia="仿宋_GB2312"/>
          <w:sz w:val="24"/>
          <w:szCs w:val="24"/>
        </w:rPr>
        <w:t>1.2.1.2数量：</w:t>
      </w:r>
      <w:r>
        <w:rPr>
          <w:rFonts w:hint="eastAsia" w:ascii="仿宋_GB2312" w:hAnsi="楷体" w:eastAsia="仿宋_GB2312"/>
          <w:sz w:val="24"/>
          <w:szCs w:val="24"/>
          <w:u w:val="single"/>
        </w:rPr>
        <w:t xml:space="preserve">                                        </w:t>
      </w:r>
      <w:r>
        <w:rPr>
          <w:rFonts w:hint="eastAsia" w:ascii="仿宋_GB2312" w:hAnsi="楷体" w:eastAsia="仿宋_GB2312"/>
          <w:sz w:val="24"/>
          <w:szCs w:val="24"/>
        </w:rPr>
        <w:t>；</w:t>
      </w:r>
    </w:p>
    <w:p w14:paraId="5DFE5CFA">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1.2.1.3质量：</w:t>
      </w:r>
      <w:r>
        <w:rPr>
          <w:rFonts w:hint="eastAsia" w:ascii="仿宋_GB2312" w:hAnsi="楷体" w:eastAsia="仿宋_GB2312"/>
          <w:sz w:val="24"/>
          <w:szCs w:val="24"/>
          <w:u w:val="single"/>
        </w:rPr>
        <w:t xml:space="preserve">　                                      </w:t>
      </w:r>
      <w:r>
        <w:rPr>
          <w:rFonts w:hint="eastAsia" w:ascii="仿宋_GB2312" w:hAnsi="楷体" w:eastAsia="仿宋_GB2312"/>
          <w:sz w:val="24"/>
          <w:szCs w:val="24"/>
        </w:rPr>
        <w:t>。</w:t>
      </w:r>
    </w:p>
    <w:p w14:paraId="4D32081B">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w:t>
      </w:r>
    </w:p>
    <w:p w14:paraId="4F470F04">
      <w:pPr>
        <w:spacing w:line="360" w:lineRule="auto"/>
        <w:ind w:firstLine="482" w:firstLineChars="200"/>
        <w:rPr>
          <w:rFonts w:hint="eastAsia" w:ascii="仿宋_GB2312" w:hAnsi="楷体" w:eastAsia="仿宋_GB2312"/>
          <w:b/>
          <w:sz w:val="24"/>
          <w:szCs w:val="24"/>
        </w:rPr>
      </w:pPr>
      <w:r>
        <w:rPr>
          <w:rFonts w:hint="eastAsia" w:ascii="仿宋_GB2312" w:hAnsi="楷体" w:eastAsia="仿宋_GB2312"/>
          <w:b/>
          <w:sz w:val="24"/>
          <w:szCs w:val="24"/>
        </w:rPr>
        <w:t>1.3 价款</w:t>
      </w:r>
    </w:p>
    <w:p w14:paraId="25E8C518">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本合同总价为：人民币</w:t>
      </w:r>
      <w:r>
        <w:rPr>
          <w:rFonts w:hint="eastAsia" w:ascii="仿宋_GB2312" w:hAnsi="楷体" w:eastAsia="仿宋_GB2312"/>
          <w:sz w:val="24"/>
          <w:szCs w:val="24"/>
          <w:u w:val="single"/>
        </w:rPr>
        <w:t xml:space="preserve">           </w:t>
      </w:r>
      <w:r>
        <w:rPr>
          <w:rFonts w:hint="eastAsia" w:ascii="仿宋_GB2312" w:hAnsi="楷体" w:eastAsia="仿宋_GB2312"/>
          <w:sz w:val="24"/>
          <w:szCs w:val="24"/>
        </w:rPr>
        <w:t>元（大写：</w:t>
      </w:r>
      <w:r>
        <w:rPr>
          <w:rFonts w:hint="eastAsia" w:ascii="仿宋_GB2312" w:hAnsi="楷体" w:eastAsia="仿宋_GB2312"/>
          <w:sz w:val="24"/>
          <w:szCs w:val="24"/>
          <w:u w:val="single"/>
        </w:rPr>
        <w:t xml:space="preserve">                 </w:t>
      </w:r>
      <w:r>
        <w:rPr>
          <w:rFonts w:hint="eastAsia" w:ascii="仿宋_GB2312" w:hAnsi="楷体" w:eastAsia="仿宋_GB2312"/>
          <w:sz w:val="24"/>
          <w:szCs w:val="24"/>
        </w:rPr>
        <w:t>元人民币，含税）。</w:t>
      </w:r>
    </w:p>
    <w:p w14:paraId="2E549C37">
      <w:pPr>
        <w:spacing w:line="360" w:lineRule="auto"/>
        <w:ind w:firstLine="480" w:firstLineChars="200"/>
        <w:rPr>
          <w:rFonts w:hint="eastAsia" w:ascii="仿宋_GB2312" w:hAnsi="楷体" w:eastAsia="仿宋_GB2312"/>
          <w:sz w:val="24"/>
          <w:szCs w:val="24"/>
          <w:u w:val="single"/>
        </w:rPr>
      </w:pPr>
      <w:r>
        <w:rPr>
          <w:rFonts w:hint="eastAsia" w:ascii="仿宋_GB2312" w:hAnsi="楷体" w:eastAsia="仿宋_GB2312"/>
          <w:sz w:val="24"/>
          <w:szCs w:val="24"/>
        </w:rPr>
        <w:t>分项价格：</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0ADD7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noWrap w:val="0"/>
            <w:vAlign w:val="center"/>
          </w:tcPr>
          <w:p w14:paraId="4B19E784">
            <w:pPr>
              <w:spacing w:line="360" w:lineRule="auto"/>
              <w:ind w:firstLine="480" w:firstLineChars="200"/>
              <w:rPr>
                <w:rFonts w:ascii="仿宋_GB2312" w:hAnsi="楷体" w:eastAsia="仿宋_GB2312"/>
                <w:sz w:val="24"/>
              </w:rPr>
            </w:pPr>
            <w:r>
              <w:rPr>
                <w:rFonts w:hint="eastAsia" w:ascii="仿宋_GB2312" w:hAnsi="楷体" w:eastAsia="仿宋_GB2312"/>
                <w:sz w:val="24"/>
                <w:szCs w:val="24"/>
              </w:rPr>
              <w:t>序号</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4B847E70">
            <w:pPr>
              <w:spacing w:line="360" w:lineRule="auto"/>
              <w:ind w:firstLine="480" w:firstLineChars="200"/>
              <w:rPr>
                <w:rFonts w:ascii="仿宋_GB2312" w:hAnsi="楷体" w:eastAsia="仿宋_GB2312"/>
                <w:sz w:val="24"/>
              </w:rPr>
            </w:pPr>
            <w:r>
              <w:rPr>
                <w:rFonts w:hint="eastAsia" w:ascii="仿宋_GB2312" w:hAnsi="楷体" w:eastAsia="仿宋_GB2312"/>
                <w:sz w:val="24"/>
                <w:szCs w:val="24"/>
              </w:rPr>
              <w:t>分项名称</w:t>
            </w:r>
          </w:p>
        </w:tc>
        <w:tc>
          <w:tcPr>
            <w:tcW w:w="2552" w:type="dxa"/>
            <w:tcBorders>
              <w:top w:val="single" w:color="auto" w:sz="4" w:space="0"/>
              <w:left w:val="single" w:color="auto" w:sz="4" w:space="0"/>
              <w:bottom w:val="single" w:color="auto" w:sz="4" w:space="0"/>
              <w:right w:val="single" w:color="auto" w:sz="4" w:space="0"/>
            </w:tcBorders>
            <w:noWrap w:val="0"/>
            <w:vAlign w:val="center"/>
          </w:tcPr>
          <w:p w14:paraId="49AF05E5">
            <w:pPr>
              <w:spacing w:line="360" w:lineRule="auto"/>
              <w:ind w:firstLine="480" w:firstLineChars="200"/>
              <w:rPr>
                <w:rFonts w:ascii="仿宋_GB2312" w:hAnsi="楷体" w:eastAsia="仿宋_GB2312"/>
                <w:sz w:val="24"/>
              </w:rPr>
            </w:pPr>
            <w:r>
              <w:rPr>
                <w:rFonts w:hint="eastAsia" w:ascii="仿宋_GB2312" w:hAnsi="楷体" w:eastAsia="仿宋_GB2312"/>
                <w:sz w:val="24"/>
                <w:szCs w:val="24"/>
              </w:rPr>
              <w:t>分项价格</w:t>
            </w:r>
          </w:p>
        </w:tc>
      </w:tr>
      <w:tr w14:paraId="5B13B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noWrap w:val="0"/>
            <w:vAlign w:val="center"/>
          </w:tcPr>
          <w:p w14:paraId="549D4D14">
            <w:pPr>
              <w:spacing w:line="360" w:lineRule="auto"/>
              <w:ind w:firstLine="480" w:firstLineChars="200"/>
              <w:rPr>
                <w:rFonts w:ascii="仿宋_GB2312" w:hAnsi="楷体" w:eastAsia="仿宋_GB2312"/>
                <w:sz w:val="24"/>
              </w:rPr>
            </w:pPr>
          </w:p>
        </w:tc>
        <w:tc>
          <w:tcPr>
            <w:tcW w:w="3402" w:type="dxa"/>
            <w:tcBorders>
              <w:top w:val="single" w:color="auto" w:sz="4" w:space="0"/>
              <w:left w:val="single" w:color="auto" w:sz="4" w:space="0"/>
              <w:bottom w:val="single" w:color="auto" w:sz="4" w:space="0"/>
              <w:right w:val="single" w:color="auto" w:sz="4" w:space="0"/>
            </w:tcBorders>
            <w:noWrap w:val="0"/>
            <w:vAlign w:val="center"/>
          </w:tcPr>
          <w:p w14:paraId="60C0DFBA">
            <w:pPr>
              <w:spacing w:line="360" w:lineRule="auto"/>
              <w:ind w:firstLine="480" w:firstLineChars="200"/>
              <w:rPr>
                <w:rFonts w:ascii="仿宋_GB2312" w:hAnsi="楷体" w:eastAsia="仿宋_GB2312"/>
                <w:sz w:val="24"/>
              </w:rPr>
            </w:pPr>
          </w:p>
        </w:tc>
        <w:tc>
          <w:tcPr>
            <w:tcW w:w="2552" w:type="dxa"/>
            <w:tcBorders>
              <w:top w:val="single" w:color="auto" w:sz="4" w:space="0"/>
              <w:left w:val="single" w:color="auto" w:sz="4" w:space="0"/>
              <w:bottom w:val="single" w:color="auto" w:sz="4" w:space="0"/>
              <w:right w:val="single" w:color="auto" w:sz="4" w:space="0"/>
            </w:tcBorders>
            <w:noWrap w:val="0"/>
            <w:vAlign w:val="center"/>
          </w:tcPr>
          <w:p w14:paraId="313C814B">
            <w:pPr>
              <w:spacing w:line="360" w:lineRule="auto"/>
              <w:ind w:firstLine="480" w:firstLineChars="200"/>
              <w:rPr>
                <w:rFonts w:ascii="仿宋_GB2312" w:hAnsi="楷体" w:eastAsia="仿宋_GB2312"/>
                <w:sz w:val="24"/>
              </w:rPr>
            </w:pPr>
          </w:p>
        </w:tc>
      </w:tr>
      <w:tr w14:paraId="7796A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noWrap w:val="0"/>
            <w:vAlign w:val="center"/>
          </w:tcPr>
          <w:p w14:paraId="37A71D1E">
            <w:pPr>
              <w:spacing w:line="360" w:lineRule="auto"/>
              <w:ind w:firstLine="480" w:firstLineChars="200"/>
              <w:rPr>
                <w:rFonts w:ascii="仿宋_GB2312" w:hAnsi="楷体" w:eastAsia="仿宋_GB2312"/>
                <w:sz w:val="24"/>
              </w:rPr>
            </w:pPr>
          </w:p>
        </w:tc>
        <w:tc>
          <w:tcPr>
            <w:tcW w:w="3402" w:type="dxa"/>
            <w:tcBorders>
              <w:top w:val="single" w:color="auto" w:sz="4" w:space="0"/>
              <w:left w:val="single" w:color="auto" w:sz="4" w:space="0"/>
              <w:bottom w:val="single" w:color="auto" w:sz="4" w:space="0"/>
              <w:right w:val="single" w:color="auto" w:sz="4" w:space="0"/>
            </w:tcBorders>
            <w:noWrap w:val="0"/>
            <w:vAlign w:val="center"/>
          </w:tcPr>
          <w:p w14:paraId="1A6ACD33">
            <w:pPr>
              <w:spacing w:line="360" w:lineRule="auto"/>
              <w:ind w:firstLine="480" w:firstLineChars="200"/>
              <w:rPr>
                <w:rFonts w:ascii="仿宋_GB2312" w:hAnsi="楷体" w:eastAsia="仿宋_GB2312"/>
                <w:sz w:val="24"/>
              </w:rPr>
            </w:pPr>
          </w:p>
        </w:tc>
        <w:tc>
          <w:tcPr>
            <w:tcW w:w="2552" w:type="dxa"/>
            <w:tcBorders>
              <w:top w:val="single" w:color="auto" w:sz="4" w:space="0"/>
              <w:left w:val="single" w:color="auto" w:sz="4" w:space="0"/>
              <w:bottom w:val="single" w:color="auto" w:sz="4" w:space="0"/>
              <w:right w:val="single" w:color="auto" w:sz="4" w:space="0"/>
            </w:tcBorders>
            <w:noWrap w:val="0"/>
            <w:vAlign w:val="center"/>
          </w:tcPr>
          <w:p w14:paraId="5254814C">
            <w:pPr>
              <w:spacing w:line="360" w:lineRule="auto"/>
              <w:ind w:firstLine="480" w:firstLineChars="200"/>
              <w:rPr>
                <w:rFonts w:ascii="仿宋_GB2312" w:hAnsi="楷体" w:eastAsia="仿宋_GB2312"/>
                <w:sz w:val="24"/>
              </w:rPr>
            </w:pPr>
          </w:p>
        </w:tc>
      </w:tr>
      <w:tr w14:paraId="14347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noWrap w:val="0"/>
            <w:vAlign w:val="center"/>
          </w:tcPr>
          <w:p w14:paraId="6F8C7B68">
            <w:pPr>
              <w:spacing w:line="360" w:lineRule="auto"/>
              <w:ind w:firstLine="480" w:firstLineChars="200"/>
              <w:rPr>
                <w:rFonts w:ascii="仿宋_GB2312" w:hAnsi="楷体" w:eastAsia="仿宋_GB2312"/>
                <w:sz w:val="24"/>
              </w:rPr>
            </w:pPr>
          </w:p>
        </w:tc>
        <w:tc>
          <w:tcPr>
            <w:tcW w:w="3402" w:type="dxa"/>
            <w:tcBorders>
              <w:top w:val="single" w:color="auto" w:sz="4" w:space="0"/>
              <w:left w:val="single" w:color="auto" w:sz="4" w:space="0"/>
              <w:bottom w:val="single" w:color="auto" w:sz="4" w:space="0"/>
              <w:right w:val="single" w:color="auto" w:sz="4" w:space="0"/>
            </w:tcBorders>
            <w:noWrap w:val="0"/>
            <w:vAlign w:val="center"/>
          </w:tcPr>
          <w:p w14:paraId="52094916">
            <w:pPr>
              <w:spacing w:line="360" w:lineRule="auto"/>
              <w:ind w:firstLine="480" w:firstLineChars="200"/>
              <w:rPr>
                <w:rFonts w:ascii="仿宋_GB2312" w:hAnsi="楷体" w:eastAsia="仿宋_GB2312"/>
                <w:sz w:val="24"/>
              </w:rPr>
            </w:pPr>
          </w:p>
        </w:tc>
        <w:tc>
          <w:tcPr>
            <w:tcW w:w="2552" w:type="dxa"/>
            <w:tcBorders>
              <w:top w:val="single" w:color="auto" w:sz="4" w:space="0"/>
              <w:left w:val="single" w:color="auto" w:sz="4" w:space="0"/>
              <w:bottom w:val="single" w:color="auto" w:sz="4" w:space="0"/>
              <w:right w:val="single" w:color="auto" w:sz="4" w:space="0"/>
            </w:tcBorders>
            <w:noWrap w:val="0"/>
            <w:vAlign w:val="center"/>
          </w:tcPr>
          <w:p w14:paraId="79E9220F">
            <w:pPr>
              <w:spacing w:line="360" w:lineRule="auto"/>
              <w:ind w:firstLine="480" w:firstLineChars="200"/>
              <w:rPr>
                <w:rFonts w:ascii="仿宋_GB2312" w:hAnsi="楷体" w:eastAsia="仿宋_GB2312"/>
                <w:sz w:val="24"/>
              </w:rPr>
            </w:pPr>
          </w:p>
        </w:tc>
      </w:tr>
      <w:tr w14:paraId="54558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tcBorders>
              <w:top w:val="single" w:color="auto" w:sz="4" w:space="0"/>
              <w:left w:val="single" w:color="auto" w:sz="4" w:space="0"/>
              <w:bottom w:val="single" w:color="auto" w:sz="4" w:space="0"/>
              <w:right w:val="single" w:color="auto" w:sz="4" w:space="0"/>
            </w:tcBorders>
            <w:noWrap w:val="0"/>
            <w:vAlign w:val="center"/>
          </w:tcPr>
          <w:p w14:paraId="0EC7CFEB">
            <w:pPr>
              <w:spacing w:line="360" w:lineRule="auto"/>
              <w:ind w:firstLine="480" w:firstLineChars="200"/>
              <w:rPr>
                <w:rFonts w:ascii="仿宋_GB2312" w:hAnsi="楷体" w:eastAsia="仿宋_GB2312"/>
                <w:sz w:val="24"/>
              </w:rPr>
            </w:pPr>
            <w:r>
              <w:rPr>
                <w:rFonts w:hint="eastAsia" w:ascii="仿宋_GB2312" w:hAnsi="楷体" w:eastAsia="仿宋_GB2312"/>
                <w:sz w:val="24"/>
                <w:szCs w:val="24"/>
              </w:rPr>
              <w:t>总价</w:t>
            </w:r>
          </w:p>
        </w:tc>
        <w:tc>
          <w:tcPr>
            <w:tcW w:w="2552" w:type="dxa"/>
            <w:tcBorders>
              <w:top w:val="single" w:color="auto" w:sz="4" w:space="0"/>
              <w:left w:val="single" w:color="auto" w:sz="4" w:space="0"/>
              <w:bottom w:val="single" w:color="auto" w:sz="4" w:space="0"/>
              <w:right w:val="single" w:color="auto" w:sz="4" w:space="0"/>
            </w:tcBorders>
            <w:noWrap w:val="0"/>
            <w:vAlign w:val="center"/>
          </w:tcPr>
          <w:p w14:paraId="4C7B7518">
            <w:pPr>
              <w:spacing w:line="360" w:lineRule="auto"/>
              <w:ind w:firstLine="480" w:firstLineChars="200"/>
              <w:rPr>
                <w:rFonts w:ascii="仿宋_GB2312" w:hAnsi="楷体" w:eastAsia="仿宋_GB2312"/>
                <w:sz w:val="24"/>
              </w:rPr>
            </w:pPr>
          </w:p>
        </w:tc>
      </w:tr>
    </w:tbl>
    <w:p w14:paraId="416725B9">
      <w:pPr>
        <w:spacing w:line="360" w:lineRule="auto"/>
        <w:ind w:firstLine="482" w:firstLineChars="200"/>
        <w:rPr>
          <w:rFonts w:hint="eastAsia" w:ascii="仿宋_GB2312" w:hAnsi="楷体" w:eastAsia="仿宋_GB2312"/>
          <w:b/>
          <w:sz w:val="24"/>
        </w:rPr>
      </w:pPr>
      <w:r>
        <w:rPr>
          <w:rFonts w:hint="eastAsia" w:ascii="仿宋_GB2312" w:hAnsi="楷体" w:eastAsia="仿宋_GB2312"/>
          <w:b/>
          <w:sz w:val="24"/>
          <w:szCs w:val="24"/>
        </w:rPr>
        <w:t>1.4 付款方式和发票开具方式</w:t>
      </w:r>
    </w:p>
    <w:p w14:paraId="1A07DAB6">
      <w:pPr>
        <w:spacing w:line="400" w:lineRule="exact"/>
        <w:ind w:firstLine="480" w:firstLineChars="200"/>
        <w:rPr>
          <w:rFonts w:hint="eastAsia" w:ascii="宋体" w:hAnsi="宋体" w:cs="宋体"/>
          <w:b/>
          <w:bCs/>
          <w:color w:val="auto"/>
          <w:kern w:val="0"/>
          <w:szCs w:val="21"/>
          <w:highlight w:val="none"/>
          <w:u w:val="single"/>
        </w:rPr>
      </w:pPr>
      <w:r>
        <w:rPr>
          <w:rFonts w:hint="eastAsia" w:ascii="仿宋_GB2312" w:hAnsi="楷体" w:eastAsia="仿宋_GB2312"/>
          <w:sz w:val="24"/>
          <w:szCs w:val="24"/>
        </w:rPr>
        <w:t>1.4.1 付款方式：</w:t>
      </w:r>
      <w:r>
        <w:rPr>
          <w:rFonts w:hint="eastAsia" w:ascii="仿宋_GB2312" w:hAnsi="楷体" w:eastAsia="仿宋_GB2312"/>
          <w:sz w:val="24"/>
          <w:szCs w:val="24"/>
          <w:u w:val="single"/>
        </w:rPr>
        <w:t xml:space="preserve"> </w:t>
      </w:r>
      <w:r>
        <w:rPr>
          <w:rFonts w:ascii="宋体" w:hAnsi="宋体" w:eastAsia="宋体" w:cs="宋体"/>
          <w:sz w:val="24"/>
          <w:szCs w:val="24"/>
          <w:highlight w:val="none"/>
          <w:u w:val="single"/>
        </w:rPr>
        <w:t>货物验收合格且收到合规发票后，采购人在 10 个工作日内向财政部门提交全部付款申请资料；财政实际拨付时间按国库支付规则执行，采购人保证按时完成全部内部报批手续，不得无故拖延提报。逾期未提交付款资料的，由采购人承担逾期付款违约责任。</w:t>
      </w:r>
    </w:p>
    <w:p w14:paraId="4262A956">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1.4.2 发票开具方式：</w:t>
      </w:r>
      <w:r>
        <w:rPr>
          <w:rFonts w:hint="eastAsia" w:ascii="仿宋_GB2312" w:hAnsi="楷体" w:eastAsia="仿宋_GB2312"/>
          <w:sz w:val="24"/>
          <w:szCs w:val="24"/>
          <w:u w:val="single"/>
        </w:rPr>
        <w:t xml:space="preserve">                                            </w:t>
      </w:r>
      <w:r>
        <w:rPr>
          <w:rFonts w:hint="eastAsia" w:ascii="仿宋_GB2312" w:hAnsi="楷体" w:eastAsia="仿宋_GB2312"/>
          <w:sz w:val="24"/>
          <w:szCs w:val="24"/>
        </w:rPr>
        <w:t>。</w:t>
      </w:r>
    </w:p>
    <w:p w14:paraId="471C3BF9">
      <w:pPr>
        <w:spacing w:line="360" w:lineRule="auto"/>
        <w:ind w:firstLine="482" w:firstLineChars="200"/>
        <w:rPr>
          <w:rFonts w:hint="eastAsia" w:ascii="仿宋_GB2312" w:hAnsi="楷体" w:eastAsia="仿宋_GB2312"/>
          <w:b/>
          <w:sz w:val="24"/>
          <w:szCs w:val="24"/>
        </w:rPr>
      </w:pPr>
      <w:r>
        <w:rPr>
          <w:rFonts w:hint="eastAsia" w:ascii="仿宋_GB2312" w:hAnsi="楷体" w:eastAsia="仿宋_GB2312"/>
          <w:b/>
          <w:sz w:val="24"/>
          <w:szCs w:val="24"/>
        </w:rPr>
        <w:t>1.5 标的物交付期限、地点、方式和货物期限</w:t>
      </w:r>
    </w:p>
    <w:p w14:paraId="3D7B33AE">
      <w:pPr>
        <w:spacing w:line="360" w:lineRule="auto"/>
        <w:ind w:firstLine="480" w:firstLineChars="200"/>
        <w:rPr>
          <w:rFonts w:hint="eastAsia" w:ascii="仿宋_GB2312" w:hAnsi="楷体" w:eastAsia="仿宋_GB2312"/>
          <w:sz w:val="24"/>
          <w:szCs w:val="24"/>
          <w:u w:val="single"/>
        </w:rPr>
      </w:pPr>
      <w:r>
        <w:rPr>
          <w:rFonts w:hint="eastAsia" w:ascii="仿宋_GB2312" w:hAnsi="楷体" w:eastAsia="仿宋_GB2312"/>
          <w:sz w:val="24"/>
          <w:szCs w:val="24"/>
        </w:rPr>
        <w:t>1.5.1 交付期限：</w:t>
      </w:r>
      <w:r>
        <w:rPr>
          <w:rFonts w:hint="eastAsia" w:ascii="仿宋_GB2312" w:hAnsi="楷体" w:eastAsia="仿宋_GB2312"/>
          <w:sz w:val="24"/>
          <w:szCs w:val="24"/>
          <w:u w:val="single"/>
        </w:rPr>
        <w:t xml:space="preserve">                                                 ；</w:t>
      </w:r>
    </w:p>
    <w:p w14:paraId="7CA282B9">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1.5.2 交付地点：</w:t>
      </w:r>
      <w:r>
        <w:rPr>
          <w:rFonts w:hint="eastAsia" w:ascii="仿宋_GB2312" w:hAnsi="楷体" w:eastAsia="仿宋_GB2312"/>
          <w:sz w:val="24"/>
          <w:szCs w:val="24"/>
          <w:u w:val="single"/>
        </w:rPr>
        <w:t xml:space="preserve">                                                </w:t>
      </w:r>
      <w:r>
        <w:rPr>
          <w:rFonts w:hint="eastAsia" w:ascii="仿宋_GB2312" w:hAnsi="楷体" w:eastAsia="仿宋_GB2312"/>
          <w:sz w:val="24"/>
          <w:szCs w:val="24"/>
        </w:rPr>
        <w:t>；</w:t>
      </w:r>
    </w:p>
    <w:p w14:paraId="14E86981">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1.5.3 交付方式：</w:t>
      </w:r>
      <w:r>
        <w:rPr>
          <w:rFonts w:hint="eastAsia" w:ascii="仿宋_GB2312" w:hAnsi="楷体" w:eastAsia="仿宋_GB2312"/>
          <w:sz w:val="24"/>
          <w:szCs w:val="24"/>
          <w:u w:val="single"/>
        </w:rPr>
        <w:t xml:space="preserve">                                        　      </w:t>
      </w:r>
      <w:r>
        <w:rPr>
          <w:rFonts w:hint="eastAsia" w:ascii="仿宋_GB2312" w:hAnsi="楷体" w:eastAsia="仿宋_GB2312"/>
          <w:sz w:val="24"/>
          <w:szCs w:val="24"/>
        </w:rPr>
        <w:t>；</w:t>
      </w:r>
    </w:p>
    <w:p w14:paraId="4186FB90">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1.5.4 货物及质保期限：</w:t>
      </w:r>
      <w:r>
        <w:rPr>
          <w:rFonts w:hint="eastAsia" w:ascii="仿宋_GB2312" w:hAnsi="楷体" w:eastAsia="仿宋_GB2312"/>
          <w:sz w:val="24"/>
          <w:szCs w:val="24"/>
          <w:u w:val="single"/>
        </w:rPr>
        <w:t xml:space="preserve">                                           </w:t>
      </w:r>
      <w:r>
        <w:rPr>
          <w:rFonts w:hint="eastAsia" w:ascii="仿宋_GB2312" w:hAnsi="楷体" w:eastAsia="仿宋_GB2312"/>
          <w:sz w:val="24"/>
          <w:szCs w:val="24"/>
        </w:rPr>
        <w:t>。</w:t>
      </w:r>
    </w:p>
    <w:p w14:paraId="127B824E">
      <w:pPr>
        <w:spacing w:line="360" w:lineRule="auto"/>
        <w:ind w:firstLine="482" w:firstLineChars="200"/>
        <w:rPr>
          <w:rFonts w:hint="eastAsia" w:ascii="仿宋_GB2312" w:hAnsi="楷体" w:eastAsia="仿宋_GB2312"/>
          <w:b/>
          <w:sz w:val="24"/>
          <w:szCs w:val="24"/>
        </w:rPr>
      </w:pPr>
      <w:r>
        <w:rPr>
          <w:rFonts w:hint="eastAsia" w:ascii="仿宋_GB2312" w:hAnsi="楷体" w:eastAsia="仿宋_GB2312"/>
          <w:b/>
          <w:sz w:val="24"/>
          <w:szCs w:val="24"/>
        </w:rPr>
        <w:t>1.6 违约责任</w:t>
      </w:r>
    </w:p>
    <w:p w14:paraId="5B43237E">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1.6.1 除不可抗力外，如果乙方没有按照本合同约定的期限、地点和方式交付标的物，甲方可要求乙方支付违约金，违约金按每迟延交付标的物一日的应交付而未交付标的物价格的</w:t>
      </w:r>
      <w:r>
        <w:rPr>
          <w:rFonts w:hint="eastAsia" w:ascii="仿宋_GB2312" w:hAnsi="楷体" w:eastAsia="仿宋_GB2312"/>
          <w:sz w:val="24"/>
          <w:szCs w:val="24"/>
          <w:u w:val="single"/>
        </w:rPr>
        <w:t>万分之五</w:t>
      </w:r>
      <w:r>
        <w:rPr>
          <w:rFonts w:hint="eastAsia" w:ascii="仿宋_GB2312" w:hAnsi="楷体" w:eastAsia="仿宋_GB2312"/>
          <w:color w:val="FF0000"/>
          <w:sz w:val="24"/>
          <w:szCs w:val="24"/>
        </w:rPr>
        <w:t>（根据项目实际填写，一般为万分之五）</w:t>
      </w:r>
      <w:r>
        <w:rPr>
          <w:rFonts w:hint="eastAsia" w:ascii="仿宋_GB2312" w:hAnsi="楷体" w:eastAsia="仿宋_GB2312"/>
          <w:sz w:val="24"/>
          <w:szCs w:val="24"/>
        </w:rPr>
        <w:t>计算，最高限额为本合同总价的</w:t>
      </w:r>
      <w:r>
        <w:rPr>
          <w:rFonts w:hint="eastAsia" w:ascii="仿宋_GB2312" w:hAnsi="楷体" w:eastAsia="仿宋_GB2312"/>
          <w:sz w:val="24"/>
          <w:szCs w:val="24"/>
          <w:u w:val="single"/>
        </w:rPr>
        <w:t xml:space="preserve">  </w:t>
      </w:r>
      <w:r>
        <w:rPr>
          <w:rFonts w:hint="eastAsia" w:ascii="仿宋_GB2312" w:hAnsi="楷体" w:eastAsia="仿宋_GB2312"/>
          <w:sz w:val="24"/>
          <w:szCs w:val="24"/>
          <w:u w:val="single"/>
          <w:lang w:val="en-US" w:eastAsia="zh-CN"/>
        </w:rPr>
        <w:t>2</w:t>
      </w:r>
      <w:r>
        <w:rPr>
          <w:rFonts w:hint="eastAsia" w:ascii="仿宋_GB2312" w:hAnsi="楷体" w:eastAsia="仿宋_GB2312"/>
          <w:sz w:val="24"/>
          <w:szCs w:val="24"/>
          <w:u w:val="single"/>
        </w:rPr>
        <w:t xml:space="preserve">   </w:t>
      </w:r>
      <w:r>
        <w:rPr>
          <w:rFonts w:hint="eastAsia" w:ascii="仿宋_GB2312" w:hAnsi="楷体" w:eastAsia="仿宋_GB2312"/>
          <w:sz w:val="24"/>
          <w:szCs w:val="24"/>
        </w:rPr>
        <w:t>%</w:t>
      </w:r>
      <w:r>
        <w:rPr>
          <w:rFonts w:hint="eastAsia" w:ascii="仿宋_GB2312" w:hAnsi="楷体" w:eastAsia="仿宋_GB2312"/>
          <w:color w:val="FF0000"/>
          <w:sz w:val="24"/>
          <w:szCs w:val="24"/>
        </w:rPr>
        <w:t>（根据项目实际填写，一般为20%）</w:t>
      </w:r>
      <w:r>
        <w:rPr>
          <w:rFonts w:hint="eastAsia" w:ascii="仿宋_GB2312" w:hAnsi="楷体" w:eastAsia="仿宋_GB2312"/>
          <w:sz w:val="24"/>
          <w:szCs w:val="24"/>
        </w:rPr>
        <w:t>；迟延超过【  】日的，甲方有权在要求乙方支付违约金的同时，书面通知乙方解除本合同，乙方应退回全部已收取的合同价款并按合同总金额的</w:t>
      </w:r>
      <w:r>
        <w:rPr>
          <w:rFonts w:hint="eastAsia" w:ascii="仿宋_GB2312" w:hAnsi="楷体" w:eastAsia="仿宋_GB2312"/>
          <w:sz w:val="24"/>
          <w:szCs w:val="24"/>
          <w:u w:val="single"/>
        </w:rPr>
        <w:t xml:space="preserve">  </w:t>
      </w:r>
      <w:r>
        <w:rPr>
          <w:rFonts w:hint="eastAsia" w:ascii="仿宋_GB2312" w:hAnsi="楷体" w:eastAsia="仿宋_GB2312"/>
          <w:sz w:val="24"/>
          <w:szCs w:val="24"/>
          <w:u w:val="single"/>
          <w:lang w:val="en-US" w:eastAsia="zh-CN"/>
        </w:rPr>
        <w:t>2</w:t>
      </w:r>
      <w:r>
        <w:rPr>
          <w:rFonts w:hint="eastAsia" w:ascii="仿宋_GB2312" w:hAnsi="楷体" w:eastAsia="仿宋_GB2312"/>
          <w:sz w:val="24"/>
          <w:szCs w:val="24"/>
          <w:u w:val="single"/>
        </w:rPr>
        <w:t xml:space="preserve">   </w:t>
      </w:r>
      <w:r>
        <w:rPr>
          <w:rFonts w:hint="eastAsia" w:ascii="仿宋_GB2312" w:hAnsi="楷体" w:eastAsia="仿宋_GB2312"/>
          <w:sz w:val="24"/>
          <w:szCs w:val="24"/>
        </w:rPr>
        <w:t>%</w:t>
      </w:r>
      <w:r>
        <w:rPr>
          <w:rFonts w:hint="eastAsia" w:ascii="仿宋_GB2312" w:hAnsi="楷体" w:eastAsia="仿宋_GB2312"/>
          <w:color w:val="FF0000"/>
          <w:sz w:val="24"/>
          <w:szCs w:val="24"/>
        </w:rPr>
        <w:t>（根据项目实际填写，一般为20%）</w:t>
      </w:r>
      <w:r>
        <w:rPr>
          <w:rFonts w:hint="eastAsia" w:ascii="仿宋_GB2312" w:hAnsi="楷体" w:eastAsia="仿宋_GB2312"/>
          <w:sz w:val="24"/>
          <w:szCs w:val="24"/>
        </w:rPr>
        <w:t>向甲方支付违约金；</w:t>
      </w:r>
    </w:p>
    <w:p w14:paraId="3211E047">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1.6.2 除不可抗力外，如果甲方没有按照本合同约定的付款方式付款，乙方可要求甲方支付违约金，违约金按每迟延付款一日的应付而未付款的</w:t>
      </w:r>
      <w:r>
        <w:rPr>
          <w:rFonts w:hint="eastAsia" w:ascii="仿宋_GB2312" w:hAnsi="楷体" w:eastAsia="仿宋_GB2312"/>
          <w:sz w:val="24"/>
          <w:szCs w:val="24"/>
          <w:u w:val="single"/>
        </w:rPr>
        <w:t>万分之五</w:t>
      </w:r>
      <w:r>
        <w:rPr>
          <w:rFonts w:hint="eastAsia" w:ascii="仿宋_GB2312" w:hAnsi="楷体" w:eastAsia="仿宋_GB2312"/>
          <w:color w:val="FF0000"/>
          <w:sz w:val="24"/>
          <w:szCs w:val="24"/>
        </w:rPr>
        <w:t>（根据项目实际填写，一般为万分之五）</w:t>
      </w:r>
      <w:r>
        <w:rPr>
          <w:rFonts w:hint="eastAsia" w:ascii="仿宋_GB2312" w:hAnsi="楷体" w:eastAsia="仿宋_GB2312"/>
          <w:sz w:val="24"/>
          <w:szCs w:val="24"/>
        </w:rPr>
        <w:t>计算，最高限额为欠付金额的</w:t>
      </w:r>
      <w:r>
        <w:rPr>
          <w:rFonts w:hint="eastAsia" w:ascii="仿宋_GB2312" w:hAnsi="楷体" w:eastAsia="仿宋_GB2312"/>
          <w:sz w:val="24"/>
          <w:szCs w:val="24"/>
          <w:u w:val="single"/>
        </w:rPr>
        <w:t xml:space="preserve">   </w:t>
      </w:r>
      <w:r>
        <w:rPr>
          <w:rFonts w:hint="eastAsia" w:ascii="仿宋_GB2312" w:hAnsi="楷体" w:eastAsia="仿宋_GB2312"/>
          <w:sz w:val="24"/>
          <w:szCs w:val="24"/>
          <w:u w:val="single"/>
          <w:lang w:val="en-US" w:eastAsia="zh-CN"/>
        </w:rPr>
        <w:t>2</w:t>
      </w:r>
      <w:r>
        <w:rPr>
          <w:rFonts w:hint="eastAsia" w:ascii="仿宋_GB2312" w:hAnsi="楷体" w:eastAsia="仿宋_GB2312"/>
          <w:sz w:val="24"/>
          <w:szCs w:val="24"/>
          <w:u w:val="single"/>
        </w:rPr>
        <w:t xml:space="preserve">   </w:t>
      </w:r>
      <w:r>
        <w:rPr>
          <w:rFonts w:hint="eastAsia" w:ascii="仿宋_GB2312" w:hAnsi="楷体" w:eastAsia="仿宋_GB2312"/>
          <w:sz w:val="24"/>
          <w:szCs w:val="24"/>
        </w:rPr>
        <w:t>%</w:t>
      </w:r>
      <w:r>
        <w:rPr>
          <w:rFonts w:hint="eastAsia" w:ascii="仿宋_GB2312" w:hAnsi="楷体" w:eastAsia="仿宋_GB2312"/>
          <w:color w:val="FF0000"/>
          <w:sz w:val="24"/>
          <w:szCs w:val="24"/>
        </w:rPr>
        <w:t>（根据项目实际填写，一般为20%）</w:t>
      </w:r>
      <w:r>
        <w:rPr>
          <w:rFonts w:hint="eastAsia" w:ascii="仿宋_GB2312" w:hAnsi="楷体" w:eastAsia="仿宋_GB2312"/>
          <w:sz w:val="24"/>
          <w:szCs w:val="24"/>
        </w:rPr>
        <w:t>；迟延付款的违约金计算数额达到前述最高限额之日起，乙方有权在要求甲方支付违约金的同时，书面通知甲方解除本合同；</w:t>
      </w:r>
    </w:p>
    <w:p w14:paraId="745FB799">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1FDEC177">
      <w:pPr>
        <w:spacing w:line="360" w:lineRule="auto"/>
        <w:ind w:left="239" w:leftChars="114" w:firstLine="240" w:firstLineChars="100"/>
        <w:rPr>
          <w:rFonts w:hint="eastAsia" w:ascii="仿宋" w:hAnsi="仿宋" w:eastAsia="仿宋" w:cs="仿宋"/>
          <w:sz w:val="24"/>
          <w:szCs w:val="24"/>
        </w:rPr>
      </w:pPr>
      <w:r>
        <w:rPr>
          <w:rFonts w:hint="eastAsia" w:ascii="仿宋_GB2312" w:hAnsi="楷体" w:eastAsia="仿宋_GB2312"/>
          <w:sz w:val="24"/>
          <w:szCs w:val="24"/>
        </w:rPr>
        <w:t>1.6.4</w:t>
      </w:r>
      <w:r>
        <w:rPr>
          <w:rFonts w:hint="eastAsia" w:ascii="仿宋" w:hAnsi="仿宋" w:eastAsia="仿宋" w:cs="仿宋"/>
          <w:sz w:val="24"/>
          <w:szCs w:val="24"/>
        </w:rPr>
        <w:t>乙方在质保期内未按承诺提供售后等货物的，每发生一次向甲方支付</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2000</w:t>
      </w:r>
      <w:r>
        <w:rPr>
          <w:rFonts w:hint="eastAsia" w:ascii="仿宋" w:hAnsi="仿宋" w:eastAsia="仿宋" w:cs="仿宋"/>
          <w:sz w:val="24"/>
          <w:szCs w:val="24"/>
          <w:u w:val="single"/>
        </w:rPr>
        <w:t xml:space="preserve"> </w:t>
      </w:r>
      <w:r>
        <w:rPr>
          <w:rFonts w:hint="eastAsia" w:ascii="仿宋" w:hAnsi="仿宋" w:eastAsia="仿宋" w:cs="仿宋"/>
          <w:sz w:val="24"/>
          <w:szCs w:val="24"/>
        </w:rPr>
        <w:t>元</w:t>
      </w:r>
      <w:r>
        <w:rPr>
          <w:rFonts w:hint="eastAsia" w:ascii="仿宋_GB2312" w:hAnsi="楷体" w:eastAsia="仿宋_GB2312"/>
          <w:color w:val="FF0000"/>
          <w:sz w:val="24"/>
          <w:szCs w:val="24"/>
        </w:rPr>
        <w:t>（根据项目实际填写，一般为2000元）</w:t>
      </w:r>
      <w:r>
        <w:rPr>
          <w:rFonts w:hint="eastAsia" w:ascii="仿宋" w:hAnsi="仿宋" w:eastAsia="仿宋" w:cs="仿宋"/>
          <w:sz w:val="24"/>
          <w:szCs w:val="24"/>
        </w:rPr>
        <w:t>的违约金。</w:t>
      </w:r>
    </w:p>
    <w:p w14:paraId="629522D8">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1.6.5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5A1FF4F8">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1.6.6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7406A703">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1.6.7 如果出现政府采购监督管理部门在处理投诉事项期间，书面通知甲方暂停采购活动的情形，或者询问或质疑事项可能影响</w:t>
      </w:r>
      <w:r>
        <w:rPr>
          <w:rFonts w:hint="eastAsia" w:ascii="仿宋_GB2312" w:hAnsi="楷体" w:eastAsia="仿宋_GB2312"/>
          <w:sz w:val="24"/>
          <w:szCs w:val="24"/>
          <w:lang w:eastAsia="zh-CN"/>
        </w:rPr>
        <w:t>成交</w:t>
      </w:r>
      <w:r>
        <w:rPr>
          <w:rFonts w:hint="eastAsia" w:ascii="仿宋_GB2312" w:hAnsi="楷体" w:eastAsia="仿宋_GB2312"/>
          <w:sz w:val="24"/>
          <w:szCs w:val="24"/>
        </w:rPr>
        <w:t>结果的，导致甲方中止履行合同的情形，均不视为甲方违约。</w:t>
      </w:r>
    </w:p>
    <w:p w14:paraId="58C53523">
      <w:pPr>
        <w:spacing w:line="360" w:lineRule="auto"/>
        <w:ind w:firstLine="482" w:firstLineChars="200"/>
        <w:rPr>
          <w:rFonts w:hint="eastAsia" w:ascii="仿宋_GB2312" w:hAnsi="楷体" w:eastAsia="仿宋_GB2312"/>
          <w:b/>
          <w:sz w:val="24"/>
          <w:szCs w:val="24"/>
        </w:rPr>
      </w:pPr>
      <w:r>
        <w:rPr>
          <w:rFonts w:hint="eastAsia" w:ascii="仿宋_GB2312" w:hAnsi="楷体" w:eastAsia="仿宋_GB2312"/>
          <w:b/>
          <w:sz w:val="24"/>
          <w:szCs w:val="24"/>
        </w:rPr>
        <w:t>1.7 合同争议的解决</w:t>
      </w:r>
    </w:p>
    <w:p w14:paraId="713D3365">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本合同履行过程中发生的任何争议，双方当事人均可通过和解或者调解解决；不愿和解、调解或者和解、调解不成的，可以选择下列第</w:t>
      </w:r>
      <w:r>
        <w:rPr>
          <w:rFonts w:hint="eastAsia" w:ascii="仿宋_GB2312" w:hAnsi="楷体" w:eastAsia="仿宋_GB2312"/>
          <w:sz w:val="24"/>
          <w:szCs w:val="24"/>
          <w:u w:val="single"/>
        </w:rPr>
        <w:t xml:space="preserve">     </w:t>
      </w:r>
      <w:r>
        <w:rPr>
          <w:rFonts w:hint="eastAsia" w:ascii="仿宋_GB2312" w:hAnsi="楷体" w:eastAsia="仿宋_GB2312"/>
          <w:sz w:val="24"/>
          <w:szCs w:val="24"/>
        </w:rPr>
        <w:t>种方式解决：</w:t>
      </w:r>
    </w:p>
    <w:p w14:paraId="092F7E8E">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1.7.1 将争议提交</w:t>
      </w:r>
      <w:r>
        <w:rPr>
          <w:rFonts w:hint="eastAsia" w:ascii="仿宋_GB2312" w:hAnsi="楷体" w:eastAsia="仿宋_GB2312"/>
          <w:sz w:val="24"/>
          <w:szCs w:val="24"/>
          <w:u w:val="single"/>
        </w:rPr>
        <w:t>南宁</w:t>
      </w:r>
      <w:r>
        <w:rPr>
          <w:rFonts w:hint="eastAsia" w:ascii="仿宋_GB2312" w:hAnsi="楷体" w:eastAsia="仿宋_GB2312"/>
          <w:sz w:val="24"/>
          <w:szCs w:val="24"/>
        </w:rPr>
        <w:t>仲裁委员会依申请仲裁时其现行有效的仲裁规则裁决；</w:t>
      </w:r>
    </w:p>
    <w:p w14:paraId="2453DF2F">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1.7.2 向</w:t>
      </w:r>
      <w:r>
        <w:rPr>
          <w:rFonts w:hint="eastAsia" w:ascii="仿宋_GB2312" w:hAnsi="楷体" w:eastAsia="仿宋_GB2312"/>
          <w:sz w:val="24"/>
          <w:szCs w:val="24"/>
          <w:u w:val="single"/>
        </w:rPr>
        <w:t xml:space="preserve">   甲方所在地    </w:t>
      </w:r>
      <w:r>
        <w:rPr>
          <w:rFonts w:hint="eastAsia" w:ascii="仿宋_GB2312" w:hAnsi="楷体" w:eastAsia="仿宋_GB2312"/>
          <w:sz w:val="24"/>
          <w:szCs w:val="24"/>
        </w:rPr>
        <w:t>人民法院起诉。</w:t>
      </w:r>
    </w:p>
    <w:p w14:paraId="2D22446B">
      <w:pPr>
        <w:spacing w:line="360" w:lineRule="auto"/>
        <w:ind w:firstLine="482" w:firstLineChars="200"/>
        <w:rPr>
          <w:rFonts w:hint="eastAsia" w:ascii="仿宋_GB2312" w:hAnsi="楷体" w:eastAsia="仿宋_GB2312"/>
          <w:b/>
          <w:sz w:val="24"/>
          <w:szCs w:val="24"/>
        </w:rPr>
      </w:pPr>
      <w:r>
        <w:rPr>
          <w:rFonts w:hint="eastAsia" w:ascii="仿宋_GB2312" w:hAnsi="楷体" w:eastAsia="仿宋_GB2312"/>
          <w:b/>
          <w:sz w:val="24"/>
          <w:szCs w:val="24"/>
        </w:rPr>
        <w:t>1.8 合同生效</w:t>
      </w:r>
    </w:p>
    <w:p w14:paraId="31BFCB31">
      <w:pPr>
        <w:spacing w:line="360" w:lineRule="auto"/>
        <w:ind w:firstLine="480" w:firstLineChars="200"/>
        <w:rPr>
          <w:rFonts w:hint="eastAsia" w:ascii="仿宋_GB2312" w:hAnsi="楷体" w:eastAsia="仿宋_GB2312"/>
          <w:b/>
          <w:sz w:val="24"/>
          <w:szCs w:val="24"/>
        </w:rPr>
      </w:pPr>
      <w:r>
        <w:rPr>
          <w:rFonts w:hint="eastAsia" w:ascii="仿宋_GB2312" w:hAnsi="楷体" w:eastAsia="仿宋_GB2312"/>
          <w:sz w:val="24"/>
          <w:szCs w:val="24"/>
        </w:rPr>
        <w:t>本合同自双方当事人加盖有效电子公章时生效。</w:t>
      </w:r>
    </w:p>
    <w:p w14:paraId="091987EF">
      <w:pPr>
        <w:spacing w:line="360" w:lineRule="auto"/>
        <w:ind w:firstLine="200"/>
        <w:rPr>
          <w:rFonts w:hint="eastAsia" w:ascii="仿宋_GB2312" w:hAnsi="楷体" w:eastAsia="仿宋_GB2312"/>
          <w:sz w:val="24"/>
          <w:szCs w:val="24"/>
          <w:lang w:val="zh-CN"/>
        </w:rPr>
      </w:pPr>
      <w:r>
        <w:rPr>
          <w:rFonts w:hint="eastAsia" w:ascii="仿宋_GB2312" w:hAnsi="楷体" w:eastAsia="仿宋_GB2312"/>
          <w:sz w:val="24"/>
          <w:szCs w:val="24"/>
          <w:lang w:val="zh-CN"/>
        </w:rPr>
        <w:t>甲方：                                   乙方：</w:t>
      </w:r>
    </w:p>
    <w:p w14:paraId="22DC6E9A">
      <w:pPr>
        <w:spacing w:line="360" w:lineRule="auto"/>
        <w:ind w:firstLine="200"/>
        <w:rPr>
          <w:rFonts w:hint="eastAsia" w:ascii="仿宋_GB2312" w:hAnsi="楷体" w:eastAsia="仿宋_GB2312"/>
          <w:sz w:val="24"/>
          <w:szCs w:val="24"/>
          <w:lang w:val="zh-CN"/>
        </w:rPr>
      </w:pPr>
      <w:r>
        <w:rPr>
          <w:rFonts w:hint="eastAsia" w:ascii="仿宋_GB2312" w:hAnsi="楷体" w:eastAsia="仿宋_GB2312"/>
          <w:sz w:val="24"/>
          <w:szCs w:val="24"/>
          <w:lang w:val="zh-CN"/>
        </w:rPr>
        <w:t>统一社会信用代码：                        统一社会信用代码或身份证号码：</w:t>
      </w:r>
    </w:p>
    <w:p w14:paraId="6D829AC8">
      <w:pPr>
        <w:spacing w:line="360" w:lineRule="auto"/>
        <w:ind w:firstLine="200"/>
        <w:rPr>
          <w:rFonts w:hint="eastAsia" w:ascii="仿宋_GB2312" w:hAnsi="楷体" w:eastAsia="仿宋_GB2312"/>
          <w:sz w:val="24"/>
          <w:szCs w:val="24"/>
          <w:lang w:val="zh-CN"/>
        </w:rPr>
      </w:pPr>
    </w:p>
    <w:p w14:paraId="22248D57">
      <w:pPr>
        <w:spacing w:line="360" w:lineRule="auto"/>
        <w:ind w:firstLine="200"/>
        <w:rPr>
          <w:rFonts w:hint="eastAsia" w:ascii="仿宋_GB2312" w:hAnsi="楷体" w:eastAsia="仿宋_GB2312"/>
          <w:sz w:val="24"/>
          <w:szCs w:val="24"/>
          <w:lang w:val="zh-CN"/>
        </w:rPr>
      </w:pPr>
      <w:r>
        <w:rPr>
          <w:rFonts w:hint="eastAsia" w:ascii="仿宋_GB2312" w:hAnsi="楷体" w:eastAsia="仿宋_GB2312"/>
          <w:sz w:val="24"/>
          <w:szCs w:val="24"/>
          <w:lang w:val="zh-CN"/>
        </w:rPr>
        <w:t>住所：                                   住所：</w:t>
      </w:r>
    </w:p>
    <w:p w14:paraId="4434E32D">
      <w:pPr>
        <w:spacing w:line="360" w:lineRule="auto"/>
        <w:ind w:firstLine="200"/>
        <w:rPr>
          <w:rFonts w:hint="eastAsia" w:ascii="仿宋_GB2312" w:hAnsi="楷体" w:eastAsia="仿宋_GB2312"/>
          <w:sz w:val="24"/>
          <w:szCs w:val="24"/>
          <w:lang w:val="zh-CN"/>
        </w:rPr>
      </w:pPr>
      <w:r>
        <w:rPr>
          <w:rFonts w:hint="eastAsia" w:ascii="仿宋_GB2312" w:hAnsi="楷体" w:eastAsia="仿宋_GB2312"/>
          <w:sz w:val="24"/>
          <w:szCs w:val="24"/>
          <w:lang w:val="zh-CN"/>
        </w:rPr>
        <w:t>法定代表人或                             法定代表人</w:t>
      </w:r>
    </w:p>
    <w:p w14:paraId="2CC7426F">
      <w:pPr>
        <w:spacing w:line="360" w:lineRule="auto"/>
        <w:ind w:firstLine="200"/>
        <w:rPr>
          <w:rFonts w:hint="eastAsia" w:ascii="仿宋_GB2312" w:hAnsi="楷体" w:eastAsia="仿宋_GB2312"/>
          <w:sz w:val="24"/>
          <w:szCs w:val="24"/>
          <w:lang w:val="zh-CN"/>
        </w:rPr>
      </w:pPr>
      <w:r>
        <w:rPr>
          <w:rFonts w:hint="eastAsia" w:ascii="仿宋_GB2312" w:hAnsi="楷体" w:eastAsia="仿宋_GB2312"/>
          <w:sz w:val="24"/>
          <w:szCs w:val="24"/>
          <w:lang w:val="zh-CN"/>
        </w:rPr>
        <w:t xml:space="preserve">授权代表（签字）：                       或授权代表（签字）: </w:t>
      </w:r>
    </w:p>
    <w:p w14:paraId="1D537997">
      <w:pPr>
        <w:spacing w:line="360" w:lineRule="auto"/>
        <w:ind w:firstLine="200"/>
        <w:rPr>
          <w:rFonts w:hint="eastAsia" w:ascii="仿宋_GB2312" w:hAnsi="楷体" w:eastAsia="仿宋_GB2312"/>
          <w:sz w:val="24"/>
          <w:szCs w:val="24"/>
          <w:lang w:val="zh-CN"/>
        </w:rPr>
      </w:pPr>
      <w:r>
        <w:rPr>
          <w:rFonts w:hint="eastAsia" w:ascii="仿宋_GB2312" w:hAnsi="楷体" w:eastAsia="仿宋_GB2312"/>
          <w:sz w:val="24"/>
          <w:szCs w:val="24"/>
          <w:lang w:val="zh-CN"/>
        </w:rPr>
        <w:t>联系人：                                 联系人：</w:t>
      </w:r>
    </w:p>
    <w:p w14:paraId="71BF5030">
      <w:pPr>
        <w:spacing w:line="360" w:lineRule="auto"/>
        <w:ind w:firstLine="200"/>
        <w:rPr>
          <w:rFonts w:hint="eastAsia" w:ascii="仿宋_GB2312" w:hAnsi="楷体" w:eastAsia="仿宋_GB2312"/>
          <w:sz w:val="24"/>
          <w:szCs w:val="24"/>
          <w:lang w:val="zh-CN"/>
        </w:rPr>
      </w:pPr>
      <w:r>
        <w:rPr>
          <w:rFonts w:hint="eastAsia" w:ascii="仿宋_GB2312" w:hAnsi="楷体" w:eastAsia="仿宋_GB2312"/>
          <w:sz w:val="24"/>
          <w:szCs w:val="24"/>
          <w:lang w:val="zh-CN"/>
        </w:rPr>
        <w:t>约定送达地址：                           约定送达地址：</w:t>
      </w:r>
    </w:p>
    <w:p w14:paraId="57ACA3A2">
      <w:pPr>
        <w:spacing w:line="360" w:lineRule="auto"/>
        <w:ind w:firstLine="200"/>
        <w:rPr>
          <w:rFonts w:hint="eastAsia" w:ascii="仿宋_GB2312" w:hAnsi="楷体" w:eastAsia="仿宋_GB2312"/>
          <w:sz w:val="24"/>
          <w:szCs w:val="24"/>
          <w:lang w:val="zh-CN"/>
        </w:rPr>
      </w:pPr>
      <w:r>
        <w:rPr>
          <w:rFonts w:hint="eastAsia" w:ascii="仿宋_GB2312" w:hAnsi="楷体" w:eastAsia="仿宋_GB2312"/>
          <w:sz w:val="24"/>
          <w:szCs w:val="24"/>
          <w:lang w:val="zh-CN"/>
        </w:rPr>
        <w:t>邮政编码：                               邮政编码：</w:t>
      </w:r>
    </w:p>
    <w:p w14:paraId="4326837E">
      <w:pPr>
        <w:spacing w:line="360" w:lineRule="auto"/>
        <w:ind w:firstLine="200"/>
        <w:rPr>
          <w:rFonts w:hint="eastAsia" w:ascii="仿宋_GB2312" w:hAnsi="楷体" w:eastAsia="仿宋_GB2312"/>
          <w:sz w:val="24"/>
          <w:szCs w:val="24"/>
          <w:lang w:val="zh-CN"/>
        </w:rPr>
      </w:pPr>
      <w:r>
        <w:rPr>
          <w:rFonts w:hint="eastAsia" w:ascii="仿宋_GB2312" w:hAnsi="楷体" w:eastAsia="仿宋_GB2312"/>
          <w:sz w:val="24"/>
          <w:szCs w:val="24"/>
          <w:lang w:val="zh-CN"/>
        </w:rPr>
        <w:t xml:space="preserve">电话:                                    电话: </w:t>
      </w:r>
    </w:p>
    <w:p w14:paraId="5A88D699">
      <w:pPr>
        <w:spacing w:line="360" w:lineRule="auto"/>
        <w:ind w:firstLine="200"/>
        <w:rPr>
          <w:rFonts w:hint="eastAsia" w:ascii="仿宋_GB2312" w:hAnsi="楷体" w:eastAsia="仿宋_GB2312"/>
          <w:sz w:val="24"/>
          <w:szCs w:val="24"/>
          <w:lang w:val="zh-CN"/>
        </w:rPr>
      </w:pPr>
      <w:r>
        <w:rPr>
          <w:rFonts w:hint="eastAsia" w:ascii="仿宋_GB2312" w:hAnsi="楷体" w:eastAsia="仿宋_GB2312"/>
          <w:sz w:val="24"/>
          <w:szCs w:val="24"/>
          <w:lang w:val="zh-CN"/>
        </w:rPr>
        <w:t>传真:                                    传真:</w:t>
      </w:r>
    </w:p>
    <w:p w14:paraId="5FE5FF96">
      <w:pPr>
        <w:spacing w:line="360" w:lineRule="auto"/>
        <w:ind w:firstLine="200"/>
        <w:rPr>
          <w:rFonts w:hint="eastAsia" w:ascii="仿宋_GB2312" w:hAnsi="楷体" w:eastAsia="仿宋_GB2312"/>
          <w:sz w:val="24"/>
          <w:szCs w:val="24"/>
        </w:rPr>
      </w:pPr>
      <w:r>
        <w:rPr>
          <w:rFonts w:hint="eastAsia" w:ascii="仿宋_GB2312" w:hAnsi="楷体" w:eastAsia="仿宋_GB2312"/>
          <w:sz w:val="24"/>
          <w:szCs w:val="24"/>
          <w:lang w:val="zh-CN"/>
        </w:rPr>
        <w:t>电子邮箱：                               电子邮箱：</w:t>
      </w:r>
    </w:p>
    <w:p w14:paraId="77176AD5">
      <w:pPr>
        <w:spacing w:line="360" w:lineRule="auto"/>
        <w:ind w:firstLine="200"/>
        <w:rPr>
          <w:rFonts w:hint="eastAsia" w:ascii="仿宋_GB2312" w:hAnsi="楷体" w:eastAsia="仿宋_GB2312"/>
          <w:sz w:val="24"/>
          <w:szCs w:val="24"/>
        </w:rPr>
      </w:pPr>
      <w:r>
        <w:rPr>
          <w:rFonts w:hint="eastAsia" w:ascii="仿宋_GB2312" w:hAnsi="楷体" w:eastAsia="仿宋_GB2312"/>
          <w:sz w:val="24"/>
          <w:szCs w:val="24"/>
        </w:rPr>
        <w:t xml:space="preserve">开户银行：                               开户银行： </w:t>
      </w:r>
    </w:p>
    <w:p w14:paraId="082DC054">
      <w:pPr>
        <w:spacing w:line="360" w:lineRule="auto"/>
        <w:ind w:firstLine="200"/>
        <w:rPr>
          <w:rFonts w:hint="eastAsia" w:ascii="仿宋_GB2312" w:hAnsi="楷体" w:eastAsia="仿宋_GB2312"/>
          <w:sz w:val="24"/>
          <w:szCs w:val="24"/>
        </w:rPr>
      </w:pPr>
      <w:r>
        <w:rPr>
          <w:rFonts w:hint="eastAsia" w:ascii="仿宋_GB2312" w:hAnsi="楷体" w:eastAsia="仿宋_GB2312"/>
          <w:sz w:val="24"/>
          <w:szCs w:val="24"/>
        </w:rPr>
        <w:t xml:space="preserve">开户名称：                               开户名称： </w:t>
      </w:r>
    </w:p>
    <w:p w14:paraId="4085EC97">
      <w:pPr>
        <w:spacing w:line="360" w:lineRule="auto"/>
        <w:ind w:firstLine="200"/>
        <w:rPr>
          <w:rFonts w:hint="eastAsia" w:ascii="仿宋_GB2312" w:hAnsi="楷体" w:eastAsia="仿宋_GB2312"/>
          <w:sz w:val="24"/>
          <w:szCs w:val="24"/>
        </w:rPr>
      </w:pPr>
      <w:r>
        <w:rPr>
          <w:rFonts w:hint="eastAsia" w:ascii="仿宋_GB2312" w:hAnsi="楷体" w:eastAsia="仿宋_GB2312"/>
          <w:sz w:val="24"/>
          <w:szCs w:val="24"/>
        </w:rPr>
        <w:t>开户账号：</w:t>
      </w:r>
      <w:r>
        <w:rPr>
          <w:rFonts w:hint="eastAsia" w:ascii="仿宋_GB2312" w:hAnsi="楷体" w:eastAsia="仿宋_GB2312"/>
          <w:sz w:val="24"/>
          <w:szCs w:val="24"/>
          <w:lang w:val="zh-CN"/>
        </w:rPr>
        <w:t xml:space="preserve">                               </w:t>
      </w:r>
      <w:r>
        <w:rPr>
          <w:rFonts w:hint="eastAsia" w:ascii="仿宋_GB2312" w:hAnsi="楷体" w:eastAsia="仿宋_GB2312"/>
          <w:sz w:val="24"/>
          <w:szCs w:val="24"/>
        </w:rPr>
        <w:t>开户账号：</w:t>
      </w:r>
    </w:p>
    <w:p w14:paraId="257944A7">
      <w:pPr>
        <w:ind w:firstLine="482"/>
        <w:jc w:val="center"/>
        <w:outlineLvl w:val="1"/>
        <w:rPr>
          <w:rFonts w:hint="eastAsia" w:ascii="仿宋_GB2312" w:hAnsi="楷体" w:eastAsia="仿宋_GB2312"/>
          <w:b/>
          <w:sz w:val="28"/>
          <w:szCs w:val="28"/>
        </w:rPr>
      </w:pPr>
      <w:r>
        <w:rPr>
          <w:rFonts w:hint="eastAsia" w:ascii="仿宋_GB2312" w:hAnsi="楷体" w:eastAsia="仿宋_GB2312"/>
          <w:b/>
          <w:kern w:val="0"/>
          <w:szCs w:val="24"/>
        </w:rPr>
        <w:br w:type="page"/>
      </w:r>
      <w:bookmarkStart w:id="73" w:name="_Toc179528726"/>
      <w:r>
        <w:rPr>
          <w:rFonts w:hint="eastAsia" w:ascii="仿宋_GB2312" w:hAnsi="楷体" w:eastAsia="仿宋_GB2312"/>
          <w:b/>
          <w:sz w:val="28"/>
          <w:szCs w:val="28"/>
        </w:rPr>
        <w:t>第二部分 合同一般条款</w:t>
      </w:r>
      <w:bookmarkEnd w:id="73"/>
    </w:p>
    <w:p w14:paraId="4B548139">
      <w:pPr>
        <w:spacing w:line="360" w:lineRule="auto"/>
        <w:ind w:firstLine="482" w:firstLineChars="200"/>
        <w:rPr>
          <w:rFonts w:hint="eastAsia" w:ascii="仿宋_GB2312" w:hAnsi="楷体" w:eastAsia="仿宋_GB2312"/>
          <w:b/>
          <w:sz w:val="24"/>
        </w:rPr>
      </w:pPr>
      <w:r>
        <w:rPr>
          <w:rFonts w:hint="eastAsia" w:ascii="仿宋_GB2312" w:hAnsi="楷体" w:eastAsia="仿宋_GB2312"/>
          <w:b/>
          <w:sz w:val="24"/>
          <w:szCs w:val="24"/>
        </w:rPr>
        <w:t>2.1 定义</w:t>
      </w:r>
    </w:p>
    <w:p w14:paraId="6141DA80">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本合同中的下列词语应按以下内容进行解释：</w:t>
      </w:r>
    </w:p>
    <w:p w14:paraId="2F5BBAF6">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2.1.1 “合同”系指采购人和</w:t>
      </w:r>
      <w:r>
        <w:rPr>
          <w:rFonts w:hint="eastAsia" w:ascii="仿宋_GB2312" w:hAnsi="楷体" w:eastAsia="仿宋_GB2312"/>
          <w:sz w:val="24"/>
          <w:szCs w:val="24"/>
          <w:lang w:eastAsia="zh-CN"/>
        </w:rPr>
        <w:t>成交</w:t>
      </w:r>
      <w:r>
        <w:rPr>
          <w:rFonts w:hint="eastAsia" w:ascii="仿宋_GB2312" w:hAnsi="楷体" w:eastAsia="仿宋_GB2312"/>
          <w:sz w:val="24"/>
          <w:szCs w:val="24"/>
        </w:rPr>
        <w:t>人签订的载明双方当事人所达成的协议，并包括所有的附件、附录和构成合同的其他文件。</w:t>
      </w:r>
    </w:p>
    <w:p w14:paraId="505E8D76">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2.1.2 “合同价”系指根据合同约定，</w:t>
      </w:r>
      <w:r>
        <w:rPr>
          <w:rFonts w:hint="eastAsia" w:ascii="仿宋_GB2312" w:hAnsi="楷体" w:eastAsia="仿宋_GB2312"/>
          <w:sz w:val="24"/>
          <w:szCs w:val="24"/>
          <w:lang w:eastAsia="zh-CN"/>
        </w:rPr>
        <w:t>成交</w:t>
      </w:r>
      <w:r>
        <w:rPr>
          <w:rFonts w:hint="eastAsia" w:ascii="仿宋_GB2312" w:hAnsi="楷体" w:eastAsia="仿宋_GB2312"/>
          <w:sz w:val="24"/>
          <w:szCs w:val="24"/>
        </w:rPr>
        <w:t>人在完全履行合同义务后，采购人应支付给</w:t>
      </w:r>
      <w:r>
        <w:rPr>
          <w:rFonts w:hint="eastAsia" w:ascii="仿宋_GB2312" w:hAnsi="楷体" w:eastAsia="仿宋_GB2312"/>
          <w:sz w:val="24"/>
          <w:szCs w:val="24"/>
          <w:lang w:eastAsia="zh-CN"/>
        </w:rPr>
        <w:t>成交</w:t>
      </w:r>
      <w:r>
        <w:rPr>
          <w:rFonts w:hint="eastAsia" w:ascii="仿宋_GB2312" w:hAnsi="楷体" w:eastAsia="仿宋_GB2312"/>
          <w:sz w:val="24"/>
          <w:szCs w:val="24"/>
        </w:rPr>
        <w:t>人的价格。</w:t>
      </w:r>
    </w:p>
    <w:p w14:paraId="3245C0AA">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2.1.3 “标的物”系指</w:t>
      </w:r>
      <w:r>
        <w:rPr>
          <w:rFonts w:hint="eastAsia" w:ascii="仿宋_GB2312" w:hAnsi="楷体" w:eastAsia="仿宋_GB2312"/>
          <w:sz w:val="24"/>
          <w:szCs w:val="24"/>
          <w:lang w:eastAsia="zh-CN"/>
        </w:rPr>
        <w:t>成交</w:t>
      </w:r>
      <w:r>
        <w:rPr>
          <w:rFonts w:hint="eastAsia" w:ascii="仿宋_GB2312" w:hAnsi="楷体" w:eastAsia="仿宋_GB2312"/>
          <w:sz w:val="24"/>
          <w:szCs w:val="24"/>
        </w:rPr>
        <w:t>人根据合同约定应向采购人交付的一切各种形态和种类的货物、货物和工程，包括但不限于原材料、燃料、设备、机械、仪表、备件、计算机软件、信息化系统、信息化维保、物业货物、产品等，并包括工具、手册等其他相关资料。</w:t>
      </w:r>
    </w:p>
    <w:p w14:paraId="46EBA017">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2.1.4 “甲方”系指与</w:t>
      </w:r>
      <w:r>
        <w:rPr>
          <w:rFonts w:hint="eastAsia" w:ascii="仿宋_GB2312" w:hAnsi="楷体" w:eastAsia="仿宋_GB2312"/>
          <w:sz w:val="24"/>
          <w:szCs w:val="24"/>
          <w:lang w:eastAsia="zh-CN"/>
        </w:rPr>
        <w:t>成交</w:t>
      </w:r>
      <w:r>
        <w:rPr>
          <w:rFonts w:hint="eastAsia" w:ascii="仿宋_GB2312" w:hAnsi="楷体" w:eastAsia="仿宋_GB2312"/>
          <w:sz w:val="24"/>
          <w:szCs w:val="24"/>
        </w:rPr>
        <w:t>人签署合同的采购人；采购人委托采购机构代表其与乙方签订合同的，采购人的授权委托书作为合同附件。</w:t>
      </w:r>
    </w:p>
    <w:p w14:paraId="1274B566">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2.1.5 “乙方”系指根据合同约定交付标的物的</w:t>
      </w:r>
      <w:r>
        <w:rPr>
          <w:rFonts w:hint="eastAsia" w:ascii="仿宋_GB2312" w:hAnsi="楷体" w:eastAsia="仿宋_GB2312"/>
          <w:sz w:val="24"/>
          <w:szCs w:val="24"/>
          <w:lang w:eastAsia="zh-CN"/>
        </w:rPr>
        <w:t>成交</w:t>
      </w:r>
      <w:r>
        <w:rPr>
          <w:rFonts w:hint="eastAsia" w:ascii="仿宋_GB2312" w:hAnsi="楷体" w:eastAsia="仿宋_GB2312"/>
          <w:sz w:val="24"/>
          <w:szCs w:val="24"/>
        </w:rPr>
        <w:t>人；两个以上的自然人、法人或者其他组织组成一个联合体，以一个供应商的身份共同参加政府采购的，联合体各方均应为乙方或者与乙方相同地位的合同当事人，并就合同约定的事项对甲方承担连带责任。</w:t>
      </w:r>
    </w:p>
    <w:p w14:paraId="4D0129B7">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2.1.6 “现场”系指合同约定标的物将要运至或者实施或者安装的地点。</w:t>
      </w:r>
    </w:p>
    <w:p w14:paraId="54A59925">
      <w:pPr>
        <w:spacing w:line="360" w:lineRule="auto"/>
        <w:ind w:firstLine="482" w:firstLineChars="200"/>
        <w:rPr>
          <w:rFonts w:hint="eastAsia" w:ascii="仿宋_GB2312" w:hAnsi="楷体" w:eastAsia="仿宋_GB2312"/>
          <w:b/>
          <w:sz w:val="24"/>
          <w:szCs w:val="24"/>
        </w:rPr>
      </w:pPr>
      <w:r>
        <w:rPr>
          <w:rFonts w:hint="eastAsia" w:ascii="仿宋_GB2312" w:hAnsi="楷体" w:eastAsia="仿宋_GB2312"/>
          <w:b/>
          <w:sz w:val="24"/>
          <w:szCs w:val="24"/>
        </w:rPr>
        <w:t>2.2 技术规范</w:t>
      </w:r>
    </w:p>
    <w:p w14:paraId="39704479">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标的物所应遵守的技术规范应与采购文件规定的技术规范和技术规范附件(如果有的话)及其技术规范偏差表(如果被甲方接受的话)相一致；如果采购文件中没有技术规范的相应说明，应以国家有关部门最新颁布的相应标准和规范为准。</w:t>
      </w:r>
    </w:p>
    <w:p w14:paraId="340CB9B2">
      <w:pPr>
        <w:spacing w:line="360" w:lineRule="auto"/>
        <w:ind w:firstLine="482" w:firstLineChars="200"/>
        <w:rPr>
          <w:rFonts w:hint="eastAsia" w:ascii="仿宋_GB2312" w:hAnsi="楷体" w:eastAsia="仿宋_GB2312"/>
          <w:b/>
          <w:sz w:val="24"/>
          <w:szCs w:val="24"/>
        </w:rPr>
      </w:pPr>
      <w:r>
        <w:rPr>
          <w:rFonts w:hint="eastAsia" w:ascii="仿宋_GB2312" w:hAnsi="楷体" w:eastAsia="仿宋_GB2312"/>
          <w:b/>
          <w:sz w:val="24"/>
          <w:szCs w:val="24"/>
        </w:rPr>
        <w:t>2.3 知识产权</w:t>
      </w:r>
    </w:p>
    <w:p w14:paraId="6FCCC91D">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14:paraId="2C1072F8">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2.3.2具有知识产权的计算机软件等标的物的知识产权归属，详见</w:t>
      </w:r>
      <w:r>
        <w:rPr>
          <w:rFonts w:hint="eastAsia" w:ascii="仿宋_GB2312" w:hAnsi="楷体" w:eastAsia="仿宋_GB2312"/>
          <w:b/>
          <w:i/>
          <w:sz w:val="24"/>
          <w:szCs w:val="24"/>
          <w:u w:val="single"/>
        </w:rPr>
        <w:t>合同专用条款</w:t>
      </w:r>
      <w:r>
        <w:rPr>
          <w:rFonts w:hint="eastAsia" w:ascii="仿宋_GB2312" w:hAnsi="楷体" w:eastAsia="仿宋_GB2312"/>
          <w:sz w:val="24"/>
          <w:szCs w:val="24"/>
        </w:rPr>
        <w:t>。</w:t>
      </w:r>
    </w:p>
    <w:p w14:paraId="2EB261A8">
      <w:pPr>
        <w:spacing w:line="360" w:lineRule="auto"/>
        <w:ind w:firstLine="482" w:firstLineChars="200"/>
        <w:rPr>
          <w:rFonts w:hint="eastAsia" w:ascii="仿宋_GB2312" w:hAnsi="楷体" w:eastAsia="仿宋_GB2312"/>
          <w:b/>
          <w:sz w:val="24"/>
          <w:szCs w:val="24"/>
        </w:rPr>
      </w:pPr>
      <w:r>
        <w:rPr>
          <w:rFonts w:hint="eastAsia" w:ascii="仿宋_GB2312" w:hAnsi="楷体" w:eastAsia="仿宋_GB2312"/>
          <w:b/>
          <w:sz w:val="24"/>
          <w:szCs w:val="24"/>
        </w:rPr>
        <w:t>2.4 包装和装运</w:t>
      </w:r>
    </w:p>
    <w:p w14:paraId="491E0603">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2.4.1除</w:t>
      </w:r>
      <w:r>
        <w:rPr>
          <w:rFonts w:hint="eastAsia" w:ascii="仿宋_GB2312" w:hAnsi="楷体" w:eastAsia="仿宋_GB2312"/>
          <w:b/>
          <w:i/>
          <w:sz w:val="24"/>
          <w:szCs w:val="24"/>
          <w:u w:val="single"/>
        </w:rPr>
        <w:t>合同专用条款</w:t>
      </w:r>
      <w:r>
        <w:rPr>
          <w:rFonts w:hint="eastAsia" w:ascii="仿宋_GB2312" w:hAnsi="楷体" w:eastAsia="仿宋_GB2312"/>
          <w:sz w:val="24"/>
          <w:szCs w:val="24"/>
        </w:rPr>
        <w:t>另有约定外,乙方交付的全部标的物,均应采用本行业通用的方式进行包装，没有通用方式的，应当采取足以保护标的物的包装方式，且该包装应符合国家有关包装的法律、法规的规定。如有必要，包装应适用于远距离运输、防潮、防震、防锈和防粗暴装卸，确保标的物安全无损地运抵现场。由于包装不善所引起的标的物锈蚀、损坏和损失等一切风险均由乙方承担。</w:t>
      </w:r>
    </w:p>
    <w:p w14:paraId="1FF09BA4">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2.4.2 装运标的物的要求和通知，详见</w:t>
      </w:r>
      <w:r>
        <w:rPr>
          <w:rFonts w:hint="eastAsia" w:ascii="仿宋_GB2312" w:hAnsi="楷体" w:eastAsia="仿宋_GB2312"/>
          <w:b/>
          <w:i/>
          <w:sz w:val="24"/>
          <w:szCs w:val="24"/>
          <w:u w:val="single"/>
        </w:rPr>
        <w:t>合同专用条款</w:t>
      </w:r>
      <w:r>
        <w:rPr>
          <w:rFonts w:hint="eastAsia" w:ascii="仿宋_GB2312" w:hAnsi="楷体" w:eastAsia="仿宋_GB2312"/>
          <w:sz w:val="24"/>
          <w:szCs w:val="24"/>
        </w:rPr>
        <w:t>。</w:t>
      </w:r>
    </w:p>
    <w:p w14:paraId="3B7F2F20">
      <w:pPr>
        <w:spacing w:line="360" w:lineRule="auto"/>
        <w:ind w:firstLine="482" w:firstLineChars="200"/>
        <w:rPr>
          <w:rFonts w:hint="eastAsia" w:ascii="仿宋_GB2312" w:hAnsi="楷体" w:eastAsia="仿宋_GB2312"/>
          <w:b/>
          <w:sz w:val="24"/>
          <w:szCs w:val="24"/>
        </w:rPr>
      </w:pPr>
      <w:r>
        <w:rPr>
          <w:rFonts w:hint="eastAsia" w:ascii="仿宋_GB2312" w:hAnsi="楷体" w:eastAsia="仿宋_GB2312"/>
          <w:b/>
          <w:sz w:val="24"/>
          <w:szCs w:val="24"/>
        </w:rPr>
        <w:t>2.5 履约检查和问题反馈</w:t>
      </w:r>
    </w:p>
    <w:p w14:paraId="09CC0366">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2.5.1甲方有权在其认为必要时，对乙方是否能够按照合同约定交付标的物进行履约检查，以确保乙方所交付的标的物能够依约满足甲方之项目需求，但不得因履约检查妨碍乙方的正常工作，乙方应予积极配合；</w:t>
      </w:r>
    </w:p>
    <w:p w14:paraId="1B1713F5">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2.5.2 合同履行期间，甲方有权将履行过程中出现的问题反馈给乙方，双方当事人应以书面形式约定需要完善和改进的内容。</w:t>
      </w:r>
    </w:p>
    <w:p w14:paraId="480231C7">
      <w:pPr>
        <w:spacing w:line="360" w:lineRule="auto"/>
        <w:ind w:firstLine="482" w:firstLineChars="200"/>
        <w:rPr>
          <w:rFonts w:hint="eastAsia" w:ascii="仿宋_GB2312" w:hAnsi="楷体" w:eastAsia="仿宋_GB2312"/>
          <w:b/>
          <w:sz w:val="24"/>
          <w:szCs w:val="24"/>
        </w:rPr>
      </w:pPr>
      <w:r>
        <w:rPr>
          <w:rFonts w:hint="eastAsia" w:ascii="仿宋_GB2312" w:hAnsi="楷体" w:eastAsia="仿宋_GB2312"/>
          <w:b/>
          <w:sz w:val="24"/>
          <w:szCs w:val="24"/>
        </w:rPr>
        <w:t>2.6 结算方式和付款条件</w:t>
      </w:r>
    </w:p>
    <w:p w14:paraId="2BE222EA">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详见</w:t>
      </w:r>
      <w:r>
        <w:rPr>
          <w:rFonts w:hint="eastAsia" w:ascii="仿宋_GB2312" w:hAnsi="楷体" w:eastAsia="仿宋_GB2312"/>
          <w:b/>
          <w:i/>
          <w:sz w:val="24"/>
          <w:szCs w:val="24"/>
          <w:u w:val="single"/>
        </w:rPr>
        <w:t>合同专用条款</w:t>
      </w:r>
      <w:r>
        <w:rPr>
          <w:rFonts w:hint="eastAsia" w:ascii="仿宋_GB2312" w:hAnsi="楷体" w:eastAsia="仿宋_GB2312"/>
          <w:sz w:val="24"/>
          <w:szCs w:val="24"/>
        </w:rPr>
        <w:t>。</w:t>
      </w:r>
    </w:p>
    <w:p w14:paraId="399BBAD0">
      <w:pPr>
        <w:spacing w:line="360" w:lineRule="auto"/>
        <w:ind w:firstLine="482" w:firstLineChars="200"/>
        <w:rPr>
          <w:rFonts w:hint="eastAsia" w:ascii="仿宋_GB2312" w:hAnsi="楷体" w:eastAsia="仿宋_GB2312"/>
          <w:b/>
          <w:sz w:val="24"/>
          <w:szCs w:val="24"/>
        </w:rPr>
      </w:pPr>
      <w:r>
        <w:rPr>
          <w:rFonts w:hint="eastAsia" w:ascii="仿宋_GB2312" w:hAnsi="楷体" w:eastAsia="仿宋_GB2312"/>
          <w:b/>
          <w:sz w:val="24"/>
          <w:szCs w:val="24"/>
        </w:rPr>
        <w:t>2.7 技术资料和保密义务</w:t>
      </w:r>
    </w:p>
    <w:p w14:paraId="22BED8C5">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2.7.1 乙方有权依据合同约定和项目需要，向甲方了解有关情况，调阅有关资料等，甲方应予积极配合；</w:t>
      </w:r>
    </w:p>
    <w:p w14:paraId="7EBE6ADD">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2.7.2 乙方有义务妥善保管和保护由甲方提供的前款信息和资料等；</w:t>
      </w:r>
    </w:p>
    <w:p w14:paraId="5F3623A2">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20A96FC1">
      <w:pPr>
        <w:spacing w:line="360" w:lineRule="auto"/>
        <w:ind w:firstLine="482" w:firstLineChars="200"/>
        <w:rPr>
          <w:rFonts w:hint="eastAsia" w:ascii="仿宋_GB2312" w:hAnsi="楷体" w:eastAsia="仿宋_GB2312"/>
          <w:b/>
          <w:sz w:val="24"/>
          <w:szCs w:val="24"/>
        </w:rPr>
      </w:pPr>
      <w:r>
        <w:rPr>
          <w:rFonts w:hint="eastAsia" w:ascii="仿宋_GB2312" w:hAnsi="楷体" w:eastAsia="仿宋_GB2312"/>
          <w:b/>
          <w:sz w:val="24"/>
          <w:szCs w:val="24"/>
        </w:rPr>
        <w:t>2.8 质量保证</w:t>
      </w:r>
    </w:p>
    <w:p w14:paraId="6436776F">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2.8.1 乙方应建立和完善履行合同的内部质量保证体系，并提供相关内部规章制度给甲方，以便甲方进行监督检查；</w:t>
      </w:r>
    </w:p>
    <w:p w14:paraId="3333C6BC">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2.8.2 乙方应保证履行合同的人员数量和素质、软件和硬件设备的配置、场地、环境和设施等满足全面履行合同的要求，并应接受甲方的监督检查。</w:t>
      </w:r>
    </w:p>
    <w:p w14:paraId="1F509057">
      <w:pPr>
        <w:spacing w:line="360" w:lineRule="auto"/>
        <w:ind w:firstLine="480" w:firstLineChars="200"/>
        <w:rPr>
          <w:rFonts w:hint="eastAsia" w:ascii="仿宋_GB2312" w:hAnsi="仿宋" w:eastAsia="仿宋_GB2312" w:cs="仿宋_GB2312"/>
          <w:kern w:val="0"/>
          <w:sz w:val="24"/>
          <w:szCs w:val="24"/>
        </w:rPr>
      </w:pPr>
      <w:r>
        <w:rPr>
          <w:rFonts w:hint="eastAsia" w:ascii="仿宋_GB2312" w:hAnsi="仿宋" w:eastAsia="仿宋_GB2312"/>
          <w:sz w:val="24"/>
          <w:szCs w:val="24"/>
        </w:rPr>
        <w:t>2.8.3乙方应确保项目技术人员的数量和水平与</w:t>
      </w:r>
      <w:r>
        <w:rPr>
          <w:rFonts w:hint="eastAsia" w:ascii="仿宋_GB2312" w:hAnsi="仿宋" w:eastAsia="仿宋_GB2312"/>
          <w:sz w:val="24"/>
          <w:szCs w:val="24"/>
          <w:lang w:eastAsia="zh-CN"/>
        </w:rPr>
        <w:t>响应文件</w:t>
      </w:r>
      <w:r>
        <w:rPr>
          <w:rFonts w:hint="eastAsia" w:ascii="仿宋_GB2312" w:hAnsi="仿宋" w:eastAsia="仿宋_GB2312"/>
          <w:sz w:val="24"/>
          <w:szCs w:val="24"/>
        </w:rPr>
        <w:t>一致。未经甲方书面同意，乙方不得擅自更换</w:t>
      </w:r>
      <w:r>
        <w:rPr>
          <w:rFonts w:hint="eastAsia" w:ascii="仿宋_GB2312" w:hAnsi="仿宋" w:eastAsia="仿宋_GB2312"/>
          <w:sz w:val="24"/>
          <w:szCs w:val="24"/>
          <w:lang w:eastAsia="zh-CN"/>
        </w:rPr>
        <w:t>响应文件</w:t>
      </w:r>
      <w:r>
        <w:rPr>
          <w:rFonts w:hint="eastAsia" w:ascii="仿宋_GB2312" w:hAnsi="仿宋" w:eastAsia="仿宋_GB2312"/>
          <w:sz w:val="24"/>
          <w:szCs w:val="24"/>
        </w:rPr>
        <w:t>中注明的项目经理和技术负责人。否则</w:t>
      </w:r>
      <w:r>
        <w:rPr>
          <w:rFonts w:hint="eastAsia" w:ascii="仿宋_GB2312" w:hAnsi="仿宋" w:eastAsia="仿宋_GB2312" w:cs="仿宋_GB2312"/>
          <w:kern w:val="0"/>
          <w:sz w:val="24"/>
          <w:szCs w:val="24"/>
        </w:rPr>
        <w:t>甲方有权放弃或终止合同。</w:t>
      </w:r>
    </w:p>
    <w:p w14:paraId="629F3AC2">
      <w:pPr>
        <w:spacing w:line="360" w:lineRule="auto"/>
        <w:ind w:firstLine="480" w:firstLineChars="200"/>
        <w:rPr>
          <w:rFonts w:hint="eastAsia" w:ascii="仿宋_GB2312" w:hAnsi="楷体" w:eastAsia="仿宋_GB2312"/>
          <w:sz w:val="24"/>
          <w:szCs w:val="24"/>
        </w:rPr>
      </w:pPr>
      <w:r>
        <w:rPr>
          <w:rFonts w:hint="eastAsia" w:ascii="仿宋_GB2312" w:hAnsi="仿宋" w:eastAsia="仿宋_GB2312"/>
          <w:sz w:val="24"/>
          <w:szCs w:val="24"/>
        </w:rPr>
        <w:t>2.8.4因乙方原因造成甲方其他系统不能正常运行，酿成重大事故（工作日系统中断一天以上）的，乙方应承担全部法律责任，并赔偿经济损失，赔偿金额为项目总价的</w:t>
      </w:r>
      <w:r>
        <w:rPr>
          <w:rFonts w:hint="eastAsia" w:ascii="仿宋_GB2312" w:hAnsi="仿宋" w:eastAsia="仿宋_GB2312"/>
          <w:sz w:val="24"/>
          <w:szCs w:val="24"/>
          <w:u w:val="single"/>
        </w:rPr>
        <w:t>30%</w:t>
      </w:r>
      <w:r>
        <w:rPr>
          <w:rFonts w:hint="eastAsia" w:ascii="仿宋_GB2312" w:hAnsi="仿宋" w:eastAsia="仿宋_GB2312"/>
          <w:color w:val="FF0000"/>
          <w:sz w:val="24"/>
          <w:szCs w:val="24"/>
        </w:rPr>
        <w:t>（根据项目实际情况填写，一般为30%）</w:t>
      </w:r>
      <w:r>
        <w:rPr>
          <w:rFonts w:hint="eastAsia" w:ascii="仿宋_GB2312" w:hAnsi="仿宋" w:eastAsia="仿宋_GB2312"/>
          <w:sz w:val="24"/>
          <w:szCs w:val="24"/>
        </w:rPr>
        <w:t>。</w:t>
      </w:r>
    </w:p>
    <w:p w14:paraId="7FDF774E">
      <w:pPr>
        <w:spacing w:line="360" w:lineRule="auto"/>
        <w:ind w:firstLine="482" w:firstLineChars="200"/>
        <w:rPr>
          <w:rFonts w:hint="eastAsia" w:ascii="仿宋_GB2312" w:hAnsi="楷体" w:eastAsia="仿宋_GB2312"/>
          <w:b/>
          <w:sz w:val="24"/>
          <w:szCs w:val="24"/>
        </w:rPr>
      </w:pPr>
      <w:r>
        <w:rPr>
          <w:rFonts w:hint="eastAsia" w:ascii="仿宋_GB2312" w:hAnsi="楷体" w:eastAsia="仿宋_GB2312"/>
          <w:b/>
          <w:sz w:val="24"/>
          <w:szCs w:val="24"/>
        </w:rPr>
        <w:t>2.9 标的物的风险负担</w:t>
      </w:r>
    </w:p>
    <w:p w14:paraId="4EF7113A">
      <w:pPr>
        <w:spacing w:line="360" w:lineRule="auto"/>
        <w:ind w:firstLine="480" w:firstLineChars="200"/>
        <w:rPr>
          <w:rFonts w:hint="eastAsia" w:ascii="仿宋_GB2312" w:hAnsi="楷体" w:eastAsia="仿宋_GB2312"/>
          <w:b/>
          <w:sz w:val="24"/>
          <w:szCs w:val="24"/>
        </w:rPr>
      </w:pPr>
      <w:r>
        <w:rPr>
          <w:rFonts w:hint="eastAsia" w:ascii="仿宋_GB2312" w:hAnsi="楷体" w:eastAsia="仿宋_GB2312"/>
          <w:sz w:val="24"/>
          <w:szCs w:val="24"/>
        </w:rPr>
        <w:t>标的物或者在途标的物或者交付给第一承运人后的标的物毁损、灭失的风险负担详见</w:t>
      </w:r>
      <w:r>
        <w:rPr>
          <w:rFonts w:hint="eastAsia" w:ascii="仿宋_GB2312" w:hAnsi="楷体" w:eastAsia="仿宋_GB2312"/>
          <w:b/>
          <w:i/>
          <w:sz w:val="24"/>
          <w:szCs w:val="24"/>
          <w:u w:val="single"/>
        </w:rPr>
        <w:t>合同专用条款</w:t>
      </w:r>
      <w:r>
        <w:rPr>
          <w:rFonts w:hint="eastAsia" w:ascii="仿宋_GB2312" w:hAnsi="楷体" w:eastAsia="仿宋_GB2312"/>
          <w:sz w:val="24"/>
          <w:szCs w:val="24"/>
        </w:rPr>
        <w:t>。</w:t>
      </w:r>
    </w:p>
    <w:p w14:paraId="09B0CBC9">
      <w:pPr>
        <w:spacing w:line="360" w:lineRule="auto"/>
        <w:ind w:firstLine="482" w:firstLineChars="200"/>
        <w:rPr>
          <w:rFonts w:hint="eastAsia" w:ascii="仿宋_GB2312" w:hAnsi="楷体" w:eastAsia="仿宋_GB2312"/>
          <w:b/>
          <w:sz w:val="24"/>
          <w:szCs w:val="24"/>
        </w:rPr>
      </w:pPr>
      <w:r>
        <w:rPr>
          <w:rFonts w:hint="eastAsia" w:ascii="仿宋_GB2312" w:hAnsi="楷体" w:eastAsia="仿宋_GB2312"/>
          <w:b/>
          <w:sz w:val="24"/>
          <w:szCs w:val="24"/>
        </w:rPr>
        <w:t>2.10 延迟交货/交付</w:t>
      </w:r>
    </w:p>
    <w:p w14:paraId="2A3B998C">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0446BD2C">
      <w:pPr>
        <w:spacing w:line="360" w:lineRule="auto"/>
        <w:ind w:firstLine="482" w:firstLineChars="200"/>
        <w:rPr>
          <w:rFonts w:hint="eastAsia" w:ascii="仿宋_GB2312" w:hAnsi="楷体" w:eastAsia="仿宋_GB2312"/>
          <w:b/>
          <w:sz w:val="24"/>
          <w:szCs w:val="24"/>
        </w:rPr>
      </w:pPr>
      <w:r>
        <w:rPr>
          <w:rFonts w:hint="eastAsia" w:ascii="仿宋_GB2312" w:hAnsi="楷体" w:eastAsia="仿宋_GB2312"/>
          <w:b/>
          <w:sz w:val="24"/>
          <w:szCs w:val="24"/>
        </w:rPr>
        <w:t>2.11 合同变更</w:t>
      </w:r>
    </w:p>
    <w:p w14:paraId="67D29A0D">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7117AC92">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2.11.2 合同继续履行将损害国家利益和社会公共利益的，双方当事人应当以书面形式变更合同。有过错的一方应当承担赔偿责任，双方当事人都有过错的，各自承担相应的责任。</w:t>
      </w:r>
    </w:p>
    <w:p w14:paraId="1F5F9D11">
      <w:pPr>
        <w:spacing w:line="360" w:lineRule="auto"/>
        <w:ind w:firstLine="482" w:firstLineChars="200"/>
        <w:rPr>
          <w:rFonts w:hint="eastAsia" w:ascii="仿宋_GB2312" w:hAnsi="楷体" w:eastAsia="仿宋_GB2312"/>
          <w:b/>
          <w:sz w:val="24"/>
          <w:szCs w:val="24"/>
        </w:rPr>
      </w:pPr>
      <w:r>
        <w:rPr>
          <w:rFonts w:hint="eastAsia" w:ascii="仿宋_GB2312" w:hAnsi="楷体" w:eastAsia="仿宋_GB2312"/>
          <w:b/>
          <w:sz w:val="24"/>
          <w:szCs w:val="24"/>
        </w:rPr>
        <w:t>2.12 合同转让和分包</w:t>
      </w:r>
    </w:p>
    <w:p w14:paraId="540940DA">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6C0A2820">
      <w:pPr>
        <w:spacing w:line="360" w:lineRule="auto"/>
        <w:ind w:firstLine="482" w:firstLineChars="200"/>
        <w:rPr>
          <w:rFonts w:hint="eastAsia" w:ascii="仿宋_GB2312" w:hAnsi="楷体" w:eastAsia="仿宋_GB2312"/>
          <w:b/>
          <w:sz w:val="24"/>
          <w:szCs w:val="24"/>
        </w:rPr>
      </w:pPr>
      <w:r>
        <w:rPr>
          <w:rFonts w:hint="eastAsia" w:ascii="仿宋_GB2312" w:hAnsi="楷体" w:eastAsia="仿宋_GB2312"/>
          <w:b/>
          <w:sz w:val="24"/>
          <w:szCs w:val="24"/>
        </w:rPr>
        <w:t>2.13 不可抗力</w:t>
      </w:r>
    </w:p>
    <w:p w14:paraId="7FC9AF8F">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2.13.1如果任何一方遭遇法律规定的不可抗力，致使合同履行受阻时，履行合同的期限应予延长，延长的期限应相当于不可抗力所影响的时间；</w:t>
      </w:r>
    </w:p>
    <w:p w14:paraId="4EB672CF">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2.13.2受不可抗力影响的一方在不可抗力发生后，应在</w:t>
      </w:r>
      <w:r>
        <w:rPr>
          <w:rFonts w:hint="eastAsia" w:ascii="仿宋_GB2312" w:hAnsi="楷体" w:eastAsia="仿宋_GB2312"/>
          <w:b/>
          <w:i/>
          <w:sz w:val="24"/>
          <w:szCs w:val="24"/>
          <w:u w:val="single"/>
        </w:rPr>
        <w:t>合同专用条款</w:t>
      </w:r>
      <w:r>
        <w:rPr>
          <w:rFonts w:hint="eastAsia" w:ascii="仿宋_GB2312" w:hAnsi="楷体" w:eastAsia="仿宋_GB2312"/>
          <w:sz w:val="24"/>
          <w:szCs w:val="24"/>
        </w:rPr>
        <w:t>约定时间内以书面形式通知对方当事人，并在</w:t>
      </w:r>
      <w:r>
        <w:rPr>
          <w:rFonts w:hint="eastAsia" w:ascii="仿宋_GB2312" w:hAnsi="楷体" w:eastAsia="仿宋_GB2312"/>
          <w:b/>
          <w:i/>
          <w:sz w:val="24"/>
          <w:szCs w:val="24"/>
          <w:u w:val="single"/>
        </w:rPr>
        <w:t>合同专用条款</w:t>
      </w:r>
      <w:r>
        <w:rPr>
          <w:rFonts w:hint="eastAsia" w:ascii="仿宋_GB2312" w:hAnsi="楷体" w:eastAsia="仿宋_GB2312"/>
          <w:sz w:val="24"/>
          <w:szCs w:val="24"/>
        </w:rPr>
        <w:t>约定时间内，将有关部门出具的证明文件送达对方当事人。</w:t>
      </w:r>
    </w:p>
    <w:p w14:paraId="10765BE2">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2.13.3 因不可抗力致使不能实现合同目的的，当事人可以解除合同；</w:t>
      </w:r>
    </w:p>
    <w:p w14:paraId="79AA9FC4">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2.13.4 因不可抗力致使合同有变更必要的，双方当事人应在</w:t>
      </w:r>
      <w:r>
        <w:rPr>
          <w:rFonts w:hint="eastAsia" w:ascii="仿宋_GB2312" w:hAnsi="楷体" w:eastAsia="仿宋_GB2312"/>
          <w:b/>
          <w:i/>
          <w:sz w:val="24"/>
          <w:szCs w:val="24"/>
          <w:u w:val="single"/>
        </w:rPr>
        <w:t>合同专用条款</w:t>
      </w:r>
      <w:r>
        <w:rPr>
          <w:rFonts w:hint="eastAsia" w:ascii="仿宋_GB2312" w:hAnsi="楷体" w:eastAsia="仿宋_GB2312"/>
          <w:sz w:val="24"/>
          <w:szCs w:val="24"/>
        </w:rPr>
        <w:t>约定时间内以书面形式变更合同；</w:t>
      </w:r>
    </w:p>
    <w:p w14:paraId="26CB2C46">
      <w:pPr>
        <w:spacing w:line="360" w:lineRule="auto"/>
        <w:ind w:firstLine="482" w:firstLineChars="200"/>
        <w:rPr>
          <w:rFonts w:hint="eastAsia" w:ascii="仿宋_GB2312" w:hAnsi="楷体" w:eastAsia="仿宋_GB2312"/>
          <w:b/>
          <w:sz w:val="24"/>
          <w:szCs w:val="24"/>
        </w:rPr>
      </w:pPr>
      <w:r>
        <w:rPr>
          <w:rFonts w:hint="eastAsia" w:ascii="仿宋_GB2312" w:hAnsi="楷体" w:eastAsia="仿宋_GB2312"/>
          <w:b/>
          <w:sz w:val="24"/>
          <w:szCs w:val="24"/>
        </w:rPr>
        <w:t>2.14 税费</w:t>
      </w:r>
    </w:p>
    <w:p w14:paraId="2C88C4AA">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与合同有关的一切税费，均按照中华人民共和国法律的相关规定执行。</w:t>
      </w:r>
    </w:p>
    <w:p w14:paraId="5E47E80B">
      <w:pPr>
        <w:spacing w:line="360" w:lineRule="auto"/>
        <w:ind w:firstLine="482" w:firstLineChars="200"/>
        <w:rPr>
          <w:rFonts w:hint="eastAsia" w:ascii="仿宋_GB2312" w:hAnsi="楷体" w:eastAsia="仿宋_GB2312"/>
          <w:b/>
          <w:sz w:val="24"/>
          <w:szCs w:val="24"/>
        </w:rPr>
      </w:pPr>
      <w:r>
        <w:rPr>
          <w:rFonts w:hint="eastAsia" w:ascii="仿宋_GB2312" w:hAnsi="楷体" w:eastAsia="仿宋_GB2312"/>
          <w:b/>
          <w:sz w:val="24"/>
          <w:szCs w:val="24"/>
        </w:rPr>
        <w:t>2.15 乙方破产</w:t>
      </w:r>
    </w:p>
    <w:p w14:paraId="66BCA1EE">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51F1E487">
      <w:pPr>
        <w:spacing w:line="360" w:lineRule="auto"/>
        <w:ind w:firstLine="482" w:firstLineChars="200"/>
        <w:rPr>
          <w:rFonts w:hint="eastAsia" w:ascii="仿宋_GB2312" w:hAnsi="楷体" w:eastAsia="仿宋_GB2312"/>
          <w:b/>
          <w:sz w:val="24"/>
          <w:szCs w:val="24"/>
        </w:rPr>
      </w:pPr>
      <w:r>
        <w:rPr>
          <w:rFonts w:hint="eastAsia" w:ascii="仿宋_GB2312" w:hAnsi="楷体" w:eastAsia="仿宋_GB2312"/>
          <w:b/>
          <w:sz w:val="24"/>
          <w:szCs w:val="24"/>
        </w:rPr>
        <w:t>2.16 合同中止、终止</w:t>
      </w:r>
    </w:p>
    <w:p w14:paraId="0B4B445A">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2.16.1 双方当事人不得擅自中止或者终止合同；</w:t>
      </w:r>
    </w:p>
    <w:p w14:paraId="58A4E2C6">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2.16.2合同继续履行将损害国家利益和社会公共利益的，双方当事人应当中止或者终止合同。有过错的一方应当承担赔偿责任，双方当事人都有过错的，各自承担相应的责任。</w:t>
      </w:r>
    </w:p>
    <w:p w14:paraId="6719023D">
      <w:pPr>
        <w:spacing w:line="360" w:lineRule="auto"/>
        <w:ind w:firstLine="482" w:firstLineChars="200"/>
        <w:rPr>
          <w:rFonts w:hint="eastAsia" w:ascii="仿宋_GB2312" w:hAnsi="楷体" w:eastAsia="仿宋_GB2312"/>
          <w:b/>
          <w:sz w:val="24"/>
          <w:szCs w:val="24"/>
        </w:rPr>
      </w:pPr>
      <w:r>
        <w:rPr>
          <w:rFonts w:hint="eastAsia" w:ascii="仿宋_GB2312" w:hAnsi="楷体" w:eastAsia="仿宋_GB2312"/>
          <w:b/>
          <w:sz w:val="24"/>
          <w:szCs w:val="24"/>
        </w:rPr>
        <w:t>2.17 检验和验收</w:t>
      </w:r>
    </w:p>
    <w:p w14:paraId="6B4281CF">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2.17.1标的物交付前，乙方应对标的物的质量、数量等方面进行详细、全面的检验，并向甲方出具证明标的物符合合同约定的文件；标的物交付时，乙方在</w:t>
      </w:r>
      <w:r>
        <w:rPr>
          <w:rFonts w:hint="eastAsia" w:ascii="仿宋_GB2312" w:hAnsi="楷体" w:eastAsia="仿宋_GB2312"/>
          <w:b/>
          <w:i/>
          <w:sz w:val="24"/>
          <w:szCs w:val="24"/>
          <w:u w:val="single"/>
        </w:rPr>
        <w:t>合同专用条款</w:t>
      </w:r>
      <w:r>
        <w:rPr>
          <w:rFonts w:hint="eastAsia" w:ascii="仿宋_GB2312" w:hAnsi="楷体" w:eastAsia="仿宋_GB2312"/>
          <w:sz w:val="24"/>
          <w:szCs w:val="24"/>
        </w:rPr>
        <w:t>约定时间内组织验收，并可依法邀请相关方参加，验收应出具验收书。</w:t>
      </w:r>
    </w:p>
    <w:p w14:paraId="56E7F01F">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2.17.2合同期满或者履行完毕后，甲方有权组织（包括依法邀请国家认可的质量检测机构参加）对乙方履约的验收，即：按照合同约定的技术、货物、安全标准，组织对每一项技术、货物、安全标准的履约情况的验收，并出具验收书。</w:t>
      </w:r>
    </w:p>
    <w:p w14:paraId="47DE1D6D">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2.17.3 检验和验收标准、程序等具体内容以及前述验收书的效力详见</w:t>
      </w:r>
      <w:r>
        <w:rPr>
          <w:rFonts w:hint="eastAsia" w:ascii="仿宋_GB2312" w:hAnsi="楷体" w:eastAsia="仿宋_GB2312"/>
          <w:b/>
          <w:i/>
          <w:sz w:val="24"/>
          <w:szCs w:val="24"/>
          <w:u w:val="single"/>
        </w:rPr>
        <w:t>合同专用条款</w:t>
      </w:r>
      <w:r>
        <w:rPr>
          <w:rFonts w:hint="eastAsia" w:ascii="仿宋_GB2312" w:hAnsi="楷体" w:eastAsia="仿宋_GB2312"/>
          <w:i/>
          <w:sz w:val="24"/>
          <w:szCs w:val="24"/>
        </w:rPr>
        <w:t>。</w:t>
      </w:r>
    </w:p>
    <w:p w14:paraId="622A2AF0">
      <w:pPr>
        <w:spacing w:line="360" w:lineRule="auto"/>
        <w:ind w:firstLine="482" w:firstLineChars="200"/>
        <w:rPr>
          <w:rFonts w:hint="eastAsia" w:ascii="仿宋_GB2312" w:hAnsi="楷体" w:eastAsia="仿宋_GB2312"/>
          <w:b/>
          <w:sz w:val="24"/>
          <w:szCs w:val="24"/>
        </w:rPr>
      </w:pPr>
      <w:r>
        <w:rPr>
          <w:rFonts w:hint="eastAsia" w:ascii="仿宋_GB2312" w:hAnsi="楷体" w:eastAsia="仿宋_GB2312"/>
          <w:b/>
          <w:sz w:val="24"/>
          <w:szCs w:val="24"/>
        </w:rPr>
        <w:t>2.18 通知和送达</w:t>
      </w:r>
    </w:p>
    <w:p w14:paraId="4F810969">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2.18.1 任何一方因履行合同而以合同第一部分尾部所列明的</w:t>
      </w:r>
      <w:r>
        <w:rPr>
          <w:rFonts w:hint="eastAsia" w:ascii="仿宋_GB2312" w:hAnsi="楷体" w:eastAsia="仿宋_GB2312"/>
          <w:sz w:val="24"/>
          <w:szCs w:val="24"/>
          <w:u w:val="single"/>
        </w:rPr>
        <w:t>“约定送达地址”</w:t>
      </w:r>
      <w:r>
        <w:rPr>
          <w:rFonts w:hint="eastAsia" w:ascii="仿宋_GB2312" w:hAnsi="楷体" w:eastAsia="仿宋_GB2312"/>
          <w:sz w:val="24"/>
          <w:szCs w:val="24"/>
        </w:rPr>
        <w:t>为收件地址的所有通知、文件、材料，均视为已向对方当事人送达；任何一方变更上述送达方式或者地址的，应于</w:t>
      </w:r>
      <w:r>
        <w:rPr>
          <w:rFonts w:hint="eastAsia" w:ascii="仿宋_GB2312" w:hAnsi="楷体" w:eastAsia="仿宋_GB2312"/>
          <w:sz w:val="24"/>
          <w:szCs w:val="24"/>
          <w:u w:val="single"/>
        </w:rPr>
        <w:t xml:space="preserve">    </w:t>
      </w:r>
      <w:r>
        <w:rPr>
          <w:rFonts w:hint="eastAsia" w:ascii="仿宋_GB2312" w:hAnsi="楷体" w:eastAsia="仿宋_GB2312"/>
          <w:sz w:val="24"/>
          <w:szCs w:val="24"/>
        </w:rPr>
        <w:t>个工作日内书面通知对方当事人，在对方当事人收到有关变更通知之前，变更前的约定送达方式或者地址仍视为有效。</w:t>
      </w:r>
    </w:p>
    <w:p w14:paraId="3DCBFC53">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2.18.2以当面交付方式送达的，交付之时视为送达；以电子邮件方式送达的，发出电子邮件之时视为送达；以传真方式送达的，发出传真之时视为送达；以邮寄方式送达的，邮件挂号寄出或者交邮之日之次日视为送达。</w:t>
      </w:r>
    </w:p>
    <w:p w14:paraId="51340586">
      <w:pPr>
        <w:spacing w:line="360" w:lineRule="auto"/>
        <w:ind w:firstLine="482" w:firstLineChars="200"/>
        <w:rPr>
          <w:rFonts w:hint="eastAsia" w:ascii="仿宋_GB2312" w:hAnsi="楷体" w:eastAsia="仿宋_GB2312"/>
          <w:b/>
          <w:sz w:val="24"/>
          <w:szCs w:val="24"/>
        </w:rPr>
      </w:pPr>
      <w:r>
        <w:rPr>
          <w:rFonts w:hint="eastAsia" w:ascii="仿宋_GB2312" w:hAnsi="楷体" w:eastAsia="仿宋_GB2312"/>
          <w:b/>
          <w:sz w:val="24"/>
          <w:szCs w:val="24"/>
        </w:rPr>
        <w:t>2.19 计量单位</w:t>
      </w:r>
    </w:p>
    <w:p w14:paraId="5F0B7D3E">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除技术规范中另有规定外,合同的计量单位均使用国家法定计量单位。</w:t>
      </w:r>
    </w:p>
    <w:p w14:paraId="1A99738B">
      <w:pPr>
        <w:spacing w:line="360" w:lineRule="auto"/>
        <w:ind w:firstLine="482" w:firstLineChars="200"/>
        <w:rPr>
          <w:rFonts w:hint="eastAsia" w:ascii="仿宋_GB2312" w:hAnsi="楷体" w:eastAsia="仿宋_GB2312"/>
          <w:b/>
          <w:sz w:val="24"/>
          <w:szCs w:val="24"/>
        </w:rPr>
      </w:pPr>
      <w:r>
        <w:rPr>
          <w:rFonts w:hint="eastAsia" w:ascii="仿宋_GB2312" w:hAnsi="楷体" w:eastAsia="仿宋_GB2312"/>
          <w:b/>
          <w:sz w:val="24"/>
          <w:szCs w:val="24"/>
        </w:rPr>
        <w:t>2.20 合同使用的文字和适用的法律</w:t>
      </w:r>
    </w:p>
    <w:p w14:paraId="1C568695">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2.20.1 合同使用汉语书就、变更和解释；</w:t>
      </w:r>
    </w:p>
    <w:p w14:paraId="40F0CDF0">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2.20.2 合同适用中华人民共和国法律。</w:t>
      </w:r>
    </w:p>
    <w:p w14:paraId="79AA9CD4">
      <w:pPr>
        <w:spacing w:line="360" w:lineRule="auto"/>
        <w:ind w:firstLine="482" w:firstLineChars="200"/>
        <w:rPr>
          <w:rFonts w:hint="eastAsia" w:ascii="仿宋_GB2312" w:hAnsi="楷体" w:eastAsia="仿宋_GB2312"/>
          <w:b/>
          <w:sz w:val="24"/>
          <w:szCs w:val="24"/>
        </w:rPr>
      </w:pPr>
      <w:r>
        <w:rPr>
          <w:rFonts w:hint="eastAsia" w:ascii="仿宋_GB2312" w:hAnsi="楷体" w:eastAsia="仿宋_GB2312"/>
          <w:b/>
          <w:sz w:val="24"/>
          <w:szCs w:val="24"/>
        </w:rPr>
        <w:t>2.21 履约保证金</w:t>
      </w:r>
    </w:p>
    <w:p w14:paraId="3E7D503E">
      <w:pPr>
        <w:spacing w:line="360" w:lineRule="auto"/>
        <w:ind w:firstLine="480" w:firstLineChars="200"/>
        <w:rPr>
          <w:rFonts w:hint="eastAsia" w:ascii="仿宋_GB2312" w:hAnsi="仿宋" w:eastAsia="仿宋_GB2312" w:cs="Arial"/>
          <w:snapToGrid w:val="0"/>
          <w:kern w:val="0"/>
          <w:sz w:val="24"/>
          <w:szCs w:val="24"/>
        </w:rPr>
      </w:pPr>
      <w:r>
        <w:rPr>
          <w:rFonts w:hint="eastAsia" w:ascii="仿宋_GB2312" w:hAnsi="楷体" w:eastAsia="仿宋_GB2312"/>
          <w:sz w:val="24"/>
          <w:szCs w:val="24"/>
        </w:rPr>
        <w:t>本项目不收取履约保证金</w:t>
      </w:r>
    </w:p>
    <w:p w14:paraId="49657C2F">
      <w:pPr>
        <w:spacing w:line="360" w:lineRule="auto"/>
        <w:ind w:firstLine="482" w:firstLineChars="200"/>
        <w:rPr>
          <w:rFonts w:hint="eastAsia" w:ascii="仿宋_GB2312" w:hAnsi="仿宋" w:eastAsia="仿宋_GB2312"/>
          <w:kern w:val="0"/>
          <w:sz w:val="24"/>
          <w:szCs w:val="24"/>
          <w:lang w:val="zh-CN"/>
        </w:rPr>
      </w:pPr>
      <w:r>
        <w:rPr>
          <w:rFonts w:hint="eastAsia" w:ascii="仿宋_GB2312" w:hAnsi="楷体" w:eastAsia="仿宋_GB2312"/>
          <w:b/>
          <w:sz w:val="24"/>
          <w:szCs w:val="24"/>
        </w:rPr>
        <w:t>2.22 中小企业政策</w:t>
      </w:r>
    </w:p>
    <w:p w14:paraId="6C233523">
      <w:pPr>
        <w:spacing w:line="360" w:lineRule="auto"/>
        <w:ind w:firstLine="480" w:firstLineChars="200"/>
        <w:rPr>
          <w:rFonts w:hint="eastAsia" w:ascii="仿宋_GB2312" w:hAnsi="仿宋" w:eastAsia="仿宋_GB2312"/>
          <w:kern w:val="0"/>
          <w:sz w:val="24"/>
          <w:szCs w:val="24"/>
          <w:lang w:val="zh-CN"/>
        </w:rPr>
      </w:pPr>
      <w:r>
        <w:rPr>
          <w:rFonts w:hint="eastAsia" w:ascii="仿宋_GB2312" w:hAnsi="仿宋" w:eastAsia="仿宋_GB2312"/>
          <w:kern w:val="0"/>
          <w:sz w:val="24"/>
          <w:szCs w:val="24"/>
          <w:lang w:val="zh-CN"/>
        </w:rPr>
        <w:t>2.22.1本合同（□是  □否）为中小企业“政采贷”可融资合同，关于中小企业信用融资事项见采购文件“供应商须知正文”。</w:t>
      </w:r>
    </w:p>
    <w:p w14:paraId="12BB8551">
      <w:pPr>
        <w:spacing w:line="360" w:lineRule="auto"/>
        <w:ind w:firstLine="480" w:firstLineChars="200"/>
        <w:rPr>
          <w:rFonts w:hint="eastAsia" w:ascii="仿宋_GB2312" w:hAnsi="仿宋" w:eastAsia="仿宋_GB2312"/>
          <w:kern w:val="0"/>
          <w:sz w:val="24"/>
          <w:szCs w:val="24"/>
          <w:lang w:val="zh-CN"/>
        </w:rPr>
      </w:pPr>
      <w:r>
        <w:rPr>
          <w:rFonts w:hint="eastAsia" w:ascii="仿宋_GB2312" w:hAnsi="仿宋" w:eastAsia="仿宋_GB2312"/>
          <w:kern w:val="0"/>
          <w:sz w:val="24"/>
          <w:szCs w:val="24"/>
          <w:lang w:val="zh-CN"/>
        </w:rPr>
        <w:t>2.22.2本合同（□是  □否）为中小企业预留合同。</w:t>
      </w:r>
    </w:p>
    <w:p w14:paraId="0A45D349">
      <w:pPr>
        <w:spacing w:line="360" w:lineRule="auto"/>
        <w:ind w:firstLine="482" w:firstLineChars="200"/>
        <w:rPr>
          <w:rFonts w:hint="eastAsia" w:ascii="仿宋_GB2312" w:hAnsi="楷体" w:eastAsia="仿宋_GB2312"/>
          <w:b/>
          <w:sz w:val="24"/>
          <w:szCs w:val="24"/>
        </w:rPr>
      </w:pPr>
      <w:r>
        <w:rPr>
          <w:rFonts w:hint="eastAsia" w:ascii="仿宋_GB2312" w:hAnsi="楷体" w:eastAsia="仿宋_GB2312"/>
          <w:b/>
          <w:sz w:val="24"/>
          <w:szCs w:val="24"/>
        </w:rPr>
        <w:t>2.23 合同份数</w:t>
      </w:r>
    </w:p>
    <w:p w14:paraId="5E1ABA53">
      <w:pPr>
        <w:spacing w:line="360" w:lineRule="auto"/>
        <w:ind w:firstLine="480" w:firstLineChars="200"/>
        <w:rPr>
          <w:rFonts w:hint="eastAsia" w:ascii="仿宋_GB2312" w:hAnsi="楷体" w:eastAsia="仿宋_GB2312"/>
          <w:sz w:val="24"/>
          <w:szCs w:val="24"/>
        </w:rPr>
      </w:pPr>
      <w:r>
        <w:rPr>
          <w:rFonts w:hint="eastAsia" w:ascii="仿宋_GB2312" w:hAnsi="宋体" w:eastAsia="仿宋_GB2312"/>
          <w:sz w:val="24"/>
          <w:szCs w:val="24"/>
        </w:rPr>
        <w:t>本合同壹式</w:t>
      </w:r>
      <w:r>
        <w:rPr>
          <w:rFonts w:hint="eastAsia" w:ascii="仿宋_GB2312" w:hAnsi="宋体" w:eastAsia="仿宋_GB2312"/>
          <w:sz w:val="24"/>
          <w:szCs w:val="24"/>
          <w:u w:val="single"/>
        </w:rPr>
        <w:t xml:space="preserve">  </w:t>
      </w:r>
      <w:r>
        <w:rPr>
          <w:rFonts w:hint="eastAsia" w:ascii="仿宋_GB2312" w:hAnsi="仿宋" w:eastAsia="仿宋_GB2312"/>
          <w:sz w:val="24"/>
          <w:szCs w:val="24"/>
          <w:u w:val="single"/>
        </w:rPr>
        <w:t xml:space="preserve"> </w:t>
      </w:r>
      <w:r>
        <w:rPr>
          <w:rFonts w:hint="eastAsia" w:ascii="仿宋_GB2312" w:hAnsi="宋体" w:eastAsia="仿宋_GB2312"/>
          <w:sz w:val="24"/>
          <w:szCs w:val="24"/>
        </w:rPr>
        <w:t>份，甲方执</w:t>
      </w:r>
      <w:r>
        <w:rPr>
          <w:rFonts w:hint="eastAsia" w:ascii="仿宋_GB2312" w:hAnsi="宋体" w:eastAsia="仿宋_GB2312"/>
          <w:sz w:val="24"/>
          <w:szCs w:val="24"/>
          <w:u w:val="single"/>
        </w:rPr>
        <w:t xml:space="preserve">  </w:t>
      </w:r>
      <w:r>
        <w:rPr>
          <w:rFonts w:hint="eastAsia" w:ascii="仿宋_GB2312" w:hAnsi="仿宋" w:eastAsia="仿宋_GB2312"/>
          <w:sz w:val="24"/>
          <w:szCs w:val="24"/>
          <w:u w:val="single"/>
        </w:rPr>
        <w:t xml:space="preserve"> </w:t>
      </w:r>
      <w:r>
        <w:rPr>
          <w:rFonts w:hint="eastAsia" w:ascii="仿宋_GB2312" w:hAnsi="宋体" w:eastAsia="仿宋_GB2312"/>
          <w:sz w:val="24"/>
          <w:szCs w:val="24"/>
        </w:rPr>
        <w:t>份，乙方执</w:t>
      </w:r>
      <w:r>
        <w:rPr>
          <w:rFonts w:hint="eastAsia" w:ascii="仿宋_GB2312" w:hAnsi="仿宋" w:eastAsia="仿宋_GB2312"/>
          <w:sz w:val="24"/>
          <w:szCs w:val="24"/>
          <w:u w:val="single"/>
        </w:rPr>
        <w:t xml:space="preserve">  </w:t>
      </w:r>
      <w:r>
        <w:rPr>
          <w:rFonts w:hint="eastAsia" w:ascii="仿宋_GB2312" w:hAnsi="宋体" w:eastAsia="仿宋_GB2312"/>
          <w:sz w:val="24"/>
          <w:szCs w:val="24"/>
          <w:u w:val="single"/>
        </w:rPr>
        <w:t xml:space="preserve"> </w:t>
      </w:r>
      <w:r>
        <w:rPr>
          <w:rFonts w:hint="eastAsia" w:ascii="仿宋_GB2312" w:hAnsi="宋体" w:eastAsia="仿宋_GB2312"/>
          <w:sz w:val="24"/>
          <w:szCs w:val="24"/>
        </w:rPr>
        <w:t>份。</w:t>
      </w:r>
      <w:r>
        <w:rPr>
          <w:rFonts w:hint="eastAsia" w:ascii="仿宋_GB2312" w:hAnsi="楷体" w:eastAsia="仿宋_GB2312"/>
          <w:sz w:val="24"/>
          <w:szCs w:val="24"/>
        </w:rPr>
        <w:t>每份均具有同等法律效力。</w:t>
      </w:r>
    </w:p>
    <w:p w14:paraId="33F34AAA">
      <w:pPr>
        <w:jc w:val="center"/>
        <w:outlineLvl w:val="1"/>
        <w:rPr>
          <w:rFonts w:hint="eastAsia" w:ascii="仿宋_GB2312" w:hAnsi="楷体" w:eastAsia="仿宋_GB2312"/>
          <w:b/>
          <w:sz w:val="28"/>
          <w:szCs w:val="28"/>
        </w:rPr>
      </w:pPr>
      <w:r>
        <w:rPr>
          <w:rFonts w:hint="eastAsia" w:ascii="仿宋_GB2312" w:hAnsi="楷体" w:eastAsia="仿宋_GB2312"/>
          <w:kern w:val="0"/>
          <w:szCs w:val="24"/>
        </w:rPr>
        <w:br w:type="page"/>
      </w:r>
      <w:bookmarkStart w:id="74" w:name="_Toc179528727"/>
      <w:r>
        <w:rPr>
          <w:rFonts w:hint="eastAsia" w:ascii="仿宋_GB2312" w:hAnsi="楷体" w:eastAsia="仿宋_GB2312"/>
          <w:b/>
          <w:sz w:val="28"/>
          <w:szCs w:val="28"/>
        </w:rPr>
        <w:t>第三部分  合同专用条款</w:t>
      </w:r>
      <w:bookmarkEnd w:id="74"/>
    </w:p>
    <w:p w14:paraId="348E1C95">
      <w:pPr>
        <w:spacing w:line="360" w:lineRule="auto"/>
        <w:ind w:firstLine="480" w:firstLineChars="200"/>
        <w:rPr>
          <w:rFonts w:hint="eastAsia" w:ascii="仿宋_GB2312" w:hAnsi="楷体" w:eastAsia="仿宋_GB2312"/>
          <w:sz w:val="24"/>
        </w:rPr>
      </w:pPr>
      <w:r>
        <w:rPr>
          <w:rFonts w:hint="eastAsia" w:ascii="仿宋_GB2312" w:hAnsi="楷体" w:eastAsia="仿宋_GB2312"/>
          <w:sz w:val="24"/>
          <w:szCs w:val="24"/>
        </w:rPr>
        <w:t>本部分是对前两部分的补充和修改，如果前两部分和本部分的约定不一致，应以本部分的约定为准。本部分的条款号应与前两部分的条款号保持对应；与前两部分无对应关系的内容可另行编制条款号。</w:t>
      </w:r>
    </w:p>
    <w:p w14:paraId="69FD97B9">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3.1具有知识产权的标的物知识产权归属：</w:t>
      </w:r>
    </w:p>
    <w:p w14:paraId="78C0E904">
      <w:pPr>
        <w:spacing w:line="360" w:lineRule="auto"/>
        <w:ind w:firstLine="480" w:firstLineChars="200"/>
        <w:rPr>
          <w:rFonts w:hint="eastAsia" w:ascii="仿宋_GB2312" w:hAnsi="楷体" w:eastAsia="仿宋_GB2312"/>
          <w:sz w:val="24"/>
          <w:szCs w:val="24"/>
        </w:rPr>
      </w:pPr>
    </w:p>
    <w:p w14:paraId="1DED72D8">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3.2包装和装运专用条款（如果有）：</w:t>
      </w:r>
    </w:p>
    <w:p w14:paraId="3D3FBC56">
      <w:pPr>
        <w:spacing w:line="360" w:lineRule="auto"/>
        <w:ind w:firstLine="480" w:firstLineChars="200"/>
        <w:rPr>
          <w:rFonts w:hint="eastAsia" w:ascii="仿宋_GB2312" w:hAnsi="楷体" w:eastAsia="仿宋_GB2312"/>
          <w:sz w:val="24"/>
          <w:szCs w:val="24"/>
        </w:rPr>
      </w:pPr>
    </w:p>
    <w:p w14:paraId="6BE41DB4">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3.3装运标的物的要求和通知：</w:t>
      </w:r>
    </w:p>
    <w:p w14:paraId="616AB451">
      <w:pPr>
        <w:spacing w:line="360" w:lineRule="auto"/>
        <w:ind w:firstLine="480" w:firstLineChars="200"/>
        <w:rPr>
          <w:rFonts w:hint="eastAsia" w:ascii="仿宋_GB2312" w:hAnsi="楷体" w:eastAsia="仿宋_GB2312"/>
          <w:sz w:val="24"/>
          <w:szCs w:val="24"/>
        </w:rPr>
      </w:pPr>
    </w:p>
    <w:p w14:paraId="2BEFCB6C">
      <w:pPr>
        <w:spacing w:line="360" w:lineRule="auto"/>
        <w:ind w:firstLine="480" w:firstLineChars="200"/>
        <w:rPr>
          <w:rFonts w:hint="eastAsia" w:ascii="仿宋_GB2312" w:hAnsi="楷体" w:eastAsia="仿宋_GB2312"/>
          <w:b/>
          <w:sz w:val="24"/>
          <w:szCs w:val="24"/>
        </w:rPr>
      </w:pPr>
      <w:r>
        <w:rPr>
          <w:rFonts w:hint="eastAsia" w:ascii="仿宋_GB2312" w:hAnsi="楷体" w:eastAsia="仿宋_GB2312"/>
          <w:sz w:val="24"/>
          <w:szCs w:val="24"/>
        </w:rPr>
        <w:t>3.4</w:t>
      </w:r>
      <w:r>
        <w:rPr>
          <w:rFonts w:hint="eastAsia" w:ascii="仿宋_GB2312" w:hAnsi="楷体" w:eastAsia="仿宋_GB2312"/>
          <w:b/>
          <w:sz w:val="24"/>
          <w:szCs w:val="24"/>
        </w:rPr>
        <w:t>结算方式和付款条件</w:t>
      </w:r>
    </w:p>
    <w:p w14:paraId="740C85A9">
      <w:pPr>
        <w:spacing w:line="360" w:lineRule="auto"/>
        <w:ind w:firstLine="480" w:firstLineChars="200"/>
        <w:rPr>
          <w:rFonts w:hint="eastAsia" w:ascii="仿宋_GB2312" w:hAnsi="仿宋_GB2312" w:eastAsia="仿宋_GB2312" w:cs="仿宋_GB2312"/>
          <w:kern w:val="0"/>
          <w:sz w:val="24"/>
          <w:szCs w:val="24"/>
          <w:lang w:val="zh-CN"/>
        </w:rPr>
      </w:pPr>
      <w:r>
        <w:rPr>
          <w:rFonts w:hint="eastAsia" w:ascii="仿宋_GB2312" w:hAnsi="仿宋_GB2312" w:eastAsia="仿宋_GB2312" w:cs="仿宋_GB2312"/>
          <w:kern w:val="0"/>
          <w:sz w:val="24"/>
          <w:szCs w:val="24"/>
          <w:lang w:val="zh-CN"/>
        </w:rPr>
        <w:t>本次项目合同总价为大写人民币</w:t>
      </w:r>
      <w:r>
        <w:rPr>
          <w:rFonts w:hint="eastAsia" w:ascii="仿宋_GB2312" w:hAnsi="仿宋_GB2312" w:eastAsia="仿宋_GB2312" w:cs="仿宋_GB2312"/>
          <w:kern w:val="0"/>
          <w:sz w:val="24"/>
          <w:szCs w:val="24"/>
          <w:u w:val="single"/>
          <w:lang w:val="zh-CN"/>
        </w:rPr>
        <w:t xml:space="preserve">            （</w:t>
      </w:r>
      <w:r>
        <w:rPr>
          <w:rFonts w:hint="eastAsia" w:ascii="仿宋_GB2312" w:hAnsi="仿宋_GB2312" w:eastAsia="仿宋_GB2312" w:cs="仿宋_GB2312"/>
          <w:kern w:val="0"/>
          <w:sz w:val="24"/>
          <w:szCs w:val="24"/>
          <w:lang w:val="zh-CN"/>
        </w:rPr>
        <w:t>￥    元）。本项目采用以下勾选结算方式进行支付：</w:t>
      </w:r>
    </w:p>
    <w:p w14:paraId="023935A7">
      <w:pPr>
        <w:spacing w:line="360" w:lineRule="auto"/>
        <w:ind w:firstLine="480" w:firstLineChars="200"/>
        <w:rPr>
          <w:rFonts w:hint="eastAsia" w:ascii="仿宋_GB2312" w:hAnsi="仿宋_GB2312" w:eastAsia="仿宋_GB2312" w:cs="仿宋_GB2312"/>
          <w:kern w:val="0"/>
          <w:sz w:val="24"/>
          <w:szCs w:val="24"/>
          <w:lang w:val="zh-CN"/>
        </w:rPr>
      </w:pPr>
      <w:r>
        <w:rPr>
          <w:rFonts w:hint="eastAsia" w:ascii="仿宋_GB2312" w:hAnsi="仿宋_GB2312" w:eastAsia="仿宋_GB2312" w:cs="仿宋_GB2312"/>
          <w:kern w:val="0"/>
          <w:sz w:val="24"/>
          <w:szCs w:val="24"/>
          <w:lang w:val="zh-CN"/>
        </w:rPr>
        <w:t>□采用一次性支付方式，付款条件为：</w:t>
      </w:r>
      <w:r>
        <w:rPr>
          <w:rFonts w:hint="eastAsia" w:ascii="仿宋_GB2312" w:hAnsi="仿宋_GB2312" w:eastAsia="仿宋_GB2312" w:cs="仿宋_GB2312"/>
          <w:kern w:val="0"/>
          <w:sz w:val="24"/>
          <w:szCs w:val="24"/>
          <w:u w:val="single"/>
        </w:rPr>
        <w:t xml:space="preserve">           </w:t>
      </w:r>
    </w:p>
    <w:p w14:paraId="5142D914">
      <w:pPr>
        <w:spacing w:line="360" w:lineRule="auto"/>
        <w:ind w:firstLine="48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zh-CN"/>
        </w:rPr>
        <w:t>□采用分期付款方式，付款条件为</w:t>
      </w:r>
      <w:r>
        <w:rPr>
          <w:rFonts w:hint="eastAsia" w:ascii="仿宋_GB2312" w:hAnsi="仿宋_GB2312" w:eastAsia="仿宋_GB2312" w:cs="仿宋_GB2312"/>
          <w:kern w:val="0"/>
          <w:sz w:val="24"/>
          <w:szCs w:val="24"/>
        </w:rPr>
        <w:t>：</w:t>
      </w:r>
    </w:p>
    <w:p w14:paraId="16273848">
      <w:pPr>
        <w:spacing w:line="360" w:lineRule="auto"/>
        <w:ind w:firstLine="48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zh-CN"/>
        </w:rPr>
        <w:t>第一期付款</w:t>
      </w: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u w:val="single"/>
        </w:rPr>
        <w:t xml:space="preserve">                                        </w:t>
      </w:r>
    </w:p>
    <w:p w14:paraId="50E11769">
      <w:pPr>
        <w:spacing w:line="360" w:lineRule="auto"/>
        <w:ind w:firstLine="480" w:firstLineChars="200"/>
        <w:rPr>
          <w:rFonts w:hint="eastAsia" w:ascii="仿宋_GB2312" w:hAnsi="仿宋_GB2312" w:eastAsia="仿宋_GB2312" w:cs="仿宋_GB2312"/>
          <w:kern w:val="0"/>
          <w:sz w:val="24"/>
          <w:szCs w:val="24"/>
          <w:u w:val="single"/>
        </w:rPr>
      </w:pPr>
      <w:r>
        <w:rPr>
          <w:rFonts w:hint="eastAsia" w:ascii="仿宋_GB2312" w:hAnsi="仿宋_GB2312" w:eastAsia="仿宋_GB2312" w:cs="仿宋_GB2312"/>
          <w:kern w:val="0"/>
          <w:sz w:val="24"/>
          <w:szCs w:val="24"/>
          <w:lang w:val="zh-CN"/>
        </w:rPr>
        <w:t>第</w:t>
      </w:r>
      <w:r>
        <w:rPr>
          <w:rFonts w:hint="eastAsia" w:ascii="仿宋_GB2312" w:hAnsi="仿宋_GB2312" w:eastAsia="仿宋_GB2312" w:cs="仿宋_GB2312"/>
          <w:kern w:val="0"/>
          <w:sz w:val="24"/>
          <w:szCs w:val="24"/>
        </w:rPr>
        <w:t>二</w:t>
      </w:r>
      <w:r>
        <w:rPr>
          <w:rFonts w:hint="eastAsia" w:ascii="仿宋_GB2312" w:hAnsi="仿宋_GB2312" w:eastAsia="仿宋_GB2312" w:cs="仿宋_GB2312"/>
          <w:kern w:val="0"/>
          <w:sz w:val="24"/>
          <w:szCs w:val="24"/>
          <w:lang w:val="zh-CN"/>
        </w:rPr>
        <w:t>期付款</w:t>
      </w: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u w:val="single"/>
        </w:rPr>
        <w:t xml:space="preserve">                                        </w:t>
      </w:r>
    </w:p>
    <w:p w14:paraId="37FB39DB">
      <w:pPr>
        <w:spacing w:line="360" w:lineRule="auto"/>
        <w:ind w:firstLine="48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p w14:paraId="15E98216">
      <w:pPr>
        <w:spacing w:line="360" w:lineRule="auto"/>
        <w:ind w:firstLine="480" w:firstLineChars="200"/>
        <w:rPr>
          <w:rFonts w:hint="eastAsia" w:ascii="仿宋_GB2312" w:hAnsi="仿宋" w:eastAsia="仿宋_GB2312"/>
          <w:sz w:val="24"/>
          <w:szCs w:val="24"/>
        </w:rPr>
      </w:pPr>
      <w:r>
        <w:rPr>
          <w:rFonts w:hint="eastAsia" w:ascii="仿宋_GB2312" w:hAnsi="仿宋" w:eastAsia="仿宋_GB2312"/>
          <w:sz w:val="24"/>
          <w:szCs w:val="24"/>
        </w:rPr>
        <w:t>甲方无故逾期支付货物费用的，按照每逾期一日支付欠付货物费额度的</w:t>
      </w:r>
      <w:r>
        <w:rPr>
          <w:rFonts w:hint="eastAsia" w:ascii="仿宋_GB2312" w:hAnsi="仿宋" w:eastAsia="仿宋_GB2312"/>
          <w:sz w:val="24"/>
          <w:szCs w:val="24"/>
          <w:u w:val="single"/>
        </w:rPr>
        <w:t>万分之五</w:t>
      </w:r>
      <w:r>
        <w:rPr>
          <w:rFonts w:hint="eastAsia" w:ascii="仿宋_GB2312" w:hAnsi="仿宋" w:eastAsia="仿宋_GB2312"/>
          <w:color w:val="FF0000"/>
          <w:sz w:val="24"/>
          <w:szCs w:val="24"/>
        </w:rPr>
        <w:t>（</w:t>
      </w:r>
      <w:r>
        <w:rPr>
          <w:rFonts w:hint="eastAsia" w:ascii="仿宋_GB2312" w:hAnsi="楷体" w:eastAsia="仿宋_GB2312"/>
          <w:color w:val="FF0000"/>
          <w:sz w:val="24"/>
          <w:szCs w:val="24"/>
        </w:rPr>
        <w:t>根据项目实际填写，一般为万分之五</w:t>
      </w:r>
      <w:r>
        <w:rPr>
          <w:rFonts w:hint="eastAsia" w:ascii="仿宋_GB2312" w:hAnsi="仿宋" w:eastAsia="仿宋_GB2312"/>
          <w:color w:val="FF0000"/>
          <w:sz w:val="24"/>
          <w:szCs w:val="24"/>
        </w:rPr>
        <w:t>）</w:t>
      </w:r>
      <w:r>
        <w:rPr>
          <w:rFonts w:hint="eastAsia" w:ascii="仿宋_GB2312" w:hAnsi="仿宋" w:eastAsia="仿宋_GB2312"/>
          <w:sz w:val="24"/>
          <w:szCs w:val="24"/>
        </w:rPr>
        <w:t>承担违约责任，违约金上限按照《合同书》约定执行。</w:t>
      </w:r>
    </w:p>
    <w:p w14:paraId="209F8AE9">
      <w:pPr>
        <w:spacing w:line="360" w:lineRule="auto"/>
        <w:ind w:firstLine="480" w:firstLineChars="200"/>
        <w:rPr>
          <w:rFonts w:hint="eastAsia" w:ascii="仿宋_GB2312" w:hAnsi="仿宋_GB2312" w:eastAsia="仿宋_GB2312" w:cs="仿宋_GB2312"/>
          <w:kern w:val="0"/>
          <w:sz w:val="24"/>
          <w:szCs w:val="24"/>
          <w:lang w:val="zh-CN"/>
        </w:rPr>
      </w:pPr>
      <w:r>
        <w:rPr>
          <w:rFonts w:hint="eastAsia" w:ascii="仿宋_GB2312" w:hAnsi="仿宋" w:eastAsia="仿宋_GB2312"/>
          <w:sz w:val="24"/>
          <w:szCs w:val="24"/>
          <w:lang w:val="zh-CN"/>
        </w:rPr>
        <w:t>（温馨提示：根据《广西壮族自治区财政厅关于进一步发挥政府采购政策功能促进企业发展的通知》（桂财采〔2022〕30号）及《2023年广西优化营商环境行动方案》等规定，政府采购货物和服务的采购人在政府采购合同中约定预付款比例的，采购合同履行期超过30天，对中小企业合同预付款比例应不低于合同金额的30％，不高于合同金额的50%；项目分年度安排预算的，每年预付款比例不低于项目年度计划支付金额的30％；采购项目以人工投入为主的，可降低预付款比例，但不得低于10%。采购文件和采购合同没有约定预付款的，经供应商申请采购人可支付预付款。对于未实行预付款的政府采购项目，鼓励采购人在合同中明确首付款支付比例。）</w:t>
      </w:r>
    </w:p>
    <w:p w14:paraId="6258DA9F">
      <w:pPr>
        <w:spacing w:line="360" w:lineRule="auto"/>
        <w:ind w:firstLine="480" w:firstLineChars="200"/>
        <w:rPr>
          <w:rFonts w:hint="eastAsia" w:ascii="仿宋_GB2312" w:hAnsi="楷体" w:eastAsia="仿宋_GB2312"/>
          <w:b/>
          <w:sz w:val="24"/>
          <w:szCs w:val="24"/>
        </w:rPr>
      </w:pPr>
      <w:r>
        <w:rPr>
          <w:rFonts w:hint="eastAsia" w:ascii="仿宋_GB2312" w:hAnsi="楷体" w:eastAsia="仿宋_GB2312"/>
          <w:sz w:val="24"/>
          <w:szCs w:val="24"/>
        </w:rPr>
        <w:t>3.5</w:t>
      </w:r>
      <w:r>
        <w:rPr>
          <w:rFonts w:hint="eastAsia" w:ascii="仿宋_GB2312" w:hAnsi="楷体" w:eastAsia="仿宋_GB2312"/>
          <w:b/>
          <w:sz w:val="24"/>
          <w:szCs w:val="24"/>
        </w:rPr>
        <w:t>标的物的风险负担</w:t>
      </w:r>
    </w:p>
    <w:p w14:paraId="3F94ACD7">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标的物或者在途标的物或者交付给第一承运人后的标的物毁损、灭失的风险负担：</w:t>
      </w:r>
    </w:p>
    <w:p w14:paraId="49451824">
      <w:pPr>
        <w:spacing w:line="360" w:lineRule="auto"/>
        <w:ind w:firstLine="480" w:firstLineChars="200"/>
        <w:rPr>
          <w:rFonts w:hint="eastAsia" w:ascii="仿宋_GB2312" w:hAnsi="楷体" w:eastAsia="仿宋_GB2312"/>
          <w:sz w:val="24"/>
          <w:szCs w:val="24"/>
          <w:u w:val="single"/>
        </w:rPr>
      </w:pPr>
      <w:r>
        <w:rPr>
          <w:rFonts w:hint="eastAsia" w:ascii="仿宋_GB2312" w:hAnsi="楷体" w:eastAsia="仿宋_GB2312"/>
          <w:sz w:val="24"/>
          <w:szCs w:val="24"/>
          <w:u w:val="single"/>
        </w:rPr>
        <w:t xml:space="preserve">乙方                                                                       </w:t>
      </w:r>
    </w:p>
    <w:p w14:paraId="1249B719">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3.5.1受不可抗力影响的一方在不可抗力发生后，应在日内以书面形式通知对方当事人，并在日内，将有关部门出具的证明文件送达对方当事人。</w:t>
      </w:r>
    </w:p>
    <w:p w14:paraId="4C268400">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3.5.2因不可抗力致使合同有变更必要的，双方当事人应在日内以书面形式变更合同；</w:t>
      </w:r>
    </w:p>
    <w:p w14:paraId="38CE5350">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3.5.3标的物交付前，乙方应对标的物的质量、数量等方面进行详细、全面的检验，并向甲方出具证明标的物符合合同约定的文件；标的物交付时，乙方在日内发起验收，并可依法邀请相关方参加，验收应出具验收书。</w:t>
      </w:r>
    </w:p>
    <w:p w14:paraId="1FCFFE25">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3.5.4 检验和验收标准、程序等具体内容以及前述验收书的效力：</w:t>
      </w:r>
    </w:p>
    <w:p w14:paraId="72F613AA">
      <w:pPr>
        <w:spacing w:line="360" w:lineRule="auto"/>
        <w:ind w:firstLine="480" w:firstLineChars="200"/>
        <w:rPr>
          <w:rFonts w:hint="eastAsia" w:ascii="仿宋_GB2312" w:hAnsi="楷体" w:eastAsia="仿宋_GB2312"/>
          <w:sz w:val="24"/>
          <w:szCs w:val="24"/>
          <w:u w:val="single"/>
        </w:rPr>
      </w:pPr>
    </w:p>
    <w:p w14:paraId="67C826D1">
      <w:pPr>
        <w:spacing w:line="360" w:lineRule="auto"/>
        <w:ind w:firstLine="480" w:firstLineChars="200"/>
        <w:rPr>
          <w:rFonts w:hint="eastAsia" w:ascii="仿宋_GB2312" w:hAnsi="楷体" w:eastAsia="仿宋_GB2312"/>
          <w:sz w:val="24"/>
          <w:szCs w:val="24"/>
        </w:rPr>
      </w:pPr>
      <w:r>
        <w:rPr>
          <w:rFonts w:hint="eastAsia" w:ascii="仿宋_GB2312" w:hAnsi="楷体" w:eastAsia="仿宋_GB2312"/>
          <w:sz w:val="24"/>
          <w:szCs w:val="24"/>
        </w:rPr>
        <w:t>3.5.5其他：</w:t>
      </w:r>
    </w:p>
    <w:p w14:paraId="2797D891">
      <w:pPr>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3.6项目验收：</w:t>
      </w:r>
    </w:p>
    <w:p w14:paraId="2E2370E7">
      <w:pPr>
        <w:spacing w:line="360" w:lineRule="auto"/>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3.6.1甲方参照《南宁市政府采购供应商履约验收评价管理办法》（南财采[2019]217号）规定组织对乙方履约的验收。验收方成员应当在验收书上签字，并承担相应的法律责任。如果发现与合同中要求不符，乙方须承担由此发生的一切损失和费用，并接受相应的处理。</w:t>
      </w:r>
    </w:p>
    <w:p w14:paraId="2A94BC2A">
      <w:pPr>
        <w:spacing w:line="360" w:lineRule="auto"/>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3.6.2严格按照采购合同开展履约验收。甲方成立验收小组，按照采购合同的约定对供应商履约情况进行验收，验收时，按照采购合同的约定对每一项技术、货物、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5BEB25C6">
      <w:pPr>
        <w:spacing w:line="360" w:lineRule="auto"/>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3.6.3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5C1A7EB0">
      <w:pPr>
        <w:spacing w:line="360" w:lineRule="auto"/>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3.6.4验收产生的费用</w:t>
      </w:r>
      <w:r>
        <w:rPr>
          <w:rFonts w:hint="eastAsia" w:ascii="仿宋_GB2312" w:hAnsi="楷体" w:eastAsia="仿宋_GB2312"/>
          <w:sz w:val="24"/>
          <w:szCs w:val="24"/>
        </w:rPr>
        <w:t>：首次验收费用由</w:t>
      </w:r>
      <w:r>
        <w:rPr>
          <w:rFonts w:hint="eastAsia" w:ascii="仿宋_GB2312" w:hAnsi="楷体" w:eastAsia="仿宋_GB2312"/>
          <w:sz w:val="24"/>
          <w:szCs w:val="24"/>
          <w:u w:val="single"/>
        </w:rPr>
        <w:t xml:space="preserve">      </w:t>
      </w:r>
      <w:r>
        <w:rPr>
          <w:rFonts w:hint="eastAsia" w:ascii="仿宋_GB2312" w:hAnsi="楷体" w:eastAsia="仿宋_GB2312"/>
          <w:sz w:val="24"/>
          <w:szCs w:val="24"/>
        </w:rPr>
        <w:t>承担，如首次验收不合格，后续验收费用由</w:t>
      </w:r>
      <w:r>
        <w:rPr>
          <w:rFonts w:hint="eastAsia" w:ascii="仿宋_GB2312" w:hAnsi="楷体" w:eastAsia="仿宋_GB2312"/>
          <w:sz w:val="24"/>
          <w:szCs w:val="24"/>
          <w:u w:val="single"/>
        </w:rPr>
        <w:t xml:space="preserve">     </w:t>
      </w:r>
      <w:r>
        <w:rPr>
          <w:rFonts w:hint="eastAsia" w:ascii="仿宋_GB2312" w:hAnsi="楷体" w:eastAsia="仿宋_GB2312"/>
          <w:sz w:val="24"/>
          <w:szCs w:val="24"/>
        </w:rPr>
        <w:t>支付。</w:t>
      </w:r>
    </w:p>
    <w:p w14:paraId="6FC6F35E">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3.6.5验收内容及资料要求：</w:t>
      </w:r>
    </w:p>
    <w:p w14:paraId="4F8B7FD5">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根根据采购文件确定的技术指标或者货物要求确定验收指标和标准。未进行相应约定的，应当符合国家强制性规定、政策要求、安全标准、行业或企业有关标准等。</w:t>
      </w:r>
    </w:p>
    <w:p w14:paraId="62302CCA">
      <w:pPr>
        <w:tabs>
          <w:tab w:val="left" w:pos="904"/>
        </w:tabs>
        <w:snapToGrid w:val="0"/>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3.6.6验收内容</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914"/>
        <w:gridCol w:w="5930"/>
      </w:tblGrid>
      <w:tr w14:paraId="30444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tcBorders>
              <w:top w:val="single" w:color="auto" w:sz="4" w:space="0"/>
              <w:left w:val="single" w:color="auto" w:sz="4" w:space="0"/>
              <w:bottom w:val="single" w:color="auto" w:sz="4" w:space="0"/>
              <w:right w:val="single" w:color="auto" w:sz="4" w:space="0"/>
            </w:tcBorders>
            <w:noWrap w:val="0"/>
            <w:vAlign w:val="center"/>
          </w:tcPr>
          <w:p w14:paraId="6F9B454C">
            <w:pPr>
              <w:widowControl/>
              <w:spacing w:line="360" w:lineRule="auto"/>
              <w:ind w:firstLine="200"/>
              <w:jc w:val="center"/>
              <w:rPr>
                <w:rFonts w:ascii="仿宋" w:hAnsi="仿宋" w:eastAsia="仿宋" w:cs="仿宋"/>
                <w:bCs/>
                <w:kern w:val="0"/>
                <w:sz w:val="24"/>
              </w:rPr>
            </w:pPr>
            <w:r>
              <w:rPr>
                <w:rFonts w:hint="eastAsia" w:ascii="仿宋" w:hAnsi="仿宋" w:eastAsia="仿宋" w:cs="仿宋"/>
                <w:bCs/>
                <w:kern w:val="0"/>
                <w:sz w:val="24"/>
                <w:szCs w:val="24"/>
              </w:rPr>
              <w:t>序号</w:t>
            </w:r>
          </w:p>
        </w:tc>
        <w:tc>
          <w:tcPr>
            <w:tcW w:w="1914" w:type="dxa"/>
            <w:tcBorders>
              <w:top w:val="single" w:color="auto" w:sz="4" w:space="0"/>
              <w:left w:val="single" w:color="auto" w:sz="4" w:space="0"/>
              <w:bottom w:val="single" w:color="auto" w:sz="4" w:space="0"/>
              <w:right w:val="single" w:color="auto" w:sz="4" w:space="0"/>
            </w:tcBorders>
            <w:noWrap w:val="0"/>
            <w:vAlign w:val="center"/>
          </w:tcPr>
          <w:p w14:paraId="0080AFA3">
            <w:pPr>
              <w:widowControl/>
              <w:spacing w:line="360" w:lineRule="auto"/>
              <w:ind w:firstLine="200"/>
              <w:jc w:val="center"/>
              <w:rPr>
                <w:rFonts w:ascii="仿宋" w:hAnsi="仿宋" w:eastAsia="仿宋" w:cs="仿宋"/>
                <w:bCs/>
                <w:kern w:val="0"/>
                <w:sz w:val="24"/>
              </w:rPr>
            </w:pPr>
            <w:r>
              <w:rPr>
                <w:rFonts w:hint="eastAsia" w:ascii="仿宋" w:hAnsi="仿宋" w:eastAsia="仿宋" w:cs="仿宋"/>
                <w:bCs/>
                <w:kern w:val="0"/>
                <w:sz w:val="24"/>
                <w:szCs w:val="24"/>
              </w:rPr>
              <w:t>验收内容</w:t>
            </w:r>
          </w:p>
        </w:tc>
        <w:tc>
          <w:tcPr>
            <w:tcW w:w="5930" w:type="dxa"/>
            <w:tcBorders>
              <w:top w:val="single" w:color="auto" w:sz="4" w:space="0"/>
              <w:left w:val="single" w:color="auto" w:sz="4" w:space="0"/>
              <w:bottom w:val="single" w:color="auto" w:sz="4" w:space="0"/>
              <w:right w:val="single" w:color="auto" w:sz="4" w:space="0"/>
            </w:tcBorders>
            <w:noWrap w:val="0"/>
            <w:vAlign w:val="center"/>
          </w:tcPr>
          <w:p w14:paraId="55B0D77D">
            <w:pPr>
              <w:widowControl/>
              <w:spacing w:line="360" w:lineRule="auto"/>
              <w:ind w:firstLine="200"/>
              <w:jc w:val="center"/>
              <w:rPr>
                <w:rFonts w:ascii="仿宋" w:hAnsi="仿宋" w:eastAsia="仿宋" w:cs="仿宋"/>
                <w:bCs/>
                <w:kern w:val="0"/>
                <w:sz w:val="24"/>
              </w:rPr>
            </w:pPr>
            <w:r>
              <w:rPr>
                <w:rFonts w:hint="eastAsia" w:ascii="仿宋" w:hAnsi="仿宋" w:eastAsia="仿宋" w:cs="仿宋"/>
                <w:bCs/>
                <w:kern w:val="0"/>
                <w:sz w:val="24"/>
                <w:szCs w:val="24"/>
              </w:rPr>
              <w:t xml:space="preserve"> 验收标准</w:t>
            </w:r>
          </w:p>
        </w:tc>
      </w:tr>
      <w:tr w14:paraId="5E33E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73" w:type="dxa"/>
            <w:tcBorders>
              <w:top w:val="single" w:color="auto" w:sz="4" w:space="0"/>
              <w:left w:val="single" w:color="auto" w:sz="4" w:space="0"/>
              <w:bottom w:val="single" w:color="auto" w:sz="4" w:space="0"/>
              <w:right w:val="single" w:color="auto" w:sz="4" w:space="0"/>
            </w:tcBorders>
            <w:noWrap w:val="0"/>
            <w:vAlign w:val="center"/>
          </w:tcPr>
          <w:p w14:paraId="3D2B2A0B">
            <w:pPr>
              <w:widowControl/>
              <w:spacing w:line="360" w:lineRule="auto"/>
              <w:ind w:firstLine="200"/>
              <w:jc w:val="center"/>
              <w:rPr>
                <w:rFonts w:ascii="仿宋" w:hAnsi="仿宋" w:eastAsia="仿宋" w:cs="仿宋"/>
                <w:bCs/>
                <w:kern w:val="0"/>
                <w:sz w:val="24"/>
              </w:rPr>
            </w:pPr>
            <w:r>
              <w:rPr>
                <w:rFonts w:hint="eastAsia" w:ascii="仿宋" w:hAnsi="仿宋" w:eastAsia="仿宋" w:cs="仿宋"/>
                <w:bCs/>
                <w:kern w:val="0"/>
                <w:sz w:val="24"/>
                <w:szCs w:val="24"/>
              </w:rPr>
              <w:t>1</w:t>
            </w:r>
          </w:p>
        </w:tc>
        <w:tc>
          <w:tcPr>
            <w:tcW w:w="1914" w:type="dxa"/>
            <w:tcBorders>
              <w:top w:val="single" w:color="auto" w:sz="4" w:space="0"/>
              <w:left w:val="single" w:color="auto" w:sz="4" w:space="0"/>
              <w:bottom w:val="single" w:color="auto" w:sz="4" w:space="0"/>
              <w:right w:val="single" w:color="auto" w:sz="4" w:space="0"/>
            </w:tcBorders>
            <w:noWrap w:val="0"/>
            <w:vAlign w:val="center"/>
          </w:tcPr>
          <w:p w14:paraId="4FC262C8">
            <w:pPr>
              <w:widowControl/>
              <w:spacing w:line="360" w:lineRule="auto"/>
              <w:ind w:firstLine="200"/>
              <w:jc w:val="center"/>
              <w:rPr>
                <w:rFonts w:ascii="仿宋" w:hAnsi="仿宋" w:eastAsia="仿宋" w:cs="仿宋"/>
                <w:bCs/>
                <w:kern w:val="0"/>
                <w:sz w:val="24"/>
              </w:rPr>
            </w:pPr>
            <w:r>
              <w:rPr>
                <w:rFonts w:hint="eastAsia" w:ascii="仿宋" w:hAnsi="仿宋" w:eastAsia="仿宋" w:cs="仿宋"/>
                <w:bCs/>
                <w:kern w:val="0"/>
                <w:sz w:val="24"/>
                <w:szCs w:val="24"/>
              </w:rPr>
              <w:t>交货产品数量</w:t>
            </w:r>
          </w:p>
        </w:tc>
        <w:tc>
          <w:tcPr>
            <w:tcW w:w="5930" w:type="dxa"/>
            <w:tcBorders>
              <w:top w:val="single" w:color="auto" w:sz="4" w:space="0"/>
              <w:left w:val="single" w:color="auto" w:sz="4" w:space="0"/>
              <w:bottom w:val="single" w:color="auto" w:sz="4" w:space="0"/>
              <w:right w:val="single" w:color="auto" w:sz="4" w:space="0"/>
            </w:tcBorders>
            <w:noWrap w:val="0"/>
            <w:vAlign w:val="center"/>
          </w:tcPr>
          <w:p w14:paraId="2DF3E0AD">
            <w:pPr>
              <w:widowControl/>
              <w:spacing w:line="360" w:lineRule="auto"/>
              <w:ind w:firstLine="200"/>
              <w:jc w:val="center"/>
              <w:rPr>
                <w:rFonts w:ascii="仿宋" w:hAnsi="仿宋" w:eastAsia="仿宋" w:cs="仿宋"/>
                <w:kern w:val="0"/>
                <w:sz w:val="24"/>
              </w:rPr>
            </w:pPr>
          </w:p>
        </w:tc>
      </w:tr>
      <w:tr w14:paraId="3A749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673" w:type="dxa"/>
            <w:tcBorders>
              <w:top w:val="single" w:color="auto" w:sz="4" w:space="0"/>
              <w:left w:val="single" w:color="auto" w:sz="4" w:space="0"/>
              <w:bottom w:val="single" w:color="auto" w:sz="4" w:space="0"/>
              <w:right w:val="single" w:color="auto" w:sz="4" w:space="0"/>
            </w:tcBorders>
            <w:noWrap w:val="0"/>
            <w:vAlign w:val="center"/>
          </w:tcPr>
          <w:p w14:paraId="2F45DAE2">
            <w:pPr>
              <w:widowControl/>
              <w:spacing w:line="360" w:lineRule="auto"/>
              <w:ind w:firstLine="200"/>
              <w:jc w:val="center"/>
              <w:rPr>
                <w:rFonts w:ascii="仿宋" w:hAnsi="仿宋" w:eastAsia="仿宋" w:cs="仿宋"/>
                <w:bCs/>
                <w:kern w:val="0"/>
                <w:sz w:val="24"/>
              </w:rPr>
            </w:pPr>
            <w:r>
              <w:rPr>
                <w:rFonts w:hint="eastAsia" w:ascii="仿宋" w:hAnsi="仿宋" w:eastAsia="仿宋" w:cs="仿宋"/>
                <w:bCs/>
                <w:kern w:val="0"/>
                <w:sz w:val="24"/>
                <w:szCs w:val="24"/>
              </w:rPr>
              <w:t>2</w:t>
            </w:r>
          </w:p>
        </w:tc>
        <w:tc>
          <w:tcPr>
            <w:tcW w:w="1914" w:type="dxa"/>
            <w:tcBorders>
              <w:top w:val="single" w:color="auto" w:sz="4" w:space="0"/>
              <w:left w:val="single" w:color="auto" w:sz="4" w:space="0"/>
              <w:bottom w:val="single" w:color="auto" w:sz="4" w:space="0"/>
              <w:right w:val="single" w:color="auto" w:sz="4" w:space="0"/>
            </w:tcBorders>
            <w:noWrap w:val="0"/>
            <w:vAlign w:val="center"/>
          </w:tcPr>
          <w:p w14:paraId="4123E4DC">
            <w:pPr>
              <w:widowControl/>
              <w:spacing w:line="360" w:lineRule="auto"/>
              <w:ind w:firstLine="200"/>
              <w:jc w:val="center"/>
              <w:rPr>
                <w:rFonts w:ascii="仿宋" w:hAnsi="仿宋" w:eastAsia="仿宋" w:cs="仿宋"/>
                <w:bCs/>
                <w:kern w:val="0"/>
                <w:sz w:val="24"/>
              </w:rPr>
            </w:pPr>
            <w:r>
              <w:rPr>
                <w:rFonts w:hint="eastAsia" w:ascii="仿宋" w:hAnsi="仿宋" w:eastAsia="仿宋" w:cs="仿宋"/>
                <w:bCs/>
                <w:kern w:val="0"/>
                <w:sz w:val="24"/>
                <w:szCs w:val="24"/>
              </w:rPr>
              <w:t>交货产品的质量文件</w:t>
            </w:r>
          </w:p>
        </w:tc>
        <w:tc>
          <w:tcPr>
            <w:tcW w:w="5930" w:type="dxa"/>
            <w:tcBorders>
              <w:top w:val="single" w:color="auto" w:sz="4" w:space="0"/>
              <w:left w:val="single" w:color="auto" w:sz="4" w:space="0"/>
              <w:bottom w:val="single" w:color="auto" w:sz="4" w:space="0"/>
              <w:right w:val="single" w:color="auto" w:sz="4" w:space="0"/>
            </w:tcBorders>
            <w:noWrap w:val="0"/>
            <w:vAlign w:val="center"/>
          </w:tcPr>
          <w:p w14:paraId="070C8871">
            <w:pPr>
              <w:widowControl/>
              <w:spacing w:line="360" w:lineRule="auto"/>
              <w:ind w:firstLine="200"/>
              <w:jc w:val="center"/>
              <w:rPr>
                <w:rFonts w:ascii="仿宋" w:hAnsi="仿宋" w:eastAsia="仿宋" w:cs="仿宋"/>
                <w:kern w:val="0"/>
                <w:sz w:val="24"/>
              </w:rPr>
            </w:pPr>
          </w:p>
        </w:tc>
      </w:tr>
      <w:tr w14:paraId="0BE05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673" w:type="dxa"/>
            <w:tcBorders>
              <w:top w:val="single" w:color="auto" w:sz="4" w:space="0"/>
              <w:left w:val="single" w:color="auto" w:sz="4" w:space="0"/>
              <w:bottom w:val="single" w:color="auto" w:sz="4" w:space="0"/>
              <w:right w:val="single" w:color="auto" w:sz="4" w:space="0"/>
            </w:tcBorders>
            <w:noWrap w:val="0"/>
            <w:vAlign w:val="center"/>
          </w:tcPr>
          <w:p w14:paraId="1821AE48">
            <w:pPr>
              <w:widowControl/>
              <w:spacing w:line="360" w:lineRule="auto"/>
              <w:ind w:firstLine="200"/>
              <w:jc w:val="center"/>
              <w:rPr>
                <w:rFonts w:ascii="仿宋" w:hAnsi="仿宋" w:eastAsia="仿宋" w:cs="仿宋"/>
                <w:bCs/>
                <w:kern w:val="0"/>
                <w:sz w:val="24"/>
              </w:rPr>
            </w:pPr>
            <w:r>
              <w:rPr>
                <w:rFonts w:hint="eastAsia" w:ascii="仿宋" w:hAnsi="仿宋" w:eastAsia="仿宋" w:cs="仿宋"/>
                <w:bCs/>
                <w:kern w:val="0"/>
                <w:sz w:val="24"/>
                <w:szCs w:val="24"/>
              </w:rPr>
              <w:t>4</w:t>
            </w:r>
          </w:p>
        </w:tc>
        <w:tc>
          <w:tcPr>
            <w:tcW w:w="1914" w:type="dxa"/>
            <w:tcBorders>
              <w:top w:val="single" w:color="auto" w:sz="4" w:space="0"/>
              <w:left w:val="single" w:color="auto" w:sz="4" w:space="0"/>
              <w:bottom w:val="single" w:color="auto" w:sz="4" w:space="0"/>
              <w:right w:val="single" w:color="auto" w:sz="4" w:space="0"/>
            </w:tcBorders>
            <w:noWrap w:val="0"/>
            <w:vAlign w:val="center"/>
          </w:tcPr>
          <w:p w14:paraId="227BDBD7">
            <w:pPr>
              <w:spacing w:line="360" w:lineRule="auto"/>
              <w:ind w:firstLine="200"/>
              <w:jc w:val="center"/>
              <w:rPr>
                <w:rFonts w:ascii="仿宋" w:hAnsi="仿宋" w:eastAsia="仿宋" w:cs="仿宋"/>
                <w:bCs/>
                <w:kern w:val="0"/>
                <w:sz w:val="24"/>
              </w:rPr>
            </w:pPr>
            <w:r>
              <w:rPr>
                <w:rFonts w:hint="eastAsia" w:ascii="仿宋" w:hAnsi="仿宋" w:eastAsia="仿宋" w:cs="仿宋"/>
                <w:bCs/>
                <w:kern w:val="0"/>
                <w:sz w:val="24"/>
                <w:szCs w:val="24"/>
              </w:rPr>
              <w:t xml:space="preserve">交货产品技术、性能指标 </w:t>
            </w:r>
          </w:p>
        </w:tc>
        <w:tc>
          <w:tcPr>
            <w:tcW w:w="5930" w:type="dxa"/>
            <w:tcBorders>
              <w:top w:val="single" w:color="auto" w:sz="4" w:space="0"/>
              <w:left w:val="single" w:color="auto" w:sz="4" w:space="0"/>
              <w:bottom w:val="single" w:color="auto" w:sz="4" w:space="0"/>
              <w:right w:val="single" w:color="auto" w:sz="4" w:space="0"/>
            </w:tcBorders>
            <w:noWrap w:val="0"/>
            <w:vAlign w:val="center"/>
          </w:tcPr>
          <w:p w14:paraId="6F674A05">
            <w:pPr>
              <w:spacing w:line="360" w:lineRule="auto"/>
              <w:ind w:firstLine="200"/>
              <w:jc w:val="left"/>
              <w:rPr>
                <w:rFonts w:ascii="仿宋" w:hAnsi="仿宋" w:eastAsia="仿宋" w:cs="仿宋"/>
              </w:rPr>
            </w:pPr>
          </w:p>
        </w:tc>
      </w:tr>
      <w:tr w14:paraId="44BC4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1" w:hRule="atLeast"/>
          <w:jc w:val="center"/>
        </w:trPr>
        <w:tc>
          <w:tcPr>
            <w:tcW w:w="673" w:type="dxa"/>
            <w:tcBorders>
              <w:top w:val="single" w:color="auto" w:sz="4" w:space="0"/>
              <w:left w:val="single" w:color="auto" w:sz="4" w:space="0"/>
              <w:bottom w:val="single" w:color="auto" w:sz="4" w:space="0"/>
              <w:right w:val="single" w:color="auto" w:sz="4" w:space="0"/>
            </w:tcBorders>
            <w:noWrap w:val="0"/>
            <w:vAlign w:val="center"/>
          </w:tcPr>
          <w:p w14:paraId="6C9AFBCF">
            <w:pPr>
              <w:widowControl/>
              <w:spacing w:line="360" w:lineRule="auto"/>
              <w:ind w:firstLine="200"/>
              <w:jc w:val="center"/>
              <w:rPr>
                <w:rFonts w:ascii="仿宋" w:hAnsi="仿宋" w:eastAsia="仿宋" w:cs="仿宋"/>
                <w:kern w:val="0"/>
                <w:sz w:val="24"/>
              </w:rPr>
            </w:pPr>
            <w:r>
              <w:rPr>
                <w:rFonts w:hint="eastAsia" w:ascii="仿宋" w:hAnsi="仿宋" w:eastAsia="仿宋" w:cs="仿宋"/>
                <w:kern w:val="0"/>
                <w:sz w:val="24"/>
                <w:szCs w:val="24"/>
              </w:rPr>
              <w:t>5</w:t>
            </w:r>
          </w:p>
        </w:tc>
        <w:tc>
          <w:tcPr>
            <w:tcW w:w="1914" w:type="dxa"/>
            <w:tcBorders>
              <w:top w:val="single" w:color="auto" w:sz="4" w:space="0"/>
              <w:left w:val="single" w:color="auto" w:sz="4" w:space="0"/>
              <w:bottom w:val="single" w:color="auto" w:sz="4" w:space="0"/>
              <w:right w:val="single" w:color="auto" w:sz="4" w:space="0"/>
            </w:tcBorders>
            <w:noWrap w:val="0"/>
            <w:vAlign w:val="center"/>
          </w:tcPr>
          <w:p w14:paraId="37E68CCA">
            <w:pPr>
              <w:spacing w:line="360" w:lineRule="auto"/>
              <w:ind w:firstLine="200"/>
              <w:jc w:val="center"/>
              <w:rPr>
                <w:rFonts w:ascii="仿宋" w:hAnsi="仿宋" w:eastAsia="仿宋" w:cs="仿宋"/>
                <w:sz w:val="24"/>
                <w:szCs w:val="24"/>
              </w:rPr>
            </w:pPr>
            <w:r>
              <w:rPr>
                <w:rFonts w:hint="eastAsia" w:ascii="仿宋" w:hAnsi="仿宋" w:eastAsia="仿宋" w:cs="仿宋"/>
                <w:sz w:val="24"/>
                <w:szCs w:val="24"/>
              </w:rPr>
              <w:t>售后服务</w:t>
            </w:r>
          </w:p>
          <w:p w14:paraId="47C02BEF">
            <w:pPr>
              <w:widowControl/>
              <w:spacing w:line="360" w:lineRule="auto"/>
              <w:ind w:firstLine="200"/>
              <w:jc w:val="center"/>
              <w:rPr>
                <w:rFonts w:ascii="仿宋" w:hAnsi="仿宋" w:eastAsia="仿宋" w:cs="仿宋"/>
                <w:bCs/>
                <w:kern w:val="0"/>
                <w:sz w:val="24"/>
              </w:rPr>
            </w:pPr>
            <w:r>
              <w:rPr>
                <w:rFonts w:hint="eastAsia" w:ascii="仿宋" w:hAnsi="仿宋" w:eastAsia="仿宋" w:cs="仿宋"/>
                <w:sz w:val="24"/>
                <w:szCs w:val="24"/>
              </w:rPr>
              <w:t>承诺</w:t>
            </w:r>
          </w:p>
        </w:tc>
        <w:tc>
          <w:tcPr>
            <w:tcW w:w="5930" w:type="dxa"/>
            <w:tcBorders>
              <w:top w:val="single" w:color="auto" w:sz="4" w:space="0"/>
              <w:left w:val="single" w:color="auto" w:sz="4" w:space="0"/>
              <w:bottom w:val="single" w:color="auto" w:sz="4" w:space="0"/>
              <w:right w:val="single" w:color="auto" w:sz="4" w:space="0"/>
            </w:tcBorders>
            <w:noWrap w:val="0"/>
            <w:vAlign w:val="center"/>
          </w:tcPr>
          <w:p w14:paraId="49269135">
            <w:pPr>
              <w:widowControl/>
              <w:spacing w:line="360" w:lineRule="auto"/>
              <w:ind w:firstLine="200"/>
              <w:jc w:val="center"/>
              <w:rPr>
                <w:rFonts w:ascii="仿宋" w:hAnsi="仿宋" w:eastAsia="仿宋" w:cs="仿宋"/>
                <w:kern w:val="0"/>
                <w:sz w:val="24"/>
              </w:rPr>
            </w:pPr>
          </w:p>
        </w:tc>
      </w:tr>
      <w:tr w14:paraId="291B6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673" w:type="dxa"/>
            <w:tcBorders>
              <w:top w:val="single" w:color="auto" w:sz="4" w:space="0"/>
              <w:left w:val="single" w:color="auto" w:sz="4" w:space="0"/>
              <w:bottom w:val="single" w:color="auto" w:sz="4" w:space="0"/>
              <w:right w:val="single" w:color="auto" w:sz="4" w:space="0"/>
            </w:tcBorders>
            <w:noWrap w:val="0"/>
            <w:vAlign w:val="center"/>
          </w:tcPr>
          <w:p w14:paraId="67EB8331">
            <w:pPr>
              <w:widowControl/>
              <w:spacing w:line="360" w:lineRule="auto"/>
              <w:ind w:firstLine="200"/>
              <w:jc w:val="center"/>
              <w:rPr>
                <w:rFonts w:ascii="仿宋" w:hAnsi="仿宋" w:eastAsia="仿宋" w:cs="仿宋"/>
                <w:bCs/>
                <w:kern w:val="0"/>
                <w:sz w:val="24"/>
              </w:rPr>
            </w:pPr>
            <w:r>
              <w:rPr>
                <w:rFonts w:hint="eastAsia" w:ascii="仿宋" w:hAnsi="仿宋" w:eastAsia="仿宋" w:cs="仿宋"/>
                <w:bCs/>
                <w:kern w:val="0"/>
                <w:sz w:val="24"/>
                <w:szCs w:val="24"/>
              </w:rPr>
              <w:t>6</w:t>
            </w:r>
          </w:p>
        </w:tc>
        <w:tc>
          <w:tcPr>
            <w:tcW w:w="1914" w:type="dxa"/>
            <w:tcBorders>
              <w:top w:val="single" w:color="auto" w:sz="4" w:space="0"/>
              <w:left w:val="single" w:color="auto" w:sz="4" w:space="0"/>
              <w:bottom w:val="single" w:color="auto" w:sz="4" w:space="0"/>
              <w:right w:val="single" w:color="auto" w:sz="4" w:space="0"/>
            </w:tcBorders>
            <w:noWrap w:val="0"/>
            <w:vAlign w:val="center"/>
          </w:tcPr>
          <w:p w14:paraId="2F2EE9C8">
            <w:pPr>
              <w:widowControl/>
              <w:spacing w:line="360" w:lineRule="auto"/>
              <w:ind w:firstLine="200"/>
              <w:jc w:val="center"/>
              <w:rPr>
                <w:rFonts w:ascii="仿宋" w:hAnsi="仿宋" w:eastAsia="仿宋" w:cs="仿宋"/>
                <w:bCs/>
                <w:kern w:val="0"/>
                <w:sz w:val="24"/>
              </w:rPr>
            </w:pPr>
            <w:r>
              <w:rPr>
                <w:rFonts w:hint="eastAsia" w:ascii="仿宋" w:hAnsi="仿宋" w:eastAsia="仿宋" w:cs="仿宋"/>
                <w:bCs/>
                <w:kern w:val="0"/>
                <w:sz w:val="24"/>
                <w:szCs w:val="24"/>
              </w:rPr>
              <w:t>其他工作</w:t>
            </w:r>
          </w:p>
        </w:tc>
        <w:tc>
          <w:tcPr>
            <w:tcW w:w="5930" w:type="dxa"/>
            <w:tcBorders>
              <w:top w:val="single" w:color="auto" w:sz="4" w:space="0"/>
              <w:left w:val="single" w:color="auto" w:sz="4" w:space="0"/>
              <w:bottom w:val="single" w:color="auto" w:sz="4" w:space="0"/>
              <w:right w:val="single" w:color="auto" w:sz="4" w:space="0"/>
            </w:tcBorders>
            <w:noWrap w:val="0"/>
            <w:vAlign w:val="center"/>
          </w:tcPr>
          <w:p w14:paraId="3D5B8105">
            <w:pPr>
              <w:widowControl/>
              <w:spacing w:line="360" w:lineRule="auto"/>
              <w:ind w:firstLine="200"/>
              <w:jc w:val="left"/>
              <w:rPr>
                <w:rFonts w:ascii="仿宋" w:hAnsi="仿宋" w:eastAsia="仿宋" w:cs="仿宋"/>
                <w:kern w:val="0"/>
                <w:sz w:val="24"/>
              </w:rPr>
            </w:pPr>
          </w:p>
        </w:tc>
      </w:tr>
    </w:tbl>
    <w:p w14:paraId="16496BF2">
      <w:pPr>
        <w:tabs>
          <w:tab w:val="left" w:pos="904"/>
        </w:tabs>
        <w:snapToGrid w:val="0"/>
        <w:spacing w:line="360" w:lineRule="auto"/>
        <w:ind w:firstLine="480" w:firstLineChars="200"/>
        <w:jc w:val="left"/>
        <w:rPr>
          <w:rFonts w:hint="eastAsia" w:ascii="仿宋" w:hAnsi="仿宋" w:eastAsia="仿宋" w:cs="仿宋"/>
          <w:sz w:val="24"/>
        </w:rPr>
      </w:pPr>
      <w:r>
        <w:rPr>
          <w:rFonts w:hint="eastAsia" w:ascii="仿宋" w:hAnsi="仿宋" w:eastAsia="仿宋" w:cs="仿宋"/>
          <w:sz w:val="24"/>
          <w:szCs w:val="24"/>
        </w:rPr>
        <w:t>（温馨提示：根据《广西壮族自治区财政厅关于进一步发挥政府采购政策功能促进企业发展的通知》（桂财采〔2022〕30号）规定，采购人应当在项目完成且收到供应商验收申请后5个工作日内组织开展履约验收；对于满足合同约定支付条件的项目，应在收到发票后30日内将资金支付到合同约定的供应商账户，不得以进行审计作为支付供应商款项的条件。加快采购资金支付进度，对于200万元以下的货物和服务项目，鼓励采购人一次性全额支付给供应商。采购人不得以机构变动、人员更替、政策调整、履行内部付款流程等为由延迟付款。）</w:t>
      </w:r>
    </w:p>
    <w:p w14:paraId="58E19E26">
      <w:pPr>
        <w:tabs>
          <w:tab w:val="left" w:pos="904"/>
        </w:tabs>
        <w:snapToGrid w:val="0"/>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3.6.7验收资料要求</w:t>
      </w:r>
    </w:p>
    <w:p w14:paraId="4260C481">
      <w:pPr>
        <w:tabs>
          <w:tab w:val="left" w:pos="904"/>
        </w:tabs>
        <w:snapToGrid w:val="0"/>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验收资料要求包括（不限于）以下内容：</w:t>
      </w:r>
    </w:p>
    <w:p w14:paraId="61CE8653">
      <w:pPr>
        <w:tabs>
          <w:tab w:val="left" w:pos="904"/>
        </w:tabs>
        <w:adjustRightInd w:val="0"/>
        <w:snapToGrid w:val="0"/>
        <w:spacing w:line="360" w:lineRule="auto"/>
        <w:ind w:firstLine="240" w:firstLineChars="100"/>
        <w:jc w:val="left"/>
        <w:rPr>
          <w:rFonts w:hint="eastAsia" w:ascii="仿宋" w:hAnsi="仿宋" w:eastAsia="仿宋" w:cs="仿宋"/>
          <w:sz w:val="24"/>
          <w:szCs w:val="24"/>
        </w:rPr>
      </w:pPr>
      <w:r>
        <w:rPr>
          <w:rFonts w:hint="eastAsia" w:ascii="仿宋" w:hAnsi="仿宋" w:eastAsia="仿宋" w:cs="仿宋"/>
          <w:sz w:val="24"/>
          <w:szCs w:val="24"/>
        </w:rPr>
        <w:t>（1）采购文件；</w:t>
      </w:r>
    </w:p>
    <w:p w14:paraId="4F850E74">
      <w:pPr>
        <w:tabs>
          <w:tab w:val="left" w:pos="904"/>
        </w:tabs>
        <w:adjustRightInd w:val="0"/>
        <w:snapToGrid w:val="0"/>
        <w:spacing w:line="360" w:lineRule="auto"/>
        <w:ind w:firstLine="240" w:firstLineChars="100"/>
        <w:jc w:val="left"/>
        <w:rPr>
          <w:rFonts w:hint="eastAsia" w:ascii="仿宋" w:hAnsi="仿宋" w:eastAsia="仿宋" w:cs="仿宋"/>
          <w:sz w:val="24"/>
          <w:szCs w:val="24"/>
        </w:rPr>
      </w:pPr>
      <w:r>
        <w:rPr>
          <w:rFonts w:hint="eastAsia" w:ascii="仿宋" w:hAnsi="仿宋" w:eastAsia="仿宋" w:cs="仿宋"/>
          <w:sz w:val="24"/>
          <w:szCs w:val="24"/>
        </w:rPr>
        <w:t>（2）响应文件；</w:t>
      </w:r>
    </w:p>
    <w:p w14:paraId="7F26C060">
      <w:pPr>
        <w:tabs>
          <w:tab w:val="left" w:pos="904"/>
        </w:tabs>
        <w:adjustRightInd w:val="0"/>
        <w:snapToGrid w:val="0"/>
        <w:spacing w:line="360" w:lineRule="auto"/>
        <w:ind w:firstLine="240" w:firstLineChars="100"/>
        <w:jc w:val="left"/>
        <w:rPr>
          <w:rFonts w:hint="eastAsia" w:ascii="仿宋" w:hAnsi="仿宋" w:eastAsia="仿宋" w:cs="仿宋"/>
          <w:sz w:val="24"/>
          <w:szCs w:val="24"/>
        </w:rPr>
      </w:pPr>
      <w:r>
        <w:rPr>
          <w:rFonts w:hint="eastAsia" w:ascii="仿宋" w:hAnsi="仿宋" w:eastAsia="仿宋" w:cs="仿宋"/>
          <w:sz w:val="24"/>
          <w:szCs w:val="24"/>
        </w:rPr>
        <w:t>（3）采购合同；</w:t>
      </w:r>
    </w:p>
    <w:p w14:paraId="1D18C41A">
      <w:pPr>
        <w:tabs>
          <w:tab w:val="left" w:pos="904"/>
        </w:tabs>
        <w:adjustRightInd w:val="0"/>
        <w:snapToGrid w:val="0"/>
        <w:spacing w:line="360" w:lineRule="auto"/>
        <w:ind w:firstLine="240" w:firstLineChars="100"/>
        <w:jc w:val="left"/>
        <w:rPr>
          <w:rFonts w:hint="eastAsia" w:ascii="仿宋" w:hAnsi="仿宋" w:eastAsia="仿宋" w:cs="仿宋"/>
          <w:sz w:val="24"/>
          <w:szCs w:val="24"/>
        </w:rPr>
      </w:pPr>
      <w:r>
        <w:rPr>
          <w:rFonts w:hint="eastAsia" w:ascii="仿宋" w:hAnsi="仿宋" w:eastAsia="仿宋" w:cs="仿宋"/>
          <w:sz w:val="24"/>
          <w:szCs w:val="24"/>
        </w:rPr>
        <w:t>（4）其他需提供的相关材料：（由业主根据实际情况填写）。</w:t>
      </w:r>
    </w:p>
    <w:p w14:paraId="518338E9">
      <w:pPr>
        <w:widowControl/>
        <w:ind w:firstLine="720" w:firstLineChars="300"/>
        <w:jc w:val="left"/>
        <w:rPr>
          <w:rFonts w:hint="eastAsia" w:ascii="仿宋" w:hAnsi="仿宋" w:eastAsia="仿宋"/>
          <w:bCs/>
          <w:sz w:val="24"/>
          <w:szCs w:val="24"/>
        </w:rPr>
      </w:pPr>
    </w:p>
    <w:p w14:paraId="4558A4D6">
      <w:pPr>
        <w:tabs>
          <w:tab w:val="left" w:pos="3261"/>
        </w:tabs>
        <w:spacing w:line="360" w:lineRule="auto"/>
        <w:rPr>
          <w:rFonts w:hint="eastAsia" w:ascii="宋体" w:hAnsi="宋体" w:eastAsia="等线" w:cs="仿宋_GB2312"/>
          <w:b/>
          <w:sz w:val="44"/>
          <w:szCs w:val="44"/>
        </w:rPr>
      </w:pPr>
    </w:p>
    <w:p w14:paraId="53F47EDD">
      <w:pPr>
        <w:tabs>
          <w:tab w:val="left" w:pos="3261"/>
        </w:tabs>
        <w:spacing w:line="360" w:lineRule="auto"/>
        <w:rPr>
          <w:rFonts w:hint="eastAsia" w:ascii="宋体" w:hAnsi="宋体" w:cs="仿宋_GB2312"/>
          <w:b/>
          <w:sz w:val="44"/>
          <w:szCs w:val="44"/>
        </w:rPr>
      </w:pPr>
    </w:p>
    <w:p w14:paraId="0BC1F86A">
      <w:pPr>
        <w:tabs>
          <w:tab w:val="left" w:pos="3261"/>
        </w:tabs>
        <w:spacing w:line="360" w:lineRule="auto"/>
        <w:rPr>
          <w:rFonts w:hint="eastAsia" w:ascii="宋体" w:hAnsi="宋体" w:cs="仿宋_GB2312"/>
          <w:b/>
          <w:sz w:val="44"/>
          <w:szCs w:val="44"/>
        </w:rPr>
      </w:pPr>
    </w:p>
    <w:p w14:paraId="6F6DD668">
      <w:pPr>
        <w:tabs>
          <w:tab w:val="left" w:pos="3261"/>
        </w:tabs>
        <w:spacing w:line="360" w:lineRule="auto"/>
        <w:rPr>
          <w:rFonts w:hint="eastAsia" w:ascii="宋体" w:hAnsi="宋体" w:cs="仿宋_GB2312"/>
          <w:b/>
          <w:sz w:val="44"/>
          <w:szCs w:val="44"/>
        </w:rPr>
      </w:pPr>
    </w:p>
    <w:p w14:paraId="432661BE">
      <w:pPr>
        <w:tabs>
          <w:tab w:val="left" w:pos="3261"/>
        </w:tabs>
        <w:spacing w:line="360" w:lineRule="auto"/>
        <w:rPr>
          <w:rFonts w:hint="eastAsia" w:ascii="宋体" w:hAnsi="宋体" w:cs="仿宋_GB2312"/>
          <w:b/>
          <w:sz w:val="44"/>
          <w:szCs w:val="44"/>
        </w:rPr>
      </w:pPr>
    </w:p>
    <w:p w14:paraId="4ED8A46E">
      <w:pPr>
        <w:tabs>
          <w:tab w:val="left" w:pos="3261"/>
        </w:tabs>
        <w:spacing w:line="360" w:lineRule="auto"/>
        <w:rPr>
          <w:rFonts w:hint="eastAsia" w:ascii="宋体" w:hAnsi="宋体" w:cs="仿宋_GB2312"/>
          <w:b/>
          <w:sz w:val="44"/>
          <w:szCs w:val="44"/>
        </w:rPr>
      </w:pPr>
    </w:p>
    <w:p w14:paraId="74F91FCE">
      <w:pPr>
        <w:spacing w:before="340" w:after="330" w:line="576" w:lineRule="auto"/>
        <w:jc w:val="center"/>
        <w:outlineLvl w:val="0"/>
        <w:rPr>
          <w:rFonts w:hint="eastAsia" w:ascii="宋体" w:hAnsi="宋体" w:cs="仿宋_GB2312"/>
          <w:b/>
          <w:bCs/>
          <w:kern w:val="44"/>
          <w:sz w:val="44"/>
          <w:szCs w:val="44"/>
        </w:rPr>
      </w:pPr>
      <w:bookmarkStart w:id="75" w:name="_Toc179528728"/>
      <w:r>
        <w:rPr>
          <w:rFonts w:hint="eastAsia" w:ascii="宋体" w:hAnsi="宋体" w:cs="仿宋_GB2312"/>
          <w:bCs/>
          <w:kern w:val="44"/>
          <w:sz w:val="44"/>
          <w:szCs w:val="44"/>
        </w:rPr>
        <w:t>第七章 质疑、投诉材料格式</w:t>
      </w:r>
      <w:bookmarkEnd w:id="75"/>
    </w:p>
    <w:p w14:paraId="45FB913B">
      <w:pPr>
        <w:widowControl/>
        <w:spacing w:line="576" w:lineRule="auto"/>
        <w:jc w:val="center"/>
        <w:rPr>
          <w:rFonts w:ascii="宋体" w:hAnsi="宋体" w:cs="仿宋_GB2312"/>
          <w:b/>
          <w:bCs/>
          <w:kern w:val="44"/>
          <w:sz w:val="44"/>
          <w:szCs w:val="44"/>
        </w:rPr>
        <w:sectPr>
          <w:pgSz w:w="11910" w:h="16840"/>
          <w:pgMar w:top="1340" w:right="1500" w:bottom="280" w:left="1680" w:header="720" w:footer="720" w:gutter="0"/>
          <w:pgBorders>
            <w:top w:val="none" w:sz="0" w:space="0"/>
            <w:left w:val="none" w:sz="0" w:space="0"/>
            <w:bottom w:val="none" w:sz="0" w:space="0"/>
            <w:right w:val="none" w:sz="0" w:space="0"/>
          </w:pgBorders>
          <w:pgNumType w:fmt="decimal"/>
          <w:cols w:space="720" w:num="1"/>
        </w:sectPr>
      </w:pPr>
    </w:p>
    <w:p w14:paraId="0F1A0CB0">
      <w:pPr>
        <w:spacing w:line="360" w:lineRule="auto"/>
        <w:jc w:val="center"/>
        <w:rPr>
          <w:rFonts w:hint="eastAsia" w:ascii="宋体" w:hAnsi="宋体"/>
          <w:b/>
          <w:bCs/>
          <w:sz w:val="32"/>
          <w:szCs w:val="32"/>
        </w:rPr>
      </w:pPr>
      <w:r>
        <w:rPr>
          <w:rFonts w:hint="eastAsia" w:ascii="宋体" w:hAnsi="宋体"/>
          <w:b/>
          <w:bCs/>
          <w:sz w:val="32"/>
          <w:szCs w:val="32"/>
        </w:rPr>
        <w:t>质疑函（格式）</w:t>
      </w:r>
    </w:p>
    <w:p w14:paraId="051CCFBC">
      <w:pPr>
        <w:spacing w:line="360" w:lineRule="auto"/>
        <w:ind w:firstLine="482" w:firstLineChars="200"/>
        <w:rPr>
          <w:rFonts w:hint="eastAsia" w:ascii="等线" w:hAnsi="宋体"/>
          <w:b/>
          <w:bCs/>
          <w:sz w:val="24"/>
          <w:szCs w:val="24"/>
        </w:rPr>
      </w:pPr>
      <w:r>
        <w:rPr>
          <w:rFonts w:hint="eastAsia" w:hAnsi="宋体"/>
          <w:b/>
          <w:bCs/>
          <w:sz w:val="24"/>
          <w:szCs w:val="24"/>
        </w:rPr>
        <w:t>一、质疑供应商基本信息：</w:t>
      </w:r>
    </w:p>
    <w:p w14:paraId="2D865416">
      <w:pPr>
        <w:spacing w:line="360" w:lineRule="auto"/>
        <w:ind w:firstLine="480" w:firstLineChars="200"/>
        <w:rPr>
          <w:rFonts w:hint="eastAsia" w:hAnsi="宋体"/>
          <w:bCs/>
          <w:sz w:val="24"/>
          <w:szCs w:val="24"/>
          <w:u w:val="single"/>
        </w:rPr>
      </w:pPr>
      <w:r>
        <w:rPr>
          <w:rFonts w:hint="eastAsia" w:hAnsi="宋体"/>
          <w:bCs/>
          <w:sz w:val="24"/>
          <w:szCs w:val="24"/>
        </w:rPr>
        <w:t>质疑供应商：</w:t>
      </w:r>
      <w:r>
        <w:rPr>
          <w:rFonts w:hAnsi="宋体"/>
          <w:bCs/>
          <w:sz w:val="24"/>
          <w:szCs w:val="24"/>
          <w:u w:val="single"/>
        </w:rPr>
        <w:t xml:space="preserve">                                       </w:t>
      </w:r>
      <w:r>
        <w:rPr>
          <w:rFonts w:hAnsi="宋体"/>
          <w:bCs/>
          <w:sz w:val="24"/>
          <w:szCs w:val="24"/>
        </w:rPr>
        <w:t xml:space="preserve">                 </w:t>
      </w:r>
    </w:p>
    <w:p w14:paraId="4A26497F">
      <w:pPr>
        <w:spacing w:line="360" w:lineRule="auto"/>
        <w:ind w:firstLine="480" w:firstLineChars="200"/>
        <w:rPr>
          <w:rFonts w:hAnsi="宋体"/>
          <w:bCs/>
          <w:sz w:val="24"/>
          <w:szCs w:val="24"/>
        </w:rPr>
      </w:pPr>
      <w:r>
        <w:rPr>
          <w:rFonts w:hint="eastAsia" w:hAnsi="宋体"/>
          <w:bCs/>
          <w:sz w:val="24"/>
          <w:szCs w:val="24"/>
        </w:rPr>
        <w:t>地址：</w:t>
      </w:r>
      <w:r>
        <w:rPr>
          <w:rFonts w:hAnsi="宋体"/>
          <w:bCs/>
          <w:sz w:val="24"/>
          <w:szCs w:val="24"/>
          <w:u w:val="single"/>
        </w:rPr>
        <w:t xml:space="preserve">                                          </w:t>
      </w:r>
      <w:r>
        <w:rPr>
          <w:rFonts w:hint="eastAsia" w:hAnsi="宋体"/>
          <w:bCs/>
          <w:sz w:val="24"/>
          <w:szCs w:val="24"/>
        </w:rPr>
        <w:t>邮编：</w:t>
      </w:r>
      <w:r>
        <w:rPr>
          <w:rFonts w:hAnsi="宋体"/>
          <w:bCs/>
          <w:sz w:val="24"/>
          <w:szCs w:val="24"/>
          <w:u w:val="single"/>
        </w:rPr>
        <w:t xml:space="preserve">                  </w:t>
      </w:r>
      <w:r>
        <w:rPr>
          <w:rFonts w:hAnsi="宋体"/>
          <w:bCs/>
          <w:sz w:val="24"/>
          <w:szCs w:val="24"/>
        </w:rPr>
        <w:t xml:space="preserve">                 </w:t>
      </w:r>
    </w:p>
    <w:p w14:paraId="20B5649C">
      <w:pPr>
        <w:spacing w:line="360" w:lineRule="auto"/>
        <w:ind w:firstLine="480" w:firstLineChars="200"/>
        <w:rPr>
          <w:rFonts w:hAnsi="宋体"/>
          <w:bCs/>
          <w:sz w:val="24"/>
          <w:szCs w:val="24"/>
        </w:rPr>
      </w:pPr>
      <w:r>
        <w:rPr>
          <w:rFonts w:hint="eastAsia" w:hAnsi="宋体"/>
          <w:bCs/>
          <w:sz w:val="24"/>
          <w:szCs w:val="24"/>
        </w:rPr>
        <w:t>联系人：</w:t>
      </w:r>
      <w:r>
        <w:rPr>
          <w:rFonts w:hAnsi="宋体"/>
          <w:bCs/>
          <w:sz w:val="24"/>
          <w:szCs w:val="24"/>
          <w:u w:val="single"/>
        </w:rPr>
        <w:t xml:space="preserve">                     </w:t>
      </w:r>
      <w:r>
        <w:rPr>
          <w:rFonts w:hint="eastAsia" w:hAnsi="宋体"/>
          <w:bCs/>
          <w:sz w:val="24"/>
          <w:szCs w:val="24"/>
        </w:rPr>
        <w:t>联系电话：</w:t>
      </w:r>
      <w:r>
        <w:rPr>
          <w:rFonts w:hAnsi="宋体"/>
          <w:bCs/>
          <w:sz w:val="24"/>
          <w:szCs w:val="24"/>
          <w:u w:val="single"/>
        </w:rPr>
        <w:t xml:space="preserve">                 </w:t>
      </w:r>
    </w:p>
    <w:p w14:paraId="46038B5A">
      <w:pPr>
        <w:spacing w:line="360" w:lineRule="auto"/>
        <w:ind w:firstLine="480" w:firstLineChars="200"/>
        <w:rPr>
          <w:rFonts w:hAnsi="宋体"/>
          <w:bCs/>
          <w:sz w:val="24"/>
          <w:szCs w:val="24"/>
        </w:rPr>
      </w:pPr>
      <w:r>
        <w:rPr>
          <w:rFonts w:hint="eastAsia" w:hAnsi="宋体"/>
          <w:bCs/>
          <w:sz w:val="24"/>
          <w:szCs w:val="24"/>
        </w:rPr>
        <w:t>授权代表：</w:t>
      </w:r>
      <w:r>
        <w:rPr>
          <w:rFonts w:hAnsi="宋体"/>
          <w:bCs/>
          <w:sz w:val="24"/>
          <w:szCs w:val="24"/>
          <w:u w:val="single"/>
        </w:rPr>
        <w:t xml:space="preserve">                      </w:t>
      </w:r>
    </w:p>
    <w:p w14:paraId="55A4F07A">
      <w:pPr>
        <w:spacing w:line="360" w:lineRule="auto"/>
        <w:ind w:firstLine="480" w:firstLineChars="200"/>
        <w:rPr>
          <w:rFonts w:hAnsi="宋体"/>
          <w:bCs/>
          <w:sz w:val="24"/>
          <w:szCs w:val="24"/>
          <w:u w:val="single"/>
        </w:rPr>
      </w:pPr>
      <w:r>
        <w:rPr>
          <w:rFonts w:hint="eastAsia" w:hAnsi="宋体"/>
          <w:bCs/>
          <w:sz w:val="24"/>
          <w:szCs w:val="24"/>
        </w:rPr>
        <w:t>联系电话：</w:t>
      </w:r>
      <w:r>
        <w:rPr>
          <w:rFonts w:hAnsi="宋体"/>
          <w:bCs/>
          <w:sz w:val="24"/>
          <w:szCs w:val="24"/>
          <w:u w:val="single"/>
        </w:rPr>
        <w:t xml:space="preserve">                      </w:t>
      </w:r>
    </w:p>
    <w:p w14:paraId="03B7936E">
      <w:pPr>
        <w:spacing w:line="360" w:lineRule="auto"/>
        <w:ind w:firstLine="480" w:firstLineChars="200"/>
        <w:rPr>
          <w:rFonts w:hAnsi="宋体"/>
          <w:bCs/>
          <w:sz w:val="24"/>
          <w:szCs w:val="24"/>
        </w:rPr>
      </w:pPr>
      <w:r>
        <w:rPr>
          <w:rFonts w:hint="eastAsia" w:hAnsi="宋体"/>
          <w:bCs/>
          <w:sz w:val="24"/>
          <w:szCs w:val="24"/>
        </w:rPr>
        <w:t>地址：</w:t>
      </w:r>
      <w:r>
        <w:rPr>
          <w:rFonts w:hAnsi="宋体"/>
          <w:bCs/>
          <w:sz w:val="24"/>
          <w:szCs w:val="24"/>
          <w:u w:val="single"/>
        </w:rPr>
        <w:t xml:space="preserve">                 </w:t>
      </w:r>
      <w:r>
        <w:rPr>
          <w:rFonts w:hint="eastAsia" w:hAnsi="宋体"/>
          <w:bCs/>
          <w:sz w:val="24"/>
          <w:szCs w:val="24"/>
        </w:rPr>
        <w:t>邮编：</w:t>
      </w:r>
      <w:r>
        <w:rPr>
          <w:rFonts w:hAnsi="宋体"/>
          <w:bCs/>
          <w:sz w:val="24"/>
          <w:szCs w:val="24"/>
          <w:u w:val="single"/>
        </w:rPr>
        <w:t xml:space="preserve">                  </w:t>
      </w:r>
      <w:r>
        <w:rPr>
          <w:rFonts w:hAnsi="宋体"/>
          <w:bCs/>
          <w:sz w:val="24"/>
          <w:szCs w:val="24"/>
        </w:rPr>
        <w:t xml:space="preserve">     </w:t>
      </w:r>
    </w:p>
    <w:p w14:paraId="6D121D73">
      <w:pPr>
        <w:spacing w:line="360" w:lineRule="auto"/>
        <w:ind w:firstLine="482" w:firstLineChars="200"/>
        <w:rPr>
          <w:rFonts w:hAnsi="宋体"/>
          <w:b/>
          <w:bCs/>
          <w:sz w:val="24"/>
          <w:szCs w:val="24"/>
        </w:rPr>
      </w:pPr>
      <w:r>
        <w:rPr>
          <w:rFonts w:hint="eastAsia" w:hAnsi="宋体"/>
          <w:b/>
          <w:bCs/>
          <w:sz w:val="24"/>
          <w:szCs w:val="24"/>
        </w:rPr>
        <w:t>二、质疑项目基本情况：</w:t>
      </w:r>
    </w:p>
    <w:p w14:paraId="5D01F57F">
      <w:pPr>
        <w:spacing w:line="360" w:lineRule="auto"/>
        <w:ind w:left="25" w:leftChars="12" w:firstLine="472" w:firstLineChars="197"/>
        <w:contextualSpacing/>
        <w:rPr>
          <w:rFonts w:hAnsi="宋体"/>
          <w:sz w:val="24"/>
          <w:szCs w:val="24"/>
        </w:rPr>
      </w:pPr>
      <w:r>
        <w:rPr>
          <w:rFonts w:hint="eastAsia" w:hAnsi="宋体"/>
          <w:bCs/>
          <w:sz w:val="24"/>
          <w:szCs w:val="24"/>
        </w:rPr>
        <w:t>质疑</w:t>
      </w:r>
      <w:r>
        <w:rPr>
          <w:rFonts w:hint="eastAsia" w:hAnsi="宋体"/>
          <w:sz w:val="24"/>
          <w:szCs w:val="24"/>
        </w:rPr>
        <w:t>项目的名称：</w:t>
      </w:r>
      <w:r>
        <w:rPr>
          <w:rFonts w:hAnsi="宋体"/>
          <w:bCs/>
          <w:sz w:val="24"/>
          <w:szCs w:val="24"/>
          <w:u w:val="single"/>
        </w:rPr>
        <w:t xml:space="preserve">  </w:t>
      </w:r>
      <w:r>
        <w:rPr>
          <w:rFonts w:hint="eastAsia" w:hAnsi="宋体"/>
          <w:bCs/>
          <w:sz w:val="24"/>
          <w:szCs w:val="24"/>
          <w:u w:val="single"/>
          <w:lang w:eastAsia="zh-CN"/>
        </w:rPr>
        <w:t>2026年上林县幼儿园设备采购项目（重）</w:t>
      </w:r>
      <w:r>
        <w:rPr>
          <w:rFonts w:hAnsi="宋体"/>
          <w:bCs/>
          <w:sz w:val="24"/>
          <w:szCs w:val="24"/>
          <w:u w:val="single"/>
        </w:rPr>
        <w:t xml:space="preserve"> </w:t>
      </w:r>
    </w:p>
    <w:p w14:paraId="6EFE10DB">
      <w:pPr>
        <w:spacing w:line="360" w:lineRule="auto"/>
        <w:ind w:left="25" w:leftChars="12" w:firstLine="472" w:firstLineChars="197"/>
        <w:contextualSpacing/>
        <w:rPr>
          <w:rFonts w:hAnsi="宋体"/>
          <w:sz w:val="24"/>
          <w:szCs w:val="24"/>
        </w:rPr>
      </w:pPr>
      <w:r>
        <w:rPr>
          <w:rFonts w:hint="eastAsia" w:hAnsi="宋体"/>
          <w:bCs/>
          <w:sz w:val="24"/>
          <w:szCs w:val="24"/>
        </w:rPr>
        <w:t>质疑</w:t>
      </w:r>
      <w:r>
        <w:rPr>
          <w:rFonts w:hint="eastAsia" w:hAnsi="宋体"/>
          <w:sz w:val="24"/>
          <w:szCs w:val="24"/>
        </w:rPr>
        <w:t>项目的编号：</w:t>
      </w:r>
      <w:r>
        <w:rPr>
          <w:rFonts w:hint="eastAsia" w:hAnsi="宋体"/>
          <w:bCs/>
          <w:sz w:val="24"/>
          <w:szCs w:val="24"/>
          <w:u w:val="single"/>
          <w:lang w:eastAsia="zh-CN"/>
        </w:rPr>
        <w:t xml:space="preserve"> NNZC2026-J1-250095-SLXZ</w:t>
      </w:r>
      <w:r>
        <w:rPr>
          <w:rFonts w:hAnsi="宋体"/>
          <w:bCs/>
          <w:sz w:val="24"/>
          <w:szCs w:val="24"/>
          <w:u w:val="single"/>
        </w:rPr>
        <w:t xml:space="preserve"> </w:t>
      </w:r>
    </w:p>
    <w:p w14:paraId="1203A4B9">
      <w:pPr>
        <w:spacing w:line="360" w:lineRule="auto"/>
        <w:ind w:left="25" w:leftChars="12" w:firstLine="472" w:firstLineChars="197"/>
        <w:contextualSpacing/>
        <w:rPr>
          <w:rFonts w:hAnsi="宋体"/>
          <w:sz w:val="24"/>
          <w:szCs w:val="24"/>
        </w:rPr>
      </w:pPr>
      <w:r>
        <w:rPr>
          <w:rFonts w:hint="eastAsia" w:hAnsi="宋体"/>
          <w:sz w:val="24"/>
          <w:szCs w:val="24"/>
        </w:rPr>
        <w:t>采购人名称：</w:t>
      </w:r>
      <w:r>
        <w:rPr>
          <w:rFonts w:hAnsi="宋体"/>
          <w:bCs/>
          <w:sz w:val="24"/>
          <w:szCs w:val="24"/>
          <w:u w:val="single"/>
        </w:rPr>
        <w:t xml:space="preserve">  </w:t>
      </w:r>
      <w:r>
        <w:rPr>
          <w:rFonts w:hint="eastAsia" w:hAnsi="宋体"/>
          <w:bCs/>
          <w:sz w:val="24"/>
          <w:szCs w:val="24"/>
          <w:u w:val="single"/>
          <w:lang w:eastAsia="zh-CN"/>
        </w:rPr>
        <w:t>上林县教育局</w:t>
      </w:r>
      <w:r>
        <w:rPr>
          <w:rFonts w:hAnsi="宋体"/>
          <w:bCs/>
          <w:sz w:val="24"/>
          <w:szCs w:val="24"/>
          <w:u w:val="single"/>
        </w:rPr>
        <w:t xml:space="preserve"> </w:t>
      </w:r>
    </w:p>
    <w:p w14:paraId="2821053E">
      <w:pPr>
        <w:spacing w:line="360" w:lineRule="auto"/>
        <w:ind w:left="25" w:leftChars="12" w:firstLine="472" w:firstLineChars="197"/>
        <w:contextualSpacing/>
        <w:rPr>
          <w:rFonts w:hAnsi="宋体"/>
          <w:sz w:val="24"/>
          <w:szCs w:val="24"/>
        </w:rPr>
      </w:pPr>
      <w:r>
        <w:rPr>
          <w:rFonts w:hint="eastAsia" w:hAnsi="宋体"/>
          <w:sz w:val="24"/>
          <w:szCs w:val="24"/>
        </w:rPr>
        <w:t>质疑事项：</w:t>
      </w:r>
    </w:p>
    <w:p w14:paraId="2D462554">
      <w:pPr>
        <w:spacing w:line="360" w:lineRule="auto"/>
        <w:ind w:left="25" w:leftChars="12" w:firstLine="352" w:firstLineChars="147"/>
        <w:contextualSpacing/>
        <w:rPr>
          <w:rFonts w:hAnsi="宋体"/>
          <w:sz w:val="24"/>
          <w:szCs w:val="24"/>
        </w:rPr>
      </w:pPr>
      <w:r>
        <w:rPr>
          <w:rFonts w:hint="eastAsia" w:hAnsi="宋体"/>
          <w:sz w:val="24"/>
          <w:szCs w:val="24"/>
        </w:rPr>
        <w:t>□采购文件</w:t>
      </w:r>
      <w:r>
        <w:rPr>
          <w:rFonts w:hAnsi="宋体"/>
          <w:sz w:val="24"/>
          <w:szCs w:val="24"/>
        </w:rPr>
        <w:t xml:space="preserve">   </w:t>
      </w:r>
      <w:r>
        <w:rPr>
          <w:rFonts w:hint="eastAsia" w:hAnsi="宋体"/>
          <w:sz w:val="24"/>
          <w:szCs w:val="24"/>
        </w:rPr>
        <w:t>采购文件获取日期：</w:t>
      </w:r>
      <w:r>
        <w:rPr>
          <w:rFonts w:hAnsi="宋体"/>
          <w:bCs/>
          <w:sz w:val="24"/>
          <w:szCs w:val="24"/>
          <w:u w:val="single"/>
        </w:rPr>
        <w:t xml:space="preserve">                                   </w:t>
      </w:r>
    </w:p>
    <w:p w14:paraId="3D563591">
      <w:pPr>
        <w:spacing w:line="360" w:lineRule="auto"/>
        <w:ind w:left="25" w:leftChars="12" w:firstLine="352" w:firstLineChars="147"/>
        <w:contextualSpacing/>
        <w:rPr>
          <w:rFonts w:hAnsi="宋体"/>
          <w:sz w:val="24"/>
          <w:szCs w:val="24"/>
        </w:rPr>
      </w:pPr>
      <w:r>
        <w:rPr>
          <w:rFonts w:hint="eastAsia" w:hAnsi="宋体"/>
          <w:sz w:val="24"/>
          <w:szCs w:val="24"/>
        </w:rPr>
        <w:t>□采购过程</w:t>
      </w:r>
      <w:r>
        <w:rPr>
          <w:rFonts w:hAnsi="宋体"/>
          <w:sz w:val="24"/>
          <w:szCs w:val="24"/>
        </w:rPr>
        <w:t xml:space="preserve">   </w:t>
      </w:r>
    </w:p>
    <w:p w14:paraId="5320F082">
      <w:pPr>
        <w:spacing w:line="360" w:lineRule="auto"/>
        <w:ind w:left="25" w:leftChars="12" w:firstLine="352" w:firstLineChars="147"/>
        <w:contextualSpacing/>
        <w:rPr>
          <w:rFonts w:hAnsi="宋体"/>
          <w:bCs/>
          <w:sz w:val="24"/>
          <w:szCs w:val="24"/>
          <w:u w:val="single"/>
        </w:rPr>
      </w:pPr>
      <w:r>
        <w:rPr>
          <w:rFonts w:hint="eastAsia" w:hAnsi="宋体"/>
          <w:sz w:val="24"/>
          <w:szCs w:val="24"/>
        </w:rPr>
        <w:t>□成交结果</w:t>
      </w:r>
      <w:r>
        <w:rPr>
          <w:rFonts w:hAnsi="宋体"/>
          <w:sz w:val="24"/>
          <w:szCs w:val="24"/>
        </w:rPr>
        <w:t xml:space="preserve">   </w:t>
      </w:r>
    </w:p>
    <w:p w14:paraId="05B989C6">
      <w:pPr>
        <w:spacing w:line="360" w:lineRule="auto"/>
        <w:ind w:left="25" w:leftChars="12" w:firstLine="472" w:firstLineChars="196"/>
        <w:contextualSpacing/>
        <w:rPr>
          <w:rFonts w:hAnsi="宋体"/>
          <w:b/>
          <w:sz w:val="24"/>
          <w:szCs w:val="24"/>
        </w:rPr>
      </w:pPr>
      <w:r>
        <w:rPr>
          <w:rFonts w:hint="eastAsia" w:hAnsi="宋体"/>
          <w:b/>
          <w:sz w:val="24"/>
          <w:szCs w:val="24"/>
        </w:rPr>
        <w:t>三、质疑事项具体内容</w:t>
      </w:r>
    </w:p>
    <w:p w14:paraId="5D65E164">
      <w:pPr>
        <w:spacing w:line="360" w:lineRule="auto"/>
        <w:ind w:left="25" w:leftChars="12" w:firstLine="472" w:firstLineChars="197"/>
        <w:contextualSpacing/>
        <w:rPr>
          <w:rFonts w:hAnsi="宋体"/>
          <w:sz w:val="24"/>
          <w:szCs w:val="24"/>
        </w:rPr>
      </w:pPr>
      <w:r>
        <w:rPr>
          <w:rFonts w:hint="eastAsia" w:hAnsi="宋体"/>
          <w:sz w:val="24"/>
          <w:szCs w:val="24"/>
        </w:rPr>
        <w:t>质疑事项</w:t>
      </w:r>
      <w:r>
        <w:rPr>
          <w:rFonts w:hAnsi="宋体"/>
          <w:sz w:val="24"/>
          <w:szCs w:val="24"/>
        </w:rPr>
        <w:t>1</w:t>
      </w:r>
      <w:r>
        <w:rPr>
          <w:rFonts w:hint="eastAsia" w:hAnsi="宋体"/>
          <w:sz w:val="24"/>
          <w:szCs w:val="24"/>
        </w:rPr>
        <w:t>：</w:t>
      </w:r>
      <w:r>
        <w:rPr>
          <w:rFonts w:hAnsi="宋体"/>
          <w:bCs/>
          <w:sz w:val="24"/>
          <w:szCs w:val="24"/>
          <w:u w:val="single"/>
        </w:rPr>
        <w:t xml:space="preserve">                                                                    </w:t>
      </w:r>
    </w:p>
    <w:p w14:paraId="63E208AA">
      <w:pPr>
        <w:spacing w:line="360" w:lineRule="auto"/>
        <w:ind w:left="25" w:leftChars="12" w:firstLine="472" w:firstLineChars="197"/>
        <w:contextualSpacing/>
        <w:rPr>
          <w:rFonts w:hAnsi="宋体"/>
          <w:sz w:val="24"/>
          <w:szCs w:val="24"/>
        </w:rPr>
      </w:pPr>
      <w:r>
        <w:rPr>
          <w:rFonts w:hint="eastAsia" w:hAnsi="宋体"/>
          <w:sz w:val="24"/>
          <w:szCs w:val="24"/>
        </w:rPr>
        <w:t>事实依据：</w:t>
      </w:r>
      <w:r>
        <w:rPr>
          <w:rFonts w:hAnsi="宋体"/>
          <w:bCs/>
          <w:sz w:val="24"/>
          <w:szCs w:val="24"/>
          <w:u w:val="single"/>
        </w:rPr>
        <w:t xml:space="preserve">                                                                      </w:t>
      </w:r>
    </w:p>
    <w:p w14:paraId="3CAED7A4">
      <w:pPr>
        <w:spacing w:line="360" w:lineRule="auto"/>
        <w:ind w:left="25" w:leftChars="12" w:firstLine="472" w:firstLineChars="197"/>
        <w:contextualSpacing/>
        <w:rPr>
          <w:rFonts w:hAnsi="宋体"/>
          <w:sz w:val="24"/>
          <w:szCs w:val="24"/>
        </w:rPr>
      </w:pPr>
      <w:r>
        <w:rPr>
          <w:rFonts w:hint="eastAsia" w:hAnsi="宋体"/>
          <w:sz w:val="24"/>
          <w:szCs w:val="24"/>
        </w:rPr>
        <w:t>法律依据：</w:t>
      </w:r>
      <w:r>
        <w:rPr>
          <w:rFonts w:hAnsi="宋体"/>
          <w:sz w:val="24"/>
          <w:szCs w:val="24"/>
          <w:u w:val="single"/>
        </w:rPr>
        <w:t xml:space="preserve">                                                        </w:t>
      </w:r>
      <w:r>
        <w:rPr>
          <w:rFonts w:hAnsi="宋体"/>
          <w:bCs/>
          <w:sz w:val="24"/>
          <w:szCs w:val="24"/>
          <w:u w:val="single"/>
        </w:rPr>
        <w:t xml:space="preserve">               </w:t>
      </w:r>
    </w:p>
    <w:p w14:paraId="7E312B44">
      <w:pPr>
        <w:spacing w:line="360" w:lineRule="auto"/>
        <w:ind w:left="25" w:leftChars="12" w:firstLine="472" w:firstLineChars="197"/>
        <w:contextualSpacing/>
        <w:rPr>
          <w:rFonts w:hAnsi="宋体"/>
          <w:sz w:val="24"/>
          <w:szCs w:val="24"/>
        </w:rPr>
      </w:pPr>
      <w:r>
        <w:rPr>
          <w:rFonts w:hint="eastAsia" w:hAnsi="宋体"/>
          <w:sz w:val="24"/>
          <w:szCs w:val="24"/>
        </w:rPr>
        <w:t>质疑事项</w:t>
      </w:r>
      <w:r>
        <w:rPr>
          <w:rFonts w:hAnsi="宋体"/>
          <w:sz w:val="24"/>
          <w:szCs w:val="24"/>
        </w:rPr>
        <w:t>2</w:t>
      </w:r>
    </w:p>
    <w:p w14:paraId="6F74720D">
      <w:pPr>
        <w:spacing w:line="360" w:lineRule="auto"/>
        <w:ind w:left="25" w:leftChars="12" w:firstLine="472" w:firstLineChars="197"/>
        <w:contextualSpacing/>
        <w:rPr>
          <w:rFonts w:hAnsi="宋体"/>
          <w:sz w:val="24"/>
          <w:szCs w:val="24"/>
        </w:rPr>
      </w:pPr>
      <w:r>
        <w:rPr>
          <w:rFonts w:hint="eastAsia" w:hAnsi="宋体"/>
          <w:sz w:val="24"/>
          <w:szCs w:val="24"/>
        </w:rPr>
        <w:t>……</w:t>
      </w:r>
    </w:p>
    <w:p w14:paraId="113B1338">
      <w:pPr>
        <w:spacing w:line="360" w:lineRule="auto"/>
        <w:ind w:left="25" w:leftChars="12" w:firstLine="472" w:firstLineChars="197"/>
        <w:contextualSpacing/>
        <w:rPr>
          <w:rFonts w:hAnsi="宋体"/>
          <w:sz w:val="24"/>
          <w:szCs w:val="24"/>
        </w:rPr>
      </w:pPr>
      <w:r>
        <w:rPr>
          <w:rFonts w:hint="eastAsia" w:hAnsi="宋体"/>
          <w:sz w:val="24"/>
          <w:szCs w:val="24"/>
        </w:rPr>
        <w:t>四、与质疑事项相关的质疑请求：</w:t>
      </w:r>
    </w:p>
    <w:p w14:paraId="1D011164">
      <w:pPr>
        <w:spacing w:line="360" w:lineRule="auto"/>
        <w:ind w:left="25" w:leftChars="12" w:firstLine="472" w:firstLineChars="197"/>
        <w:contextualSpacing/>
        <w:rPr>
          <w:rFonts w:hAnsi="宋体"/>
          <w:sz w:val="24"/>
          <w:szCs w:val="24"/>
        </w:rPr>
      </w:pPr>
      <w:r>
        <w:rPr>
          <w:rFonts w:hint="eastAsia" w:hAnsi="宋体"/>
          <w:sz w:val="24"/>
          <w:szCs w:val="24"/>
        </w:rPr>
        <w:t>请求：</w:t>
      </w:r>
      <w:r>
        <w:rPr>
          <w:rFonts w:hAnsi="宋体"/>
          <w:bCs/>
          <w:sz w:val="24"/>
          <w:szCs w:val="24"/>
          <w:u w:val="single"/>
        </w:rPr>
        <w:t xml:space="preserve">                                                                </w:t>
      </w:r>
    </w:p>
    <w:p w14:paraId="20640F06">
      <w:pPr>
        <w:spacing w:line="360" w:lineRule="auto"/>
        <w:ind w:left="25" w:leftChars="12" w:firstLine="352" w:firstLineChars="147"/>
        <w:contextualSpacing/>
        <w:rPr>
          <w:rFonts w:hAnsi="宋体"/>
          <w:sz w:val="24"/>
          <w:szCs w:val="24"/>
        </w:rPr>
      </w:pPr>
    </w:p>
    <w:p w14:paraId="711D3575">
      <w:pPr>
        <w:spacing w:line="360" w:lineRule="auto"/>
        <w:ind w:left="25" w:leftChars="12" w:firstLine="472" w:firstLineChars="197"/>
        <w:contextualSpacing/>
        <w:rPr>
          <w:rFonts w:hAnsi="宋体"/>
          <w:sz w:val="24"/>
          <w:szCs w:val="24"/>
        </w:rPr>
      </w:pPr>
      <w:r>
        <w:rPr>
          <w:rFonts w:hint="eastAsia" w:hAnsi="宋体"/>
          <w:sz w:val="24"/>
          <w:szCs w:val="24"/>
        </w:rPr>
        <w:t>签字（签章）：</w:t>
      </w:r>
      <w:r>
        <w:rPr>
          <w:rFonts w:hAnsi="宋体"/>
          <w:sz w:val="24"/>
          <w:szCs w:val="24"/>
        </w:rPr>
        <w:t xml:space="preserve">                                       </w:t>
      </w:r>
      <w:r>
        <w:rPr>
          <w:rFonts w:hint="eastAsia" w:hAnsi="宋体"/>
          <w:sz w:val="24"/>
          <w:szCs w:val="24"/>
        </w:rPr>
        <w:t>公章：</w:t>
      </w:r>
    </w:p>
    <w:p w14:paraId="2C6717BC">
      <w:pPr>
        <w:spacing w:line="360" w:lineRule="auto"/>
        <w:ind w:left="25" w:leftChars="12" w:firstLine="352" w:firstLineChars="147"/>
        <w:contextualSpacing/>
        <w:rPr>
          <w:rFonts w:hAnsi="宋体"/>
          <w:sz w:val="24"/>
          <w:szCs w:val="24"/>
        </w:rPr>
      </w:pPr>
    </w:p>
    <w:p w14:paraId="23F019FA">
      <w:pPr>
        <w:spacing w:line="360" w:lineRule="auto"/>
        <w:ind w:left="25" w:leftChars="12" w:firstLine="472" w:firstLineChars="197"/>
        <w:contextualSpacing/>
        <w:rPr>
          <w:rFonts w:hAnsi="宋体"/>
          <w:sz w:val="24"/>
          <w:szCs w:val="24"/>
        </w:rPr>
      </w:pPr>
      <w:r>
        <w:rPr>
          <w:rFonts w:hint="eastAsia" w:hAnsi="宋体"/>
          <w:sz w:val="24"/>
          <w:szCs w:val="24"/>
        </w:rPr>
        <w:t>日期：</w:t>
      </w:r>
    </w:p>
    <w:p w14:paraId="1CDDB08A">
      <w:pPr>
        <w:spacing w:line="360" w:lineRule="auto"/>
        <w:ind w:firstLine="482"/>
        <w:rPr>
          <w:rFonts w:hAnsi="宋体"/>
          <w:b/>
          <w:sz w:val="24"/>
          <w:szCs w:val="24"/>
        </w:rPr>
      </w:pPr>
    </w:p>
    <w:p w14:paraId="0FFAE88B">
      <w:pPr>
        <w:spacing w:line="360" w:lineRule="auto"/>
        <w:ind w:firstLine="482"/>
        <w:rPr>
          <w:rFonts w:hAnsi="宋体"/>
          <w:b/>
          <w:sz w:val="24"/>
          <w:szCs w:val="24"/>
        </w:rPr>
      </w:pPr>
    </w:p>
    <w:p w14:paraId="268BB787">
      <w:pPr>
        <w:spacing w:line="360" w:lineRule="auto"/>
        <w:ind w:firstLine="482"/>
        <w:rPr>
          <w:rFonts w:hAnsi="宋体"/>
          <w:b/>
          <w:sz w:val="24"/>
          <w:szCs w:val="24"/>
        </w:rPr>
      </w:pPr>
      <w:r>
        <w:rPr>
          <w:rFonts w:hint="eastAsia" w:hAnsi="宋体"/>
          <w:b/>
          <w:sz w:val="24"/>
          <w:szCs w:val="24"/>
        </w:rPr>
        <w:t>说明：</w:t>
      </w:r>
    </w:p>
    <w:p w14:paraId="23784CB2">
      <w:pPr>
        <w:spacing w:line="360" w:lineRule="auto"/>
        <w:ind w:left="25" w:leftChars="12" w:firstLine="354" w:firstLineChars="147"/>
        <w:contextualSpacing/>
        <w:rPr>
          <w:rFonts w:hAnsi="宋体"/>
          <w:b/>
          <w:bCs/>
          <w:sz w:val="24"/>
          <w:szCs w:val="24"/>
        </w:rPr>
      </w:pPr>
      <w:r>
        <w:rPr>
          <w:rFonts w:hAnsi="宋体"/>
          <w:b/>
          <w:sz w:val="24"/>
          <w:szCs w:val="24"/>
        </w:rPr>
        <w:t>1.</w:t>
      </w:r>
      <w:r>
        <w:rPr>
          <w:rFonts w:hint="eastAsia" w:hAnsi="宋体"/>
          <w:b/>
          <w:sz w:val="24"/>
          <w:szCs w:val="24"/>
        </w:rPr>
        <w:t>供应商提出质疑时，应提交质疑函和必要的证明材料</w:t>
      </w:r>
      <w:r>
        <w:rPr>
          <w:rFonts w:hint="eastAsia" w:hAnsi="宋体"/>
          <w:b/>
          <w:bCs/>
          <w:sz w:val="24"/>
          <w:szCs w:val="24"/>
        </w:rPr>
        <w:t>。</w:t>
      </w:r>
    </w:p>
    <w:p w14:paraId="5F3C171D">
      <w:pPr>
        <w:spacing w:line="360" w:lineRule="auto"/>
        <w:ind w:left="25" w:leftChars="12" w:firstLine="354" w:firstLineChars="147"/>
        <w:contextualSpacing/>
        <w:rPr>
          <w:rFonts w:hAnsi="宋体"/>
          <w:b/>
          <w:sz w:val="24"/>
          <w:szCs w:val="24"/>
        </w:rPr>
      </w:pPr>
      <w:r>
        <w:rPr>
          <w:rFonts w:hAnsi="宋体"/>
          <w:b/>
          <w:sz w:val="24"/>
          <w:szCs w:val="24"/>
        </w:rPr>
        <w:t>2.</w:t>
      </w:r>
      <w:r>
        <w:rPr>
          <w:rFonts w:hint="eastAsia" w:hAnsi="宋体"/>
          <w:b/>
          <w:sz w:val="24"/>
          <w:szCs w:val="24"/>
        </w:rPr>
        <w:t>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B008C2A">
      <w:pPr>
        <w:spacing w:line="360" w:lineRule="auto"/>
        <w:ind w:left="25" w:leftChars="12" w:firstLine="354" w:firstLineChars="147"/>
        <w:contextualSpacing/>
        <w:rPr>
          <w:rFonts w:hAnsi="宋体"/>
          <w:b/>
          <w:sz w:val="24"/>
          <w:szCs w:val="24"/>
        </w:rPr>
      </w:pPr>
      <w:r>
        <w:rPr>
          <w:rFonts w:hAnsi="宋体"/>
          <w:b/>
          <w:sz w:val="24"/>
          <w:szCs w:val="24"/>
        </w:rPr>
        <w:t>3.</w:t>
      </w:r>
      <w:r>
        <w:rPr>
          <w:rFonts w:hint="eastAsia" w:hAnsi="宋体"/>
          <w:b/>
          <w:sz w:val="24"/>
          <w:szCs w:val="24"/>
        </w:rPr>
        <w:t>质疑函的质疑事项应具体、明确，并有必要的事实依据和法律依据。</w:t>
      </w:r>
    </w:p>
    <w:p w14:paraId="52ABE6D4">
      <w:pPr>
        <w:spacing w:line="360" w:lineRule="auto"/>
        <w:ind w:left="25" w:leftChars="12" w:firstLine="354" w:firstLineChars="147"/>
        <w:contextualSpacing/>
        <w:rPr>
          <w:rFonts w:hAnsi="宋体"/>
          <w:b/>
          <w:sz w:val="24"/>
          <w:szCs w:val="24"/>
        </w:rPr>
      </w:pPr>
      <w:r>
        <w:rPr>
          <w:rFonts w:hAnsi="宋体"/>
          <w:b/>
          <w:sz w:val="24"/>
          <w:szCs w:val="24"/>
        </w:rPr>
        <w:t>4.</w:t>
      </w:r>
      <w:r>
        <w:rPr>
          <w:rFonts w:hint="eastAsia" w:hAnsi="宋体"/>
          <w:b/>
          <w:sz w:val="24"/>
          <w:szCs w:val="24"/>
        </w:rPr>
        <w:t>质疑函的质疑请求应与质疑事项相关。</w:t>
      </w:r>
    </w:p>
    <w:p w14:paraId="303A803D">
      <w:pPr>
        <w:spacing w:line="360" w:lineRule="auto"/>
        <w:ind w:left="25" w:leftChars="12" w:firstLine="354" w:firstLineChars="147"/>
        <w:contextualSpacing/>
        <w:rPr>
          <w:rFonts w:hAnsi="宋体"/>
          <w:b/>
        </w:rPr>
      </w:pPr>
      <w:r>
        <w:rPr>
          <w:rFonts w:hAnsi="宋体"/>
          <w:b/>
          <w:sz w:val="24"/>
          <w:szCs w:val="24"/>
        </w:rPr>
        <w:t>5.</w:t>
      </w:r>
      <w:r>
        <w:rPr>
          <w:rFonts w:hint="eastAsia" w:hAnsi="宋体"/>
          <w:b/>
          <w:sz w:val="24"/>
          <w:szCs w:val="24"/>
        </w:rPr>
        <w:t>质疑供应商为法人或者其他组织的，质疑函应由法定代表人、主要负责人，或者其授权代表签字或者盖章，并加盖公章。</w:t>
      </w:r>
    </w:p>
    <w:p w14:paraId="11470B93">
      <w:pPr>
        <w:snapToGrid w:val="0"/>
        <w:ind w:firstLine="482"/>
        <w:rPr>
          <w:rFonts w:hAnsi="等线"/>
          <w:b/>
          <w:sz w:val="24"/>
          <w:szCs w:val="24"/>
        </w:rPr>
      </w:pPr>
    </w:p>
    <w:p w14:paraId="74768B94">
      <w:pPr>
        <w:spacing w:line="460" w:lineRule="exact"/>
        <w:jc w:val="center"/>
        <w:rPr>
          <w:rFonts w:eastAsia="隶书"/>
          <w:sz w:val="44"/>
        </w:rPr>
      </w:pPr>
      <w:r>
        <w:rPr>
          <w:rFonts w:eastAsia="隶书"/>
          <w:kern w:val="0"/>
          <w:sz w:val="44"/>
          <w:szCs w:val="24"/>
        </w:rPr>
        <w:br w:type="page"/>
      </w:r>
    </w:p>
    <w:p w14:paraId="2B6F4C52">
      <w:pPr>
        <w:spacing w:line="360" w:lineRule="auto"/>
        <w:jc w:val="center"/>
        <w:rPr>
          <w:rFonts w:ascii="宋体" w:hAnsi="宋体" w:eastAsia="等线"/>
          <w:b/>
          <w:bCs/>
          <w:sz w:val="32"/>
          <w:szCs w:val="32"/>
        </w:rPr>
      </w:pPr>
      <w:r>
        <w:rPr>
          <w:rFonts w:hint="eastAsia" w:ascii="宋体" w:hAnsi="宋体"/>
          <w:b/>
          <w:bCs/>
          <w:sz w:val="32"/>
          <w:szCs w:val="32"/>
        </w:rPr>
        <w:t>投诉书（格式）</w:t>
      </w:r>
    </w:p>
    <w:p w14:paraId="3BBC78CB">
      <w:pPr>
        <w:snapToGrid w:val="0"/>
        <w:spacing w:line="360" w:lineRule="auto"/>
        <w:ind w:firstLine="482" w:firstLineChars="200"/>
        <w:rPr>
          <w:rFonts w:hint="eastAsia" w:ascii="等线" w:hAnsi="宋体"/>
          <w:b/>
          <w:bCs/>
          <w:sz w:val="24"/>
          <w:szCs w:val="24"/>
        </w:rPr>
      </w:pPr>
      <w:r>
        <w:rPr>
          <w:rFonts w:hint="eastAsia" w:hAnsi="宋体"/>
          <w:b/>
          <w:bCs/>
          <w:sz w:val="24"/>
          <w:szCs w:val="24"/>
        </w:rPr>
        <w:t>一、投诉相关主体基本情况：</w:t>
      </w:r>
    </w:p>
    <w:p w14:paraId="6E53EACA">
      <w:pPr>
        <w:snapToGrid w:val="0"/>
        <w:spacing w:line="360" w:lineRule="auto"/>
        <w:ind w:firstLine="480" w:firstLineChars="200"/>
        <w:rPr>
          <w:rFonts w:hint="eastAsia" w:hAnsi="宋体"/>
          <w:bCs/>
          <w:sz w:val="24"/>
          <w:szCs w:val="24"/>
          <w:u w:val="single"/>
        </w:rPr>
      </w:pPr>
      <w:r>
        <w:rPr>
          <w:rFonts w:hint="eastAsia" w:hAnsi="宋体"/>
          <w:bCs/>
          <w:sz w:val="24"/>
          <w:szCs w:val="24"/>
        </w:rPr>
        <w:t>供应商：</w:t>
      </w:r>
      <w:r>
        <w:rPr>
          <w:rFonts w:hAnsi="宋体"/>
          <w:bCs/>
          <w:sz w:val="24"/>
          <w:szCs w:val="24"/>
          <w:u w:val="single"/>
        </w:rPr>
        <w:t xml:space="preserve">                                                                        </w:t>
      </w:r>
      <w:r>
        <w:rPr>
          <w:rFonts w:hAnsi="宋体"/>
          <w:bCs/>
          <w:sz w:val="24"/>
          <w:szCs w:val="24"/>
        </w:rPr>
        <w:t xml:space="preserve">                 </w:t>
      </w:r>
    </w:p>
    <w:p w14:paraId="2E179F12">
      <w:pPr>
        <w:snapToGrid w:val="0"/>
        <w:spacing w:line="360" w:lineRule="auto"/>
        <w:ind w:firstLine="480" w:firstLineChars="200"/>
        <w:rPr>
          <w:rFonts w:hAnsi="宋体"/>
          <w:bCs/>
          <w:sz w:val="24"/>
          <w:szCs w:val="24"/>
        </w:rPr>
      </w:pPr>
      <w:r>
        <w:rPr>
          <w:rFonts w:hint="eastAsia" w:hAnsi="宋体"/>
          <w:bCs/>
          <w:sz w:val="24"/>
          <w:szCs w:val="24"/>
        </w:rPr>
        <w:t>地址：</w:t>
      </w:r>
      <w:r>
        <w:rPr>
          <w:rFonts w:hAnsi="宋体"/>
          <w:bCs/>
          <w:sz w:val="24"/>
          <w:szCs w:val="24"/>
          <w:u w:val="single"/>
        </w:rPr>
        <w:t xml:space="preserve">                                          </w:t>
      </w:r>
      <w:r>
        <w:rPr>
          <w:rFonts w:hint="eastAsia" w:hAnsi="宋体"/>
          <w:bCs/>
          <w:sz w:val="24"/>
          <w:szCs w:val="24"/>
        </w:rPr>
        <w:t>邮编：</w:t>
      </w:r>
      <w:r>
        <w:rPr>
          <w:rFonts w:hAnsi="宋体"/>
          <w:bCs/>
          <w:sz w:val="24"/>
          <w:szCs w:val="24"/>
          <w:u w:val="single"/>
        </w:rPr>
        <w:t xml:space="preserve">                          </w:t>
      </w:r>
      <w:r>
        <w:rPr>
          <w:rFonts w:hAnsi="宋体"/>
          <w:bCs/>
          <w:sz w:val="24"/>
          <w:szCs w:val="24"/>
        </w:rPr>
        <w:t xml:space="preserve">                 </w:t>
      </w:r>
    </w:p>
    <w:p w14:paraId="41A1866B">
      <w:pPr>
        <w:snapToGrid w:val="0"/>
        <w:spacing w:line="360" w:lineRule="auto"/>
        <w:ind w:firstLine="480" w:firstLineChars="200"/>
        <w:rPr>
          <w:rFonts w:hAnsi="宋体"/>
          <w:bCs/>
          <w:sz w:val="24"/>
          <w:szCs w:val="24"/>
          <w:u w:val="single"/>
        </w:rPr>
      </w:pPr>
      <w:r>
        <w:rPr>
          <w:rFonts w:hint="eastAsia" w:hAnsi="宋体"/>
          <w:bCs/>
          <w:sz w:val="24"/>
          <w:szCs w:val="24"/>
        </w:rPr>
        <w:t>法定代表人</w:t>
      </w:r>
      <w:r>
        <w:rPr>
          <w:rFonts w:hAnsi="宋体"/>
          <w:bCs/>
          <w:sz w:val="24"/>
          <w:szCs w:val="24"/>
        </w:rPr>
        <w:t>/</w:t>
      </w:r>
      <w:r>
        <w:rPr>
          <w:rFonts w:hint="eastAsia" w:hAnsi="宋体"/>
          <w:bCs/>
          <w:sz w:val="24"/>
          <w:szCs w:val="24"/>
        </w:rPr>
        <w:t>主要负责人：</w:t>
      </w:r>
      <w:r>
        <w:rPr>
          <w:rFonts w:hAnsi="宋体"/>
          <w:bCs/>
          <w:sz w:val="24"/>
          <w:szCs w:val="24"/>
          <w:u w:val="single"/>
        </w:rPr>
        <w:t xml:space="preserve">                                                         </w:t>
      </w:r>
    </w:p>
    <w:p w14:paraId="2B92580D">
      <w:pPr>
        <w:snapToGrid w:val="0"/>
        <w:spacing w:line="360" w:lineRule="auto"/>
        <w:ind w:firstLine="480" w:firstLineChars="200"/>
        <w:rPr>
          <w:rFonts w:hAnsi="宋体"/>
          <w:bCs/>
          <w:sz w:val="24"/>
          <w:szCs w:val="24"/>
        </w:rPr>
      </w:pPr>
      <w:r>
        <w:rPr>
          <w:rFonts w:hint="eastAsia" w:hAnsi="宋体"/>
          <w:bCs/>
          <w:sz w:val="24"/>
          <w:szCs w:val="24"/>
        </w:rPr>
        <w:t>联系电话：</w:t>
      </w:r>
      <w:r>
        <w:rPr>
          <w:rFonts w:hAnsi="宋体"/>
          <w:bCs/>
          <w:sz w:val="24"/>
          <w:szCs w:val="24"/>
          <w:u w:val="single"/>
        </w:rPr>
        <w:t xml:space="preserve">                                         </w:t>
      </w:r>
    </w:p>
    <w:p w14:paraId="14780AB8">
      <w:pPr>
        <w:snapToGrid w:val="0"/>
        <w:spacing w:line="360" w:lineRule="auto"/>
        <w:ind w:firstLine="480" w:firstLineChars="200"/>
        <w:rPr>
          <w:rFonts w:hAnsi="宋体"/>
          <w:bCs/>
          <w:sz w:val="24"/>
          <w:szCs w:val="24"/>
          <w:u w:val="single"/>
        </w:rPr>
      </w:pPr>
      <w:r>
        <w:rPr>
          <w:rFonts w:hint="eastAsia" w:hAnsi="宋体"/>
          <w:bCs/>
          <w:sz w:val="24"/>
          <w:szCs w:val="24"/>
        </w:rPr>
        <w:t>授权代表：</w:t>
      </w:r>
      <w:r>
        <w:rPr>
          <w:rFonts w:hAnsi="宋体"/>
          <w:bCs/>
          <w:sz w:val="24"/>
          <w:szCs w:val="24"/>
          <w:u w:val="single"/>
        </w:rPr>
        <w:t xml:space="preserve">                                         </w:t>
      </w:r>
      <w:r>
        <w:rPr>
          <w:rFonts w:hint="eastAsia" w:hAnsi="宋体"/>
          <w:bCs/>
          <w:sz w:val="24"/>
          <w:szCs w:val="24"/>
        </w:rPr>
        <w:t>联系电话：</w:t>
      </w:r>
      <w:r>
        <w:rPr>
          <w:rFonts w:hAnsi="宋体"/>
          <w:bCs/>
          <w:sz w:val="24"/>
          <w:szCs w:val="24"/>
          <w:u w:val="single"/>
        </w:rPr>
        <w:t xml:space="preserve">                   </w:t>
      </w:r>
    </w:p>
    <w:p w14:paraId="60F22018">
      <w:pPr>
        <w:snapToGrid w:val="0"/>
        <w:spacing w:line="360" w:lineRule="auto"/>
        <w:ind w:firstLine="480" w:firstLineChars="200"/>
        <w:rPr>
          <w:rFonts w:hAnsi="宋体"/>
          <w:bCs/>
          <w:sz w:val="24"/>
          <w:szCs w:val="24"/>
          <w:u w:val="single"/>
        </w:rPr>
      </w:pPr>
      <w:r>
        <w:rPr>
          <w:rFonts w:hint="eastAsia" w:hAnsi="宋体"/>
          <w:bCs/>
          <w:sz w:val="24"/>
          <w:szCs w:val="24"/>
        </w:rPr>
        <w:t>地址：</w:t>
      </w:r>
      <w:r>
        <w:rPr>
          <w:rFonts w:hAnsi="宋体"/>
          <w:bCs/>
          <w:sz w:val="24"/>
          <w:szCs w:val="24"/>
          <w:u w:val="single"/>
        </w:rPr>
        <w:t xml:space="preserve">                                                            </w:t>
      </w:r>
    </w:p>
    <w:p w14:paraId="02C139CF">
      <w:pPr>
        <w:snapToGrid w:val="0"/>
        <w:spacing w:line="360" w:lineRule="auto"/>
        <w:ind w:firstLine="480" w:firstLineChars="200"/>
        <w:rPr>
          <w:rFonts w:hAnsi="宋体"/>
          <w:bCs/>
          <w:sz w:val="24"/>
          <w:szCs w:val="24"/>
        </w:rPr>
      </w:pPr>
      <w:r>
        <w:rPr>
          <w:rFonts w:hint="eastAsia" w:hAnsi="宋体"/>
          <w:bCs/>
          <w:sz w:val="24"/>
          <w:szCs w:val="24"/>
        </w:rPr>
        <w:t>邮编：</w:t>
      </w:r>
      <w:r>
        <w:rPr>
          <w:rFonts w:hAnsi="宋体"/>
          <w:bCs/>
          <w:sz w:val="24"/>
          <w:szCs w:val="24"/>
          <w:u w:val="single"/>
        </w:rPr>
        <w:t xml:space="preserve">         </w:t>
      </w:r>
      <w:r>
        <w:rPr>
          <w:rFonts w:hAnsi="宋体"/>
          <w:bCs/>
          <w:sz w:val="24"/>
          <w:szCs w:val="24"/>
        </w:rPr>
        <w:t xml:space="preserve">   </w:t>
      </w:r>
    </w:p>
    <w:p w14:paraId="0DEDB7BF">
      <w:pPr>
        <w:snapToGrid w:val="0"/>
        <w:spacing w:line="360" w:lineRule="auto"/>
        <w:ind w:firstLine="480" w:firstLineChars="200"/>
        <w:rPr>
          <w:rFonts w:hAnsi="宋体"/>
          <w:bCs/>
          <w:sz w:val="24"/>
          <w:szCs w:val="24"/>
        </w:rPr>
      </w:pPr>
      <w:r>
        <w:rPr>
          <w:rFonts w:hint="eastAsia" w:hAnsi="宋体"/>
          <w:bCs/>
          <w:sz w:val="24"/>
          <w:szCs w:val="24"/>
        </w:rPr>
        <w:t>被投诉人</w:t>
      </w:r>
      <w:r>
        <w:rPr>
          <w:rFonts w:hAnsi="宋体"/>
          <w:bCs/>
          <w:sz w:val="24"/>
          <w:szCs w:val="24"/>
        </w:rPr>
        <w:t>1</w:t>
      </w:r>
      <w:r>
        <w:rPr>
          <w:rFonts w:hint="eastAsia" w:hAnsi="宋体"/>
          <w:bCs/>
          <w:sz w:val="24"/>
          <w:szCs w:val="24"/>
        </w:rPr>
        <w:t>：</w:t>
      </w:r>
    </w:p>
    <w:p w14:paraId="717498B8">
      <w:pPr>
        <w:snapToGrid w:val="0"/>
        <w:spacing w:line="360" w:lineRule="auto"/>
        <w:ind w:firstLine="480" w:firstLineChars="200"/>
        <w:rPr>
          <w:rFonts w:hAnsi="宋体"/>
          <w:bCs/>
          <w:sz w:val="24"/>
          <w:szCs w:val="24"/>
          <w:u w:val="single"/>
        </w:rPr>
      </w:pPr>
      <w:r>
        <w:rPr>
          <w:rFonts w:hint="eastAsia" w:hAnsi="宋体"/>
          <w:bCs/>
          <w:sz w:val="24"/>
          <w:szCs w:val="24"/>
        </w:rPr>
        <w:t>地址：</w:t>
      </w:r>
      <w:r>
        <w:rPr>
          <w:rFonts w:hAnsi="宋体"/>
          <w:bCs/>
          <w:sz w:val="24"/>
          <w:szCs w:val="24"/>
          <w:u w:val="single"/>
        </w:rPr>
        <w:t xml:space="preserve">                                                            </w:t>
      </w:r>
    </w:p>
    <w:p w14:paraId="04972E99">
      <w:pPr>
        <w:snapToGrid w:val="0"/>
        <w:spacing w:line="360" w:lineRule="auto"/>
        <w:ind w:firstLine="480" w:firstLineChars="200"/>
        <w:rPr>
          <w:rFonts w:hAnsi="宋体"/>
          <w:bCs/>
          <w:sz w:val="24"/>
          <w:szCs w:val="24"/>
        </w:rPr>
      </w:pPr>
      <w:r>
        <w:rPr>
          <w:rFonts w:hint="eastAsia" w:hAnsi="宋体"/>
          <w:bCs/>
          <w:sz w:val="24"/>
          <w:szCs w:val="24"/>
        </w:rPr>
        <w:t>邮编：</w:t>
      </w:r>
      <w:r>
        <w:rPr>
          <w:rFonts w:hAnsi="宋体"/>
          <w:bCs/>
          <w:sz w:val="24"/>
          <w:szCs w:val="24"/>
          <w:u w:val="single"/>
        </w:rPr>
        <w:t xml:space="preserve">         </w:t>
      </w:r>
      <w:r>
        <w:rPr>
          <w:rFonts w:hAnsi="宋体"/>
          <w:bCs/>
          <w:sz w:val="24"/>
          <w:szCs w:val="24"/>
        </w:rPr>
        <w:t xml:space="preserve">  </w:t>
      </w:r>
    </w:p>
    <w:p w14:paraId="5AA7A66F">
      <w:pPr>
        <w:snapToGrid w:val="0"/>
        <w:spacing w:line="360" w:lineRule="auto"/>
        <w:ind w:firstLine="480" w:firstLineChars="200"/>
        <w:rPr>
          <w:rFonts w:hAnsi="宋体"/>
          <w:bCs/>
          <w:sz w:val="24"/>
          <w:szCs w:val="24"/>
          <w:u w:val="single"/>
        </w:rPr>
      </w:pPr>
      <w:r>
        <w:rPr>
          <w:rFonts w:hint="eastAsia" w:hAnsi="宋体"/>
          <w:bCs/>
          <w:sz w:val="24"/>
          <w:szCs w:val="24"/>
        </w:rPr>
        <w:t>联系人：</w:t>
      </w:r>
      <w:r>
        <w:rPr>
          <w:rFonts w:hAnsi="宋体"/>
          <w:bCs/>
          <w:sz w:val="24"/>
          <w:szCs w:val="24"/>
          <w:u w:val="single"/>
        </w:rPr>
        <w:t xml:space="preserve">                                                </w:t>
      </w:r>
      <w:r>
        <w:rPr>
          <w:rFonts w:hint="eastAsia" w:hAnsi="宋体"/>
          <w:bCs/>
          <w:sz w:val="24"/>
          <w:szCs w:val="24"/>
        </w:rPr>
        <w:t>联系电话：</w:t>
      </w:r>
      <w:r>
        <w:rPr>
          <w:rFonts w:hAnsi="宋体"/>
          <w:bCs/>
          <w:sz w:val="24"/>
          <w:szCs w:val="24"/>
          <w:u w:val="single"/>
        </w:rPr>
        <w:t xml:space="preserve">                </w:t>
      </w:r>
    </w:p>
    <w:p w14:paraId="50882F19">
      <w:pPr>
        <w:snapToGrid w:val="0"/>
        <w:spacing w:line="360" w:lineRule="auto"/>
        <w:ind w:firstLine="480" w:firstLineChars="200"/>
        <w:rPr>
          <w:rFonts w:hAnsi="宋体"/>
          <w:bCs/>
          <w:sz w:val="24"/>
          <w:szCs w:val="24"/>
        </w:rPr>
      </w:pPr>
      <w:r>
        <w:rPr>
          <w:rFonts w:hint="eastAsia" w:hAnsi="宋体"/>
          <w:bCs/>
          <w:sz w:val="24"/>
          <w:szCs w:val="24"/>
        </w:rPr>
        <w:t>被投诉人</w:t>
      </w:r>
      <w:r>
        <w:rPr>
          <w:rFonts w:hAnsi="宋体"/>
          <w:bCs/>
          <w:sz w:val="24"/>
          <w:szCs w:val="24"/>
        </w:rPr>
        <w:t>2</w:t>
      </w:r>
      <w:r>
        <w:rPr>
          <w:rFonts w:hint="eastAsia" w:hAnsi="宋体"/>
          <w:bCs/>
          <w:sz w:val="24"/>
          <w:szCs w:val="24"/>
        </w:rPr>
        <w:t>：</w:t>
      </w:r>
    </w:p>
    <w:p w14:paraId="14099FC3">
      <w:pPr>
        <w:snapToGrid w:val="0"/>
        <w:spacing w:line="360" w:lineRule="auto"/>
        <w:ind w:firstLine="480" w:firstLineChars="200"/>
        <w:rPr>
          <w:rFonts w:hAnsi="宋体"/>
          <w:bCs/>
          <w:sz w:val="24"/>
          <w:szCs w:val="24"/>
        </w:rPr>
      </w:pPr>
      <w:r>
        <w:rPr>
          <w:rFonts w:hint="eastAsia" w:hAnsi="宋体"/>
          <w:bCs/>
          <w:sz w:val="24"/>
          <w:szCs w:val="24"/>
        </w:rPr>
        <w:t>……</w:t>
      </w:r>
    </w:p>
    <w:p w14:paraId="41ABFCF3">
      <w:pPr>
        <w:snapToGrid w:val="0"/>
        <w:spacing w:line="360" w:lineRule="auto"/>
        <w:ind w:firstLine="480" w:firstLineChars="200"/>
        <w:rPr>
          <w:rFonts w:hAnsi="宋体"/>
          <w:bCs/>
          <w:sz w:val="24"/>
          <w:szCs w:val="24"/>
          <w:u w:val="single"/>
        </w:rPr>
      </w:pPr>
      <w:r>
        <w:rPr>
          <w:rFonts w:hint="eastAsia" w:hAnsi="宋体"/>
          <w:bCs/>
          <w:sz w:val="24"/>
          <w:szCs w:val="24"/>
        </w:rPr>
        <w:t>相关供应商：</w:t>
      </w:r>
      <w:r>
        <w:rPr>
          <w:rFonts w:hAnsi="宋体"/>
          <w:bCs/>
          <w:sz w:val="24"/>
          <w:szCs w:val="24"/>
          <w:u w:val="single"/>
        </w:rPr>
        <w:t xml:space="preserve">                                                                       </w:t>
      </w:r>
    </w:p>
    <w:p w14:paraId="5FC0AD81">
      <w:pPr>
        <w:snapToGrid w:val="0"/>
        <w:spacing w:line="360" w:lineRule="auto"/>
        <w:ind w:firstLine="480" w:firstLineChars="200"/>
        <w:rPr>
          <w:rFonts w:hAnsi="宋体"/>
          <w:bCs/>
          <w:sz w:val="24"/>
          <w:szCs w:val="24"/>
          <w:u w:val="single"/>
        </w:rPr>
      </w:pPr>
      <w:r>
        <w:rPr>
          <w:rFonts w:hint="eastAsia" w:hAnsi="宋体"/>
          <w:bCs/>
          <w:sz w:val="24"/>
          <w:szCs w:val="24"/>
        </w:rPr>
        <w:t>地址：</w:t>
      </w:r>
      <w:r>
        <w:rPr>
          <w:rFonts w:hAnsi="宋体"/>
          <w:bCs/>
          <w:sz w:val="24"/>
          <w:szCs w:val="24"/>
          <w:u w:val="single"/>
        </w:rPr>
        <w:t xml:space="preserve">                                              </w:t>
      </w:r>
      <w:r>
        <w:rPr>
          <w:rFonts w:hint="eastAsia" w:hAnsi="宋体"/>
          <w:bCs/>
          <w:sz w:val="24"/>
          <w:szCs w:val="24"/>
        </w:rPr>
        <w:t>邮编：</w:t>
      </w:r>
      <w:r>
        <w:rPr>
          <w:rFonts w:hAnsi="宋体"/>
          <w:bCs/>
          <w:sz w:val="24"/>
          <w:szCs w:val="24"/>
          <w:u w:val="single"/>
        </w:rPr>
        <w:t xml:space="preserve">                         </w:t>
      </w:r>
    </w:p>
    <w:p w14:paraId="766A27E6">
      <w:pPr>
        <w:snapToGrid w:val="0"/>
        <w:spacing w:line="360" w:lineRule="auto"/>
        <w:ind w:firstLine="480" w:firstLineChars="200"/>
        <w:rPr>
          <w:rFonts w:hAnsi="宋体"/>
          <w:bCs/>
          <w:sz w:val="24"/>
          <w:szCs w:val="24"/>
        </w:rPr>
      </w:pPr>
      <w:r>
        <w:rPr>
          <w:rFonts w:hint="eastAsia" w:hAnsi="宋体"/>
          <w:bCs/>
          <w:sz w:val="24"/>
          <w:szCs w:val="24"/>
        </w:rPr>
        <w:t>联系人：</w:t>
      </w:r>
      <w:r>
        <w:rPr>
          <w:rFonts w:hAnsi="宋体"/>
          <w:bCs/>
          <w:sz w:val="24"/>
          <w:szCs w:val="24"/>
          <w:u w:val="single"/>
        </w:rPr>
        <w:t xml:space="preserve">                                            </w:t>
      </w:r>
      <w:r>
        <w:rPr>
          <w:rFonts w:hint="eastAsia" w:hAnsi="宋体"/>
          <w:bCs/>
          <w:sz w:val="24"/>
          <w:szCs w:val="24"/>
        </w:rPr>
        <w:t>联系电话：</w:t>
      </w:r>
      <w:r>
        <w:rPr>
          <w:rFonts w:hAnsi="宋体"/>
          <w:bCs/>
          <w:sz w:val="24"/>
          <w:szCs w:val="24"/>
          <w:u w:val="single"/>
        </w:rPr>
        <w:t xml:space="preserve">                     </w:t>
      </w:r>
      <w:r>
        <w:rPr>
          <w:rFonts w:hAnsi="宋体"/>
          <w:bCs/>
          <w:sz w:val="24"/>
          <w:szCs w:val="24"/>
        </w:rPr>
        <w:t xml:space="preserve">                </w:t>
      </w:r>
    </w:p>
    <w:p w14:paraId="694645A6">
      <w:pPr>
        <w:snapToGrid w:val="0"/>
        <w:spacing w:line="360" w:lineRule="auto"/>
        <w:ind w:firstLine="482" w:firstLineChars="200"/>
        <w:rPr>
          <w:rFonts w:hAnsi="宋体"/>
          <w:b/>
          <w:bCs/>
          <w:sz w:val="24"/>
          <w:szCs w:val="24"/>
        </w:rPr>
      </w:pPr>
      <w:r>
        <w:rPr>
          <w:rFonts w:hint="eastAsia" w:hAnsi="宋体"/>
          <w:b/>
          <w:bCs/>
          <w:sz w:val="24"/>
          <w:szCs w:val="24"/>
        </w:rPr>
        <w:t>二、投诉项目基本情况：</w:t>
      </w:r>
    </w:p>
    <w:p w14:paraId="47FBFC03">
      <w:pPr>
        <w:spacing w:line="360" w:lineRule="auto"/>
        <w:ind w:left="25" w:leftChars="12" w:firstLine="472" w:firstLineChars="197"/>
        <w:rPr>
          <w:rFonts w:hAnsi="宋体"/>
          <w:sz w:val="24"/>
          <w:szCs w:val="24"/>
        </w:rPr>
      </w:pPr>
      <w:r>
        <w:rPr>
          <w:rFonts w:hint="eastAsia" w:hAnsi="宋体"/>
          <w:bCs/>
          <w:sz w:val="24"/>
          <w:szCs w:val="24"/>
        </w:rPr>
        <w:t>采购</w:t>
      </w:r>
      <w:r>
        <w:rPr>
          <w:rFonts w:hint="eastAsia" w:hAnsi="宋体"/>
          <w:sz w:val="24"/>
          <w:szCs w:val="24"/>
        </w:rPr>
        <w:t>项目的名称：</w:t>
      </w:r>
      <w:r>
        <w:rPr>
          <w:rFonts w:hAnsi="宋体"/>
          <w:bCs/>
          <w:sz w:val="24"/>
          <w:szCs w:val="24"/>
          <w:u w:val="single"/>
        </w:rPr>
        <w:t xml:space="preserve">  </w:t>
      </w:r>
      <w:r>
        <w:rPr>
          <w:rFonts w:hint="eastAsia" w:hAnsi="宋体"/>
          <w:bCs/>
          <w:sz w:val="24"/>
          <w:szCs w:val="24"/>
          <w:u w:val="single"/>
          <w:lang w:eastAsia="zh-CN"/>
        </w:rPr>
        <w:t>2026年上林县幼儿园设备采购项目（重）</w:t>
      </w:r>
      <w:r>
        <w:rPr>
          <w:rFonts w:hAnsi="宋体"/>
          <w:bCs/>
          <w:sz w:val="24"/>
          <w:szCs w:val="24"/>
          <w:u w:val="single"/>
        </w:rPr>
        <w:t xml:space="preserve"> </w:t>
      </w:r>
    </w:p>
    <w:p w14:paraId="7ECA707B">
      <w:pPr>
        <w:spacing w:line="360" w:lineRule="auto"/>
        <w:ind w:left="25" w:leftChars="12" w:firstLine="472" w:firstLineChars="197"/>
        <w:rPr>
          <w:rFonts w:hint="eastAsia" w:hAnsi="宋体" w:eastAsia="宋体"/>
          <w:sz w:val="24"/>
          <w:szCs w:val="24"/>
          <w:lang w:eastAsia="zh-CN"/>
        </w:rPr>
      </w:pPr>
      <w:r>
        <w:rPr>
          <w:rFonts w:hint="eastAsia" w:hAnsi="宋体"/>
          <w:bCs/>
          <w:sz w:val="24"/>
          <w:szCs w:val="24"/>
        </w:rPr>
        <w:t>采购</w:t>
      </w:r>
      <w:r>
        <w:rPr>
          <w:rFonts w:hint="eastAsia" w:hAnsi="宋体"/>
          <w:sz w:val="24"/>
          <w:szCs w:val="24"/>
        </w:rPr>
        <w:t>项目的编号：</w:t>
      </w:r>
      <w:r>
        <w:rPr>
          <w:rFonts w:hint="eastAsia" w:hAnsi="宋体"/>
          <w:bCs/>
          <w:sz w:val="24"/>
          <w:szCs w:val="24"/>
          <w:u w:val="single"/>
          <w:lang w:eastAsia="zh-CN"/>
        </w:rPr>
        <w:t xml:space="preserve"> NNZC2026-J1-250095-SLXZ</w:t>
      </w:r>
    </w:p>
    <w:p w14:paraId="209D2DC2">
      <w:pPr>
        <w:spacing w:line="360" w:lineRule="auto"/>
        <w:ind w:left="25" w:leftChars="12" w:firstLine="472" w:firstLineChars="197"/>
        <w:rPr>
          <w:rFonts w:hAnsi="宋体"/>
          <w:bCs/>
          <w:sz w:val="24"/>
          <w:szCs w:val="24"/>
          <w:u w:val="single"/>
        </w:rPr>
      </w:pPr>
      <w:r>
        <w:rPr>
          <w:rFonts w:hint="eastAsia" w:hAnsi="宋体"/>
          <w:sz w:val="24"/>
          <w:szCs w:val="24"/>
        </w:rPr>
        <w:t>采购人名称：</w:t>
      </w:r>
      <w:r>
        <w:rPr>
          <w:rFonts w:hAnsi="宋体"/>
          <w:bCs/>
          <w:sz w:val="24"/>
          <w:szCs w:val="24"/>
          <w:u w:val="single"/>
        </w:rPr>
        <w:t xml:space="preserve"> </w:t>
      </w:r>
      <w:r>
        <w:rPr>
          <w:rFonts w:hint="eastAsia" w:hAnsi="宋体"/>
          <w:bCs/>
          <w:sz w:val="24"/>
          <w:szCs w:val="24"/>
          <w:u w:val="single"/>
          <w:lang w:eastAsia="zh-CN"/>
        </w:rPr>
        <w:t>上林县教育局</w:t>
      </w:r>
      <w:r>
        <w:rPr>
          <w:rFonts w:hAnsi="宋体"/>
          <w:bCs/>
          <w:sz w:val="24"/>
          <w:szCs w:val="24"/>
          <w:u w:val="single"/>
        </w:rPr>
        <w:t xml:space="preserve">  </w:t>
      </w:r>
    </w:p>
    <w:p w14:paraId="7C67A63C">
      <w:pPr>
        <w:spacing w:line="360" w:lineRule="auto"/>
        <w:ind w:left="25" w:leftChars="12" w:firstLine="472" w:firstLineChars="197"/>
        <w:rPr>
          <w:rFonts w:hAnsi="宋体"/>
          <w:bCs/>
          <w:sz w:val="24"/>
          <w:szCs w:val="24"/>
          <w:u w:val="single"/>
        </w:rPr>
      </w:pPr>
      <w:r>
        <w:rPr>
          <w:rFonts w:hint="eastAsia" w:hAnsi="宋体"/>
          <w:sz w:val="24"/>
          <w:szCs w:val="24"/>
        </w:rPr>
        <w:t>代理机构名称：</w:t>
      </w:r>
      <w:r>
        <w:rPr>
          <w:rFonts w:hint="eastAsia" w:hAnsi="宋体"/>
          <w:bCs/>
          <w:sz w:val="24"/>
          <w:szCs w:val="24"/>
          <w:u w:val="single"/>
          <w:lang w:eastAsia="zh-CN"/>
        </w:rPr>
        <w:t>上林县政府集中采购中心</w:t>
      </w:r>
      <w:r>
        <w:rPr>
          <w:rFonts w:hAnsi="宋体"/>
          <w:bCs/>
          <w:sz w:val="24"/>
          <w:szCs w:val="24"/>
          <w:u w:val="single"/>
        </w:rPr>
        <w:t xml:space="preserve"> </w:t>
      </w:r>
    </w:p>
    <w:p w14:paraId="6C984203">
      <w:pPr>
        <w:spacing w:line="360" w:lineRule="auto"/>
        <w:ind w:left="25" w:leftChars="12" w:firstLine="472" w:firstLineChars="197"/>
        <w:rPr>
          <w:rFonts w:hAnsi="宋体"/>
          <w:bCs/>
          <w:sz w:val="24"/>
          <w:szCs w:val="24"/>
          <w:u w:val="single"/>
        </w:rPr>
      </w:pPr>
      <w:r>
        <w:rPr>
          <w:rFonts w:hint="eastAsia" w:hAnsi="宋体"/>
          <w:bCs/>
          <w:sz w:val="24"/>
          <w:szCs w:val="24"/>
          <w:lang w:eastAsia="zh-CN"/>
        </w:rPr>
        <w:t>采购文件</w:t>
      </w:r>
      <w:r>
        <w:rPr>
          <w:rFonts w:hint="eastAsia" w:hAnsi="宋体"/>
          <w:bCs/>
          <w:sz w:val="24"/>
          <w:szCs w:val="24"/>
        </w:rPr>
        <w:t>公告：</w:t>
      </w:r>
      <w:r>
        <w:rPr>
          <w:rFonts w:hint="eastAsia" w:hAnsi="宋体"/>
          <w:bCs/>
          <w:sz w:val="24"/>
          <w:szCs w:val="24"/>
          <w:u w:val="single"/>
        </w:rPr>
        <w:t>是</w:t>
      </w:r>
      <w:r>
        <w:rPr>
          <w:rFonts w:hAnsi="宋体"/>
          <w:bCs/>
          <w:sz w:val="24"/>
          <w:szCs w:val="24"/>
          <w:u w:val="single"/>
        </w:rPr>
        <w:t>/</w:t>
      </w:r>
      <w:r>
        <w:rPr>
          <w:rFonts w:hint="eastAsia" w:hAnsi="宋体"/>
          <w:bCs/>
          <w:sz w:val="24"/>
          <w:szCs w:val="24"/>
          <w:u w:val="single"/>
        </w:rPr>
        <w:t>否</w:t>
      </w:r>
      <w:r>
        <w:rPr>
          <w:rFonts w:hint="eastAsia" w:hAnsi="宋体"/>
          <w:bCs/>
          <w:sz w:val="24"/>
          <w:szCs w:val="24"/>
        </w:rPr>
        <w:t>公告期限：</w:t>
      </w:r>
      <w:r>
        <w:rPr>
          <w:rFonts w:hAnsi="宋体"/>
          <w:bCs/>
          <w:sz w:val="24"/>
          <w:szCs w:val="24"/>
          <w:u w:val="single"/>
        </w:rPr>
        <w:t xml:space="preserve">                                                       </w:t>
      </w:r>
    </w:p>
    <w:p w14:paraId="683C8272">
      <w:pPr>
        <w:spacing w:line="360" w:lineRule="auto"/>
        <w:ind w:left="25" w:leftChars="12" w:firstLine="472" w:firstLineChars="197"/>
        <w:rPr>
          <w:rFonts w:hAnsi="宋体"/>
          <w:b/>
          <w:sz w:val="24"/>
          <w:szCs w:val="24"/>
        </w:rPr>
      </w:pPr>
      <w:r>
        <w:rPr>
          <w:rFonts w:hint="eastAsia" w:hAnsi="宋体"/>
          <w:bCs/>
          <w:sz w:val="24"/>
          <w:szCs w:val="24"/>
        </w:rPr>
        <w:t>采购结果公告：</w:t>
      </w:r>
      <w:r>
        <w:rPr>
          <w:rFonts w:hint="eastAsia" w:hAnsi="宋体"/>
          <w:bCs/>
          <w:sz w:val="24"/>
          <w:szCs w:val="24"/>
          <w:u w:val="single"/>
        </w:rPr>
        <w:t>是</w:t>
      </w:r>
      <w:r>
        <w:rPr>
          <w:rFonts w:hAnsi="宋体"/>
          <w:bCs/>
          <w:sz w:val="24"/>
          <w:szCs w:val="24"/>
          <w:u w:val="single"/>
        </w:rPr>
        <w:t>/</w:t>
      </w:r>
      <w:r>
        <w:rPr>
          <w:rFonts w:hint="eastAsia" w:hAnsi="宋体"/>
          <w:bCs/>
          <w:sz w:val="24"/>
          <w:szCs w:val="24"/>
          <w:u w:val="single"/>
        </w:rPr>
        <w:t>否</w:t>
      </w:r>
      <w:r>
        <w:rPr>
          <w:rFonts w:hint="eastAsia" w:hAnsi="宋体"/>
          <w:bCs/>
          <w:sz w:val="24"/>
          <w:szCs w:val="24"/>
        </w:rPr>
        <w:t>公告期限：</w:t>
      </w:r>
      <w:r>
        <w:rPr>
          <w:rFonts w:hAnsi="宋体"/>
          <w:bCs/>
          <w:sz w:val="24"/>
          <w:szCs w:val="24"/>
          <w:u w:val="single"/>
        </w:rPr>
        <w:t xml:space="preserve">                                                       </w:t>
      </w:r>
    </w:p>
    <w:p w14:paraId="72EDE32F">
      <w:pPr>
        <w:spacing w:line="360" w:lineRule="auto"/>
        <w:ind w:left="25" w:leftChars="12" w:firstLine="472" w:firstLineChars="196"/>
        <w:rPr>
          <w:rFonts w:hAnsi="宋体"/>
          <w:b/>
          <w:sz w:val="24"/>
          <w:szCs w:val="24"/>
        </w:rPr>
      </w:pPr>
      <w:r>
        <w:rPr>
          <w:rFonts w:hint="eastAsia" w:hAnsi="宋体"/>
          <w:b/>
          <w:sz w:val="24"/>
          <w:szCs w:val="24"/>
        </w:rPr>
        <w:t>三、质疑基本情况</w:t>
      </w:r>
    </w:p>
    <w:p w14:paraId="6A36E4B0">
      <w:pPr>
        <w:spacing w:line="360" w:lineRule="auto"/>
        <w:ind w:firstLine="480" w:firstLineChars="200"/>
        <w:rPr>
          <w:rFonts w:hAnsi="宋体"/>
          <w:sz w:val="24"/>
          <w:szCs w:val="24"/>
        </w:rPr>
      </w:pPr>
      <w:r>
        <w:rPr>
          <w:rFonts w:hint="eastAsia" w:hAnsi="宋体"/>
          <w:sz w:val="24"/>
          <w:szCs w:val="24"/>
        </w:rPr>
        <w:t>投诉人于</w:t>
      </w:r>
      <w:r>
        <w:rPr>
          <w:rFonts w:hAnsi="宋体"/>
          <w:sz w:val="24"/>
          <w:szCs w:val="24"/>
          <w:u w:val="single"/>
        </w:rPr>
        <w:t xml:space="preserve">      </w:t>
      </w:r>
      <w:r>
        <w:rPr>
          <w:rFonts w:hint="eastAsia" w:hAnsi="宋体"/>
          <w:sz w:val="24"/>
          <w:szCs w:val="24"/>
        </w:rPr>
        <w:t>年</w:t>
      </w:r>
      <w:r>
        <w:rPr>
          <w:rFonts w:hAnsi="宋体"/>
          <w:sz w:val="24"/>
          <w:szCs w:val="24"/>
          <w:u w:val="single"/>
        </w:rPr>
        <w:t xml:space="preserve">   </w:t>
      </w:r>
      <w:r>
        <w:rPr>
          <w:rFonts w:hint="eastAsia" w:hAnsi="宋体"/>
          <w:sz w:val="24"/>
          <w:szCs w:val="24"/>
        </w:rPr>
        <w:t>月</w:t>
      </w:r>
      <w:r>
        <w:rPr>
          <w:rFonts w:hAnsi="宋体"/>
          <w:sz w:val="24"/>
          <w:szCs w:val="24"/>
          <w:u w:val="single"/>
        </w:rPr>
        <w:t xml:space="preserve">   </w:t>
      </w:r>
      <w:r>
        <w:rPr>
          <w:rFonts w:hint="eastAsia" w:hAnsi="宋体"/>
          <w:sz w:val="24"/>
          <w:szCs w:val="24"/>
        </w:rPr>
        <w:t>日，向</w:t>
      </w:r>
      <w:r>
        <w:rPr>
          <w:rFonts w:hAnsi="宋体"/>
          <w:sz w:val="24"/>
          <w:szCs w:val="24"/>
          <w:u w:val="single"/>
        </w:rPr>
        <w:t xml:space="preserve">                                </w:t>
      </w:r>
      <w:r>
        <w:rPr>
          <w:rFonts w:hint="eastAsia" w:hAnsi="宋体"/>
          <w:sz w:val="24"/>
          <w:szCs w:val="24"/>
        </w:rPr>
        <w:t>提出质疑，质疑事项为：</w:t>
      </w:r>
    </w:p>
    <w:p w14:paraId="799E68CF">
      <w:pPr>
        <w:spacing w:line="360" w:lineRule="auto"/>
        <w:ind w:firstLine="480"/>
        <w:rPr>
          <w:rFonts w:hAnsi="宋体"/>
          <w:bCs/>
          <w:sz w:val="24"/>
          <w:szCs w:val="24"/>
          <w:u w:val="single"/>
        </w:rPr>
      </w:pPr>
      <w:r>
        <w:rPr>
          <w:rFonts w:hAnsi="宋体"/>
          <w:sz w:val="24"/>
          <w:szCs w:val="24"/>
        </w:rPr>
        <w:t xml:space="preserve">    </w:t>
      </w:r>
      <w:r>
        <w:rPr>
          <w:rFonts w:hAnsi="宋体"/>
          <w:bCs/>
          <w:sz w:val="24"/>
          <w:szCs w:val="24"/>
          <w:u w:val="single"/>
        </w:rPr>
        <w:t xml:space="preserve">                                                                                      </w:t>
      </w:r>
    </w:p>
    <w:p w14:paraId="39BBA2A0">
      <w:pPr>
        <w:spacing w:line="360" w:lineRule="auto"/>
        <w:ind w:firstLine="480"/>
        <w:rPr>
          <w:rFonts w:hAnsi="宋体"/>
          <w:bCs/>
          <w:sz w:val="24"/>
          <w:szCs w:val="24"/>
          <w:u w:val="single"/>
        </w:rPr>
      </w:pPr>
      <w:r>
        <w:rPr>
          <w:rFonts w:hAnsi="宋体"/>
          <w:bCs/>
          <w:sz w:val="24"/>
          <w:szCs w:val="24"/>
        </w:rPr>
        <w:t xml:space="preserve">    </w:t>
      </w:r>
      <w:r>
        <w:rPr>
          <w:rFonts w:hAnsi="宋体"/>
          <w:bCs/>
          <w:sz w:val="24"/>
          <w:szCs w:val="24"/>
          <w:u w:val="single"/>
        </w:rPr>
        <w:t xml:space="preserve">                                                                                      </w:t>
      </w:r>
    </w:p>
    <w:p w14:paraId="744B27ED">
      <w:pPr>
        <w:spacing w:line="360" w:lineRule="auto"/>
        <w:ind w:firstLine="480" w:firstLineChars="200"/>
        <w:rPr>
          <w:rFonts w:hAnsi="宋体"/>
          <w:sz w:val="24"/>
          <w:szCs w:val="24"/>
        </w:rPr>
      </w:pPr>
      <w:r>
        <w:rPr>
          <w:rFonts w:hint="eastAsia" w:hAnsi="宋体"/>
          <w:bCs/>
          <w:sz w:val="24"/>
          <w:szCs w:val="24"/>
          <w:u w:val="single"/>
        </w:rPr>
        <w:t>采购人</w:t>
      </w:r>
      <w:r>
        <w:rPr>
          <w:rFonts w:hAnsi="宋体"/>
          <w:bCs/>
          <w:sz w:val="24"/>
          <w:szCs w:val="24"/>
          <w:u w:val="single"/>
        </w:rPr>
        <w:t>/</w:t>
      </w:r>
      <w:r>
        <w:rPr>
          <w:rFonts w:hint="eastAsia" w:hAnsi="宋体"/>
          <w:bCs/>
          <w:sz w:val="24"/>
          <w:szCs w:val="24"/>
          <w:u w:val="single"/>
        </w:rPr>
        <w:t>代理机构</w:t>
      </w:r>
      <w:r>
        <w:rPr>
          <w:rFonts w:hint="eastAsia" w:hAnsi="宋体"/>
          <w:bCs/>
          <w:sz w:val="24"/>
          <w:szCs w:val="24"/>
        </w:rPr>
        <w:t>于</w:t>
      </w:r>
      <w:r>
        <w:rPr>
          <w:rFonts w:hAnsi="宋体"/>
          <w:sz w:val="24"/>
          <w:szCs w:val="24"/>
          <w:u w:val="single"/>
        </w:rPr>
        <w:t xml:space="preserve">      </w:t>
      </w:r>
      <w:r>
        <w:rPr>
          <w:rFonts w:hint="eastAsia" w:hAnsi="宋体"/>
          <w:sz w:val="24"/>
          <w:szCs w:val="24"/>
        </w:rPr>
        <w:t>年</w:t>
      </w:r>
      <w:r>
        <w:rPr>
          <w:rFonts w:hAnsi="宋体"/>
          <w:sz w:val="24"/>
          <w:szCs w:val="24"/>
          <w:u w:val="single"/>
        </w:rPr>
        <w:t xml:space="preserve">   </w:t>
      </w:r>
      <w:r>
        <w:rPr>
          <w:rFonts w:hint="eastAsia" w:hAnsi="宋体"/>
          <w:sz w:val="24"/>
          <w:szCs w:val="24"/>
        </w:rPr>
        <w:t>月</w:t>
      </w:r>
      <w:r>
        <w:rPr>
          <w:rFonts w:hAnsi="宋体"/>
          <w:sz w:val="24"/>
          <w:szCs w:val="24"/>
          <w:u w:val="single"/>
        </w:rPr>
        <w:t xml:space="preserve">   </w:t>
      </w:r>
      <w:r>
        <w:rPr>
          <w:rFonts w:hint="eastAsia" w:hAnsi="宋体"/>
          <w:sz w:val="24"/>
          <w:szCs w:val="24"/>
        </w:rPr>
        <w:t>日，</w:t>
      </w:r>
      <w:r>
        <w:rPr>
          <w:rFonts w:hint="eastAsia" w:hAnsi="宋体"/>
          <w:bCs/>
          <w:sz w:val="24"/>
          <w:szCs w:val="24"/>
        </w:rPr>
        <w:t>就质疑事项作出了答复</w:t>
      </w:r>
      <w:r>
        <w:rPr>
          <w:rFonts w:hAnsi="宋体"/>
          <w:bCs/>
          <w:sz w:val="24"/>
          <w:szCs w:val="24"/>
        </w:rPr>
        <w:t>/</w:t>
      </w:r>
      <w:r>
        <w:rPr>
          <w:rFonts w:hint="eastAsia" w:hAnsi="宋体"/>
          <w:bCs/>
          <w:sz w:val="24"/>
          <w:szCs w:val="24"/>
        </w:rPr>
        <w:t>没有在法定期限内作出答复。</w:t>
      </w:r>
      <w:r>
        <w:rPr>
          <w:rFonts w:hAnsi="宋体"/>
          <w:bCs/>
          <w:sz w:val="24"/>
          <w:szCs w:val="24"/>
        </w:rPr>
        <w:t xml:space="preserve">                                                                                             </w:t>
      </w:r>
    </w:p>
    <w:p w14:paraId="24068A7B">
      <w:pPr>
        <w:spacing w:line="360" w:lineRule="auto"/>
        <w:ind w:left="25" w:leftChars="12" w:firstLine="472" w:firstLineChars="196"/>
        <w:rPr>
          <w:rFonts w:hAnsi="宋体"/>
          <w:b/>
          <w:sz w:val="24"/>
          <w:szCs w:val="24"/>
        </w:rPr>
      </w:pPr>
      <w:r>
        <w:rPr>
          <w:rFonts w:hint="eastAsia" w:hAnsi="宋体"/>
          <w:b/>
          <w:sz w:val="24"/>
          <w:szCs w:val="24"/>
        </w:rPr>
        <w:t>四、投诉事项具体内容</w:t>
      </w:r>
    </w:p>
    <w:p w14:paraId="0EB59D63">
      <w:pPr>
        <w:spacing w:line="360" w:lineRule="auto"/>
        <w:ind w:left="25" w:leftChars="12" w:firstLine="472" w:firstLineChars="197"/>
        <w:rPr>
          <w:rFonts w:hAnsi="宋体"/>
          <w:bCs/>
          <w:sz w:val="24"/>
          <w:szCs w:val="24"/>
          <w:u w:val="single"/>
        </w:rPr>
      </w:pPr>
      <w:r>
        <w:rPr>
          <w:rFonts w:hint="eastAsia" w:hAnsi="宋体"/>
          <w:sz w:val="24"/>
          <w:szCs w:val="24"/>
        </w:rPr>
        <w:t>投诉事项</w:t>
      </w:r>
      <w:r>
        <w:rPr>
          <w:rFonts w:hAnsi="宋体"/>
          <w:sz w:val="24"/>
          <w:szCs w:val="24"/>
        </w:rPr>
        <w:t>1</w:t>
      </w:r>
      <w:r>
        <w:rPr>
          <w:rFonts w:hint="eastAsia" w:hAnsi="宋体"/>
          <w:sz w:val="24"/>
          <w:szCs w:val="24"/>
        </w:rPr>
        <w:t>：</w:t>
      </w:r>
      <w:r>
        <w:rPr>
          <w:rFonts w:hAnsi="宋体"/>
          <w:bCs/>
          <w:sz w:val="24"/>
          <w:szCs w:val="24"/>
          <w:u w:val="single"/>
        </w:rPr>
        <w:t xml:space="preserve">                                                                           </w:t>
      </w:r>
    </w:p>
    <w:p w14:paraId="323D04F7">
      <w:pPr>
        <w:spacing w:line="360" w:lineRule="auto"/>
        <w:ind w:firstLine="480" w:firstLineChars="200"/>
        <w:rPr>
          <w:rFonts w:hAnsi="宋体"/>
          <w:bCs/>
          <w:sz w:val="24"/>
          <w:szCs w:val="24"/>
          <w:u w:val="single"/>
        </w:rPr>
      </w:pPr>
      <w:r>
        <w:rPr>
          <w:rFonts w:hint="eastAsia" w:hAnsi="宋体"/>
          <w:bCs/>
          <w:sz w:val="24"/>
          <w:szCs w:val="24"/>
        </w:rPr>
        <w:t>事实依据：</w:t>
      </w:r>
      <w:r>
        <w:rPr>
          <w:rFonts w:hAnsi="宋体"/>
          <w:sz w:val="24"/>
          <w:szCs w:val="24"/>
        </w:rPr>
        <w:t xml:space="preserve"> </w:t>
      </w:r>
      <w:r>
        <w:rPr>
          <w:rFonts w:hAnsi="宋体"/>
          <w:bCs/>
          <w:sz w:val="24"/>
          <w:szCs w:val="24"/>
          <w:u w:val="single"/>
        </w:rPr>
        <w:t xml:space="preserve">                                                                                      </w:t>
      </w:r>
    </w:p>
    <w:p w14:paraId="558F255B">
      <w:pPr>
        <w:spacing w:line="360" w:lineRule="auto"/>
        <w:ind w:left="25" w:leftChars="12" w:firstLine="472" w:firstLineChars="197"/>
        <w:rPr>
          <w:rFonts w:hAnsi="宋体"/>
          <w:sz w:val="24"/>
          <w:szCs w:val="24"/>
        </w:rPr>
      </w:pPr>
      <w:r>
        <w:rPr>
          <w:rFonts w:hAnsi="宋体"/>
          <w:bCs/>
          <w:sz w:val="24"/>
          <w:szCs w:val="24"/>
          <w:u w:val="single"/>
        </w:rPr>
        <w:t xml:space="preserve">                                                                                        </w:t>
      </w:r>
    </w:p>
    <w:p w14:paraId="3451A3A5">
      <w:pPr>
        <w:spacing w:line="360" w:lineRule="auto"/>
        <w:ind w:firstLine="480" w:firstLineChars="200"/>
        <w:rPr>
          <w:rFonts w:hAnsi="宋体"/>
          <w:bCs/>
          <w:sz w:val="24"/>
          <w:szCs w:val="24"/>
          <w:u w:val="single"/>
        </w:rPr>
      </w:pPr>
      <w:r>
        <w:rPr>
          <w:rFonts w:hint="eastAsia" w:hAnsi="宋体"/>
          <w:bCs/>
          <w:sz w:val="24"/>
          <w:szCs w:val="24"/>
        </w:rPr>
        <w:t>法律依据：</w:t>
      </w:r>
      <w:r>
        <w:rPr>
          <w:rFonts w:hAnsi="宋体"/>
          <w:sz w:val="24"/>
          <w:szCs w:val="24"/>
        </w:rPr>
        <w:t xml:space="preserve"> </w:t>
      </w:r>
      <w:r>
        <w:rPr>
          <w:rFonts w:hAnsi="宋体"/>
          <w:bCs/>
          <w:sz w:val="24"/>
          <w:szCs w:val="24"/>
          <w:u w:val="single"/>
        </w:rPr>
        <w:t xml:space="preserve">                                                                                      </w:t>
      </w:r>
    </w:p>
    <w:p w14:paraId="56F45C3E">
      <w:pPr>
        <w:spacing w:line="360" w:lineRule="auto"/>
        <w:ind w:left="25" w:leftChars="12" w:firstLine="352" w:firstLineChars="147"/>
        <w:rPr>
          <w:rFonts w:hAnsi="宋体"/>
          <w:bCs/>
          <w:sz w:val="24"/>
          <w:szCs w:val="24"/>
          <w:u w:val="single"/>
        </w:rPr>
      </w:pPr>
      <w:r>
        <w:rPr>
          <w:rFonts w:hAnsi="宋体"/>
          <w:bCs/>
          <w:sz w:val="24"/>
          <w:szCs w:val="24"/>
        </w:rPr>
        <w:t xml:space="preserve"> </w:t>
      </w:r>
      <w:r>
        <w:rPr>
          <w:rFonts w:hAnsi="宋体"/>
          <w:bCs/>
          <w:sz w:val="24"/>
          <w:szCs w:val="24"/>
          <w:u w:val="single"/>
        </w:rPr>
        <w:t xml:space="preserve">                                                                                        </w:t>
      </w:r>
    </w:p>
    <w:p w14:paraId="2E3848D0">
      <w:pPr>
        <w:spacing w:line="360" w:lineRule="auto"/>
        <w:ind w:left="25" w:leftChars="12" w:firstLine="472" w:firstLineChars="197"/>
        <w:rPr>
          <w:rFonts w:hAnsi="宋体"/>
          <w:bCs/>
          <w:sz w:val="24"/>
          <w:szCs w:val="24"/>
        </w:rPr>
      </w:pPr>
      <w:r>
        <w:rPr>
          <w:rFonts w:hint="eastAsia" w:hAnsi="宋体"/>
          <w:sz w:val="24"/>
          <w:szCs w:val="24"/>
        </w:rPr>
        <w:t>投诉事项</w:t>
      </w:r>
      <w:r>
        <w:rPr>
          <w:rFonts w:hAnsi="宋体"/>
          <w:sz w:val="24"/>
          <w:szCs w:val="24"/>
        </w:rPr>
        <w:t xml:space="preserve">2  </w:t>
      </w:r>
      <w:r>
        <w:rPr>
          <w:rFonts w:hAnsi="宋体"/>
          <w:bCs/>
          <w:sz w:val="24"/>
          <w:szCs w:val="24"/>
        </w:rPr>
        <w:t xml:space="preserve">   </w:t>
      </w:r>
    </w:p>
    <w:p w14:paraId="65F8DF6F">
      <w:pPr>
        <w:spacing w:line="360" w:lineRule="auto"/>
        <w:ind w:left="25" w:leftChars="12" w:firstLine="472" w:firstLineChars="197"/>
        <w:rPr>
          <w:rFonts w:hAnsi="宋体"/>
          <w:bCs/>
          <w:sz w:val="24"/>
          <w:szCs w:val="24"/>
        </w:rPr>
      </w:pPr>
      <w:r>
        <w:rPr>
          <w:rFonts w:hint="eastAsia" w:hAnsi="宋体"/>
          <w:bCs/>
          <w:sz w:val="24"/>
          <w:szCs w:val="24"/>
        </w:rPr>
        <w:t>……</w:t>
      </w:r>
    </w:p>
    <w:p w14:paraId="202E6D47">
      <w:pPr>
        <w:spacing w:line="360" w:lineRule="auto"/>
        <w:ind w:left="25" w:leftChars="12" w:firstLine="472" w:firstLineChars="196"/>
        <w:rPr>
          <w:rFonts w:hAnsi="宋体"/>
          <w:b/>
          <w:sz w:val="24"/>
          <w:szCs w:val="24"/>
        </w:rPr>
      </w:pPr>
      <w:r>
        <w:rPr>
          <w:rFonts w:hint="eastAsia" w:hAnsi="宋体"/>
          <w:b/>
          <w:sz w:val="24"/>
          <w:szCs w:val="24"/>
        </w:rPr>
        <w:t>五、与投诉事项相关的投诉请求：</w:t>
      </w:r>
    </w:p>
    <w:p w14:paraId="003E9B3A">
      <w:pPr>
        <w:spacing w:line="360" w:lineRule="auto"/>
        <w:ind w:left="25" w:leftChars="12" w:firstLine="472" w:firstLineChars="197"/>
        <w:rPr>
          <w:rFonts w:hAnsi="宋体"/>
          <w:sz w:val="24"/>
          <w:szCs w:val="24"/>
        </w:rPr>
      </w:pPr>
      <w:r>
        <w:rPr>
          <w:rFonts w:hint="eastAsia" w:hAnsi="宋体"/>
          <w:sz w:val="24"/>
          <w:szCs w:val="24"/>
        </w:rPr>
        <w:t>请求：</w:t>
      </w:r>
      <w:r>
        <w:rPr>
          <w:rFonts w:hAnsi="宋体"/>
          <w:bCs/>
          <w:sz w:val="24"/>
          <w:szCs w:val="24"/>
          <w:u w:val="single"/>
        </w:rPr>
        <w:t xml:space="preserve">                                                                                 </w:t>
      </w:r>
    </w:p>
    <w:p w14:paraId="5E88F24D">
      <w:pPr>
        <w:spacing w:line="360" w:lineRule="auto"/>
        <w:ind w:left="25" w:leftChars="12" w:firstLine="352" w:firstLineChars="147"/>
        <w:rPr>
          <w:rFonts w:hAnsi="宋体"/>
          <w:sz w:val="24"/>
          <w:szCs w:val="24"/>
        </w:rPr>
      </w:pPr>
    </w:p>
    <w:p w14:paraId="36E71571">
      <w:pPr>
        <w:spacing w:line="360" w:lineRule="auto"/>
        <w:ind w:left="25" w:leftChars="12" w:firstLine="472" w:firstLineChars="197"/>
        <w:rPr>
          <w:rFonts w:hAnsi="宋体"/>
          <w:sz w:val="24"/>
          <w:szCs w:val="24"/>
        </w:rPr>
      </w:pPr>
      <w:r>
        <w:rPr>
          <w:rFonts w:hint="eastAsia" w:hAnsi="宋体"/>
          <w:sz w:val="24"/>
          <w:szCs w:val="24"/>
        </w:rPr>
        <w:t>签字（签章）：</w:t>
      </w:r>
      <w:r>
        <w:rPr>
          <w:rFonts w:hAnsi="宋体"/>
          <w:sz w:val="24"/>
          <w:szCs w:val="24"/>
        </w:rPr>
        <w:t xml:space="preserve">                                       </w:t>
      </w:r>
      <w:r>
        <w:rPr>
          <w:rFonts w:hint="eastAsia" w:hAnsi="宋体"/>
          <w:sz w:val="24"/>
          <w:szCs w:val="24"/>
        </w:rPr>
        <w:t>公章：</w:t>
      </w:r>
    </w:p>
    <w:p w14:paraId="2B41EA03">
      <w:pPr>
        <w:spacing w:line="360" w:lineRule="auto"/>
        <w:ind w:left="25" w:leftChars="12" w:firstLine="352" w:firstLineChars="147"/>
        <w:rPr>
          <w:rFonts w:hAnsi="宋体"/>
          <w:sz w:val="24"/>
          <w:szCs w:val="24"/>
        </w:rPr>
      </w:pPr>
    </w:p>
    <w:p w14:paraId="7A311BFB">
      <w:pPr>
        <w:spacing w:line="360" w:lineRule="auto"/>
        <w:ind w:left="25" w:leftChars="12" w:firstLine="472" w:firstLineChars="197"/>
        <w:rPr>
          <w:rFonts w:hAnsi="宋体"/>
          <w:sz w:val="24"/>
          <w:szCs w:val="24"/>
        </w:rPr>
      </w:pPr>
      <w:r>
        <w:rPr>
          <w:rFonts w:hint="eastAsia" w:hAnsi="宋体"/>
          <w:sz w:val="24"/>
          <w:szCs w:val="24"/>
        </w:rPr>
        <w:t>日期：</w:t>
      </w:r>
    </w:p>
    <w:p w14:paraId="34313D38">
      <w:pPr>
        <w:snapToGrid w:val="0"/>
        <w:spacing w:line="360" w:lineRule="auto"/>
        <w:ind w:firstLine="482"/>
        <w:rPr>
          <w:rFonts w:hAnsi="宋体"/>
          <w:b/>
          <w:sz w:val="24"/>
          <w:szCs w:val="24"/>
        </w:rPr>
      </w:pPr>
      <w:r>
        <w:rPr>
          <w:rFonts w:hint="eastAsia" w:hAnsi="宋体"/>
          <w:b/>
          <w:sz w:val="24"/>
          <w:szCs w:val="24"/>
        </w:rPr>
        <w:t>说明：</w:t>
      </w:r>
    </w:p>
    <w:p w14:paraId="375E3972">
      <w:pPr>
        <w:spacing w:line="360" w:lineRule="auto"/>
        <w:ind w:left="25" w:leftChars="12" w:firstLine="354" w:firstLineChars="147"/>
        <w:rPr>
          <w:rFonts w:hAnsi="宋体"/>
          <w:b/>
          <w:bCs/>
          <w:sz w:val="24"/>
          <w:szCs w:val="24"/>
        </w:rPr>
      </w:pPr>
      <w:r>
        <w:rPr>
          <w:rFonts w:hAnsi="宋体"/>
          <w:b/>
          <w:sz w:val="24"/>
          <w:szCs w:val="24"/>
        </w:rPr>
        <w:t>1.</w:t>
      </w:r>
      <w:r>
        <w:rPr>
          <w:rFonts w:hint="eastAsia" w:hAnsi="宋体"/>
          <w:b/>
          <w:sz w:val="24"/>
          <w:szCs w:val="24"/>
        </w:rPr>
        <w:t>投诉人提起投诉时，应当提交投诉书和必要的证明材料，并按照被投诉人和与投诉事项有关的供应商数量提供投诉书副本</w:t>
      </w:r>
      <w:r>
        <w:rPr>
          <w:rFonts w:hint="eastAsia" w:hAnsi="宋体"/>
          <w:b/>
          <w:bCs/>
          <w:sz w:val="24"/>
          <w:szCs w:val="24"/>
        </w:rPr>
        <w:t>。</w:t>
      </w:r>
    </w:p>
    <w:p w14:paraId="4AACB325">
      <w:pPr>
        <w:spacing w:line="360" w:lineRule="auto"/>
        <w:ind w:left="25" w:leftChars="12" w:firstLine="354" w:firstLineChars="147"/>
        <w:rPr>
          <w:rFonts w:hAnsi="宋体"/>
          <w:b/>
          <w:sz w:val="24"/>
          <w:szCs w:val="24"/>
        </w:rPr>
      </w:pPr>
      <w:r>
        <w:rPr>
          <w:rFonts w:hAnsi="宋体"/>
          <w:b/>
          <w:sz w:val="24"/>
          <w:szCs w:val="24"/>
        </w:rPr>
        <w:t>2.</w:t>
      </w:r>
      <w:r>
        <w:rPr>
          <w:rFonts w:hint="eastAsia" w:hAnsi="宋体"/>
          <w:b/>
          <w:sz w:val="24"/>
          <w:szCs w:val="24"/>
        </w:rPr>
        <w:t>投诉人若委托代理人进行投诉的，投诉书应按要求列明“授权代表”的有关内容，并在附件中提交由投诉人签署的授权委托书。授权委托书应当载明代理人的姓名或者名称、代理事项、具体权限、期限和相关事项。</w:t>
      </w:r>
    </w:p>
    <w:p w14:paraId="0844D93B">
      <w:pPr>
        <w:spacing w:line="360" w:lineRule="auto"/>
        <w:ind w:left="25" w:leftChars="12" w:firstLine="354" w:firstLineChars="147"/>
        <w:rPr>
          <w:rFonts w:hAnsi="宋体"/>
          <w:b/>
          <w:sz w:val="24"/>
          <w:szCs w:val="24"/>
        </w:rPr>
      </w:pPr>
      <w:r>
        <w:rPr>
          <w:rFonts w:hAnsi="宋体"/>
          <w:b/>
          <w:sz w:val="24"/>
          <w:szCs w:val="24"/>
        </w:rPr>
        <w:t>3.</w:t>
      </w:r>
      <w:r>
        <w:rPr>
          <w:rFonts w:hint="eastAsia" w:hAnsi="宋体"/>
          <w:b/>
          <w:sz w:val="24"/>
          <w:szCs w:val="24"/>
        </w:rPr>
        <w:t>投诉书应简要列明质疑事项，质疑函、质疑答复等作为附件材料提供。</w:t>
      </w:r>
    </w:p>
    <w:p w14:paraId="2ABD7845">
      <w:pPr>
        <w:spacing w:line="360" w:lineRule="auto"/>
        <w:ind w:left="25" w:leftChars="12" w:firstLine="354" w:firstLineChars="147"/>
        <w:rPr>
          <w:rFonts w:hAnsi="宋体"/>
          <w:b/>
          <w:sz w:val="24"/>
          <w:szCs w:val="24"/>
        </w:rPr>
      </w:pPr>
      <w:r>
        <w:rPr>
          <w:rFonts w:hAnsi="宋体"/>
          <w:b/>
          <w:sz w:val="24"/>
          <w:szCs w:val="24"/>
        </w:rPr>
        <w:t>4.</w:t>
      </w:r>
      <w:r>
        <w:rPr>
          <w:rFonts w:hint="eastAsia" w:hAnsi="宋体"/>
          <w:b/>
          <w:sz w:val="24"/>
          <w:szCs w:val="24"/>
        </w:rPr>
        <w:t>投诉书的投诉事项应具体、明确，并有必要的事实依据和法律依据。</w:t>
      </w:r>
    </w:p>
    <w:p w14:paraId="7A4D1863">
      <w:pPr>
        <w:spacing w:line="360" w:lineRule="auto"/>
        <w:ind w:left="25" w:leftChars="12" w:firstLine="354" w:firstLineChars="147"/>
        <w:rPr>
          <w:rFonts w:hAnsi="宋体"/>
          <w:b/>
          <w:sz w:val="24"/>
          <w:szCs w:val="24"/>
        </w:rPr>
      </w:pPr>
      <w:r>
        <w:rPr>
          <w:rFonts w:hAnsi="宋体"/>
          <w:b/>
          <w:sz w:val="24"/>
          <w:szCs w:val="24"/>
        </w:rPr>
        <w:t>5.</w:t>
      </w:r>
      <w:r>
        <w:rPr>
          <w:rFonts w:hint="eastAsia" w:hAnsi="宋体"/>
          <w:b/>
          <w:sz w:val="24"/>
          <w:szCs w:val="24"/>
        </w:rPr>
        <w:t>投诉书的投诉请求应与投诉事项相关。</w:t>
      </w:r>
    </w:p>
    <w:p w14:paraId="704BB901">
      <w:pPr>
        <w:spacing w:line="360" w:lineRule="auto"/>
        <w:ind w:left="25" w:leftChars="12" w:firstLine="354" w:firstLineChars="147"/>
        <w:rPr>
          <w:rFonts w:hAnsi="宋体"/>
          <w:b/>
        </w:rPr>
      </w:pPr>
      <w:r>
        <w:rPr>
          <w:rFonts w:hAnsi="宋体"/>
          <w:b/>
          <w:sz w:val="24"/>
          <w:szCs w:val="24"/>
        </w:rPr>
        <w:t>6.</w:t>
      </w:r>
      <w:r>
        <w:rPr>
          <w:rFonts w:hint="eastAsia" w:hAnsi="宋体"/>
          <w:b/>
          <w:sz w:val="24"/>
          <w:szCs w:val="24"/>
        </w:rPr>
        <w:t>投诉人为法人或者其他组织的，投诉书应由法定代表人、主要负责人，或者其授权代表签字或者盖章，并加盖公章。</w:t>
      </w:r>
    </w:p>
    <w:p w14:paraId="776EE58F"/>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088053F3-9588-430B-9FE4-20FD17B972FD}"/>
  </w:font>
  <w:font w:name="黑体">
    <w:panose1 w:val="02010609060101010101"/>
    <w:charset w:val="86"/>
    <w:family w:val="auto"/>
    <w:pitch w:val="default"/>
    <w:sig w:usb0="800002BF" w:usb1="38CF7CFA" w:usb2="00000016" w:usb3="00000000" w:csb0="00040001" w:csb1="00000000"/>
    <w:embedRegular r:id="rId2" w:fontKey="{97348586-82BF-4B62-817D-E812DFA05F70}"/>
  </w:font>
  <w:font w:name="Courier New">
    <w:panose1 w:val="02070309020205020404"/>
    <w:charset w:val="01"/>
    <w:family w:val="modern"/>
    <w:pitch w:val="default"/>
    <w:sig w:usb0="E0002AFF" w:usb1="C0007843" w:usb2="00000009" w:usb3="00000000" w:csb0="400001FF" w:csb1="FFFF0000"/>
    <w:embedRegular r:id="rId3" w:fontKey="{CB785CBA-1134-4819-BDE2-B747177AF8EC}"/>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4" w:fontKey="{A8FAB12D-C4CE-4A82-A4FD-23163193A737}"/>
  </w:font>
  <w:font w:name="仿宋_GB2312">
    <w:altName w:val="仿宋"/>
    <w:panose1 w:val="02010609030101010101"/>
    <w:charset w:val="86"/>
    <w:family w:val="modern"/>
    <w:pitch w:val="default"/>
    <w:sig w:usb0="00000000" w:usb1="00000000" w:usb2="00000000" w:usb3="00000000" w:csb0="00040000" w:csb1="00000000"/>
    <w:embedRegular r:id="rId5" w:fontKey="{E1AAFF4D-8DC4-4F87-A302-93176BB1E89A}"/>
  </w:font>
  <w:font w:name="仿宋">
    <w:panose1 w:val="02010609060101010101"/>
    <w:charset w:val="86"/>
    <w:family w:val="auto"/>
    <w:pitch w:val="default"/>
    <w:sig w:usb0="800002BF" w:usb1="38CF7CFA" w:usb2="00000016" w:usb3="00000000" w:csb0="00040001" w:csb1="00000000"/>
    <w:embedRegular r:id="rId6" w:fontKey="{D796CC57-C37B-4970-B57E-FFEB80AE8A26}"/>
  </w:font>
  <w:font w:name="Cambria">
    <w:panose1 w:val="02040503050406030204"/>
    <w:charset w:val="00"/>
    <w:family w:val="roman"/>
    <w:pitch w:val="default"/>
    <w:sig w:usb0="E00002FF" w:usb1="400004FF" w:usb2="00000000" w:usb3="00000000" w:csb0="2000019F" w:csb1="00000000"/>
    <w:embedRegular r:id="rId7" w:fontKey="{23F6FEBE-3D29-4C42-81C1-3FE18523BEDD}"/>
  </w:font>
  <w:font w:name="楷体">
    <w:panose1 w:val="02010609060101010101"/>
    <w:charset w:val="86"/>
    <w:family w:val="modern"/>
    <w:pitch w:val="default"/>
    <w:sig w:usb0="800002BF" w:usb1="38CF7CFA" w:usb2="00000016" w:usb3="00000000" w:csb0="00040001" w:csb1="00000000"/>
    <w:embedRegular r:id="rId8" w:fontKey="{9CB58758-05AB-4AD8-AB7D-B226068DE78D}"/>
  </w:font>
  <w:font w:name="等线">
    <w:altName w:val="Arial Unicode MS"/>
    <w:panose1 w:val="02010600030101010101"/>
    <w:charset w:val="86"/>
    <w:family w:val="auto"/>
    <w:pitch w:val="default"/>
    <w:sig w:usb0="00000000" w:usb1="00000000" w:usb2="00000016" w:usb3="00000000" w:csb0="0004000F" w:csb1="00000000"/>
    <w:embedRegular r:id="rId9" w:fontKey="{04DB27C0-E4D6-4A8C-B4BF-B0ACDB8D2DB8}"/>
  </w:font>
  <w:font w:name="Arial Unicode MS">
    <w:panose1 w:val="020B0604020202020204"/>
    <w:charset w:val="86"/>
    <w:family w:val="auto"/>
    <w:pitch w:val="default"/>
    <w:sig w:usb0="FFFFFFFF" w:usb1="E9FFFFFF" w:usb2="0000003F" w:usb3="00000000" w:csb0="603F01FF" w:csb1="FFFF0000"/>
    <w:embedRegular r:id="rId10" w:fontKey="{03870228-352A-4D2F-9D1A-75C69054F26B}"/>
  </w:font>
  <w:font w:name="微软雅黑">
    <w:panose1 w:val="020B0503020204020204"/>
    <w:charset w:val="86"/>
    <w:family w:val="swiss"/>
    <w:pitch w:val="default"/>
    <w:sig w:usb0="80000287" w:usb1="280F3C52" w:usb2="00000016" w:usb3="00000000" w:csb0="0004001F" w:csb1="00000000"/>
    <w:embedRegular r:id="rId11" w:fontKey="{B479F74B-90FD-4491-B57F-E1EBB912E764}"/>
  </w:font>
  <w:font w:name="MS Mincho">
    <w:panose1 w:val="02020609040205080304"/>
    <w:charset w:val="80"/>
    <w:family w:val="modern"/>
    <w:pitch w:val="default"/>
    <w:sig w:usb0="E00002FF" w:usb1="6AC7FDFB" w:usb2="00000012" w:usb3="00000000" w:csb0="4002009F" w:csb1="DFD70000"/>
    <w:embedRegular r:id="rId12" w:fontKey="{AA43C239-A123-4E60-A87E-A57E6147D6CA}"/>
  </w:font>
  <w:font w:name="Helvetica">
    <w:altName w:val="Arial"/>
    <w:panose1 w:val="020B0504020202030204"/>
    <w:charset w:val="00"/>
    <w:family w:val="swiss"/>
    <w:pitch w:val="default"/>
    <w:sig w:usb0="00000000" w:usb1="00000000" w:usb2="00000000" w:usb3="00000000" w:csb0="00000093" w:csb1="00000000"/>
    <w:embedRegular r:id="rId13" w:fontKey="{E867B8BF-A65F-4875-A08E-918324586B7A}"/>
  </w:font>
  <w:font w:name="方正小标宋简体">
    <w:panose1 w:val="02000000000000000000"/>
    <w:charset w:val="86"/>
    <w:family w:val="script"/>
    <w:pitch w:val="default"/>
    <w:sig w:usb0="00000001" w:usb1="08000000" w:usb2="00000000" w:usb3="00000000" w:csb0="00040000" w:csb1="00000000"/>
    <w:embedRegular r:id="rId14" w:fontKey="{A2190B5C-840F-4CC6-A537-CD1571757824}"/>
  </w:font>
  <w:font w:name="隶书">
    <w:panose1 w:val="02010509060101010101"/>
    <w:charset w:val="86"/>
    <w:family w:val="modern"/>
    <w:pitch w:val="default"/>
    <w:sig w:usb0="00000001" w:usb1="080E0000" w:usb2="00000000" w:usb3="00000000" w:csb0="00040000" w:csb1="00000000"/>
    <w:embedRegular r:id="rId15" w:fontKey="{DBFBA137-D90F-4585-B5D2-3F18769BC75C}"/>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C1C27">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6B294">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0C05CD">
                          <w:pPr>
                            <w:pStyle w:val="6"/>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0C05CD">
                    <w:pPr>
                      <w:pStyle w:val="6"/>
                    </w:pPr>
                    <w:r>
                      <w:fldChar w:fldCharType="begin"/>
                    </w:r>
                    <w:r>
                      <w:instrText xml:space="preserve"> PAGE  \* MERGEFORMAT </w:instrText>
                    </w:r>
                    <w:r>
                      <w:fldChar w:fldCharType="separate"/>
                    </w:r>
                    <w:r>
                      <w:t>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64FF8">
    <w:pPr>
      <w:pStyle w:val="7"/>
      <w:rPr>
        <w:rFonts w:hint="default" w:eastAsia="宋体"/>
        <w:lang w:val="en-US" w:eastAsia="zh-CN"/>
      </w:rPr>
    </w:pPr>
    <w:r>
      <w:rPr>
        <w:rFonts w:hint="eastAsia"/>
        <w:lang w:val="en-US" w:eastAsia="zh-CN"/>
      </w:rPr>
      <w:t>2026年上林县幼儿园设备采购项目（重）                            项目编号：（NNZC2026-J1-250095-SLXZ）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247F97"/>
    <w:multiLevelType w:val="singleLevel"/>
    <w:tmpl w:val="A0247F97"/>
    <w:lvl w:ilvl="0" w:tentative="0">
      <w:start w:val="1"/>
      <w:numFmt w:val="decimal"/>
      <w:suff w:val="nothing"/>
      <w:lvlText w:val="%1、"/>
      <w:lvlJc w:val="left"/>
    </w:lvl>
  </w:abstractNum>
  <w:abstractNum w:abstractNumId="1">
    <w:nsid w:val="AB6023AD"/>
    <w:multiLevelType w:val="singleLevel"/>
    <w:tmpl w:val="AB6023AD"/>
    <w:lvl w:ilvl="0" w:tentative="0">
      <w:start w:val="1"/>
      <w:numFmt w:val="decimal"/>
      <w:suff w:val="nothing"/>
      <w:lvlText w:val="%1、"/>
      <w:lvlJc w:val="left"/>
    </w:lvl>
  </w:abstractNum>
  <w:abstractNum w:abstractNumId="2">
    <w:nsid w:val="D156B45F"/>
    <w:multiLevelType w:val="singleLevel"/>
    <w:tmpl w:val="D156B45F"/>
    <w:lvl w:ilvl="0" w:tentative="0">
      <w:start w:val="1"/>
      <w:numFmt w:val="chineseCounting"/>
      <w:suff w:val="nothing"/>
      <w:lvlText w:val="%1、"/>
      <w:lvlJc w:val="left"/>
      <w:rPr>
        <w:rFonts w:hint="eastAsia"/>
      </w:rPr>
    </w:lvl>
  </w:abstractNum>
  <w:abstractNum w:abstractNumId="3">
    <w:nsid w:val="F5B43D08"/>
    <w:multiLevelType w:val="multilevel"/>
    <w:tmpl w:val="F5B43D0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080C54BD"/>
    <w:multiLevelType w:val="multilevel"/>
    <w:tmpl w:val="080C54B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0E0B2F03"/>
    <w:multiLevelType w:val="singleLevel"/>
    <w:tmpl w:val="0E0B2F03"/>
    <w:lvl w:ilvl="0" w:tentative="0">
      <w:start w:val="1"/>
      <w:numFmt w:val="decimal"/>
      <w:suff w:val="nothing"/>
      <w:lvlText w:val="%1、"/>
      <w:lvlJc w:val="left"/>
    </w:lvl>
  </w:abstractNum>
  <w:abstractNum w:abstractNumId="6">
    <w:nsid w:val="1986D7A5"/>
    <w:multiLevelType w:val="singleLevel"/>
    <w:tmpl w:val="1986D7A5"/>
    <w:lvl w:ilvl="0" w:tentative="0">
      <w:start w:val="1"/>
      <w:numFmt w:val="decimal"/>
      <w:suff w:val="nothing"/>
      <w:lvlText w:val="%1、"/>
      <w:lvlJc w:val="left"/>
    </w:lvl>
  </w:abstractNum>
  <w:abstractNum w:abstractNumId="7">
    <w:nsid w:val="23786864"/>
    <w:multiLevelType w:val="singleLevel"/>
    <w:tmpl w:val="23786864"/>
    <w:lvl w:ilvl="0" w:tentative="0">
      <w:start w:val="1"/>
      <w:numFmt w:val="decimal"/>
      <w:suff w:val="nothing"/>
      <w:lvlText w:val="%1、"/>
      <w:lvlJc w:val="left"/>
    </w:lvl>
  </w:abstractNum>
  <w:abstractNum w:abstractNumId="8">
    <w:nsid w:val="2406A07B"/>
    <w:multiLevelType w:val="singleLevel"/>
    <w:tmpl w:val="2406A07B"/>
    <w:lvl w:ilvl="0" w:tentative="0">
      <w:start w:val="7"/>
      <w:numFmt w:val="chineseCounting"/>
      <w:suff w:val="nothing"/>
      <w:lvlText w:val="%1、"/>
      <w:lvlJc w:val="left"/>
      <w:rPr>
        <w:rFonts w:hint="eastAsia"/>
      </w:rPr>
    </w:lvl>
  </w:abstractNum>
  <w:abstractNum w:abstractNumId="9">
    <w:nsid w:val="295C4F41"/>
    <w:multiLevelType w:val="singleLevel"/>
    <w:tmpl w:val="295C4F41"/>
    <w:lvl w:ilvl="0" w:tentative="0">
      <w:start w:val="1"/>
      <w:numFmt w:val="decimal"/>
      <w:lvlText w:val="%1."/>
      <w:lvlJc w:val="left"/>
      <w:pPr>
        <w:tabs>
          <w:tab w:val="left" w:pos="312"/>
        </w:tabs>
      </w:pPr>
    </w:lvl>
  </w:abstractNum>
  <w:abstractNum w:abstractNumId="10">
    <w:nsid w:val="4BD29C18"/>
    <w:multiLevelType w:val="multilevel"/>
    <w:tmpl w:val="4BD29C1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1">
    <w:nsid w:val="4C214ACA"/>
    <w:multiLevelType w:val="singleLevel"/>
    <w:tmpl w:val="4C214ACA"/>
    <w:lvl w:ilvl="0" w:tentative="0">
      <w:start w:val="1"/>
      <w:numFmt w:val="decimal"/>
      <w:lvlText w:val="%1."/>
      <w:lvlJc w:val="left"/>
      <w:pPr>
        <w:tabs>
          <w:tab w:val="left" w:pos="312"/>
        </w:tabs>
      </w:pPr>
    </w:lvl>
  </w:abstractNum>
  <w:abstractNum w:abstractNumId="12">
    <w:nsid w:val="66483EE5"/>
    <w:multiLevelType w:val="multilevel"/>
    <w:tmpl w:val="66483EE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3">
    <w:nsid w:val="6781EB39"/>
    <w:multiLevelType w:val="multilevel"/>
    <w:tmpl w:val="6781EB3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3"/>
  </w:num>
  <w:num w:numId="2">
    <w:abstractNumId w:val="10"/>
  </w:num>
  <w:num w:numId="3">
    <w:abstractNumId w:val="4"/>
  </w:num>
  <w:num w:numId="4">
    <w:abstractNumId w:val="13"/>
  </w:num>
  <w:num w:numId="5">
    <w:abstractNumId w:val="12"/>
  </w:num>
  <w:num w:numId="6">
    <w:abstractNumId w:val="6"/>
  </w:num>
  <w:num w:numId="7">
    <w:abstractNumId w:val="2"/>
  </w:num>
  <w:num w:numId="8">
    <w:abstractNumId w:val="1"/>
  </w:num>
  <w:num w:numId="9">
    <w:abstractNumId w:val="7"/>
  </w:num>
  <w:num w:numId="10">
    <w:abstractNumId w:val="9"/>
  </w:num>
  <w:num w:numId="11">
    <w:abstractNumId w:val="11"/>
  </w:num>
  <w:num w:numId="12">
    <w:abstractNumId w:val="0"/>
  </w:num>
  <w:num w:numId="13">
    <w:abstractNumId w:val="5"/>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0D46F2"/>
    <w:rsid w:val="0016245F"/>
    <w:rsid w:val="01302EDA"/>
    <w:rsid w:val="01304EC0"/>
    <w:rsid w:val="01447066"/>
    <w:rsid w:val="01E46229"/>
    <w:rsid w:val="02DE6B2C"/>
    <w:rsid w:val="030B573A"/>
    <w:rsid w:val="043A5387"/>
    <w:rsid w:val="047A5783"/>
    <w:rsid w:val="062D3033"/>
    <w:rsid w:val="06932B28"/>
    <w:rsid w:val="070253C0"/>
    <w:rsid w:val="070F4A82"/>
    <w:rsid w:val="075B74B8"/>
    <w:rsid w:val="07BE62CF"/>
    <w:rsid w:val="081700F5"/>
    <w:rsid w:val="082857CB"/>
    <w:rsid w:val="08407581"/>
    <w:rsid w:val="08F06081"/>
    <w:rsid w:val="09B81FF8"/>
    <w:rsid w:val="0A0A75A9"/>
    <w:rsid w:val="0A2F6943"/>
    <w:rsid w:val="0A4C2EA3"/>
    <w:rsid w:val="0A8F242E"/>
    <w:rsid w:val="0AD80180"/>
    <w:rsid w:val="0ADD5EF2"/>
    <w:rsid w:val="0BA146EC"/>
    <w:rsid w:val="0C3C3C66"/>
    <w:rsid w:val="0CF307C8"/>
    <w:rsid w:val="0D13424E"/>
    <w:rsid w:val="0D434FE0"/>
    <w:rsid w:val="0DD33834"/>
    <w:rsid w:val="0E362A5D"/>
    <w:rsid w:val="0F6E00F9"/>
    <w:rsid w:val="0F9242C9"/>
    <w:rsid w:val="0F9470D3"/>
    <w:rsid w:val="10417A9D"/>
    <w:rsid w:val="108F3FC5"/>
    <w:rsid w:val="10C40588"/>
    <w:rsid w:val="129A3494"/>
    <w:rsid w:val="13001549"/>
    <w:rsid w:val="13217A4A"/>
    <w:rsid w:val="139C0094"/>
    <w:rsid w:val="13BE4185"/>
    <w:rsid w:val="13BF7656"/>
    <w:rsid w:val="14432035"/>
    <w:rsid w:val="148475C0"/>
    <w:rsid w:val="14E1675A"/>
    <w:rsid w:val="162644CE"/>
    <w:rsid w:val="1631666E"/>
    <w:rsid w:val="163D4862"/>
    <w:rsid w:val="16D8502D"/>
    <w:rsid w:val="170D1F72"/>
    <w:rsid w:val="171A37D0"/>
    <w:rsid w:val="179E59D5"/>
    <w:rsid w:val="17CE3FB2"/>
    <w:rsid w:val="17EC02EE"/>
    <w:rsid w:val="17FC7646"/>
    <w:rsid w:val="180C0917"/>
    <w:rsid w:val="19130410"/>
    <w:rsid w:val="19A35324"/>
    <w:rsid w:val="1AA076FF"/>
    <w:rsid w:val="1AA629E0"/>
    <w:rsid w:val="1AC92A69"/>
    <w:rsid w:val="1B024856"/>
    <w:rsid w:val="1B982159"/>
    <w:rsid w:val="1BC55971"/>
    <w:rsid w:val="1C8E1008"/>
    <w:rsid w:val="1DCF0496"/>
    <w:rsid w:val="1E0560B9"/>
    <w:rsid w:val="1E1249C9"/>
    <w:rsid w:val="1E746D84"/>
    <w:rsid w:val="1E8729C0"/>
    <w:rsid w:val="1F096428"/>
    <w:rsid w:val="1F9E2816"/>
    <w:rsid w:val="2012484C"/>
    <w:rsid w:val="20883D0B"/>
    <w:rsid w:val="20DB741A"/>
    <w:rsid w:val="21657A51"/>
    <w:rsid w:val="21C32917"/>
    <w:rsid w:val="227401A7"/>
    <w:rsid w:val="22BF6927"/>
    <w:rsid w:val="22C4632E"/>
    <w:rsid w:val="22FA6131"/>
    <w:rsid w:val="23206139"/>
    <w:rsid w:val="23CE1C31"/>
    <w:rsid w:val="23E71185"/>
    <w:rsid w:val="241F0D4C"/>
    <w:rsid w:val="25082FAA"/>
    <w:rsid w:val="25495A04"/>
    <w:rsid w:val="256A4F48"/>
    <w:rsid w:val="257A33DD"/>
    <w:rsid w:val="2644028C"/>
    <w:rsid w:val="26906C30"/>
    <w:rsid w:val="26C1503C"/>
    <w:rsid w:val="26DD6BC2"/>
    <w:rsid w:val="273150EF"/>
    <w:rsid w:val="27C501F9"/>
    <w:rsid w:val="27E408AD"/>
    <w:rsid w:val="28561252"/>
    <w:rsid w:val="289A5B44"/>
    <w:rsid w:val="28F8244F"/>
    <w:rsid w:val="290C2EF0"/>
    <w:rsid w:val="2950368E"/>
    <w:rsid w:val="29855738"/>
    <w:rsid w:val="2B502995"/>
    <w:rsid w:val="2C1018B8"/>
    <w:rsid w:val="2C453755"/>
    <w:rsid w:val="2DB63420"/>
    <w:rsid w:val="2E8C55BF"/>
    <w:rsid w:val="2F8C27E2"/>
    <w:rsid w:val="30073655"/>
    <w:rsid w:val="301937F3"/>
    <w:rsid w:val="30247C12"/>
    <w:rsid w:val="30B92734"/>
    <w:rsid w:val="313651F0"/>
    <w:rsid w:val="317071E6"/>
    <w:rsid w:val="31A97892"/>
    <w:rsid w:val="325D41F6"/>
    <w:rsid w:val="32E93950"/>
    <w:rsid w:val="3305439E"/>
    <w:rsid w:val="33293FE2"/>
    <w:rsid w:val="33AF57CA"/>
    <w:rsid w:val="34713D29"/>
    <w:rsid w:val="34BD5094"/>
    <w:rsid w:val="35781C6D"/>
    <w:rsid w:val="35A52308"/>
    <w:rsid w:val="362F7AC6"/>
    <w:rsid w:val="36315D3A"/>
    <w:rsid w:val="363870C8"/>
    <w:rsid w:val="364516AF"/>
    <w:rsid w:val="36A42D42"/>
    <w:rsid w:val="36AB433D"/>
    <w:rsid w:val="37493F6A"/>
    <w:rsid w:val="37FE39FA"/>
    <w:rsid w:val="38457A6F"/>
    <w:rsid w:val="38DD4FCB"/>
    <w:rsid w:val="393D01A6"/>
    <w:rsid w:val="39665CFB"/>
    <w:rsid w:val="39697599"/>
    <w:rsid w:val="39AE7622"/>
    <w:rsid w:val="3A0B0650"/>
    <w:rsid w:val="3A331955"/>
    <w:rsid w:val="3A977FAE"/>
    <w:rsid w:val="3B2A71FC"/>
    <w:rsid w:val="3C8D4F6B"/>
    <w:rsid w:val="3CA76B12"/>
    <w:rsid w:val="3CCB40C7"/>
    <w:rsid w:val="3CE31410"/>
    <w:rsid w:val="3D534EB2"/>
    <w:rsid w:val="3D6A1B31"/>
    <w:rsid w:val="3DAC0FB3"/>
    <w:rsid w:val="3DE418E4"/>
    <w:rsid w:val="3DFC6C2D"/>
    <w:rsid w:val="3E497999"/>
    <w:rsid w:val="3FA9065D"/>
    <w:rsid w:val="404E6ADA"/>
    <w:rsid w:val="410D51C5"/>
    <w:rsid w:val="414774C4"/>
    <w:rsid w:val="416063DC"/>
    <w:rsid w:val="417B21DD"/>
    <w:rsid w:val="4217035F"/>
    <w:rsid w:val="43371B80"/>
    <w:rsid w:val="43660C53"/>
    <w:rsid w:val="440B18C9"/>
    <w:rsid w:val="446C3316"/>
    <w:rsid w:val="45B25DBF"/>
    <w:rsid w:val="45D63146"/>
    <w:rsid w:val="46677F98"/>
    <w:rsid w:val="46EE37D3"/>
    <w:rsid w:val="474500FE"/>
    <w:rsid w:val="47702C12"/>
    <w:rsid w:val="48955BB2"/>
    <w:rsid w:val="48D00F18"/>
    <w:rsid w:val="499248EA"/>
    <w:rsid w:val="4A111CB3"/>
    <w:rsid w:val="4A5B12B3"/>
    <w:rsid w:val="4A6103B5"/>
    <w:rsid w:val="4A856B54"/>
    <w:rsid w:val="4B032EF2"/>
    <w:rsid w:val="4B987FDE"/>
    <w:rsid w:val="4C951FA4"/>
    <w:rsid w:val="4CA30BBC"/>
    <w:rsid w:val="4CD805F1"/>
    <w:rsid w:val="4D5C5862"/>
    <w:rsid w:val="4D9E7587"/>
    <w:rsid w:val="4FCB3D0E"/>
    <w:rsid w:val="51321D6B"/>
    <w:rsid w:val="5205712C"/>
    <w:rsid w:val="523A6D37"/>
    <w:rsid w:val="52BC1043"/>
    <w:rsid w:val="532F30EC"/>
    <w:rsid w:val="536A66F2"/>
    <w:rsid w:val="537330F0"/>
    <w:rsid w:val="53C44028"/>
    <w:rsid w:val="54266E08"/>
    <w:rsid w:val="544B7F1F"/>
    <w:rsid w:val="54E56F6E"/>
    <w:rsid w:val="55672EB5"/>
    <w:rsid w:val="558701EF"/>
    <w:rsid w:val="560E17B5"/>
    <w:rsid w:val="562D06F0"/>
    <w:rsid w:val="56D504FC"/>
    <w:rsid w:val="56E83D9B"/>
    <w:rsid w:val="57004FD7"/>
    <w:rsid w:val="571E156B"/>
    <w:rsid w:val="575641B1"/>
    <w:rsid w:val="5798756F"/>
    <w:rsid w:val="582C0F81"/>
    <w:rsid w:val="587E1FDE"/>
    <w:rsid w:val="5A2947E6"/>
    <w:rsid w:val="5A3D07F3"/>
    <w:rsid w:val="5B732FD2"/>
    <w:rsid w:val="5BE847BA"/>
    <w:rsid w:val="5BF46E77"/>
    <w:rsid w:val="5C156FF2"/>
    <w:rsid w:val="5C6A37C7"/>
    <w:rsid w:val="5CB726A9"/>
    <w:rsid w:val="5E907E2E"/>
    <w:rsid w:val="5E9E11D4"/>
    <w:rsid w:val="5F0D314C"/>
    <w:rsid w:val="600A0F5C"/>
    <w:rsid w:val="611A5DAC"/>
    <w:rsid w:val="613C0526"/>
    <w:rsid w:val="61BD042A"/>
    <w:rsid w:val="628D57F7"/>
    <w:rsid w:val="62B42BA3"/>
    <w:rsid w:val="630C0804"/>
    <w:rsid w:val="63136BA7"/>
    <w:rsid w:val="63235A1C"/>
    <w:rsid w:val="633F4D43"/>
    <w:rsid w:val="639408A9"/>
    <w:rsid w:val="64B654D9"/>
    <w:rsid w:val="64D00088"/>
    <w:rsid w:val="651E0205"/>
    <w:rsid w:val="65335CBC"/>
    <w:rsid w:val="653A7EB8"/>
    <w:rsid w:val="65600071"/>
    <w:rsid w:val="6603474E"/>
    <w:rsid w:val="661F4B14"/>
    <w:rsid w:val="669872E1"/>
    <w:rsid w:val="671C049D"/>
    <w:rsid w:val="6759214B"/>
    <w:rsid w:val="67983E9B"/>
    <w:rsid w:val="67C131D4"/>
    <w:rsid w:val="6823604A"/>
    <w:rsid w:val="69215151"/>
    <w:rsid w:val="694A6CE4"/>
    <w:rsid w:val="695A5977"/>
    <w:rsid w:val="69937B96"/>
    <w:rsid w:val="6A0B3BD1"/>
    <w:rsid w:val="6B833C3B"/>
    <w:rsid w:val="6BC009EB"/>
    <w:rsid w:val="6BFC2657"/>
    <w:rsid w:val="6CB35262"/>
    <w:rsid w:val="6CEE5112"/>
    <w:rsid w:val="6D736D4F"/>
    <w:rsid w:val="6D933662"/>
    <w:rsid w:val="6DC511CC"/>
    <w:rsid w:val="6EDF6A55"/>
    <w:rsid w:val="6F5867BA"/>
    <w:rsid w:val="6F5E200A"/>
    <w:rsid w:val="6FEF1D95"/>
    <w:rsid w:val="70531E2E"/>
    <w:rsid w:val="708055A9"/>
    <w:rsid w:val="71092E34"/>
    <w:rsid w:val="7121425C"/>
    <w:rsid w:val="71CB0748"/>
    <w:rsid w:val="72192C03"/>
    <w:rsid w:val="72217C51"/>
    <w:rsid w:val="72B84822"/>
    <w:rsid w:val="72F07E08"/>
    <w:rsid w:val="735D7974"/>
    <w:rsid w:val="73A40BF2"/>
    <w:rsid w:val="73DB0AB8"/>
    <w:rsid w:val="74371495"/>
    <w:rsid w:val="744F337F"/>
    <w:rsid w:val="74E4399C"/>
    <w:rsid w:val="74EF5803"/>
    <w:rsid w:val="760D46F2"/>
    <w:rsid w:val="7612404B"/>
    <w:rsid w:val="76740D08"/>
    <w:rsid w:val="76861711"/>
    <w:rsid w:val="77A275D5"/>
    <w:rsid w:val="77ED2B68"/>
    <w:rsid w:val="78012DA4"/>
    <w:rsid w:val="780A088C"/>
    <w:rsid w:val="781047D4"/>
    <w:rsid w:val="7836593F"/>
    <w:rsid w:val="78393315"/>
    <w:rsid w:val="79C8233F"/>
    <w:rsid w:val="79CD0EA3"/>
    <w:rsid w:val="7A917E8A"/>
    <w:rsid w:val="7B62386D"/>
    <w:rsid w:val="7B7244ED"/>
    <w:rsid w:val="7B7D1600"/>
    <w:rsid w:val="7B8F1019"/>
    <w:rsid w:val="7BB2238C"/>
    <w:rsid w:val="7C1F52BA"/>
    <w:rsid w:val="7C824924"/>
    <w:rsid w:val="7D5F62B6"/>
    <w:rsid w:val="7D871EF1"/>
    <w:rsid w:val="7E0A340A"/>
    <w:rsid w:val="7E3643BE"/>
    <w:rsid w:val="7E522267"/>
    <w:rsid w:val="7E6D055E"/>
    <w:rsid w:val="7E974E4A"/>
    <w:rsid w:val="7EE34CC4"/>
    <w:rsid w:val="7F73558C"/>
    <w:rsid w:val="7FF57F11"/>
    <w:rsid w:val="7FFB36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keepNext w:val="0"/>
      <w:keepLines w:val="0"/>
      <w:widowControl w:val="0"/>
      <w:suppressLineNumbers w:val="0"/>
      <w:spacing w:before="0" w:beforeAutospacing="0" w:after="0" w:afterAutospacing="0"/>
      <w:ind w:left="0" w:right="0" w:firstLine="830" w:firstLineChars="352"/>
      <w:jc w:val="both"/>
    </w:pPr>
    <w:rPr>
      <w:rFonts w:hint="eastAsia" w:ascii="仿宋_GB2312" w:hAnsi="Times New Roman" w:eastAsia="仿宋_GB2312" w:cs="Times New Roman"/>
      <w:kern w:val="0"/>
      <w:sz w:val="32"/>
      <w:szCs w:val="20"/>
      <w:lang w:val="en-US" w:eastAsia="zh-CN" w:bidi="ar"/>
    </w:rPr>
  </w:style>
  <w:style w:type="paragraph" w:styleId="5">
    <w:name w:val="Body Text"/>
    <w:basedOn w:val="1"/>
    <w:next w:val="1"/>
    <w:qFormat/>
    <w:uiPriority w:val="0"/>
    <w:pPr>
      <w:spacing w:line="380" w:lineRule="exact"/>
    </w:pPr>
    <w:rPr>
      <w:sz w:val="24"/>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Body Text Indent 3"/>
    <w:basedOn w:val="1"/>
    <w:qFormat/>
    <w:uiPriority w:val="0"/>
    <w:pPr>
      <w:spacing w:after="120"/>
      <w:ind w:left="420" w:leftChars="200"/>
    </w:pPr>
    <w:rPr>
      <w:kern w:val="0"/>
      <w:sz w:val="16"/>
      <w:szCs w:val="16"/>
    </w:rPr>
  </w:style>
  <w:style w:type="paragraph" w:styleId="9">
    <w:name w:val="Normal (Web)"/>
    <w:basedOn w:val="1"/>
    <w:unhideWhenUsed/>
    <w:qFormat/>
    <w:uiPriority w:val="0"/>
    <w:rPr>
      <w:rFonts w:ascii="Calibri" w:hAnsi="Calibri" w:eastAsia="宋体" w:cs="Times New Roman"/>
      <w:kern w:val="0"/>
      <w:sz w:val="24"/>
      <w:szCs w:val="24"/>
    </w:rPr>
  </w:style>
  <w:style w:type="character" w:styleId="12">
    <w:name w:val="Strong"/>
    <w:basedOn w:val="11"/>
    <w:qFormat/>
    <w:uiPriority w:val="0"/>
    <w:rPr>
      <w:b/>
    </w:rPr>
  </w:style>
  <w:style w:type="paragraph" w:customStyle="1" w:styleId="13">
    <w:name w:val="表格文字"/>
    <w:basedOn w:val="1"/>
    <w:next w:val="5"/>
    <w:qFormat/>
    <w:uiPriority w:val="0"/>
    <w:pPr>
      <w:keepNext w:val="0"/>
      <w:keepLines w:val="0"/>
      <w:widowControl w:val="0"/>
      <w:suppressLineNumbers w:val="0"/>
      <w:spacing w:before="25" w:beforeAutospacing="0" w:after="25" w:afterAutospacing="0"/>
      <w:ind w:left="0" w:right="0"/>
      <w:jc w:val="left"/>
    </w:pPr>
    <w:rPr>
      <w:rFonts w:hint="default" w:ascii="Times New Roman" w:hAnsi="Times New Roman" w:eastAsia="宋体" w:cs="Times New Roman"/>
      <w:bCs/>
      <w:spacing w:val="10"/>
      <w:kern w:val="0"/>
      <w:sz w:val="24"/>
      <w:szCs w:val="24"/>
      <w:lang w:val="en-US" w:eastAsia="zh-CN" w:bidi="ar"/>
    </w:rPr>
  </w:style>
  <w:style w:type="character" w:customStyle="1" w:styleId="14">
    <w:name w:val="font81"/>
    <w:basedOn w:val="11"/>
    <w:qFormat/>
    <w:uiPriority w:val="0"/>
    <w:rPr>
      <w:rFonts w:hint="eastAsia" w:ascii="宋体" w:hAnsi="宋体" w:eastAsia="宋体" w:cs="宋体"/>
      <w:color w:val="000000"/>
      <w:sz w:val="20"/>
      <w:szCs w:val="20"/>
      <w:u w:val="none"/>
    </w:rPr>
  </w:style>
  <w:style w:type="character" w:customStyle="1" w:styleId="15">
    <w:name w:val="font121"/>
    <w:basedOn w:val="11"/>
    <w:qFormat/>
    <w:uiPriority w:val="0"/>
    <w:rPr>
      <w:rFonts w:hint="eastAsia" w:ascii="仿宋_GB2312" w:eastAsia="仿宋_GB2312" w:cs="仿宋_GB2312"/>
      <w:color w:val="000000"/>
      <w:sz w:val="20"/>
      <w:szCs w:val="20"/>
      <w:u w:val="none"/>
    </w:rPr>
  </w:style>
  <w:style w:type="character" w:customStyle="1" w:styleId="16">
    <w:name w:val="font191"/>
    <w:basedOn w:val="11"/>
    <w:qFormat/>
    <w:uiPriority w:val="0"/>
    <w:rPr>
      <w:rFonts w:ascii="宋体" w:hAnsi="宋体" w:eastAsia="宋体" w:cs="宋体"/>
      <w:color w:val="000000"/>
      <w:sz w:val="20"/>
      <w:szCs w:val="20"/>
      <w:u w:val="none"/>
    </w:rPr>
  </w:style>
  <w:style w:type="character" w:customStyle="1" w:styleId="17">
    <w:name w:val="font31"/>
    <w:basedOn w:val="11"/>
    <w:qFormat/>
    <w:uiPriority w:val="0"/>
    <w:rPr>
      <w:rFonts w:hint="eastAsia" w:ascii="宋体" w:hAnsi="宋体" w:eastAsia="宋体" w:cs="宋体"/>
      <w:color w:val="000000"/>
      <w:sz w:val="22"/>
      <w:szCs w:val="22"/>
      <w:u w:val="none"/>
    </w:rPr>
  </w:style>
  <w:style w:type="character" w:customStyle="1" w:styleId="18">
    <w:name w:val="font01"/>
    <w:basedOn w:val="11"/>
    <w:qFormat/>
    <w:uiPriority w:val="0"/>
    <w:rPr>
      <w:rFonts w:hint="eastAsia" w:ascii="宋体" w:hAnsi="宋体" w:eastAsia="宋体" w:cs="宋体"/>
      <w:color w:val="000000"/>
      <w:sz w:val="22"/>
      <w:szCs w:val="22"/>
      <w:u w:val="none"/>
    </w:rPr>
  </w:style>
  <w:style w:type="character" w:customStyle="1" w:styleId="19">
    <w:name w:val="font61"/>
    <w:basedOn w:val="11"/>
    <w:qFormat/>
    <w:uiPriority w:val="0"/>
    <w:rPr>
      <w:rFonts w:hint="default" w:ascii="Calibri" w:hAnsi="Calibri" w:cs="Calibri"/>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243</Pages>
  <Words>1874</Words>
  <Characters>2322</Characters>
  <Lines>0</Lines>
  <Paragraphs>0</Paragraphs>
  <TotalTime>47</TotalTime>
  <ScaleCrop>false</ScaleCrop>
  <LinksUpToDate>false</LinksUpToDate>
  <CharactersWithSpaces>2393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2026-07-28T00:52:00Z</dcterms:created>
  <dc:creator>上林县公共资源交易中心（覃小禹）</dc:creator>
  <cp:lastModifiedBy>上林县公共资源交易中心（覃小禹）</cp:lastModifiedBy>
  <cp:lastPrinted>2026-07-30T09:24:00Z</cp:lastPrinted>
  <dcterms:modified xsi:type="dcterms:W3CDTF">2026-08-27T03:23:57Z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12CFA892BC5948548A1536E5B882FB22_13</vt:lpwstr>
  </property>
  <property fmtid="{D5CDD505-2E9C-101B-9397-08002B2CF9AE}" pid="4" name="KSOTemplateDocerSaveRecord">
    <vt:lpwstr>eyJoZGlkIjoiMjM0YmRlYzcwNzZjZjUxYjRhYjk3N2YzYmUzNjI1MDgiLCJ1c2VySWQiOiIxODI1MDQ4OTIzIn0=</vt:lpwstr>
  </property>
</Properties>
</file>