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6087">
      <w:pPr>
        <w:rPr>
          <w:rFonts w:ascii="宋体" w:hAnsi="宋体" w:eastAsia="宋体" w:cs="Times New Roman"/>
          <w:color w:val="000000" w:themeColor="text1"/>
          <w:spacing w:val="116"/>
          <w:sz w:val="18"/>
          <w:szCs w:val="18"/>
          <w:highlight w:val="none"/>
          <w14:textFill>
            <w14:solidFill>
              <w14:schemeClr w14:val="tx1"/>
            </w14:solidFill>
          </w14:textFill>
        </w:rPr>
      </w:pPr>
    </w:p>
    <w:p w14:paraId="3B9B2855">
      <w:pPr>
        <w:widowControl/>
        <w:shd w:val="clear" w:color="auto" w:fill="FFFFFF"/>
        <w:spacing w:line="360" w:lineRule="atLeast"/>
        <w:jc w:val="center"/>
        <w:rPr>
          <w:rFonts w:ascii="Times New Roman" w:hAnsi="Times New Roman" w:eastAsia="宋体" w:cs="Times New Roman"/>
          <w:color w:val="000000" w:themeColor="text1"/>
          <w:highlight w:val="none"/>
          <w14:textFill>
            <w14:solidFill>
              <w14:schemeClr w14:val="tx1"/>
            </w14:solidFill>
          </w14:textFill>
        </w:rPr>
      </w:pPr>
    </w:p>
    <w:p w14:paraId="658D0B04">
      <w:pPr>
        <w:spacing w:before="120" w:beforeLines="50"/>
        <w:jc w:val="center"/>
        <w:rPr>
          <w:rFonts w:hint="eastAsia" w:ascii="宋体" w:hAnsi="宋体" w:eastAsia="宋体" w:cs="宋体"/>
          <w:color w:val="000000" w:themeColor="text1"/>
          <w:sz w:val="52"/>
          <w:highlight w:val="none"/>
          <w:u w:val="none"/>
          <w14:textFill>
            <w14:solidFill>
              <w14:schemeClr w14:val="tx1"/>
            </w14:solidFill>
          </w14:textFill>
        </w:rPr>
      </w:pPr>
    </w:p>
    <w:p w14:paraId="158C6303">
      <w:pPr>
        <w:snapToGrid w:val="0"/>
        <w:spacing w:before="120" w:beforeLines="50" w:line="360" w:lineRule="auto"/>
        <w:jc w:val="center"/>
        <w:rPr>
          <w:rFonts w:hint="eastAsia" w:ascii="宋体" w:hAnsi="宋体" w:eastAsia="宋体" w:cs="宋体"/>
          <w:color w:val="000000" w:themeColor="text1"/>
          <w:sz w:val="52"/>
          <w:highlight w:val="none"/>
          <w:u w:val="none"/>
          <w14:textFill>
            <w14:solidFill>
              <w14:schemeClr w14:val="tx1"/>
            </w14:solidFill>
          </w14:textFill>
        </w:rPr>
      </w:pPr>
      <w:r>
        <w:rPr>
          <w:rFonts w:hint="eastAsia" w:ascii="宋体" w:hAnsi="宋体" w:eastAsia="宋体" w:cs="宋体"/>
          <w:b/>
          <w:bCs/>
          <w:color w:val="000000" w:themeColor="text1"/>
          <w:sz w:val="56"/>
          <w:szCs w:val="56"/>
          <w:highlight w:val="none"/>
          <w:lang w:eastAsia="zh-CN"/>
          <w14:textFill>
            <w14:solidFill>
              <w14:schemeClr w14:val="tx1"/>
            </w14:solidFill>
          </w14:textFill>
        </w:rPr>
        <w:t>泽圣勘察设计有限公司</w:t>
      </w:r>
    </w:p>
    <w:p w14:paraId="4AC2335C">
      <w:pPr>
        <w:snapToGrid w:val="0"/>
        <w:spacing w:line="1000" w:lineRule="exact"/>
        <w:jc w:val="center"/>
        <w:rPr>
          <w:rFonts w:hint="eastAsia" w:ascii="楷体" w:hAnsi="楷体" w:eastAsia="楷体" w:cs="宋体"/>
          <w:b/>
          <w:bCs/>
          <w:color w:val="000000" w:themeColor="text1"/>
          <w:sz w:val="84"/>
          <w:szCs w:val="84"/>
          <w:highlight w:val="none"/>
          <w14:textFill>
            <w14:solidFill>
              <w14:schemeClr w14:val="tx1"/>
            </w14:solidFill>
          </w14:textFill>
        </w:rPr>
      </w:pPr>
      <w:r>
        <w:rPr>
          <w:rFonts w:hint="eastAsia" w:ascii="楷体" w:hAnsi="楷体" w:eastAsia="楷体" w:cs="宋体"/>
          <w:b/>
          <w:bCs/>
          <w:color w:val="000000" w:themeColor="text1"/>
          <w:sz w:val="72"/>
          <w:szCs w:val="84"/>
          <w:highlight w:val="none"/>
          <w14:textFill>
            <w14:solidFill>
              <w14:schemeClr w14:val="tx1"/>
            </w14:solidFill>
          </w14:textFill>
        </w:rPr>
        <w:t>竞争性磋商采购文件</w:t>
      </w:r>
    </w:p>
    <w:p w14:paraId="4C0F5AF4">
      <w:pPr>
        <w:spacing w:before="240" w:beforeLines="100" w:after="120" w:afterLines="50"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（全流程电子化评标）</w:t>
      </w:r>
    </w:p>
    <w:p w14:paraId="302A3990">
      <w:pPr>
        <w:rPr>
          <w:rFonts w:hint="eastAsia"/>
          <w:color w:val="000000" w:themeColor="text1"/>
          <w:highlight w:val="none"/>
          <w14:textFill>
            <w14:solidFill>
              <w14:schemeClr w14:val="tx1"/>
            </w14:solidFill>
          </w14:textFill>
        </w:rPr>
      </w:pPr>
    </w:p>
    <w:p w14:paraId="78608B7E">
      <w:pPr>
        <w:rPr>
          <w:rFonts w:ascii="宋体" w:hAnsi="宋体" w:eastAsia="宋体" w:cs="Times New Roman"/>
          <w:color w:val="000000" w:themeColor="text1"/>
          <w:highlight w:val="none"/>
          <w14:textFill>
            <w14:solidFill>
              <w14:schemeClr w14:val="tx1"/>
            </w14:solidFill>
          </w14:textFill>
        </w:rPr>
      </w:pPr>
    </w:p>
    <w:p w14:paraId="4ED3EFE7">
      <w:pPr>
        <w:rPr>
          <w:rFonts w:ascii="宋体" w:hAnsi="宋体" w:eastAsia="宋体" w:cs="Times New Roman"/>
          <w:color w:val="000000" w:themeColor="text1"/>
          <w:highlight w:val="none"/>
          <w14:textFill>
            <w14:solidFill>
              <w14:schemeClr w14:val="tx1"/>
            </w14:solidFill>
          </w14:textFill>
        </w:rPr>
      </w:pPr>
    </w:p>
    <w:p w14:paraId="25258EF3">
      <w:pPr>
        <w:rPr>
          <w:rFonts w:ascii="宋体" w:hAnsi="宋体" w:eastAsia="宋体" w:cs="Times New Roman"/>
          <w:color w:val="000000" w:themeColor="text1"/>
          <w:highlight w:val="none"/>
          <w14:textFill>
            <w14:solidFill>
              <w14:schemeClr w14:val="tx1"/>
            </w14:solidFill>
          </w14:textFill>
        </w:rPr>
      </w:pPr>
    </w:p>
    <w:p w14:paraId="39133FE5">
      <w:pPr>
        <w:rPr>
          <w:rFonts w:ascii="宋体" w:hAnsi="宋体" w:eastAsia="宋体" w:cs="Times New Roman"/>
          <w:color w:val="000000" w:themeColor="text1"/>
          <w:highlight w:val="none"/>
          <w14:textFill>
            <w14:solidFill>
              <w14:schemeClr w14:val="tx1"/>
            </w14:solidFill>
          </w14:textFill>
        </w:rPr>
      </w:pPr>
    </w:p>
    <w:p w14:paraId="3A60C7C3">
      <w:pPr>
        <w:rPr>
          <w:rFonts w:ascii="宋体" w:hAnsi="宋体" w:eastAsia="宋体" w:cs="Times New Roman"/>
          <w:color w:val="000000" w:themeColor="text1"/>
          <w:highlight w:val="none"/>
          <w14:textFill>
            <w14:solidFill>
              <w14:schemeClr w14:val="tx1"/>
            </w14:solidFill>
          </w14:textFill>
        </w:rPr>
      </w:pPr>
    </w:p>
    <w:p w14:paraId="13B570C0">
      <w:pPr>
        <w:keepNext w:val="0"/>
        <w:keepLines w:val="0"/>
        <w:pageBreakBefore w:val="0"/>
        <w:widowControl w:val="0"/>
        <w:kinsoku/>
        <w:wordWrap/>
        <w:overflowPunct/>
        <w:topLinePunct w:val="0"/>
        <w:autoSpaceDE/>
        <w:autoSpaceDN/>
        <w:bidi w:val="0"/>
        <w:adjustRightInd/>
        <w:snapToGrid/>
        <w:spacing w:line="700" w:lineRule="exact"/>
        <w:ind w:left="2556" w:leftChars="500" w:hanging="1506" w:hangingChars="50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项目名称：</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港南区新塘镇蒙大村道路硬化建设以工代赈项目</w:t>
      </w:r>
    </w:p>
    <w:p w14:paraId="2C847AA3">
      <w:pPr>
        <w:keepNext w:val="0"/>
        <w:keepLines w:val="0"/>
        <w:pageBreakBefore w:val="0"/>
        <w:widowControl w:val="0"/>
        <w:kinsoku/>
        <w:wordWrap/>
        <w:overflowPunct/>
        <w:topLinePunct w:val="0"/>
        <w:autoSpaceDE/>
        <w:autoSpaceDN/>
        <w:bidi w:val="0"/>
        <w:adjustRightInd/>
        <w:snapToGrid/>
        <w:spacing w:line="700" w:lineRule="exact"/>
        <w:ind w:left="1050" w:leftChars="500"/>
        <w:textAlignment w:val="auto"/>
        <w:rPr>
          <w:rFonts w:hint="eastAsia" w:ascii="宋体" w:hAnsi="宋体" w:eastAsia="宋体" w:cs="Times New Roman"/>
          <w:b/>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项目编号：GGZC2026-C2-030072-ZSKC</w:t>
      </w:r>
    </w:p>
    <w:p w14:paraId="68056A86">
      <w:pPr>
        <w:keepNext w:val="0"/>
        <w:keepLines w:val="0"/>
        <w:pageBreakBefore w:val="0"/>
        <w:widowControl w:val="0"/>
        <w:kinsoku/>
        <w:wordWrap/>
        <w:overflowPunct/>
        <w:topLinePunct w:val="0"/>
        <w:autoSpaceDE/>
        <w:autoSpaceDN/>
        <w:bidi w:val="0"/>
        <w:adjustRightInd/>
        <w:snapToGrid/>
        <w:spacing w:line="440" w:lineRule="exact"/>
        <w:ind w:left="1050" w:leftChars="500"/>
        <w:textAlignment w:val="auto"/>
        <w:rPr>
          <w:rFonts w:ascii="宋体" w:hAnsi="宋体" w:eastAsia="宋体" w:cs="Times New Roman"/>
          <w:b/>
          <w:color w:val="000000" w:themeColor="text1"/>
          <w:sz w:val="30"/>
          <w:szCs w:val="30"/>
          <w:highlight w:val="none"/>
          <w14:textFill>
            <w14:solidFill>
              <w14:schemeClr w14:val="tx1"/>
            </w14:solidFill>
          </w14:textFill>
        </w:rPr>
      </w:pPr>
    </w:p>
    <w:p w14:paraId="584147E4">
      <w:pPr>
        <w:keepNext w:val="0"/>
        <w:keepLines w:val="0"/>
        <w:pageBreakBefore w:val="0"/>
        <w:widowControl w:val="0"/>
        <w:kinsoku/>
        <w:wordWrap/>
        <w:overflowPunct/>
        <w:topLinePunct w:val="0"/>
        <w:autoSpaceDE/>
        <w:autoSpaceDN/>
        <w:bidi w:val="0"/>
        <w:adjustRightInd/>
        <w:snapToGrid/>
        <w:spacing w:line="440" w:lineRule="exact"/>
        <w:ind w:left="1050" w:leftChars="500" w:firstLine="2"/>
        <w:textAlignment w:val="auto"/>
        <w:rPr>
          <w:rFonts w:ascii="宋体" w:hAnsi="宋体" w:eastAsia="宋体" w:cs="Times New Roman"/>
          <w:color w:val="000000" w:themeColor="text1"/>
          <w:sz w:val="30"/>
          <w:szCs w:val="30"/>
          <w:highlight w:val="none"/>
          <w14:textFill>
            <w14:solidFill>
              <w14:schemeClr w14:val="tx1"/>
            </w14:solidFill>
          </w14:textFill>
        </w:rPr>
      </w:pPr>
    </w:p>
    <w:p w14:paraId="6B18D7FA">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pPr>
      <w:r>
        <w:rPr>
          <w:rFonts w:hint="eastAsia" w:ascii="Times New Roman" w:hAnsi="宋体" w:eastAsia="宋体" w:cs="Times New Roman"/>
          <w:b/>
          <w:bCs/>
          <w:color w:val="000000" w:themeColor="text1"/>
          <w:sz w:val="30"/>
          <w:szCs w:val="30"/>
          <w:highlight w:val="none"/>
          <w14:textFill>
            <w14:solidFill>
              <w14:schemeClr w14:val="tx1"/>
            </w14:solidFill>
          </w14:textFill>
        </w:rPr>
        <w:t>采购单位：</w:t>
      </w:r>
      <w:r>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t>贵港市港南区新塘镇人民政府</w:t>
      </w:r>
    </w:p>
    <w:p w14:paraId="429859BF">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采购代理机构：</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泽圣勘察设计有限公司</w:t>
      </w:r>
    </w:p>
    <w:p w14:paraId="0C554B4D">
      <w:pPr>
        <w:spacing w:line="700" w:lineRule="exact"/>
        <w:ind w:left="1048" w:leftChars="499" w:firstLine="2711" w:firstLineChars="900"/>
        <w:jc w:val="both"/>
        <w:rPr>
          <w:rFonts w:cs="Times New Roman" w:asciiTheme="minorEastAsia" w:hAnsiTheme="minorEastAsia"/>
          <w:b/>
          <w:bCs/>
          <w:color w:val="000000" w:themeColor="text1"/>
          <w:sz w:val="30"/>
          <w:szCs w:val="30"/>
          <w:highlight w:val="none"/>
          <w14:textFill>
            <w14:solidFill>
              <w14:schemeClr w14:val="tx1"/>
            </w14:solidFill>
          </w14:textFill>
        </w:rPr>
      </w:pPr>
      <w:r>
        <w:rPr>
          <w:rFonts w:hint="eastAsia" w:cs="Times New Roman" w:asciiTheme="minorEastAsia" w:hAnsiTheme="minorEastAsia"/>
          <w:b/>
          <w:bCs/>
          <w:color w:val="000000" w:themeColor="text1"/>
          <w:sz w:val="30"/>
          <w:szCs w:val="30"/>
          <w:highlight w:val="none"/>
          <w14:textFill>
            <w14:solidFill>
              <w14:schemeClr w14:val="tx1"/>
            </w14:solidFill>
          </w14:textFill>
        </w:rPr>
        <w:t>202</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6</w:t>
      </w:r>
      <w:r>
        <w:rPr>
          <w:rFonts w:hint="eastAsia" w:cs="Times New Roman" w:asciiTheme="minorEastAsia" w:hAnsiTheme="minorEastAsia"/>
          <w:b/>
          <w:bCs/>
          <w:color w:val="000000" w:themeColor="text1"/>
          <w:sz w:val="30"/>
          <w:szCs w:val="30"/>
          <w:highlight w:val="none"/>
          <w14:textFill>
            <w14:solidFill>
              <w14:schemeClr w14:val="tx1"/>
            </w14:solidFill>
          </w14:textFill>
        </w:rPr>
        <w:t>年</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8</w:t>
      </w:r>
      <w:r>
        <w:rPr>
          <w:rFonts w:hint="eastAsia" w:cs="Times New Roman" w:asciiTheme="minorEastAsia" w:hAnsiTheme="minorEastAsia"/>
          <w:b/>
          <w:bCs/>
          <w:color w:val="000000" w:themeColor="text1"/>
          <w:sz w:val="30"/>
          <w:szCs w:val="30"/>
          <w:highlight w:val="none"/>
          <w14:textFill>
            <w14:solidFill>
              <w14:schemeClr w14:val="tx1"/>
            </w14:solidFill>
          </w14:textFill>
        </w:rPr>
        <w:t>月</w:t>
      </w:r>
    </w:p>
    <w:p w14:paraId="32A4FEEF">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4B83DE6D">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79714655">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sectPr>
          <w:footerReference r:id="rId4" w:type="first"/>
          <w:footerReference r:id="rId3" w:type="even"/>
          <w:pgSz w:w="11906" w:h="16838"/>
          <w:pgMar w:top="1191" w:right="1134" w:bottom="1191" w:left="1134" w:header="851" w:footer="992" w:gutter="0"/>
          <w:cols w:space="720" w:num="1"/>
          <w:titlePg/>
          <w:docGrid w:linePitch="312" w:charSpace="0"/>
        </w:sectPr>
      </w:pPr>
    </w:p>
    <w:p w14:paraId="4E1FF278">
      <w:pPr>
        <w:jc w:val="center"/>
        <w:rPr>
          <w:b/>
          <w:bCs/>
          <w:color w:val="000000" w:themeColor="text1"/>
          <w:sz w:val="28"/>
          <w:szCs w:val="32"/>
          <w:highlight w:val="none"/>
          <w14:textFill>
            <w14:solidFill>
              <w14:schemeClr w14:val="tx1"/>
            </w14:solidFill>
          </w14:textFill>
        </w:rPr>
      </w:pPr>
      <w:r>
        <w:rPr>
          <w:rFonts w:hint="eastAsia"/>
          <w:b/>
          <w:bCs/>
          <w:color w:val="000000" w:themeColor="text1"/>
          <w:sz w:val="28"/>
          <w:szCs w:val="32"/>
          <w:highlight w:val="none"/>
          <w14:textFill>
            <w14:solidFill>
              <w14:schemeClr w14:val="tx1"/>
            </w14:solidFill>
          </w14:textFill>
        </w:rPr>
        <w:t>目  录</w:t>
      </w:r>
    </w:p>
    <w:p w14:paraId="1502F91C">
      <w:pPr>
        <w:jc w:val="center"/>
        <w:rPr>
          <w:b/>
          <w:bCs/>
          <w:color w:val="000000" w:themeColor="text1"/>
          <w:sz w:val="28"/>
          <w:szCs w:val="32"/>
          <w:highlight w:val="none"/>
          <w14:textFill>
            <w14:solidFill>
              <w14:schemeClr w14:val="tx1"/>
            </w14:solidFill>
          </w14:textFill>
        </w:rPr>
      </w:pPr>
    </w:p>
    <w:p w14:paraId="7B0C61DB">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fldChar w:fldCharType="begin"/>
      </w:r>
      <w:r>
        <w:rPr>
          <w:rFonts w:hint="eastAsia" w:asciiTheme="minorEastAsia" w:hAnsiTheme="minorEastAsia" w:eastAsiaTheme="minorEastAsia"/>
          <w:color w:val="000000" w:themeColor="text1"/>
          <w:sz w:val="24"/>
          <w:highlight w:val="none"/>
          <w14:textFill>
            <w14:solidFill>
              <w14:schemeClr w14:val="tx1"/>
            </w14:solidFill>
          </w14:textFill>
        </w:rPr>
        <w:instrText xml:space="preserve">TOC \o "1-2" \u </w:instrText>
      </w:r>
      <w:r>
        <w:rPr>
          <w:rFonts w:hint="eastAsia" w:asciiTheme="minorEastAsia" w:hAnsiTheme="minorEastAsia" w:eastAsiaTheme="minorEastAsia"/>
          <w:color w:val="000000" w:themeColor="text1"/>
          <w:sz w:val="24"/>
          <w:highlight w:val="none"/>
          <w14:textFill>
            <w14:solidFill>
              <w14:schemeClr w14:val="tx1"/>
            </w14:solidFill>
          </w14:textFill>
        </w:rPr>
        <w:fldChar w:fldCharType="separate"/>
      </w:r>
      <w:r>
        <w:rPr>
          <w:rFonts w:hint="eastAsia" w:asciiTheme="minorEastAsia" w:hAnsiTheme="minorEastAsia" w:eastAsiaTheme="minorEastAsia"/>
          <w:bCs/>
          <w:color w:val="000000" w:themeColor="text1"/>
          <w:sz w:val="24"/>
          <w:highlight w:val="none"/>
          <w14:textFill>
            <w14:solidFill>
              <w14:schemeClr w14:val="tx1"/>
            </w14:solidFill>
          </w14:textFill>
        </w:rPr>
        <w:t>第一章 竞争性磋商公告</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_Toc3132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720271F">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第二章 磋商须知前附表及磋商须知</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_Toc10180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51B56E2">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磋商须知前附表</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_Toc28769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1FE287D">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第三章 评定标准</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_Toc17414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22</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FF21954">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第四章 合同主要条款（参考格式）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_Toc27892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26</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1C841F96">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第五章 响应文件格式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_Toc7723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133</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08DA1879">
      <w:pPr>
        <w:spacing w:line="500" w:lineRule="exact"/>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fldChar w:fldCharType="end"/>
      </w:r>
    </w:p>
    <w:p w14:paraId="6D39AB53">
      <w:pPr>
        <w:rPr>
          <w:color w:val="000000" w:themeColor="text1"/>
          <w:highlight w:val="none"/>
          <w14:textFill>
            <w14:solidFill>
              <w14:schemeClr w14:val="tx1"/>
            </w14:solidFill>
          </w14:textFill>
        </w:rPr>
      </w:pPr>
    </w:p>
    <w:p w14:paraId="3F485CE7">
      <w:pPr>
        <w:rPr>
          <w:color w:val="000000" w:themeColor="text1"/>
          <w:highlight w:val="none"/>
          <w14:textFill>
            <w14:solidFill>
              <w14:schemeClr w14:val="tx1"/>
            </w14:solidFill>
          </w14:textFill>
        </w:rPr>
      </w:pPr>
    </w:p>
    <w:p w14:paraId="0A374C5A">
      <w:pPr>
        <w:rPr>
          <w:color w:val="000000" w:themeColor="text1"/>
          <w:highlight w:val="none"/>
          <w14:textFill>
            <w14:solidFill>
              <w14:schemeClr w14:val="tx1"/>
            </w14:solidFill>
          </w14:textFill>
        </w:rPr>
      </w:pPr>
      <w:bookmarkStart w:id="0" w:name="_Toc451430914"/>
    </w:p>
    <w:p w14:paraId="2F40BFF0">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sectPr>
          <w:footerReference r:id="rId6" w:type="first"/>
          <w:footerReference r:id="rId5" w:type="default"/>
          <w:pgSz w:w="11906" w:h="16838"/>
          <w:pgMar w:top="1191" w:right="1134" w:bottom="1191" w:left="1134" w:header="851" w:footer="992" w:gutter="0"/>
          <w:pgNumType w:start="1"/>
          <w:cols w:space="720" w:num="1"/>
          <w:titlePg/>
          <w:docGrid w:linePitch="312" w:charSpace="0"/>
        </w:sectPr>
      </w:pPr>
    </w:p>
    <w:p w14:paraId="731A30B6">
      <w:pPr>
        <w:keepNext/>
        <w:keepLines/>
        <w:spacing w:before="260" w:after="260" w:line="500" w:lineRule="exact"/>
        <w:jc w:val="center"/>
        <w:outlineLvl w:val="1"/>
        <w:rPr>
          <w:rFonts w:ascii="Cambria" w:hAnsi="Cambria" w:eastAsia="宋体" w:cs="Times New Roman"/>
          <w:b/>
          <w:bCs/>
          <w:color w:val="000000" w:themeColor="text1"/>
          <w:sz w:val="40"/>
          <w:szCs w:val="44"/>
          <w:highlight w:val="none"/>
          <w14:textFill>
            <w14:solidFill>
              <w14:schemeClr w14:val="tx1"/>
            </w14:solidFill>
          </w14:textFill>
        </w:rPr>
      </w:pPr>
      <w:bookmarkStart w:id="1" w:name="_Toc10219639"/>
      <w:bookmarkStart w:id="2" w:name="_Toc3132"/>
      <w:r>
        <w:rPr>
          <w:rFonts w:hint="eastAsia" w:ascii="Cambria" w:hAnsi="Cambria" w:eastAsia="宋体" w:cs="Times New Roman"/>
          <w:b/>
          <w:bCs/>
          <w:color w:val="000000" w:themeColor="text1"/>
          <w:sz w:val="40"/>
          <w:szCs w:val="44"/>
          <w:highlight w:val="none"/>
          <w14:textFill>
            <w14:solidFill>
              <w14:schemeClr w14:val="tx1"/>
            </w14:solidFill>
          </w14:textFill>
        </w:rPr>
        <w:t>第一章  竞争性磋商公告</w:t>
      </w:r>
      <w:bookmarkEnd w:id="0"/>
      <w:bookmarkEnd w:id="1"/>
      <w:bookmarkEnd w:id="2"/>
    </w:p>
    <w:p w14:paraId="311D2663">
      <w:pPr>
        <w:wordWrap w:val="0"/>
        <w:spacing w:line="560" w:lineRule="exact"/>
        <w:jc w:val="center"/>
        <w:rPr>
          <w:rFonts w:hint="eastAsia" w:cs="Times New Roman" w:asciiTheme="minorEastAsia" w:hAnsiTheme="minorEastAsia"/>
          <w:b/>
          <w:color w:val="000000" w:themeColor="text1"/>
          <w:sz w:val="28"/>
          <w:szCs w:val="28"/>
          <w:highlight w:val="none"/>
          <w14:textFill>
            <w14:solidFill>
              <w14:schemeClr w14:val="tx1"/>
            </w14:solidFill>
          </w14:textFill>
        </w:rPr>
      </w:pPr>
      <w:bookmarkStart w:id="3" w:name="OLE_LINK4"/>
      <w:bookmarkStart w:id="4" w:name="OLE_LINK5"/>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泽圣勘察设计有限公司</w:t>
      </w:r>
      <w:r>
        <w:rPr>
          <w:rFonts w:hint="eastAsia" w:cs="Times New Roman" w:asciiTheme="minorEastAsia" w:hAnsiTheme="minorEastAsia"/>
          <w:b/>
          <w:color w:val="000000" w:themeColor="text1"/>
          <w:sz w:val="28"/>
          <w:szCs w:val="28"/>
          <w:highlight w:val="none"/>
          <w14:textFill>
            <w14:solidFill>
              <w14:schemeClr w14:val="tx1"/>
            </w14:solidFill>
          </w14:textFill>
        </w:rPr>
        <w:t xml:space="preserve"> </w:t>
      </w:r>
    </w:p>
    <w:p w14:paraId="4AE5F199">
      <w:pPr>
        <w:wordWrap w:val="0"/>
        <w:spacing w:line="560" w:lineRule="exact"/>
        <w:jc w:val="center"/>
        <w:rPr>
          <w:rFonts w:hint="eastAsia" w:cs="Times New Roman" w:asciiTheme="minorEastAsia" w:hAnsiTheme="minorEastAsia"/>
          <w:b/>
          <w:color w:val="000000" w:themeColor="text1"/>
          <w:sz w:val="28"/>
          <w:szCs w:val="28"/>
          <w:highlight w:val="none"/>
          <w:lang w:eastAsia="zh-CN"/>
          <w14:textFill>
            <w14:solidFill>
              <w14:schemeClr w14:val="tx1"/>
            </w14:solidFill>
          </w14:textFill>
        </w:rPr>
      </w:pPr>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港南区新塘镇蒙大村道路硬化建设以工代赈项目</w:t>
      </w:r>
    </w:p>
    <w:p w14:paraId="38C15C53">
      <w:pPr>
        <w:wordWrap w:val="0"/>
        <w:spacing w:line="560" w:lineRule="exact"/>
        <w:jc w:val="center"/>
        <w:rPr>
          <w:rFonts w:cs="Times New Roman" w:asciiTheme="minorEastAsia" w:hAnsiTheme="minorEastAsia"/>
          <w:b/>
          <w:color w:val="000000" w:themeColor="text1"/>
          <w:sz w:val="28"/>
          <w:szCs w:val="28"/>
          <w:highlight w:val="none"/>
          <w14:textFill>
            <w14:solidFill>
              <w14:schemeClr w14:val="tx1"/>
            </w14:solidFill>
          </w14:textFill>
        </w:rPr>
      </w:pPr>
      <w:r>
        <w:rPr>
          <w:rFonts w:hint="eastAsia" w:cs="Times New Roman" w:asciiTheme="minorEastAsia" w:hAnsiTheme="minorEastAsia"/>
          <w:b/>
          <w:bCs w:val="0"/>
          <w:color w:val="000000" w:themeColor="text1"/>
          <w:sz w:val="28"/>
          <w:szCs w:val="28"/>
          <w:highlight w:val="none"/>
          <w14:textFill>
            <w14:solidFill>
              <w14:schemeClr w14:val="tx1"/>
            </w14:solidFill>
          </w14:textFill>
        </w:rPr>
        <w:t>(项目编号：GGZC2026-C2-030072-ZSKC</w:t>
      </w:r>
      <w:r>
        <w:rPr>
          <w:rFonts w:hint="eastAsia" w:ascii="宋体" w:hAnsi="宋体" w:eastAsia="宋体" w:cs="仿宋"/>
          <w:b/>
          <w:bCs w:val="0"/>
          <w:color w:val="000000" w:themeColor="text1"/>
          <w:sz w:val="28"/>
          <w:szCs w:val="28"/>
          <w:highlight w:val="none"/>
          <w:u w:val="none"/>
          <w:lang w:eastAsia="zh-CN"/>
          <w14:textFill>
            <w14:solidFill>
              <w14:schemeClr w14:val="tx1"/>
            </w14:solidFill>
          </w14:textFill>
        </w:rPr>
        <w:t>)</w:t>
      </w:r>
      <w:r>
        <w:rPr>
          <w:rFonts w:hint="eastAsia" w:cs="Times New Roman" w:asciiTheme="minorEastAsia" w:hAnsiTheme="minorEastAsia"/>
          <w:b/>
          <w:color w:val="000000" w:themeColor="text1"/>
          <w:sz w:val="28"/>
          <w:szCs w:val="28"/>
          <w:highlight w:val="none"/>
          <w14:textFill>
            <w14:solidFill>
              <w14:schemeClr w14:val="tx1"/>
            </w14:solidFill>
          </w14:textFill>
        </w:rPr>
        <w:t>竞争性磋商采购公告</w:t>
      </w:r>
    </w:p>
    <w:p w14:paraId="179AE23B">
      <w:pPr>
        <w:rPr>
          <w:color w:val="000000" w:themeColor="text1"/>
          <w:highlight w:val="none"/>
          <w14:textFill>
            <w14:solidFill>
              <w14:schemeClr w14:val="tx1"/>
            </w14:solidFill>
          </w14:textFill>
        </w:rPr>
      </w:pPr>
    </w:p>
    <w:p w14:paraId="314AEDE1">
      <w:pPr>
        <w:pBdr>
          <w:top w:val="single" w:color="auto" w:sz="4" w:space="1"/>
          <w:left w:val="single" w:color="auto" w:sz="4" w:space="4"/>
          <w:bottom w:val="single" w:color="auto" w:sz="4" w:space="1"/>
          <w:right w:val="single" w:color="auto" w:sz="4" w:space="4"/>
        </w:pBdr>
        <w:spacing w:line="500" w:lineRule="atLeast"/>
        <w:ind w:firstLine="422" w:firstLineChars="200"/>
        <w:jc w:val="center"/>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项目概况</w:t>
      </w:r>
    </w:p>
    <w:p w14:paraId="17118062">
      <w:pPr>
        <w:pBdr>
          <w:top w:val="single" w:color="auto" w:sz="4" w:space="1"/>
          <w:left w:val="single" w:color="auto" w:sz="4" w:space="4"/>
          <w:bottom w:val="single" w:color="auto" w:sz="4" w:space="1"/>
          <w:right w:val="single" w:color="auto" w:sz="4" w:space="4"/>
        </w:pBdr>
        <w:spacing w:line="500" w:lineRule="atLeast"/>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u w:val="single"/>
          <w:lang w:eastAsia="zh-CN"/>
          <w14:textFill>
            <w14:solidFill>
              <w14:schemeClr w14:val="tx1"/>
            </w14:solidFill>
          </w14:textFill>
        </w:rPr>
        <w:t>港南区新塘镇蒙大村道路硬化建设以工代赈项目</w:t>
      </w:r>
      <w:r>
        <w:rPr>
          <w:rFonts w:hint="eastAsia" w:ascii="宋体" w:hAnsi="宋体" w:eastAsia="宋体" w:cs="仿宋"/>
          <w:color w:val="000000" w:themeColor="text1"/>
          <w:szCs w:val="21"/>
          <w:highlight w:val="none"/>
          <w14:textFill>
            <w14:solidFill>
              <w14:schemeClr w14:val="tx1"/>
            </w14:solidFill>
          </w14:textFill>
        </w:rPr>
        <w:t>的潜在供应商应在</w:t>
      </w:r>
      <w:r>
        <w:rPr>
          <w:rFonts w:hint="eastAsia" w:ascii="宋体" w:hAnsi="宋体" w:eastAsia="宋体" w:cs="仿宋"/>
          <w:color w:val="000000" w:themeColor="text1"/>
          <w:szCs w:val="21"/>
          <w:highlight w:val="none"/>
          <w:u w:val="single"/>
          <w14:textFill>
            <w14:solidFill>
              <w14:schemeClr w14:val="tx1"/>
            </w14:solidFill>
          </w14:textFill>
        </w:rPr>
        <w:t>广西政府采购云平台（</w:t>
      </w:r>
      <w:r>
        <w:rPr>
          <w:rFonts w:ascii="宋体" w:hAnsi="宋体" w:eastAsia="宋体" w:cs="仿宋"/>
          <w:color w:val="000000" w:themeColor="text1"/>
          <w:szCs w:val="21"/>
          <w:highlight w:val="none"/>
          <w:u w:val="single"/>
          <w14:textFill>
            <w14:solidFill>
              <w14:schemeClr w14:val="tx1"/>
            </w14:solidFill>
          </w14:textFill>
        </w:rPr>
        <w:t>https://www.gcy.zfcg.gxzf.gov.cn/</w:t>
      </w:r>
      <w:r>
        <w:rPr>
          <w:rFonts w:hint="eastAsia" w:ascii="宋体" w:hAnsi="宋体" w:eastAsia="宋体" w:cs="仿宋"/>
          <w:color w:val="000000" w:themeColor="text1"/>
          <w:szCs w:val="21"/>
          <w:highlight w:val="none"/>
          <w:u w:val="singl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hint="eastAsia" w:ascii="宋体" w:hAnsi="宋体" w:eastAsia="宋体" w:cs="仿宋"/>
          <w:color w:val="000000" w:themeColor="text1"/>
          <w:szCs w:val="21"/>
          <w:highlight w:val="none"/>
          <w:u w:val="single"/>
          <w14:textFill>
            <w14:solidFill>
              <w14:schemeClr w14:val="tx1"/>
            </w14:solidFill>
          </w14:textFill>
        </w:rPr>
        <w:t>“项目采购—获取采购文件”模块自行下载采购文件</w:t>
      </w:r>
      <w:r>
        <w:rPr>
          <w:rFonts w:hint="eastAsia" w:ascii="宋体" w:hAnsi="宋体" w:eastAsia="宋体" w:cs="仿宋"/>
          <w:color w:val="000000" w:themeColor="text1"/>
          <w:szCs w:val="21"/>
          <w:highlight w:val="none"/>
          <w14:textFill>
            <w14:solidFill>
              <w14:schemeClr w14:val="tx1"/>
            </w14:solidFill>
          </w14:textFill>
        </w:rPr>
        <w:t>，并于</w:t>
      </w:r>
      <w:r>
        <w:rPr>
          <w:rFonts w:hint="eastAsia" w:ascii="宋体" w:hAnsi="宋体" w:eastAsia="宋体" w:cs="仿宋"/>
          <w:color w:val="000000" w:themeColor="text1"/>
          <w:szCs w:val="21"/>
          <w:highlight w:val="none"/>
          <w:u w:val="non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14:textFill>
            <w14:solidFill>
              <w14:schemeClr w14:val="tx1"/>
            </w14:solidFill>
          </w14:textFill>
        </w:rPr>
        <w:t>（北京时间）前提交响应文件。</w:t>
      </w:r>
    </w:p>
    <w:p w14:paraId="33F116DC">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5" w:name="_Toc28359012"/>
      <w:bookmarkStart w:id="6" w:name="_Toc35393798"/>
      <w:bookmarkStart w:id="7" w:name="_Toc28359089"/>
      <w:bookmarkStart w:id="8" w:name="_Toc35393629"/>
      <w:r>
        <w:rPr>
          <w:rFonts w:hint="eastAsia" w:ascii="宋体" w:hAnsi="宋体" w:eastAsia="宋体" w:cs="黑体"/>
          <w:b/>
          <w:color w:val="000000" w:themeColor="text1"/>
          <w:szCs w:val="21"/>
          <w:highlight w:val="none"/>
          <w14:textFill>
            <w14:solidFill>
              <w14:schemeClr w14:val="tx1"/>
            </w14:solidFill>
          </w14:textFill>
        </w:rPr>
        <w:t>一、项目基本情况</w:t>
      </w:r>
      <w:bookmarkEnd w:id="5"/>
      <w:bookmarkEnd w:id="6"/>
      <w:bookmarkEnd w:id="7"/>
      <w:bookmarkEnd w:id="8"/>
    </w:p>
    <w:p w14:paraId="33D107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项目编号：GGZC2026-C2-030072-ZSKC</w:t>
      </w:r>
    </w:p>
    <w:p w14:paraId="2057BA1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default"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仿宋"/>
          <w:b/>
          <w:iCs/>
          <w:color w:val="000000" w:themeColor="text1"/>
          <w:szCs w:val="21"/>
          <w:highlight w:val="none"/>
          <w14:textFill>
            <w14:solidFill>
              <w14:schemeClr w14:val="tx1"/>
            </w14:solidFill>
          </w14:textFill>
        </w:rPr>
        <w:t>采购计划文号：GNZC2026-C2-01711</w:t>
      </w:r>
      <w:bookmarkStart w:id="1413" w:name="_GoBack"/>
      <w:bookmarkEnd w:id="1413"/>
    </w:p>
    <w:p w14:paraId="22A49FE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color w:val="000000" w:themeColor="text1"/>
          <w:szCs w:val="21"/>
          <w:highlight w:val="none"/>
          <w:u w:val="singl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项目名称：</w:t>
      </w:r>
      <w:r>
        <w:rPr>
          <w:rFonts w:hint="eastAsia" w:ascii="宋体" w:hAnsi="宋体" w:eastAsia="宋体" w:cs="仿宋"/>
          <w:color w:val="000000" w:themeColor="text1"/>
          <w:szCs w:val="21"/>
          <w:highlight w:val="none"/>
          <w:lang w:eastAsia="zh-CN"/>
          <w14:textFill>
            <w14:solidFill>
              <w14:schemeClr w14:val="tx1"/>
            </w14:solidFill>
          </w14:textFill>
        </w:rPr>
        <w:t>港南区新塘镇蒙大村道路硬化建设以工代赈项目</w:t>
      </w:r>
    </w:p>
    <w:p w14:paraId="1141CF6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采购方式：</w:t>
      </w:r>
      <w:r>
        <w:rPr>
          <w:rFonts w:hint="eastAsia" w:ascii="宋体" w:hAnsi="宋体" w:eastAsia="宋体" w:cs="仿宋"/>
          <w:color w:val="000000" w:themeColor="text1"/>
          <w:szCs w:val="21"/>
          <w:highlight w:val="none"/>
          <w14:textFill>
            <w14:solidFill>
              <w14:schemeClr w14:val="tx1"/>
            </w14:solidFill>
          </w14:textFill>
        </w:rPr>
        <w:t>竞争性磋商</w:t>
      </w:r>
    </w:p>
    <w:p w14:paraId="0DC63BF8">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预算金额：</w:t>
      </w:r>
      <w:r>
        <w:rPr>
          <w:rFonts w:hint="eastAsia" w:ascii="宋体" w:hAnsi="宋体" w:eastAsia="宋体" w:cs="仿宋"/>
          <w:color w:val="000000" w:themeColor="text1"/>
          <w:szCs w:val="21"/>
          <w:highlight w:val="none"/>
          <w14:textFill>
            <w14:solidFill>
              <w14:schemeClr w14:val="tx1"/>
            </w14:solidFill>
          </w14:textFill>
        </w:rPr>
        <w:t>人民币</w:t>
      </w:r>
      <w:r>
        <w:rPr>
          <w:rFonts w:hint="eastAsia" w:ascii="宋体" w:hAnsi="宋体" w:eastAsia="宋体" w:cs="仿宋"/>
          <w:color w:val="000000" w:themeColor="text1"/>
          <w:szCs w:val="21"/>
          <w:highlight w:val="none"/>
          <w:lang w:val="en-US" w:eastAsia="zh-CN"/>
          <w14:textFill>
            <w14:solidFill>
              <w14:schemeClr w14:val="tx1"/>
            </w14:solidFill>
          </w14:textFill>
        </w:rPr>
        <w:t>贰佰柒拾万元整</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val="en-US" w:eastAsia="zh-CN"/>
          <w14:textFill>
            <w14:solidFill>
              <w14:schemeClr w14:val="tx1"/>
            </w14:solidFill>
          </w14:textFill>
        </w:rPr>
        <w:t>2700000.00</w:t>
      </w:r>
      <w:r>
        <w:rPr>
          <w:rFonts w:hint="eastAsia" w:ascii="宋体" w:hAnsi="宋体" w:eastAsia="宋体" w:cs="仿宋"/>
          <w:color w:val="000000" w:themeColor="text1"/>
          <w:szCs w:val="21"/>
          <w:highlight w:val="none"/>
          <w14:textFill>
            <w14:solidFill>
              <w14:schemeClr w14:val="tx1"/>
            </w14:solidFill>
          </w14:textFill>
        </w:rPr>
        <w:t>）</w:t>
      </w:r>
    </w:p>
    <w:p w14:paraId="4C16D1B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bCs w:val="0"/>
          <w:color w:val="000000" w:themeColor="text1"/>
          <w:szCs w:val="21"/>
          <w:highlight w:val="none"/>
          <w:u w:val="double"/>
          <w14:textFill>
            <w14:solidFill>
              <w14:schemeClr w14:val="tx1"/>
            </w14:solidFill>
          </w14:textFill>
        </w:rPr>
      </w:pPr>
      <w:r>
        <w:rPr>
          <w:rFonts w:hint="eastAsia" w:ascii="宋体" w:hAnsi="宋体" w:eastAsia="宋体" w:cs="仿宋"/>
          <w:b/>
          <w:bCs w:val="0"/>
          <w:color w:val="000000" w:themeColor="text1"/>
          <w:szCs w:val="21"/>
          <w:highlight w:val="none"/>
          <w:u w:val="double"/>
          <w14:textFill>
            <w14:solidFill>
              <w14:schemeClr w14:val="tx1"/>
            </w14:solidFill>
          </w14:textFill>
        </w:rPr>
        <w:t>最高限价（如有）：人民币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贰佰柒拾万元整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2700000.00</w:t>
      </w:r>
      <w:r>
        <w:rPr>
          <w:rFonts w:hint="eastAsia" w:ascii="宋体" w:hAnsi="宋体" w:eastAsia="宋体" w:cs="仿宋"/>
          <w:b/>
          <w:bCs w:val="0"/>
          <w:color w:val="000000" w:themeColor="text1"/>
          <w:szCs w:val="21"/>
          <w:highlight w:val="none"/>
          <w:u w:val="double"/>
          <w14:textFill>
            <w14:solidFill>
              <w14:schemeClr w14:val="tx1"/>
            </w14:solidFill>
          </w14:textFill>
        </w:rPr>
        <w:t>）</w:t>
      </w:r>
    </w:p>
    <w:p w14:paraId="477E822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采购需求：</w:t>
      </w:r>
      <w:r>
        <w:rPr>
          <w:rFonts w:hint="eastAsia" w:ascii="宋体" w:hAnsi="宋体" w:eastAsia="宋体" w:cs="仿宋"/>
          <w:color w:val="000000" w:themeColor="text1"/>
          <w:szCs w:val="21"/>
          <w:highlight w:val="none"/>
          <w:lang w:eastAsia="zh-CN"/>
          <w14:textFill>
            <w14:solidFill>
              <w14:schemeClr w14:val="tx1"/>
            </w14:solidFill>
          </w14:textFill>
        </w:rPr>
        <w:t>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14:textFill>
            <w14:solidFill>
              <w14:schemeClr w14:val="tx1"/>
            </w14:solidFill>
          </w14:textFill>
        </w:rPr>
        <w:t>如需进一步了解详细内容，具体内容详见工程量清单及图纸。</w:t>
      </w:r>
    </w:p>
    <w:p w14:paraId="5CB46B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合同履</w:t>
      </w:r>
      <w:r>
        <w:rPr>
          <w:rFonts w:hint="eastAsia" w:ascii="宋体" w:hAnsi="宋体" w:eastAsia="宋体" w:cs="仿宋"/>
          <w:b/>
          <w:color w:val="000000" w:themeColor="text1"/>
          <w:szCs w:val="21"/>
          <w:highlight w:val="none"/>
          <w:shd w:val="clear"/>
          <w14:textFill>
            <w14:solidFill>
              <w14:schemeClr w14:val="tx1"/>
            </w14:solidFill>
          </w14:textFill>
        </w:rPr>
        <w:t>行期限</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：工期为</w:t>
      </w:r>
      <w:r>
        <w:rPr>
          <w:rFonts w:hint="eastAsia" w:ascii="宋体" w:hAnsi="宋体" w:eastAsia="宋体" w:cs="仿宋"/>
          <w:color w:val="000000" w:themeColor="text1"/>
          <w:szCs w:val="21"/>
          <w:highlight w:val="none"/>
          <w:u w:val="none"/>
          <w:shd w:val="clear"/>
          <w:lang w:val="en-US" w:eastAsia="zh-CN"/>
          <w14:textFill>
            <w14:solidFill>
              <w14:schemeClr w14:val="tx1"/>
            </w14:solidFill>
          </w14:textFill>
        </w:rPr>
        <w:t>270日历天</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w:t>
      </w:r>
    </w:p>
    <w:p w14:paraId="1D70141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本项目</w:t>
      </w:r>
      <w:r>
        <w:rPr>
          <w:rFonts w:hint="eastAsia" w:ascii="宋体" w:hAnsi="宋体" w:eastAsia="宋体" w:cs="Times New Roman"/>
          <w:b/>
          <w:color w:val="000000" w:themeColor="text1"/>
          <w:szCs w:val="21"/>
          <w:highlight w:val="none"/>
          <w14:textFill>
            <w14:solidFill>
              <w14:schemeClr w14:val="tx1"/>
            </w14:solidFill>
          </w14:textFill>
        </w:rPr>
        <w:t>不接受</w:t>
      </w:r>
      <w:r>
        <w:rPr>
          <w:rFonts w:hint="eastAsia" w:ascii="宋体" w:hAnsi="宋体" w:eastAsia="宋体" w:cs="Times New Roman"/>
          <w:color w:val="000000" w:themeColor="text1"/>
          <w:szCs w:val="21"/>
          <w:highlight w:val="none"/>
          <w14:textFill>
            <w14:solidFill>
              <w14:schemeClr w14:val="tx1"/>
            </w14:solidFill>
          </w14:textFill>
        </w:rPr>
        <w:t>联合体磋商。</w:t>
      </w:r>
    </w:p>
    <w:p w14:paraId="37EA029E">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color w:val="FF0000"/>
          <w:szCs w:val="21"/>
          <w:highlight w:val="none"/>
          <w:lang w:val="en-US" w:eastAsia="zh-CN"/>
        </w:rPr>
        <w:t>备注：</w:t>
      </w:r>
      <w:r>
        <w:rPr>
          <w:rFonts w:hint="eastAsia" w:ascii="宋体" w:hAnsi="宋体" w:eastAsia="宋体" w:cs="Times New Roman"/>
          <w:b/>
          <w:bCs/>
          <w:color w:val="FF0000"/>
          <w:szCs w:val="21"/>
          <w:highlight w:val="none"/>
          <w:lang w:val="en-US" w:eastAsia="zh-CN"/>
        </w:rPr>
        <w:t>以工代赈政策要求：严格按照（1）《国家以工代赈管理办法》(国家发展和改革委员会令第57号)；(2)《国家发展改革委关于进一步坚守“赈”的初心充分发挥以工代赈政策功能的意见》(发改振兴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6564B24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118.41万元（不少于中央资金的43.86%），带动当地群众务工人数不少于108人，开展技能培训108人。</w:t>
      </w:r>
    </w:p>
    <w:p w14:paraId="018739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AD93D8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7817245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4.承包人应严格遵守“能用人工的尽量不用机械”的原则组织施工，严禁将租用务工群众车辆或机械设备等费用计入劳务报酬。</w:t>
      </w:r>
    </w:p>
    <w:p w14:paraId="6D2B9A9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356699BE">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6.因承包人原因导致拖欠克扣劳务报酬、弄虚作假等行为的，由此产生的一切法律责任、经济损失及行政处罚后果，均由承包人承担全部责任。</w:t>
      </w:r>
    </w:p>
    <w:p w14:paraId="4D1B0C5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9" w:name="_Toc35393630"/>
      <w:bookmarkStart w:id="10" w:name="_Toc28359090"/>
      <w:bookmarkStart w:id="11" w:name="_Toc35393799"/>
      <w:bookmarkStart w:id="12" w:name="_Toc28359013"/>
      <w:r>
        <w:rPr>
          <w:rFonts w:hint="eastAsia" w:ascii="宋体" w:hAnsi="宋体" w:eastAsia="宋体" w:cs="黑体"/>
          <w:b/>
          <w:color w:val="000000" w:themeColor="text1"/>
          <w:szCs w:val="21"/>
          <w:highlight w:val="none"/>
          <w14:textFill>
            <w14:solidFill>
              <w14:schemeClr w14:val="tx1"/>
            </w14:solidFill>
          </w14:textFill>
        </w:rPr>
        <w:t>二、申请人的资格要求：</w:t>
      </w:r>
      <w:bookmarkEnd w:id="9"/>
      <w:bookmarkEnd w:id="10"/>
      <w:bookmarkEnd w:id="11"/>
      <w:bookmarkEnd w:id="12"/>
    </w:p>
    <w:p w14:paraId="35A156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3DAD386B">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宋体"/>
          <w:b/>
          <w:color w:val="000000" w:themeColor="text1"/>
          <w:szCs w:val="21"/>
          <w:highlight w:val="none"/>
          <w14:textFill>
            <w14:solidFill>
              <w14:schemeClr w14:val="tx1"/>
            </w14:solidFill>
          </w14:textFill>
        </w:rPr>
      </w:pPr>
      <w:bookmarkStart w:id="13" w:name="_Toc28359091"/>
      <w:bookmarkStart w:id="14" w:name="_Toc28359014"/>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w:t>
      </w:r>
      <w:r>
        <w:rPr>
          <w:rFonts w:hint="eastAsia" w:ascii="宋体" w:hAnsi="宋体" w:eastAsia="宋体" w:cs="宋体"/>
          <w:color w:val="000000" w:themeColor="text1"/>
          <w:szCs w:val="21"/>
          <w:highlight w:val="none"/>
          <w:lang w:eastAsia="zh-CN"/>
          <w14:textFill>
            <w14:solidFill>
              <w14:schemeClr w14:val="tx1"/>
            </w14:solidFill>
          </w14:textFill>
        </w:rPr>
        <w:t>中小微企业</w:t>
      </w:r>
      <w:r>
        <w:rPr>
          <w:rFonts w:hint="eastAsia" w:ascii="宋体" w:hAnsi="宋体" w:eastAsia="宋体" w:cs="宋体"/>
          <w:color w:val="000000" w:themeColor="text1"/>
          <w:szCs w:val="21"/>
          <w:highlight w:val="none"/>
          <w14:textFill>
            <w14:solidFill>
              <w14:schemeClr w14:val="tx1"/>
            </w14:solidFill>
          </w14:textFill>
        </w:rPr>
        <w:t>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1D087C3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20932CAA">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（1）国内注册（指按国家有关规定要求注册的），具备独立法人资格，具有市政公用工程施工总承包三级(含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145EB14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市政公用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p w14:paraId="099DFD4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5" w:name="_Toc35393631"/>
      <w:bookmarkStart w:id="16" w:name="_Toc35393800"/>
      <w:r>
        <w:rPr>
          <w:rFonts w:hint="eastAsia" w:ascii="宋体" w:hAnsi="宋体" w:eastAsia="宋体" w:cs="黑体"/>
          <w:b/>
          <w:color w:val="000000" w:themeColor="text1"/>
          <w:szCs w:val="21"/>
          <w:highlight w:val="none"/>
          <w14:textFill>
            <w14:solidFill>
              <w14:schemeClr w14:val="tx1"/>
            </w14:solidFill>
          </w14:textFill>
        </w:rPr>
        <w:t>三、获取采购文件</w:t>
      </w:r>
      <w:bookmarkEnd w:id="13"/>
      <w:bookmarkEnd w:id="14"/>
      <w:bookmarkEnd w:id="15"/>
      <w:bookmarkEnd w:id="16"/>
    </w:p>
    <w:p w14:paraId="58013B4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2026年08月19日至2026年08月27日</w:t>
      </w:r>
      <w:r>
        <w:rPr>
          <w:rFonts w:hint="eastAsia" w:ascii="宋体" w:hAnsi="宋体" w:eastAsia="宋体" w:cs="仿宋"/>
          <w:color w:val="000000" w:themeColor="text1"/>
          <w:szCs w:val="21"/>
          <w:highlight w:val="none"/>
          <w14:textFill>
            <w14:solidFill>
              <w14:schemeClr w14:val="tx1"/>
            </w14:solidFill>
          </w14:textFill>
        </w:rPr>
        <w:t>（磋商截止时间前）；</w:t>
      </w:r>
    </w:p>
    <w:p w14:paraId="3AD2909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地点：</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w:t>
      </w:r>
    </w:p>
    <w:p w14:paraId="7048DD38">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方式：线上获取。由潜在供应商在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“项目采购—获取采购文件”模块自行下载采购文件，未在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注册的供应商可在获取竞争性磋商采购文件前登录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进行注册。如在操作过程中遇到问题或需技术支持，请致电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客服热线：95763。</w:t>
      </w:r>
      <w:r>
        <w:rPr>
          <w:rFonts w:hint="eastAsia" w:ascii="宋体" w:hAnsi="宋体" w:eastAsia="宋体" w:cs="仿宋"/>
          <w:b/>
          <w:color w:val="000000" w:themeColor="text1"/>
          <w:szCs w:val="21"/>
          <w:highlight w:val="none"/>
          <w14:textFill>
            <w14:solidFill>
              <w14:schemeClr w14:val="tx1"/>
            </w14:solidFill>
          </w14:textFill>
        </w:rPr>
        <w:t>（注：各供应商通过新平台参与政府采购项目投标需下载使用新版客户端，新版客户端下载路径：广西政府采购网（访问地址 http://zfcg.gxzf.gov.cn/）—办事服务—下载专区。原在采云平台注册的临时供应商需在新平台启用后重新注册登记。）</w:t>
      </w:r>
    </w:p>
    <w:p w14:paraId="2AB7326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售价：每本0元。</w:t>
      </w:r>
    </w:p>
    <w:p w14:paraId="1F74F01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7" w:name="_Toc35393801"/>
      <w:bookmarkStart w:id="18" w:name="_Toc35393632"/>
      <w:bookmarkStart w:id="19" w:name="_Toc28359092"/>
      <w:bookmarkStart w:id="20" w:name="_Toc28359015"/>
      <w:r>
        <w:rPr>
          <w:rFonts w:hint="eastAsia" w:ascii="宋体" w:hAnsi="宋体" w:eastAsia="宋体" w:cs="黑体"/>
          <w:b/>
          <w:color w:val="000000" w:themeColor="text1"/>
          <w:szCs w:val="21"/>
          <w:highlight w:val="none"/>
          <w14:textFill>
            <w14:solidFill>
              <w14:schemeClr w14:val="tx1"/>
            </w14:solidFill>
          </w14:textFill>
        </w:rPr>
        <w:t>四、响应文件提交</w:t>
      </w:r>
      <w:bookmarkEnd w:id="17"/>
      <w:bookmarkEnd w:id="18"/>
      <w:bookmarkEnd w:id="19"/>
      <w:bookmarkEnd w:id="20"/>
    </w:p>
    <w:p w14:paraId="3568858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截止时间：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14:textFill>
            <w14:solidFill>
              <w14:schemeClr w14:val="tx1"/>
            </w14:solidFill>
          </w14:textFill>
        </w:rPr>
        <w:t>（北京时间）；</w:t>
      </w:r>
    </w:p>
    <w:p w14:paraId="0F4FE85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b/>
          <w:color w:val="000000" w:themeColor="text1"/>
          <w:szCs w:val="21"/>
          <w:highlight w:val="none"/>
          <w:u w:val="none"/>
          <w14:textFill>
            <w14:solidFill>
              <w14:schemeClr w14:val="tx1"/>
            </w14:solidFill>
          </w14:textFill>
        </w:rPr>
        <w:t>地点：</w:t>
      </w:r>
      <w:r>
        <w:rPr>
          <w:rFonts w:hint="eastAsia" w:ascii="宋体" w:hAnsi="宋体" w:eastAsia="宋体" w:cs="仿宋"/>
          <w:color w:val="000000" w:themeColor="text1"/>
          <w:szCs w:val="21"/>
          <w:highlight w:val="none"/>
          <w:u w:val="none"/>
          <w14:textFill>
            <w14:solidFill>
              <w14:schemeClr w14:val="tx1"/>
            </w14:solidFill>
          </w14:textFill>
        </w:rPr>
        <w:t>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ascii="宋体" w:hAnsi="宋体" w:eastAsia="宋体" w:cs="黑体"/>
          <w:color w:val="000000" w:themeColor="text1"/>
          <w:szCs w:val="21"/>
          <w:highlight w:val="none"/>
          <w:u w:val="none"/>
          <w14:textFill>
            <w14:solidFill>
              <w14:schemeClr w14:val="tx1"/>
            </w14:solidFill>
          </w14:textFill>
        </w:rPr>
        <w:t>https://www.gcy.zfcg.gxzf.gov.cn/</w:t>
      </w:r>
      <w:r>
        <w:rPr>
          <w:rFonts w:hint="eastAsia" w:ascii="宋体" w:hAnsi="宋体" w:eastAsia="宋体" w:cs="黑体"/>
          <w:color w:val="000000" w:themeColor="text1"/>
          <w:szCs w:val="21"/>
          <w:highlight w:val="none"/>
          <w:u w:val="none"/>
          <w14:textFill>
            <w14:solidFill>
              <w14:schemeClr w14:val="tx1"/>
            </w14:solidFill>
          </w14:textFill>
        </w:rPr>
        <w:t>）</w:t>
      </w:r>
      <w:r>
        <w:rPr>
          <w:rFonts w:hint="eastAsia" w:ascii="宋体" w:hAnsi="宋体" w:eastAsia="宋体" w:cs="仿宋"/>
          <w:color w:val="000000" w:themeColor="text1"/>
          <w:szCs w:val="21"/>
          <w:highlight w:val="none"/>
          <w:u w:val="none"/>
          <w14:textFill>
            <w14:solidFill>
              <w14:schemeClr w14:val="tx1"/>
            </w14:solidFill>
          </w14:textFill>
        </w:rPr>
        <w:t>实行在线投标，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拒收。（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155B6A2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u w:val="none"/>
          <w14:textFill>
            <w14:solidFill>
              <w14:schemeClr w14:val="tx1"/>
            </w14:solidFill>
          </w14:textFill>
        </w:rPr>
      </w:pPr>
      <w:bookmarkStart w:id="21" w:name="_Toc35393633"/>
      <w:bookmarkStart w:id="22" w:name="_Toc28359016"/>
      <w:bookmarkStart w:id="23" w:name="_Toc28359093"/>
      <w:bookmarkStart w:id="24" w:name="_Toc35393802"/>
      <w:r>
        <w:rPr>
          <w:rFonts w:hint="eastAsia" w:ascii="宋体" w:hAnsi="宋体" w:eastAsia="宋体" w:cs="黑体"/>
          <w:b/>
          <w:color w:val="000000" w:themeColor="text1"/>
          <w:szCs w:val="21"/>
          <w:highlight w:val="none"/>
          <w:u w:val="none"/>
          <w14:textFill>
            <w14:solidFill>
              <w14:schemeClr w14:val="tx1"/>
            </w14:solidFill>
          </w14:textFill>
        </w:rPr>
        <w:t>五、开启</w:t>
      </w:r>
      <w:bookmarkEnd w:id="21"/>
      <w:bookmarkEnd w:id="22"/>
      <w:bookmarkEnd w:id="23"/>
      <w:bookmarkEnd w:id="24"/>
    </w:p>
    <w:p w14:paraId="532C412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u w:val="none"/>
          <w14:textFill>
            <w14:solidFill>
              <w14:schemeClr w14:val="tx1"/>
            </w14:solidFill>
          </w14:textFill>
        </w:rPr>
        <w:t>（北京时间）</w:t>
      </w:r>
    </w:p>
    <w:p w14:paraId="0FA9131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地点：在贵港市公共资源交易中心二楼交易厅（</w:t>
      </w:r>
      <w:r>
        <w:rPr>
          <w:rFonts w:hint="eastAsia" w:ascii="宋体" w:hAnsi="宋体" w:eastAsia="宋体" w:cs="仿宋"/>
          <w:color w:val="000000" w:themeColor="text1"/>
          <w:szCs w:val="21"/>
          <w:highlight w:val="none"/>
          <w:u w:val="none"/>
          <w:lang w:eastAsia="zh-CN"/>
          <w14:textFill>
            <w14:solidFill>
              <w14:schemeClr w14:val="tx1"/>
            </w14:solidFill>
          </w14:textFill>
        </w:rPr>
        <w:t>贵港市</w:t>
      </w:r>
      <w:r>
        <w:rPr>
          <w:rFonts w:hint="eastAsia" w:ascii="宋体" w:hAnsi="宋体" w:eastAsia="宋体" w:cs="仿宋"/>
          <w:color w:val="000000" w:themeColor="text1"/>
          <w:szCs w:val="21"/>
          <w:highlight w:val="none"/>
          <w:u w:val="none"/>
          <w:lang w:val="en-US" w:eastAsia="zh-CN"/>
          <w14:textFill>
            <w14:solidFill>
              <w14:schemeClr w14:val="tx1"/>
            </w14:solidFill>
          </w14:textFill>
        </w:rPr>
        <w:t>港北</w:t>
      </w:r>
      <w:r>
        <w:rPr>
          <w:rFonts w:hint="eastAsia" w:ascii="宋体" w:hAnsi="宋体" w:eastAsia="宋体" w:cs="仿宋"/>
          <w:color w:val="000000" w:themeColor="text1"/>
          <w:szCs w:val="21"/>
          <w:highlight w:val="none"/>
          <w:u w:val="none"/>
          <w:lang w:eastAsia="zh-CN"/>
          <w14:textFill>
            <w14:solidFill>
              <w14:schemeClr w14:val="tx1"/>
            </w14:solidFill>
          </w14:textFill>
        </w:rPr>
        <w:t>区</w:t>
      </w:r>
      <w:r>
        <w:rPr>
          <w:rFonts w:hint="eastAsia" w:ascii="宋体" w:hAnsi="宋体" w:eastAsia="宋体" w:cs="仿宋"/>
          <w:color w:val="000000" w:themeColor="text1"/>
          <w:szCs w:val="21"/>
          <w:highlight w:val="none"/>
          <w:u w:val="none"/>
          <w14:textFill>
            <w14:solidFill>
              <w14:schemeClr w14:val="tx1"/>
            </w14:solidFill>
          </w14:textFill>
        </w:rPr>
        <w:t>金城商业步行街与金田路交叉口东南150米水利大厦）通过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实行在线开标。</w:t>
      </w:r>
    </w:p>
    <w:p w14:paraId="0BF245C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25" w:name="_Toc28359094"/>
      <w:bookmarkStart w:id="26" w:name="_Toc35393634"/>
      <w:bookmarkStart w:id="27" w:name="_Toc35393803"/>
      <w:bookmarkStart w:id="28" w:name="_Toc28359017"/>
      <w:r>
        <w:rPr>
          <w:rFonts w:hint="eastAsia" w:ascii="宋体" w:hAnsi="宋体" w:eastAsia="宋体" w:cs="黑体"/>
          <w:b/>
          <w:color w:val="000000" w:themeColor="text1"/>
          <w:szCs w:val="21"/>
          <w:highlight w:val="none"/>
          <w14:textFill>
            <w14:solidFill>
              <w14:schemeClr w14:val="tx1"/>
            </w14:solidFill>
          </w14:textFill>
        </w:rPr>
        <w:t>六、公告期限</w:t>
      </w:r>
      <w:bookmarkEnd w:id="25"/>
      <w:bookmarkEnd w:id="26"/>
      <w:bookmarkEnd w:id="27"/>
      <w:bookmarkEnd w:id="28"/>
    </w:p>
    <w:p w14:paraId="26652B2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自本公告发布之日起10个日历天。</w:t>
      </w:r>
    </w:p>
    <w:p w14:paraId="6C76CB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bookmarkStart w:id="29" w:name="_Toc35393804"/>
      <w:bookmarkStart w:id="30" w:name="_Toc35393635"/>
      <w:r>
        <w:rPr>
          <w:rFonts w:hint="eastAsia" w:ascii="宋体" w:hAnsi="宋体" w:eastAsia="宋体" w:cs="黑体"/>
          <w:b/>
          <w:color w:val="000000" w:themeColor="text1"/>
          <w:szCs w:val="21"/>
          <w:highlight w:val="none"/>
          <w14:textFill>
            <w14:solidFill>
              <w14:schemeClr w14:val="tx1"/>
            </w14:solidFill>
          </w14:textFill>
        </w:rPr>
        <w:t>七、其他补充事宜</w:t>
      </w:r>
      <w:bookmarkEnd w:id="29"/>
      <w:bookmarkEnd w:id="30"/>
    </w:p>
    <w:p w14:paraId="1C09408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1.磋商保证金：</w:t>
      </w:r>
      <w:r>
        <w:rPr>
          <w:rFonts w:hint="eastAsia" w:ascii="宋体" w:hAnsi="宋体" w:eastAsia="宋体" w:cs="黑体"/>
          <w:color w:val="000000" w:themeColor="text1"/>
          <w:szCs w:val="21"/>
          <w:highlight w:val="none"/>
          <w14:textFill>
            <w14:solidFill>
              <w14:schemeClr w14:val="tx1"/>
            </w14:solidFill>
          </w14:textFill>
        </w:rPr>
        <w:t>无。</w:t>
      </w:r>
    </w:p>
    <w:p w14:paraId="13EDF4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bookmarkStart w:id="31" w:name="_Toc28359018"/>
      <w:bookmarkStart w:id="32" w:name="_Toc35393805"/>
      <w:bookmarkStart w:id="33" w:name="_Toc35393636"/>
      <w:bookmarkStart w:id="34" w:name="_Toc28359095"/>
      <w:r>
        <w:rPr>
          <w:rFonts w:hint="eastAsia" w:ascii="宋体" w:hAnsi="宋体" w:eastAsia="宋体" w:cs="黑体"/>
          <w:b/>
          <w:color w:val="000000" w:themeColor="text1"/>
          <w:szCs w:val="21"/>
          <w:highlight w:val="none"/>
          <w14:textFill>
            <w14:solidFill>
              <w14:schemeClr w14:val="tx1"/>
            </w14:solidFill>
          </w14:textFill>
        </w:rPr>
        <w:t>2.公告发布媒体：</w:t>
      </w:r>
      <w:r>
        <w:rPr>
          <w:rFonts w:hint="eastAsia" w:ascii="宋体" w:hAnsi="宋体" w:eastAsia="宋体" w:cs="黑体"/>
          <w:color w:val="000000" w:themeColor="text1"/>
          <w:szCs w:val="21"/>
          <w:highlight w:val="none"/>
          <w14:textFill>
            <w14:solidFill>
              <w14:schemeClr w14:val="tx1"/>
            </w14:solidFill>
          </w14:textFill>
        </w:rPr>
        <w:t>http://www.ccgp.gov.cn（中国政府采购网）、http://www.gxzfcg.gov.cn（广西壮族自治区政府采购网）、http://ggzy.jgswj.gxzf.gov.cn/ggggzy/（全国公共资源交易平台（广西•贵港））。</w:t>
      </w:r>
    </w:p>
    <w:p w14:paraId="3FA116D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3.本项目需要落实的政府采购政策：</w:t>
      </w:r>
    </w:p>
    <w:p w14:paraId="669703F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bCs/>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（1）《政府采购促进中小企业发展管理办法》（财库[2020]46 号）；</w:t>
      </w:r>
      <w:r>
        <w:rPr>
          <w:rFonts w:hint="eastAsia" w:ascii="宋体" w:hAnsi="宋体" w:eastAsia="宋体" w:cs="黑体"/>
          <w:b/>
          <w:bCs/>
          <w:color w:val="000000" w:themeColor="text1"/>
          <w:szCs w:val="21"/>
          <w:highlight w:val="none"/>
          <w14:textFill>
            <w14:solidFill>
              <w14:schemeClr w14:val="tx1"/>
            </w14:solidFill>
          </w14:textFill>
        </w:rPr>
        <w:t>中小企业划分标准属于行业为“</w:t>
      </w:r>
      <w:r>
        <w:rPr>
          <w:rFonts w:hint="eastAsia" w:ascii="宋体" w:hAnsi="宋体" w:eastAsia="宋体" w:cs="黑体"/>
          <w:b/>
          <w:bCs/>
          <w:color w:val="000000" w:themeColor="text1"/>
          <w:szCs w:val="21"/>
          <w:highlight w:val="none"/>
          <w:lang w:eastAsia="zh-CN"/>
          <w14:textFill>
            <w14:solidFill>
              <w14:schemeClr w14:val="tx1"/>
            </w14:solidFill>
          </w14:textFill>
        </w:rPr>
        <w:t>建筑</w:t>
      </w:r>
      <w:r>
        <w:rPr>
          <w:rFonts w:hint="eastAsia" w:ascii="宋体" w:hAnsi="宋体" w:eastAsia="宋体" w:cs="黑体"/>
          <w:b/>
          <w:bCs/>
          <w:color w:val="000000" w:themeColor="text1"/>
          <w:szCs w:val="21"/>
          <w:highlight w:val="none"/>
          <w14:textFill>
            <w14:solidFill>
              <w14:schemeClr w14:val="tx1"/>
            </w14:solidFill>
          </w14:textFill>
        </w:rPr>
        <w:t>业”。</w:t>
      </w:r>
    </w:p>
    <w:p w14:paraId="7A4E48D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（2）《财政部、司法部关于政府采购支持监狱企业发展有关问题的通知》（财库〔2014〕68号）；</w:t>
      </w:r>
    </w:p>
    <w:p w14:paraId="0F80721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（3）《财政部民政部中国残疾人联合会关于促进残疾人就业政府采购政策的通知》（财库〔2017〕141号）；</w:t>
      </w:r>
    </w:p>
    <w:p w14:paraId="477DC32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（4）财政部 发展改革委 生态环境部 市场监管总局关于调整优化节能产品、环境标志产品政府采购执行机制的通知（财库〔2019〕9号）；</w:t>
      </w:r>
    </w:p>
    <w:p w14:paraId="3061C0B4">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（5）财政部发展改革委关于印发节能产品政府采购品目清单的通知（财库〔2019〕19号）。</w:t>
      </w:r>
    </w:p>
    <w:p w14:paraId="447863A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黑体"/>
          <w:color w:val="000000" w:themeColor="text1"/>
          <w:szCs w:val="21"/>
          <w:highlight w:val="none"/>
          <w:lang w:eastAsia="zh-CN"/>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4.监督部门：</w:t>
      </w:r>
      <w:r>
        <w:rPr>
          <w:rFonts w:hint="eastAsia" w:ascii="宋体" w:hAnsi="宋体" w:eastAsia="宋体" w:cs="黑体"/>
          <w:b w:val="0"/>
          <w:bCs/>
          <w:color w:val="000000" w:themeColor="text1"/>
          <w:szCs w:val="21"/>
          <w:highlight w:val="none"/>
          <w14:textFill>
            <w14:solidFill>
              <w14:schemeClr w14:val="tx1"/>
            </w14:solidFill>
          </w14:textFill>
        </w:rPr>
        <w:t>贵港市港南区财政局政府采购监督管理股</w:t>
      </w:r>
      <w:r>
        <w:rPr>
          <w:rFonts w:hint="eastAsia" w:ascii="宋体" w:hAnsi="宋体" w:eastAsia="宋体" w:cs="黑体"/>
          <w:b w:val="0"/>
          <w:bCs/>
          <w:color w:val="000000" w:themeColor="text1"/>
          <w:szCs w:val="21"/>
          <w:highlight w:val="none"/>
          <w:lang w:eastAsia="zh-CN"/>
          <w14:textFill>
            <w14:solidFill>
              <w14:schemeClr w14:val="tx1"/>
            </w14:solidFill>
          </w14:textFill>
        </w:rPr>
        <w:t xml:space="preserve"> </w:t>
      </w:r>
      <w:r>
        <w:rPr>
          <w:rFonts w:hint="eastAsia" w:ascii="宋体" w:hAnsi="宋体" w:eastAsia="宋体" w:cs="黑体"/>
          <w:color w:val="000000" w:themeColor="text1"/>
          <w:szCs w:val="21"/>
          <w:highlight w:val="none"/>
          <w:lang w:eastAsia="zh-CN"/>
          <w14:textFill>
            <w14:solidFill>
              <w14:schemeClr w14:val="tx1"/>
            </w14:solidFill>
          </w14:textFill>
        </w:rPr>
        <w:t xml:space="preserve"> 联系电话：0775‑4327666</w:t>
      </w:r>
    </w:p>
    <w:p w14:paraId="531CEBF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5.相关业务联系单位及联系电话</w:t>
      </w:r>
    </w:p>
    <w:p w14:paraId="503A16B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“广西政府采购云平台”平台客服电话：95763</w:t>
      </w:r>
    </w:p>
    <w:p w14:paraId="2A05D1D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7.在线投标响应（电子投标）说明：</w:t>
      </w:r>
    </w:p>
    <w:p w14:paraId="3DB6E39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（1）磋商响应文件提交方式：本项目为全流程电子化项目，通过</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ascii="宋体" w:hAnsi="宋体" w:eastAsia="宋体" w:cs="黑体"/>
          <w:color w:val="000000" w:themeColor="text1"/>
          <w:szCs w:val="21"/>
          <w:highlight w:val="none"/>
          <w:u w:val="single"/>
          <w14:textFill>
            <w14:solidFill>
              <w14:schemeClr w14:val="tx1"/>
            </w14:solidFill>
          </w14:textFill>
        </w:rPr>
        <w:t>https://www.gcy.zfcg.gxzf.gov.cn/</w:t>
      </w:r>
      <w:r>
        <w:rPr>
          <w:rFonts w:hint="eastAsia" w:ascii="宋体" w:hAnsi="宋体" w:eastAsia="宋体" w:cs="黑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实行在线电子投标，供应商应先安装“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"http://zfcg.gxzf.gov.cn/site/detail?parentId=66479&amp;articleId=+06E5n62B1RzrGh0ew1OFg==" \t "_blank" \o "广西政府采购云平台新版客户端" </w:instrText>
      </w:r>
      <w:r>
        <w:rPr>
          <w:color w:val="000000" w:themeColor="text1"/>
          <w:highlight w:val="none"/>
          <w14:textFill>
            <w14:solidFill>
              <w14:schemeClr w14:val="tx1"/>
            </w14:solidFill>
          </w14:textFill>
        </w:rPr>
        <w:fldChar w:fldCharType="separate"/>
      </w:r>
      <w:r>
        <w:rPr>
          <w:rStyle w:val="36"/>
          <w:rFonts w:ascii="Arial" w:hAnsi="Arial" w:cs="Arial"/>
          <w:color w:val="000000" w:themeColor="text1"/>
          <w:szCs w:val="21"/>
          <w:highlight w:val="none"/>
          <w:shd w:val="clear" w:color="auto" w:fill="FFFFFF"/>
          <w14:textFill>
            <w14:solidFill>
              <w14:schemeClr w14:val="tx1"/>
            </w14:solidFill>
          </w14:textFill>
        </w:rPr>
        <w:t>广西政府采购云平台新版客户端</w:t>
      </w:r>
      <w:r>
        <w:rPr>
          <w:rStyle w:val="36"/>
          <w:rFonts w:ascii="Arial" w:hAnsi="Arial" w:cs="Arial"/>
          <w:color w:val="000000" w:themeColor="text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请自行前往“广西政府采购云平台”进行下载，新版客户端下载路径：广西政府采购网（访问地址http://zfcg.gxzf.gov.cn/）—办事服务—下载专区），并按照本项目采购文件和“广西政府采购云平台”的要求编制、加密后在磋商截止时间前通过网络上传至“广西政府采购云平台”，供应商在“广西政府采购云平台”提交电子版磋商响应文件时，请填写参加远程开标活动经办人联系方式，磋商人登录“广西政府采购云平台”，依次进入“服务中心-项目采购-操作流程-电子招投标-政府采购项目电子交易管理操作指南-供应商”查看电子投标具体操作流程。</w:t>
      </w:r>
    </w:p>
    <w:p w14:paraId="7C7399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未进行网上注册并办理数字证书（CA认证）的供应商将无法参与本项目政府采购活动，潜在供应商应当在磋商截止时间前，完成电子交易平台上的CA数字证书办理及磋商响应文件的提交。完成CA数字证书办理预计7日左右，磋商人只需办理其中一家CA数字证书及签章，建议各磋商人抓紧时间办理。（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客服热线：95763）</w:t>
      </w:r>
    </w:p>
    <w:p w14:paraId="7CDCB81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（3）为确保网上操作合法、有效和安全，请供应商确保在电子投标过程中能够对相关数据电文进行加密和使用电子签章，妥善保管CA数字证书并使用有效的CA数字证书参与整个招标活动。</w:t>
      </w:r>
    </w:p>
    <w:p w14:paraId="1207A2D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磋商人应当在磋商截止时间前完成电子磋商响应文件的上传、递交，磋商截止时间前可以补充、修改或者撤回磋商响应文件。补充或者修改磋商响应文件的，应当先行撤回原文件，补充、修改后重新上传、递交。磋商截止时间前未完成上传、递交的，视为撤回磋商响应文件。磋商截止时间以后上传递交的磋商响应文件“广西政府采购云平台”将予以拒收。</w:t>
      </w:r>
    </w:p>
    <w:p w14:paraId="6A33DA6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（4）开标地点：本次磋商将于本项目采购文件公布的开标时间在“广西政府采购云平台”电子开标大厅开标。</w:t>
      </w:r>
    </w:p>
    <w:p w14:paraId="188D917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（5）CA证书在线解密：供应商磋商时，需携带制作磋商响应文件时用来加密的有效数字证书（CA认证）登录“广西政府采购云平台”电子开标大厅现场按规定时间对加密的磋商响应文件进行解密，否则后果自负。</w:t>
      </w:r>
    </w:p>
    <w:p w14:paraId="49B22E7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供应商需要在具备有摄像头及语音功能且互联网网络状况良好的电脑登录“广西政府采购云平台”远程开标大厅参与本次磋商，否则后果自负。若对项目采购电子交易系统操作有疑问，可登录广西政府采购云平台（</w:t>
      </w:r>
      <w:r>
        <w:rPr>
          <w:rFonts w:ascii="宋体" w:hAnsi="宋体" w:eastAsia="宋体" w:cs="宋体"/>
          <w:color w:val="000000" w:themeColor="text1"/>
          <w:kern w:val="0"/>
          <w:szCs w:val="21"/>
          <w:highlight w:val="none"/>
          <w14:textFill>
            <w14:solidFill>
              <w14:schemeClr w14:val="tx1"/>
            </w14:solidFill>
          </w14:textFill>
        </w:rPr>
        <w:t>https://www.gcy.zfcg.gxzf.gov.cn/</w:t>
      </w:r>
      <w:r>
        <w:rPr>
          <w:rFonts w:hint="eastAsia" w:ascii="宋体" w:hAnsi="宋体" w:eastAsia="宋体" w:cs="宋体"/>
          <w:color w:val="000000" w:themeColor="text1"/>
          <w:kern w:val="0"/>
          <w:szCs w:val="21"/>
          <w:highlight w:val="none"/>
          <w14:textFill>
            <w14:solidFill>
              <w14:schemeClr w14:val="tx1"/>
            </w14:solidFill>
          </w14:textFill>
        </w:rPr>
        <w:t>），点击右侧咨询小采，获取采小蜜智能服务管家帮助，或拨打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服务热线95763获取热线服务帮助。</w:t>
      </w:r>
    </w:p>
    <w:p w14:paraId="53B65D9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8.本项目不接受未在广西政府采购云平台下载采购文件的磋商人参加磋商。</w:t>
      </w:r>
    </w:p>
    <w:p w14:paraId="0117EF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6EBA70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B2E5C7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8.本项目需落实的其他政策：</w:t>
      </w:r>
    </w:p>
    <w:p w14:paraId="36C9ABB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(1)《国家以工代赈管理办法》(国家发展和改革委员会令第57号)</w:t>
      </w:r>
    </w:p>
    <w:p w14:paraId="53D6BBE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(2)《国家发展改革委关于印发&lt;全国“十四五”以工代赈工作方案&gt;的通知》(发改振兴(2021)1019号)</w:t>
      </w:r>
    </w:p>
    <w:p w14:paraId="699D75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(3)《国家发展改革委关于进一步坚守“赈”的初心充分发挥以工代赈政策功能的意见》(发改振兴〔2021〕1852号)</w:t>
      </w:r>
    </w:p>
    <w:p w14:paraId="39FF424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(4)《广西壮族自治区发展和改革委员会关于精准把握以工代赈中央资金投向切实发挥政策功能的通知》(桂发改振兴(2020)853号)</w:t>
      </w:r>
    </w:p>
    <w:p w14:paraId="35CCFF5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(5)《广西壮族自治区发展和改革委员会关于进一步规范以工代赈项目管理的通知》(桂发改振兴)(2022)5号)</w:t>
      </w:r>
    </w:p>
    <w:p w14:paraId="7F0089C7">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(6)《国家发展改革委关于进一步统筹推进“硬投资”和“软建设”高标准高质量做好以工代赈工作的指导意见》发改振兴(2025)783号)</w:t>
      </w:r>
    </w:p>
    <w:p w14:paraId="2F735DC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(7)《广西壮族自治区发展和改革委员会关于印发以工代赈中央专项投资项目实施指南及相关配套文件的通知》桂发改振兴(2025)525号)</w:t>
      </w:r>
    </w:p>
    <w:p w14:paraId="5AB6B05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(8)其他“以工代赈”等相关文件。</w:t>
      </w:r>
    </w:p>
    <w:p w14:paraId="79095C8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八、凡对本次采购提出询问，请按以下方式联系。</w:t>
      </w:r>
      <w:bookmarkEnd w:id="31"/>
      <w:bookmarkEnd w:id="32"/>
      <w:bookmarkEnd w:id="33"/>
      <w:bookmarkEnd w:id="34"/>
    </w:p>
    <w:p w14:paraId="4B3586E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bookmarkStart w:id="35" w:name="_Toc28359096"/>
      <w:bookmarkStart w:id="36" w:name="_Toc28359019"/>
      <w:bookmarkStart w:id="37" w:name="_Toc35393806"/>
      <w:bookmarkStart w:id="38" w:name="_Toc35393637"/>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采购人信息</w:t>
      </w:r>
      <w:bookmarkEnd w:id="35"/>
      <w:bookmarkEnd w:id="36"/>
      <w:bookmarkEnd w:id="37"/>
      <w:bookmarkEnd w:id="38"/>
    </w:p>
    <w:p w14:paraId="7747DD1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lang w:eastAsia="zh-CN"/>
          <w14:textFill>
            <w14:solidFill>
              <w14:schemeClr w14:val="tx1"/>
            </w14:solidFill>
          </w14:textFill>
        </w:rPr>
      </w:pPr>
      <w:bookmarkStart w:id="39" w:name="_Toc28359020"/>
      <w:bookmarkStart w:id="40" w:name="_Toc35393807"/>
      <w:bookmarkStart w:id="41" w:name="_Toc35393638"/>
      <w:bookmarkStart w:id="42" w:name="_Toc28359097"/>
      <w:r>
        <w:rPr>
          <w:rFonts w:hint="eastAsia" w:ascii="宋体" w:hAnsi="宋体" w:eastAsia="宋体" w:cs="仿宋"/>
          <w:color w:val="000000" w:themeColor="text1"/>
          <w:szCs w:val="21"/>
          <w:highlight w:val="none"/>
          <w14:textFill>
            <w14:solidFill>
              <w14:schemeClr w14:val="tx1"/>
            </w14:solidFill>
          </w14:textFill>
        </w:rPr>
        <w:t>名  称：</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贵港市港南区新塘镇人民政府</w:t>
      </w:r>
    </w:p>
    <w:p w14:paraId="681746B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default" w:ascii="宋体" w:hAnsi="宋体" w:eastAsia="宋体" w:cs="仿宋"/>
          <w:color w:val="000000" w:themeColor="text1"/>
          <w:szCs w:val="21"/>
          <w:highlight w:val="none"/>
          <w:lang w:val="en-US" w:eastAsia="zh-CN"/>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  址：</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贵港市港南区新塘镇沿江路一号</w:t>
      </w:r>
    </w:p>
    <w:p w14:paraId="513F50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联系方式：</w:t>
      </w:r>
      <w:r>
        <w:rPr>
          <w:rFonts w:hint="eastAsia" w:ascii="宋体" w:hAnsi="宋体" w:eastAsia="宋体" w:cs="仿宋"/>
          <w:color w:val="000000" w:themeColor="text1"/>
          <w:szCs w:val="21"/>
          <w:highlight w:val="none"/>
          <w:lang w:val="en-US" w:eastAsia="zh-CN"/>
          <w14:textFill>
            <w14:solidFill>
              <w14:schemeClr w14:val="tx1"/>
            </w14:solidFill>
          </w14:textFill>
        </w:rPr>
        <w:t>姜工</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eastAsia="zh-CN"/>
          <w14:textFill>
            <w14:solidFill>
              <w14:schemeClr w14:val="tx1"/>
            </w14:solidFill>
          </w14:textFill>
        </w:rPr>
        <w:t>0775-4762030</w:t>
      </w:r>
    </w:p>
    <w:p w14:paraId="5C7B40C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采购代理机构信息</w:t>
      </w:r>
      <w:bookmarkEnd w:id="39"/>
      <w:bookmarkEnd w:id="40"/>
      <w:bookmarkEnd w:id="41"/>
      <w:bookmarkEnd w:id="42"/>
    </w:p>
    <w:p w14:paraId="2576F40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名</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称：</w:t>
      </w:r>
      <w:r>
        <w:rPr>
          <w:rFonts w:hint="eastAsia" w:ascii="宋体" w:hAnsi="宋体" w:eastAsia="宋体" w:cs="仿宋"/>
          <w:color w:val="000000" w:themeColor="text1"/>
          <w:szCs w:val="21"/>
          <w:highlight w:val="none"/>
          <w:u w:val="none"/>
          <w:lang w:eastAsia="zh-CN"/>
          <w14:textFill>
            <w14:solidFill>
              <w14:schemeClr w14:val="tx1"/>
            </w14:solidFill>
          </w14:textFill>
        </w:rPr>
        <w:t>泽圣勘察设计有限公司</w:t>
      </w:r>
    </w:p>
    <w:p w14:paraId="202ED3C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　　址：</w:t>
      </w:r>
      <w:r>
        <w:rPr>
          <w:rFonts w:hint="eastAsia" w:ascii="宋体" w:hAnsi="宋体" w:eastAsia="宋体" w:cs="仿宋"/>
          <w:color w:val="000000" w:themeColor="text1"/>
          <w:szCs w:val="21"/>
          <w:highlight w:val="none"/>
          <w:u w:val="none"/>
          <w:lang w:eastAsia="zh-CN"/>
          <w14:textFill>
            <w14:solidFill>
              <w14:schemeClr w14:val="tx1"/>
            </w14:solidFill>
          </w14:textFill>
        </w:rPr>
        <w:t>南宁市高新区科园大道31号高新苑第34-40号楼一层42号商铺</w:t>
      </w:r>
    </w:p>
    <w:p w14:paraId="796583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联系方式：</w:t>
      </w:r>
      <w:r>
        <w:rPr>
          <w:rFonts w:hint="eastAsia" w:ascii="宋体" w:hAnsi="宋体" w:eastAsia="宋体" w:cs="仿宋"/>
          <w:color w:val="000000" w:themeColor="text1"/>
          <w:szCs w:val="21"/>
          <w:highlight w:val="none"/>
          <w:u w:val="none"/>
          <w:lang w:eastAsia="zh-CN"/>
          <w14:textFill>
            <w14:solidFill>
              <w14:schemeClr w14:val="tx1"/>
            </w14:solidFill>
          </w14:textFill>
        </w:rPr>
        <w:t>范生，0771-3105459</w:t>
      </w:r>
    </w:p>
    <w:p w14:paraId="5E72A4E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bookmarkStart w:id="43" w:name="_Toc35393639"/>
      <w:bookmarkStart w:id="44" w:name="_Toc35393808"/>
      <w:bookmarkStart w:id="45" w:name="_Toc28359098"/>
      <w:bookmarkStart w:id="46" w:name="_Toc28359021"/>
      <w:r>
        <w:rPr>
          <w:rFonts w:ascii="宋体" w:hAnsi="宋体" w:eastAsia="宋体" w:cs="仿宋"/>
          <w:color w:val="000000" w:themeColor="text1"/>
          <w:szCs w:val="21"/>
          <w:highlight w:val="none"/>
          <w:u w:val="none"/>
          <w14:textFill>
            <w14:solidFill>
              <w14:schemeClr w14:val="tx1"/>
            </w14:solidFill>
          </w14:textFill>
        </w:rPr>
        <w:t>3.</w:t>
      </w:r>
      <w:r>
        <w:rPr>
          <w:rFonts w:hint="eastAsia" w:ascii="宋体" w:hAnsi="宋体" w:eastAsia="宋体" w:cs="仿宋"/>
          <w:color w:val="000000" w:themeColor="text1"/>
          <w:szCs w:val="21"/>
          <w:highlight w:val="none"/>
          <w:u w:val="none"/>
          <w14:textFill>
            <w14:solidFill>
              <w14:schemeClr w14:val="tx1"/>
            </w14:solidFill>
          </w14:textFill>
        </w:rPr>
        <w:t>项目联系方式</w:t>
      </w:r>
      <w:bookmarkEnd w:id="43"/>
      <w:bookmarkEnd w:id="44"/>
      <w:bookmarkEnd w:id="45"/>
      <w:bookmarkEnd w:id="46"/>
    </w:p>
    <w:p w14:paraId="7265C5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3EED38C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电　　</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72B70F5">
      <w:pPr>
        <w:spacing w:line="500" w:lineRule="atLeast"/>
        <w:jc w:val="right"/>
        <w:rPr>
          <w:rFonts w:ascii="宋体" w:hAnsi="宋体" w:eastAsia="宋体" w:cs="Times New Roman"/>
          <w:color w:val="000000" w:themeColor="text1"/>
          <w:szCs w:val="21"/>
          <w:highlight w:val="none"/>
          <w14:textFill>
            <w14:solidFill>
              <w14:schemeClr w14:val="tx1"/>
            </w14:solidFill>
          </w14:textFill>
        </w:rPr>
      </w:pPr>
    </w:p>
    <w:bookmarkEnd w:id="3"/>
    <w:bookmarkEnd w:id="4"/>
    <w:p w14:paraId="647C7E92">
      <w:pPr>
        <w:spacing w:line="460" w:lineRule="exact"/>
        <w:ind w:firstLine="630" w:firstLineChars="300"/>
        <w:rPr>
          <w:rFonts w:ascii="Times New Roman" w:hAnsi="Times New Roman" w:eastAsia="宋体" w:cs="Times New Roman"/>
          <w:color w:val="000000" w:themeColor="text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br w:type="page"/>
      </w:r>
    </w:p>
    <w:p w14:paraId="1FE8791C">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47" w:name="_Toc451430915"/>
      <w:bookmarkStart w:id="48" w:name="_Toc10219640"/>
      <w:bookmarkStart w:id="49" w:name="_Toc10180"/>
      <w:r>
        <w:rPr>
          <w:rFonts w:hint="eastAsia" w:ascii="Cambria" w:hAnsi="Cambria" w:eastAsia="宋体" w:cs="Times New Roman"/>
          <w:b/>
          <w:bCs/>
          <w:color w:val="000000" w:themeColor="text1"/>
          <w:sz w:val="44"/>
          <w:szCs w:val="44"/>
          <w:highlight w:val="none"/>
          <w14:textFill>
            <w14:solidFill>
              <w14:schemeClr w14:val="tx1"/>
            </w14:solidFill>
          </w14:textFill>
        </w:rPr>
        <w:t>第二章 磋商须知</w:t>
      </w:r>
      <w:bookmarkEnd w:id="47"/>
      <w:r>
        <w:rPr>
          <w:rFonts w:hint="eastAsia" w:ascii="Cambria" w:hAnsi="Cambria" w:eastAsia="宋体" w:cs="Times New Roman"/>
          <w:b/>
          <w:bCs/>
          <w:color w:val="000000" w:themeColor="text1"/>
          <w:sz w:val="44"/>
          <w:szCs w:val="44"/>
          <w:highlight w:val="none"/>
          <w14:textFill>
            <w14:solidFill>
              <w14:schemeClr w14:val="tx1"/>
            </w14:solidFill>
          </w14:textFill>
        </w:rPr>
        <w:t>前附表及磋商须知</w:t>
      </w:r>
      <w:bookmarkEnd w:id="48"/>
      <w:bookmarkEnd w:id="49"/>
    </w:p>
    <w:p w14:paraId="681BDBB5">
      <w:pPr>
        <w:keepNext/>
        <w:keepLines/>
        <w:spacing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0" w:name="_Toc28769"/>
      <w:r>
        <w:rPr>
          <w:rFonts w:hint="eastAsia" w:ascii="Cambria" w:hAnsi="Cambria" w:eastAsia="宋体" w:cs="Times New Roman"/>
          <w:b/>
          <w:bCs/>
          <w:color w:val="000000" w:themeColor="text1"/>
          <w:sz w:val="32"/>
          <w:szCs w:val="32"/>
          <w:highlight w:val="none"/>
          <w14:textFill>
            <w14:solidFill>
              <w14:schemeClr w14:val="tx1"/>
            </w14:solidFill>
          </w14:textFill>
        </w:rPr>
        <w:t>磋商须知前附表</w:t>
      </w:r>
      <w:bookmarkEnd w:id="5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833"/>
      </w:tblGrid>
      <w:tr w14:paraId="5223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97" w:type="dxa"/>
          </w:tcPr>
          <w:p w14:paraId="1C12D3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序号</w:t>
            </w:r>
          </w:p>
        </w:tc>
        <w:tc>
          <w:tcPr>
            <w:tcW w:w="8833" w:type="dxa"/>
          </w:tcPr>
          <w:p w14:paraId="25F611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内    容</w:t>
            </w:r>
          </w:p>
        </w:tc>
      </w:tr>
      <w:tr w14:paraId="7D58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0302544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w:t>
            </w:r>
          </w:p>
        </w:tc>
        <w:tc>
          <w:tcPr>
            <w:tcW w:w="8833" w:type="dxa"/>
            <w:vAlign w:val="center"/>
          </w:tcPr>
          <w:p w14:paraId="428EAA12">
            <w:pPr>
              <w:spacing w:line="360" w:lineRule="auto"/>
              <w:ind w:left="2"/>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一、工程综合说明：</w:t>
            </w:r>
          </w:p>
          <w:p w14:paraId="2AEB403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1、项目名称：</w:t>
            </w:r>
            <w:r>
              <w:rPr>
                <w:rFonts w:hint="eastAsia" w:ascii="宋体" w:hAnsi="宋体" w:eastAsia="宋体" w:cs="宋体"/>
                <w:color w:val="000000" w:themeColor="text1"/>
                <w:szCs w:val="21"/>
                <w:highlight w:val="none"/>
                <w:lang w:eastAsia="zh-CN"/>
                <w14:textFill>
                  <w14:solidFill>
                    <w14:schemeClr w14:val="tx1"/>
                  </w14:solidFill>
                </w14:textFill>
              </w:rPr>
              <w:t>港南区新塘镇蒙大村道路硬化建设以工代赈项目</w:t>
            </w:r>
            <w:r>
              <w:rPr>
                <w:rFonts w:hint="eastAsia" w:ascii="宋体" w:hAnsi="宋体" w:eastAsia="宋体" w:cs="宋体"/>
                <w:color w:val="000000" w:themeColor="text1"/>
                <w:szCs w:val="21"/>
                <w:highlight w:val="none"/>
                <w14:textFill>
                  <w14:solidFill>
                    <w14:schemeClr w14:val="tx1"/>
                  </w14:solidFill>
                </w14:textFill>
              </w:rPr>
              <w:t>。</w:t>
            </w:r>
          </w:p>
          <w:p w14:paraId="78F328B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2、项目编号：GGZC2026-C2-030072-ZSKC。</w:t>
            </w:r>
          </w:p>
          <w:p w14:paraId="5B3AED1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3、建设地点：</w:t>
            </w:r>
            <w:r>
              <w:rPr>
                <w:rFonts w:hint="eastAsia" w:ascii="宋体" w:hAnsi="宋体" w:eastAsia="宋体" w:cs="宋体"/>
                <w:color w:val="000000" w:themeColor="text1"/>
                <w:szCs w:val="21"/>
                <w:highlight w:val="none"/>
                <w:lang w:eastAsia="zh-CN"/>
                <w14:textFill>
                  <w14:solidFill>
                    <w14:schemeClr w14:val="tx1"/>
                  </w14:solidFill>
                </w14:textFill>
              </w:rPr>
              <w:t>贵港市港南区新塘镇蒙大村</w:t>
            </w:r>
            <w:r>
              <w:rPr>
                <w:rFonts w:hint="eastAsia" w:ascii="宋体" w:hAnsi="宋体" w:eastAsia="宋体" w:cs="宋体"/>
                <w:color w:val="000000" w:themeColor="text1"/>
                <w:szCs w:val="21"/>
                <w:highlight w:val="none"/>
                <w14:textFill>
                  <w14:solidFill>
                    <w14:schemeClr w14:val="tx1"/>
                  </w14:solidFill>
                </w14:textFill>
              </w:rPr>
              <w:t>。</w:t>
            </w:r>
          </w:p>
          <w:p w14:paraId="33390C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4、承包方式：</w:t>
            </w:r>
            <w:r>
              <w:rPr>
                <w:rFonts w:hint="eastAsia" w:ascii="宋体" w:hAnsi="宋体" w:eastAsia="宋体" w:cs="Calibri"/>
                <w:color w:val="000000" w:themeColor="text1"/>
                <w:szCs w:val="21"/>
                <w:highlight w:val="none"/>
                <w14:textFill>
                  <w14:solidFill>
                    <w14:schemeClr w14:val="tx1"/>
                  </w14:solidFill>
                </w14:textFill>
              </w:rPr>
              <w:t>本工程采用固定综合单价合同，结算时的工程量按实际发生的工程量，材料价格按施工期间贵港市建设工程的信息价格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7B69467">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5、质量要求：达到国家和行业颁发的施工及验收规程规范要求。</w:t>
            </w:r>
          </w:p>
          <w:p w14:paraId="696D99C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6、计划开工时间：</w:t>
            </w:r>
            <w:r>
              <w:rPr>
                <w:rFonts w:hint="eastAsia" w:ascii="宋体" w:hAnsi="宋体" w:eastAsia="宋体" w:cs="宋体"/>
                <w:color w:val="000000" w:themeColor="text1"/>
                <w:szCs w:val="21"/>
                <w:highlight w:val="none"/>
                <w:lang w:eastAsia="zh-CN"/>
                <w14:textFill>
                  <w14:solidFill>
                    <w14:schemeClr w14:val="tx1"/>
                  </w14:solidFill>
                </w14:textFill>
              </w:rPr>
              <w:t>自合同签订之日起3日内</w:t>
            </w:r>
            <w:r>
              <w:rPr>
                <w:rFonts w:hint="eastAsia" w:ascii="宋体" w:hAnsi="宋体" w:eastAsia="宋体" w:cs="宋体"/>
                <w:color w:val="000000" w:themeColor="text1"/>
                <w:szCs w:val="21"/>
                <w:highlight w:val="none"/>
                <w14:textFill>
                  <w14:solidFill>
                    <w14:schemeClr w14:val="tx1"/>
                  </w14:solidFill>
                </w14:textFill>
              </w:rPr>
              <w:t>。</w:t>
            </w:r>
          </w:p>
          <w:p w14:paraId="5B7AD9EF">
            <w:pPr>
              <w:spacing w:line="360" w:lineRule="auto"/>
              <w:ind w:left="2"/>
              <w:jc w:val="left"/>
              <w:rPr>
                <w:rFonts w:hint="eastAsia" w:ascii="宋体" w:hAnsi="宋体" w:eastAsia="宋体" w:cs="仿宋"/>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7、本项目采购范围：本项目为港南区新塘镇蒙大村道路硬化建设以工代赈项目，对贵港市港南区新塘镇蒙大村5条碎石老路进行破除新建，道路总长1957米。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lang w:eastAsia="zh-CN"/>
                <w14:textFill>
                  <w14:solidFill>
                    <w14:schemeClr w14:val="tx1"/>
                  </w14:solidFill>
                </w14:textFill>
              </w:rPr>
              <w:t>如需进一步了解详细内容，具体内容详见工程量清单及图纸。</w:t>
            </w:r>
          </w:p>
          <w:p w14:paraId="3E986B25">
            <w:pPr>
              <w:spacing w:line="360" w:lineRule="auto"/>
              <w:ind w:left="2"/>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r>
              <w:rPr>
                <w:rFonts w:hint="eastAsia" w:ascii="宋体" w:hAnsi="宋体" w:eastAsia="宋体" w:cs="Calibri"/>
                <w:color w:val="000000" w:themeColor="text1"/>
                <w:szCs w:val="21"/>
                <w:highlight w:val="none"/>
                <w14:textFill>
                  <w14:solidFill>
                    <w14:schemeClr w14:val="tx1"/>
                  </w14:solidFill>
                </w14:textFill>
              </w:rPr>
              <w:t>要求工期：</w:t>
            </w:r>
            <w:r>
              <w:rPr>
                <w:rFonts w:hint="eastAsia" w:ascii="宋体" w:hAnsi="宋体" w:eastAsia="宋体" w:cs="Calibri"/>
                <w:color w:val="000000" w:themeColor="text1"/>
                <w:szCs w:val="21"/>
                <w:highlight w:val="none"/>
                <w:lang w:val="en-US" w:eastAsia="zh-CN"/>
                <w14:textFill>
                  <w14:solidFill>
                    <w14:schemeClr w14:val="tx1"/>
                  </w14:solidFill>
                </w14:textFill>
              </w:rPr>
              <w:t>270日历天</w:t>
            </w:r>
            <w:r>
              <w:rPr>
                <w:rFonts w:hint="eastAsia" w:ascii="宋体" w:hAnsi="宋体" w:eastAsia="宋体" w:cs="Calibri"/>
                <w:color w:val="000000" w:themeColor="text1"/>
                <w:szCs w:val="21"/>
                <w:highlight w:val="none"/>
                <w14:textFill>
                  <w14:solidFill>
                    <w14:schemeClr w14:val="tx1"/>
                  </w14:solidFill>
                </w14:textFill>
              </w:rPr>
              <w:t>。</w:t>
            </w:r>
          </w:p>
          <w:p w14:paraId="1EA6104E">
            <w:pPr>
              <w:spacing w:line="360" w:lineRule="auto"/>
              <w:ind w:left="2"/>
              <w:rPr>
                <w:rFonts w:hint="default" w:ascii="宋体" w:hAnsi="宋体" w:eastAsia="宋体" w:cs="Calibri"/>
                <w:color w:val="auto"/>
                <w:szCs w:val="21"/>
                <w:highlight w:val="none"/>
                <w:lang w:val="en-US" w:eastAsia="zh-CN"/>
              </w:rPr>
            </w:pPr>
            <w:r>
              <w:rPr>
                <w:rFonts w:hint="eastAsia" w:ascii="宋体" w:hAnsi="宋体" w:eastAsia="宋体" w:cs="Calibri"/>
                <w:color w:val="auto"/>
                <w:highlight w:val="none"/>
              </w:rPr>
              <w:t>9、预付款支付比例或金额：</w:t>
            </w:r>
            <w:r>
              <w:rPr>
                <w:rFonts w:hint="eastAsia" w:ascii="宋体" w:hAnsi="宋体" w:eastAsia="宋体" w:cs="Calibri"/>
                <w:b/>
                <w:bCs/>
                <w:color w:val="auto"/>
                <w:highlight w:val="none"/>
                <w:lang w:val="en-US" w:eastAsia="zh-CN"/>
              </w:rPr>
              <w:t>签约合同价(扣除暂列金)30%。</w:t>
            </w:r>
          </w:p>
          <w:p w14:paraId="4B98645A">
            <w:pPr>
              <w:widowControl/>
              <w:spacing w:line="360" w:lineRule="auto"/>
              <w:jc w:val="left"/>
              <w:rPr>
                <w:rFonts w:hint="eastAsia" w:ascii="宋体" w:hAnsi="宋体" w:eastAsia="宋体" w:cs="Calibri"/>
                <w:color w:val="auto"/>
                <w:szCs w:val="21"/>
                <w:highlight w:val="none"/>
              </w:rPr>
            </w:pPr>
            <w:r>
              <w:rPr>
                <w:rFonts w:hint="eastAsia" w:ascii="宋体" w:hAnsi="宋体" w:eastAsia="宋体" w:cs="Times New Roman"/>
                <w:bCs/>
                <w:color w:val="auto"/>
                <w:highlight w:val="none"/>
              </w:rPr>
              <w:t>10、工程款支付方式：</w:t>
            </w:r>
            <w:r>
              <w:rPr>
                <w:rFonts w:hint="eastAsia" w:ascii="宋体" w:hAnsi="宋体" w:eastAsia="宋体" w:cs="Calibri"/>
                <w:b/>
                <w:bCs/>
                <w:color w:val="auto"/>
                <w:szCs w:val="21"/>
                <w:highlight w:val="none"/>
              </w:rPr>
              <w:t>关于付款周期的约定:在具备开工条件，监理出具开工令，由施工单位申请，建设单位收到申请后15日内办理支付30%的工程预付款手续送财政审核拨付(因涉及财政资金，具体到账时间以财政拨款到账时间为准)</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按工程进度支付工程进度款，每期进度款按当期已完合格工程量的90%支付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工程完工验收合格后，累计支付至合同价款的97%</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向发包人提交经发包人认可的银行出具的、金额为审计结算价3%的质量保证金保函后，发包人应在收到保函之日起7个工作日内将累计支付比例提高至合同价款的100%(即剩余3%不再扣留现金，以保函方式替代);竣工结算经有关部门审定后，发包人应在结算审定之日起7个工作日内将工程款支付至结算审定总价的100%(含已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承包人提供的质量保证金保函有效期应覆盖缺陷责任期(12个月)，缺陷责任期满后，无工程缺陷的，保函自动失效，发包人应在收到承包人书面申请后7个工作日内将保函原件退还承包人。</w:t>
            </w:r>
          </w:p>
          <w:p w14:paraId="1D82F568">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11、合同签订时间：</w:t>
            </w:r>
            <w:r>
              <w:rPr>
                <w:rFonts w:hint="eastAsia" w:ascii="宋体" w:hAnsi="Times New Roman" w:eastAsia="宋体" w:cs="Times New Roman"/>
                <w:color w:val="000000" w:themeColor="text1"/>
                <w:szCs w:val="21"/>
                <w:highlight w:val="none"/>
                <w14:textFill>
                  <w14:solidFill>
                    <w14:schemeClr w14:val="tx1"/>
                  </w14:solidFill>
                </w14:textFill>
              </w:rPr>
              <w:t>成交通知书发出之日起25日内与采购人签订合同。</w:t>
            </w:r>
          </w:p>
          <w:p w14:paraId="43151A94">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二、工程计算依据：</w:t>
            </w:r>
          </w:p>
          <w:p w14:paraId="6849EBCC">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1.2024年版（GB/T50500-2024）《建设工程工程量清单计价标准》</w:t>
            </w:r>
          </w:p>
          <w:p w14:paraId="4586F99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2.2022年《广西壮族自治区市政工程消耗量定额》及配套的费用定额。</w:t>
            </w:r>
          </w:p>
          <w:p w14:paraId="3B9616B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3.2016年《广西壮族自治区建设工程费用定额》（桂建标〔2016〕16号），工程管理费及利润取中值。</w:t>
            </w:r>
          </w:p>
          <w:p w14:paraId="536323E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4.《关于调整建设工程定额人工费及有关费率通知》（桂建标〔2023〕7号）。</w:t>
            </w:r>
          </w:p>
          <w:p w14:paraId="68C0A32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5.《广西壮族自治区住房城乡建设厅关于调整建设工程计价增值税税率的通知》（桂建标〔2019〕12号），本</w:t>
            </w:r>
            <w:r>
              <w:rPr>
                <w:rFonts w:hint="eastAsia" w:ascii="宋体" w:hAnsi="宋体" w:eastAsia="宋体" w:cs="Calibri"/>
                <w:color w:val="000000" w:themeColor="text1"/>
                <w:szCs w:val="21"/>
                <w:highlight w:val="none"/>
                <w:lang w:val="en-US" w:eastAsia="zh-CN"/>
                <w14:textFill>
                  <w14:solidFill>
                    <w14:schemeClr w14:val="tx1"/>
                  </w14:solidFill>
                </w14:textFill>
              </w:rPr>
              <w:t>工程</w:t>
            </w:r>
            <w:r>
              <w:rPr>
                <w:rFonts w:hint="eastAsia" w:ascii="宋体" w:hAnsi="宋体" w:eastAsia="宋体" w:cs="Calibri"/>
                <w:color w:val="000000" w:themeColor="text1"/>
                <w:szCs w:val="21"/>
                <w:highlight w:val="none"/>
                <w14:textFill>
                  <w14:solidFill>
                    <w14:schemeClr w14:val="tx1"/>
                  </w14:solidFill>
                </w14:textFill>
              </w:rPr>
              <w:t>按一般计税法计算，税率9%。</w:t>
            </w:r>
          </w:p>
          <w:p w14:paraId="63F8AED0">
            <w:pPr>
              <w:spacing w:line="360" w:lineRule="auto"/>
              <w:ind w:left="2"/>
              <w:jc w:val="left"/>
              <w:rPr>
                <w:rFonts w:cs="宋体" w:asciiTheme="minorEastAsia" w:hAnsiTheme="minorEastAsia"/>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lang w:val="en-US" w:eastAsia="zh-CN"/>
                <w14:textFill>
                  <w14:solidFill>
                    <w14:schemeClr w14:val="tx1"/>
                  </w14:solidFill>
                </w14:textFill>
              </w:rPr>
              <w:t>6.</w:t>
            </w:r>
            <w:r>
              <w:rPr>
                <w:rFonts w:hint="eastAsia" w:ascii="宋体" w:hAnsi="宋体" w:eastAsia="宋体" w:cs="Calibri"/>
                <w:color w:val="000000" w:themeColor="text1"/>
                <w:szCs w:val="21"/>
                <w:highlight w:val="none"/>
                <w14:textFill>
                  <w14:solidFill>
                    <w14:schemeClr w14:val="tx1"/>
                  </w14:solidFill>
                </w14:textFill>
              </w:rPr>
              <w:t>材料价格按《贵港市建设工程造价信息》2026年第3期中的“除税价格”，缺项材料按市场询价除税后计入综合单价等。</w:t>
            </w:r>
          </w:p>
        </w:tc>
      </w:tr>
      <w:tr w14:paraId="5DF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97" w:type="dxa"/>
            <w:vAlign w:val="center"/>
          </w:tcPr>
          <w:p w14:paraId="6A5892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w:t>
            </w:r>
          </w:p>
        </w:tc>
        <w:tc>
          <w:tcPr>
            <w:tcW w:w="8833" w:type="dxa"/>
            <w:vAlign w:val="center"/>
          </w:tcPr>
          <w:p w14:paraId="20A48AC9">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供应商资格：</w:t>
            </w:r>
          </w:p>
          <w:p w14:paraId="1484A413">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6FFC72F6">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落实政府采购政策需满足的资格要求：本项目专门面向中小企业采购，供应商应为中小微企业或监狱企业或残疾人福利性单位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7339E7D9">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606E5F8A">
            <w:pPr>
              <w:keepNext w:val="0"/>
              <w:keepLines w:val="0"/>
              <w:pageBreakBefore w:val="0"/>
              <w:kinsoku/>
              <w:wordWrap/>
              <w:overflowPunct/>
              <w:topLinePunct w:val="0"/>
              <w:autoSpaceDE/>
              <w:autoSpaceDN/>
              <w:bidi w:val="0"/>
              <w:adjustRightInd/>
              <w:snapToGrid/>
              <w:spacing w:line="430" w:lineRule="exact"/>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50E0BA3D">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tc>
      </w:tr>
      <w:tr w14:paraId="269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7" w:type="dxa"/>
            <w:vAlign w:val="center"/>
          </w:tcPr>
          <w:p w14:paraId="4DCF5ECF">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w:t>
            </w:r>
          </w:p>
        </w:tc>
        <w:tc>
          <w:tcPr>
            <w:tcW w:w="8833" w:type="dxa"/>
            <w:vAlign w:val="center"/>
          </w:tcPr>
          <w:p w14:paraId="1FBC482A">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报价方式：采用人民币报价</w:t>
            </w:r>
          </w:p>
          <w:p w14:paraId="3C47FEE1">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本项目采购预算价：</w:t>
            </w:r>
            <w:r>
              <w:rPr>
                <w:rFonts w:hint="eastAsia" w:ascii="宋体" w:hAnsi="宋体" w:eastAsia="宋体" w:cs="仿宋"/>
                <w:b/>
                <w:bCs w:val="0"/>
                <w:color w:val="000000" w:themeColor="text1"/>
                <w:szCs w:val="21"/>
                <w:highlight w:val="none"/>
                <w:u w:val="double"/>
                <w14:textFill>
                  <w14:solidFill>
                    <w14:schemeClr w14:val="tx1"/>
                  </w14:solidFill>
                </w14:textFill>
              </w:rPr>
              <w:t>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贰佰柒拾万元整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2700000.00</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w:t>
            </w:r>
          </w:p>
          <w:p w14:paraId="5BAC39FD">
            <w:pPr>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注：供应商的总报价超出采购预算价的均作无效磋商处理。</w:t>
            </w:r>
          </w:p>
        </w:tc>
      </w:tr>
      <w:tr w14:paraId="2809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97" w:type="dxa"/>
            <w:vAlign w:val="center"/>
          </w:tcPr>
          <w:p w14:paraId="26B505C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w:t>
            </w:r>
          </w:p>
        </w:tc>
        <w:tc>
          <w:tcPr>
            <w:tcW w:w="8833" w:type="dxa"/>
            <w:vAlign w:val="center"/>
          </w:tcPr>
          <w:p w14:paraId="3A8DAA88">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磋商有效期：磋商截止日期后60天。</w:t>
            </w:r>
          </w:p>
        </w:tc>
      </w:tr>
      <w:tr w14:paraId="6CCC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7" w:type="dxa"/>
            <w:vAlign w:val="center"/>
          </w:tcPr>
          <w:p w14:paraId="6C3675D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w:t>
            </w:r>
          </w:p>
        </w:tc>
        <w:tc>
          <w:tcPr>
            <w:tcW w:w="8833" w:type="dxa"/>
            <w:vAlign w:val="center"/>
          </w:tcPr>
          <w:p w14:paraId="3223DFD7">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磋商响应文件份数：一份。</w:t>
            </w:r>
          </w:p>
        </w:tc>
      </w:tr>
      <w:tr w14:paraId="0A08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97" w:type="dxa"/>
            <w:vAlign w:val="center"/>
          </w:tcPr>
          <w:p w14:paraId="30F261B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w:t>
            </w:r>
          </w:p>
        </w:tc>
        <w:tc>
          <w:tcPr>
            <w:tcW w:w="8833" w:type="dxa"/>
            <w:vAlign w:val="center"/>
          </w:tcPr>
          <w:p w14:paraId="313EFB54">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磋商保证金：无。</w:t>
            </w:r>
          </w:p>
        </w:tc>
      </w:tr>
      <w:tr w14:paraId="2925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97" w:type="dxa"/>
            <w:vAlign w:val="center"/>
          </w:tcPr>
          <w:p w14:paraId="6A1391A5">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w:t>
            </w:r>
          </w:p>
        </w:tc>
        <w:tc>
          <w:tcPr>
            <w:tcW w:w="8833" w:type="dxa"/>
            <w:vAlign w:val="center"/>
          </w:tcPr>
          <w:p w14:paraId="102D575D">
            <w:pPr>
              <w:spacing w:line="360" w:lineRule="auto"/>
              <w:jc w:val="left"/>
              <w:rPr>
                <w:rFonts w:ascii="Times New Roman" w:hAnsi="Times New Roman"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磋商响应文件递交截止时间与截标时间：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宋体"/>
                <w:color w:val="000000" w:themeColor="text1"/>
                <w:szCs w:val="21"/>
                <w:highlight w:val="none"/>
                <w14:textFill>
                  <w14:solidFill>
                    <w14:schemeClr w14:val="tx1"/>
                  </w14:solidFill>
                </w14:textFill>
              </w:rPr>
              <w:t>。</w:t>
            </w:r>
          </w:p>
        </w:tc>
      </w:tr>
      <w:tr w14:paraId="1B7E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4D108336">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8</w:t>
            </w:r>
          </w:p>
        </w:tc>
        <w:tc>
          <w:tcPr>
            <w:tcW w:w="8833" w:type="dxa"/>
            <w:vAlign w:val="center"/>
          </w:tcPr>
          <w:p w14:paraId="32A211DC">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磋商时间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宋体"/>
                <w:color w:val="000000" w:themeColor="text1"/>
                <w:szCs w:val="21"/>
                <w:highlight w:val="none"/>
                <w14:textFill>
                  <w14:solidFill>
                    <w14:schemeClr w14:val="tx1"/>
                  </w14:solidFill>
                </w14:textFill>
              </w:rPr>
              <w:t>截标后。</w:t>
            </w:r>
          </w:p>
          <w:p w14:paraId="74678855">
            <w:pPr>
              <w:spacing w:line="360" w:lineRule="auto"/>
              <w:jc w:val="left"/>
              <w:rPr>
                <w:rFonts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磋商地点：</w:t>
            </w:r>
            <w:r>
              <w:rPr>
                <w:rFonts w:hint="eastAsia" w:ascii="宋体" w:hAnsi="宋体" w:eastAsia="宋体" w:cs="Times New Roman"/>
                <w:bCs/>
                <w:color w:val="000000" w:themeColor="text1"/>
                <w:szCs w:val="21"/>
                <w:highlight w:val="none"/>
                <w:u w:val="none"/>
                <w14:textFill>
                  <w14:solidFill>
                    <w14:schemeClr w14:val="tx1"/>
                  </w14:solidFill>
                </w14:textFill>
              </w:rPr>
              <w:t>通过广西政府采购云平台（网址：</w:t>
            </w:r>
            <w:r>
              <w:rPr>
                <w:rFonts w:ascii="宋体" w:hAnsi="宋体" w:eastAsia="宋体" w:cs="Times New Roman"/>
                <w:bCs/>
                <w:color w:val="000000" w:themeColor="text1"/>
                <w:szCs w:val="21"/>
                <w:highlight w:val="none"/>
                <w:u w:val="none"/>
                <w14:textFill>
                  <w14:solidFill>
                    <w14:schemeClr w14:val="tx1"/>
                  </w14:solidFill>
                </w14:textFill>
              </w:rPr>
              <w:t>https://www.gcy.zfcg.gxzf.gov.cn/</w:t>
            </w:r>
            <w:r>
              <w:rPr>
                <w:rFonts w:hint="eastAsia" w:ascii="宋体" w:hAnsi="宋体" w:eastAsia="宋体" w:cs="Times New Roman"/>
                <w:bCs/>
                <w:color w:val="000000" w:themeColor="text1"/>
                <w:szCs w:val="21"/>
                <w:highlight w:val="none"/>
                <w:u w:val="none"/>
                <w14:textFill>
                  <w14:solidFill>
                    <w14:schemeClr w14:val="tx1"/>
                  </w14:solidFill>
                </w14:textFill>
              </w:rPr>
              <w:t>）实行在线投标（本项目不要求投标供应商到达开标现场，但供应商应派法定代表人（或负责人）或委托代理人准时在线出席电子开评标会议，随时关注开评标进度，如在开评标过程中有电子询标，应在规定的时间内对电子询标函进行澄清回复。）</w:t>
            </w:r>
          </w:p>
        </w:tc>
      </w:tr>
      <w:tr w14:paraId="43BA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97" w:type="dxa"/>
            <w:vAlign w:val="center"/>
          </w:tcPr>
          <w:p w14:paraId="149A80E0">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9</w:t>
            </w:r>
          </w:p>
        </w:tc>
        <w:tc>
          <w:tcPr>
            <w:tcW w:w="8833" w:type="dxa"/>
            <w:vAlign w:val="center"/>
          </w:tcPr>
          <w:p w14:paraId="0B7EF4ED">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采购代理服务费：</w:t>
            </w:r>
            <w:r>
              <w:rPr>
                <w:rFonts w:hint="eastAsia" w:hAnsi="宋体" w:cs="宋体"/>
                <w:color w:val="auto"/>
                <w:sz w:val="21"/>
                <w:highlight w:val="none"/>
              </w:rPr>
              <w:t>本项目的招标代理服务费以中标（成交）金额为计费基数，按《招标代理服务收费管理暂行办法》（计价格〔2002〕1980号）</w:t>
            </w:r>
            <w:r>
              <w:rPr>
                <w:rFonts w:hint="eastAsia" w:hAnsi="宋体" w:cs="宋体"/>
                <w:color w:val="auto"/>
                <w:sz w:val="21"/>
                <w:highlight w:val="none"/>
                <w:lang w:val="en-US" w:eastAsia="zh-CN"/>
              </w:rPr>
              <w:t>工程</w:t>
            </w:r>
            <w:r>
              <w:rPr>
                <w:rFonts w:hint="eastAsia" w:hAnsi="宋体" w:cs="宋体"/>
                <w:color w:val="auto"/>
                <w:sz w:val="21"/>
                <w:highlight w:val="none"/>
              </w:rPr>
              <w:t>类项目计算标准收取，由中标（成交）供应商在领取中标（成交）通知书前一次性支付</w:t>
            </w:r>
            <w:r>
              <w:rPr>
                <w:rFonts w:ascii="宋体" w:hAnsi="宋体" w:eastAsia="宋体" w:cs="宋体"/>
                <w:color w:val="000000" w:themeColor="text1"/>
                <w:szCs w:val="21"/>
                <w:highlight w:val="none"/>
                <w14:textFill>
                  <w14:solidFill>
                    <w14:schemeClr w14:val="tx1"/>
                  </w14:solidFill>
                </w14:textFill>
              </w:rPr>
              <w:t>。缴纳帐户如下：</w:t>
            </w:r>
            <w:r>
              <w:rPr>
                <w:rFonts w:hint="eastAsia" w:ascii="宋体" w:hAnsi="宋体" w:eastAsia="宋体" w:cs="宋体"/>
                <w:color w:val="000000" w:themeColor="text1"/>
                <w:szCs w:val="21"/>
                <w:highlight w:val="none"/>
                <w14:textFill>
                  <w14:solidFill>
                    <w14:schemeClr w14:val="tx1"/>
                  </w14:solidFill>
                </w14:textFill>
              </w:rPr>
              <w:t xml:space="preserve"> </w:t>
            </w:r>
          </w:p>
          <w:p w14:paraId="0DF57D50">
            <w:pPr>
              <w:adjustRightInd w:val="0"/>
              <w:spacing w:line="360" w:lineRule="auto"/>
              <w:textAlignment w:val="baseline"/>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开户行名称：</w:t>
            </w:r>
            <w:r>
              <w:rPr>
                <w:rFonts w:hint="eastAsia" w:ascii="宋体" w:hAnsi="宋体" w:eastAsia="宋体" w:cs="宋体"/>
                <w:color w:val="000000" w:themeColor="text1"/>
                <w:szCs w:val="21"/>
                <w:highlight w:val="none"/>
                <w:lang w:eastAsia="zh-CN"/>
                <w14:textFill>
                  <w14:solidFill>
                    <w14:schemeClr w14:val="tx1"/>
                  </w14:solidFill>
                </w14:textFill>
              </w:rPr>
              <w:t>泽圣勘察设计有限公司</w:t>
            </w:r>
          </w:p>
          <w:p w14:paraId="62FA97CB">
            <w:pPr>
              <w:adjustRightInd w:val="0"/>
              <w:spacing w:line="360" w:lineRule="auto"/>
              <w:textAlignment w:val="baseline"/>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开户银行：中国农业银行股份有限公司南宁建材支行</w:t>
            </w:r>
          </w:p>
          <w:p w14:paraId="59DAC5DD">
            <w:pPr>
              <w:spacing w:line="360" w:lineRule="auto"/>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银行帐号：2001 9601 0400 1067 4</w:t>
            </w:r>
          </w:p>
        </w:tc>
      </w:tr>
      <w:tr w14:paraId="1569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897" w:type="dxa"/>
            <w:vAlign w:val="center"/>
          </w:tcPr>
          <w:p w14:paraId="2FEBFA7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10</w:t>
            </w:r>
          </w:p>
        </w:tc>
        <w:tc>
          <w:tcPr>
            <w:tcW w:w="8833" w:type="dxa"/>
            <w:vAlign w:val="center"/>
          </w:tcPr>
          <w:p w14:paraId="34D520A2">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履约保证金交纳方式及金额：无。</w:t>
            </w:r>
          </w:p>
        </w:tc>
      </w:tr>
      <w:tr w14:paraId="64F7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97" w:type="dxa"/>
            <w:vAlign w:val="center"/>
          </w:tcPr>
          <w:p w14:paraId="795E999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11</w:t>
            </w:r>
          </w:p>
        </w:tc>
        <w:tc>
          <w:tcPr>
            <w:tcW w:w="8833" w:type="dxa"/>
            <w:vAlign w:val="center"/>
          </w:tcPr>
          <w:p w14:paraId="44AD30D0">
            <w:pPr>
              <w:spacing w:line="360" w:lineRule="auto"/>
              <w:rPr>
                <w:rFonts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现场踏勘是否要求：否</w:t>
            </w:r>
          </w:p>
        </w:tc>
      </w:tr>
      <w:tr w14:paraId="5FBC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E3C36F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12</w:t>
            </w:r>
          </w:p>
        </w:tc>
        <w:tc>
          <w:tcPr>
            <w:tcW w:w="8833" w:type="dxa"/>
            <w:vAlign w:val="center"/>
          </w:tcPr>
          <w:p w14:paraId="362B9A09">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本工程增值税计税方法：</w:t>
            </w:r>
            <w:bookmarkStart w:id="51" w:name="EBa78b867c21d54b4b8e6e228ff716b1f8"/>
            <w:r>
              <w:rPr>
                <w:rFonts w:hint="eastAsia" w:ascii="宋体" w:hAnsi="宋体" w:eastAsia="宋体" w:cs="Times New Roman"/>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一般计税法</w:t>
            </w:r>
            <w:bookmarkEnd w:id="51"/>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MS Mincho" w:hAnsi="MS Mincho" w:eastAsia="宋体" w:cs="MS Mincho"/>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简易计税法</w:t>
            </w:r>
          </w:p>
          <w:p w14:paraId="4BDE047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备注：按照广西壮族自治区住房建设厅《自治区住房城乡建设厅关于营业税改征增值税后广西壮族自治区建设工程计价依据调整的通知》（桂建标[2016]17号）、关于广西壮族自治区住房和城乡建设厅文件《自治区住房城乡建设厅关于调整建设工程计价增值税税率的通知》(桂建标〔2019〕12号)、《自治区建设工程造价管理总站关于调整除税价计算适用增值税税率的通知》（桂造价〔2019〕10号）增值税税率由10%调为9%】。</w:t>
            </w:r>
          </w:p>
        </w:tc>
      </w:tr>
      <w:tr w14:paraId="097B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19FE3ED8">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13</w:t>
            </w:r>
          </w:p>
        </w:tc>
        <w:tc>
          <w:tcPr>
            <w:tcW w:w="8833" w:type="dxa"/>
            <w:vAlign w:val="center"/>
          </w:tcPr>
          <w:p w14:paraId="3B7056CA">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开标前准备：</w:t>
            </w:r>
          </w:p>
          <w:p w14:paraId="33102226">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1、本项目实行网上开标，采用磋商电子响应文件。</w:t>
            </w:r>
          </w:p>
          <w:p w14:paraId="1EE53675">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2、各供应商应在截标前应确保成为广西政府采购云平台正式注册入库供应商，并完成CA数字证书申领。如因未注册入库、未办理CA数字证书等原因造成无法磋商或磋商失败等后果由供应商自行承担。</w:t>
            </w:r>
          </w:p>
          <w:p w14:paraId="1FB3F2F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3、供应商将</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电子交易客户端下载、安装完成后，可通过账号密码或CA登录客户端进行响应文件制作。客户端请至网站下载专区查看，如有问题可拨打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客户服务热线：95763进行咨询。</w:t>
            </w:r>
          </w:p>
          <w:p w14:paraId="7E7C3F1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磋商响应文件解密时间：</w:t>
            </w:r>
          </w:p>
          <w:p w14:paraId="147AB55A">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截标时间后30</w:t>
            </w:r>
            <w:r>
              <w:rPr>
                <w:rFonts w:hint="eastAsia" w:ascii="宋体" w:hAnsi="宋体" w:eastAsia="宋体" w:cs="Times New Roman"/>
                <w:b/>
                <w:color w:val="000000" w:themeColor="text1"/>
                <w:szCs w:val="21"/>
                <w:highlight w:val="none"/>
                <w:lang w:eastAsia="zh-CN"/>
                <w14:textFill>
                  <w14:solidFill>
                    <w14:schemeClr w14:val="tx1"/>
                  </w14:solidFill>
                </w14:textFill>
              </w:rPr>
              <w:t>分钟</w:t>
            </w:r>
            <w:r>
              <w:rPr>
                <w:rFonts w:hint="eastAsia" w:ascii="宋体" w:hAnsi="宋体" w:eastAsia="宋体" w:cs="Times New Roman"/>
                <w:b/>
                <w:color w:val="000000" w:themeColor="text1"/>
                <w:szCs w:val="21"/>
                <w:highlight w:val="none"/>
                <w14:textFill>
                  <w14:solidFill>
                    <w14:schemeClr w14:val="tx1"/>
                  </w14:solidFill>
                </w14:textFill>
              </w:rPr>
              <w:t>内</w:t>
            </w:r>
            <w:r>
              <w:rPr>
                <w:rFonts w:hint="eastAsia" w:ascii="宋体" w:hAnsi="宋体" w:eastAsia="宋体" w:cs="Times New Roman"/>
                <w:b/>
                <w:color w:val="000000" w:themeColor="text1"/>
                <w:szCs w:val="21"/>
                <w:highlight w:val="none"/>
                <w:u w:val="single"/>
                <w14:textFill>
                  <w14:solidFill>
                    <w14:schemeClr w14:val="tx1"/>
                  </w14:solidFill>
                </w14:textFill>
              </w:rPr>
              <w:t>（</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2026年8月31日9:00-9:30）</w:t>
            </w:r>
            <w:r>
              <w:rPr>
                <w:rFonts w:hint="eastAsia" w:ascii="宋体" w:hAnsi="宋体" w:eastAsia="宋体" w:cs="宋体"/>
                <w:color w:val="000000" w:themeColor="text1"/>
                <w:szCs w:val="21"/>
                <w:highlight w:val="none"/>
                <w14:textFill>
                  <w14:solidFill>
                    <w14:schemeClr w14:val="tx1"/>
                  </w14:solidFill>
                </w14:textFill>
              </w:rPr>
              <w:t>磋商人可以登录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，用“项目采购-开标评标”功能进行解密磋商响应文件。若磋商人在规定时间内无法解密或解密失败，可以以提交的电子备份磋商响应文件作为依据，如若电子备份磋商响应文件与</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上传的电子磋商响应文件被识别为不一致的，以电子备份磋商响应文件作为评审依据；磋商人按时在线解密响应文件的，以在线解密的响应文件作为评审依据。</w:t>
            </w:r>
            <w:r>
              <w:rPr>
                <w:rFonts w:hint="eastAsia" w:ascii="宋体" w:hAnsi="宋体" w:eastAsia="宋体" w:cs="宋体"/>
                <w:b/>
                <w:bCs/>
                <w:color w:val="000000" w:themeColor="text1"/>
                <w:szCs w:val="21"/>
                <w:highlight w:val="none"/>
                <w14:textFill>
                  <w14:solidFill>
                    <w14:schemeClr w14:val="tx1"/>
                  </w14:solidFill>
                </w14:textFill>
              </w:rPr>
              <w:t>若磋商人在规定时间内无法解密或解密失败且未提供电子备份磋商响应文件的，视为响应文件撤回。</w:t>
            </w:r>
          </w:p>
        </w:tc>
      </w:tr>
      <w:tr w14:paraId="0A46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427172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14</w:t>
            </w:r>
          </w:p>
        </w:tc>
        <w:tc>
          <w:tcPr>
            <w:tcW w:w="8833" w:type="dxa"/>
            <w:vAlign w:val="center"/>
          </w:tcPr>
          <w:p w14:paraId="17CDFF50">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在对磋商人资格审查时进行信用查询查询渠道：“信用中国”网站(www.creditchina.gov.cn)、中国政府采购网(www.ccgp.gov.cn)等；</w:t>
            </w:r>
          </w:p>
          <w:p w14:paraId="76D048BF">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查询起止时间：自磋商单位成立之日至磋商截止时间；</w:t>
            </w:r>
          </w:p>
          <w:p w14:paraId="723C51E7">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查询记录和证据留存方式：在查询网站中直接打印查询记录，打印材料作为评审资料保存。</w:t>
            </w:r>
          </w:p>
          <w:p w14:paraId="74DB4A80">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Times New Roman" w:hAnsi="宋体" w:eastAsia="宋体" w:cs="Courier New"/>
                <w:color w:val="000000" w:themeColor="text1"/>
                <w:spacing w:val="2"/>
                <w:highlight w:val="none"/>
                <w14:textFill>
                  <w14:solidFill>
                    <w14:schemeClr w14:val="tx1"/>
                  </w14:solidFill>
                </w14:textFill>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bl>
    <w:p w14:paraId="3B58015B">
      <w:pPr>
        <w:spacing w:line="500" w:lineRule="exact"/>
        <w:rPr>
          <w:rFonts w:ascii="宋体" w:hAnsi="Times New Roman" w:eastAsia="宋体" w:cs="Times New Roman"/>
          <w:b/>
          <w:color w:val="000000" w:themeColor="text1"/>
          <w:sz w:val="32"/>
          <w:szCs w:val="32"/>
          <w:highlight w:val="none"/>
          <w14:textFill>
            <w14:solidFill>
              <w14:schemeClr w14:val="tx1"/>
            </w14:solidFill>
          </w14:textFill>
        </w:rPr>
        <w:sectPr>
          <w:footerReference r:id="rId8" w:type="first"/>
          <w:footerReference r:id="rId7" w:type="default"/>
          <w:pgSz w:w="11906" w:h="16838"/>
          <w:pgMar w:top="1191" w:right="1134" w:bottom="1191" w:left="1134" w:header="851" w:footer="992" w:gutter="0"/>
          <w:cols w:space="720" w:num="1"/>
          <w:titlePg/>
          <w:docGrid w:linePitch="312" w:charSpace="0"/>
        </w:sectPr>
      </w:pPr>
    </w:p>
    <w:p w14:paraId="566B9D19">
      <w:pPr>
        <w:rPr>
          <w:rFonts w:ascii="Times New Roman" w:hAnsi="Times New Roman" w:eastAsia="宋体" w:cs="Times New Roman"/>
          <w:b/>
          <w:color w:val="000000" w:themeColor="text1"/>
          <w:sz w:val="28"/>
          <w:szCs w:val="24"/>
          <w:highlight w:val="none"/>
          <w14:textFill>
            <w14:solidFill>
              <w14:schemeClr w14:val="tx1"/>
            </w14:solidFill>
          </w14:textFill>
        </w:rPr>
      </w:pPr>
      <w:bookmarkStart w:id="52" w:name="_Toc14045"/>
      <w:r>
        <w:rPr>
          <w:rFonts w:hint="eastAsia" w:ascii="Times New Roman" w:hAnsi="Times New Roman" w:eastAsia="宋体" w:cs="Times New Roman"/>
          <w:b/>
          <w:color w:val="000000" w:themeColor="text1"/>
          <w:sz w:val="28"/>
          <w:szCs w:val="24"/>
          <w:highlight w:val="none"/>
          <w14:textFill>
            <w14:solidFill>
              <w14:schemeClr w14:val="tx1"/>
            </w14:solidFill>
          </w14:textFill>
        </w:rPr>
        <w:t>附件1</w:t>
      </w:r>
    </w:p>
    <w:p w14:paraId="43ABE7BC">
      <w:pPr>
        <w:wordWrap w:val="0"/>
        <w:spacing w:line="400" w:lineRule="exact"/>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中小微企业划型标准</w:t>
      </w:r>
    </w:p>
    <w:tbl>
      <w:tblPr>
        <w:tblStyle w:val="29"/>
        <w:tblW w:w="9951" w:type="dxa"/>
        <w:jc w:val="center"/>
        <w:tblLayout w:type="fixed"/>
        <w:tblCellMar>
          <w:top w:w="0" w:type="dxa"/>
          <w:left w:w="108" w:type="dxa"/>
          <w:bottom w:w="0" w:type="dxa"/>
          <w:right w:w="108" w:type="dxa"/>
        </w:tblCellMar>
      </w:tblPr>
      <w:tblGrid>
        <w:gridCol w:w="2121"/>
        <w:gridCol w:w="1725"/>
        <w:gridCol w:w="1137"/>
        <w:gridCol w:w="2020"/>
        <w:gridCol w:w="1795"/>
        <w:gridCol w:w="1153"/>
      </w:tblGrid>
      <w:tr w14:paraId="14005172">
        <w:tblPrEx>
          <w:tblCellMar>
            <w:top w:w="0" w:type="dxa"/>
            <w:left w:w="108" w:type="dxa"/>
            <w:bottom w:w="0" w:type="dxa"/>
            <w:right w:w="108" w:type="dxa"/>
          </w:tblCellMar>
        </w:tblPrEx>
        <w:trPr>
          <w:trHeight w:val="3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14:paraId="000BB50D">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行业名称</w:t>
            </w:r>
          </w:p>
        </w:tc>
        <w:tc>
          <w:tcPr>
            <w:tcW w:w="1725" w:type="dxa"/>
            <w:tcBorders>
              <w:top w:val="single" w:color="auto" w:sz="4" w:space="0"/>
              <w:left w:val="nil"/>
              <w:bottom w:val="single" w:color="auto" w:sz="4" w:space="0"/>
              <w:right w:val="single" w:color="auto" w:sz="4" w:space="0"/>
            </w:tcBorders>
            <w:vAlign w:val="center"/>
          </w:tcPr>
          <w:p w14:paraId="1A30654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指标名称</w:t>
            </w:r>
          </w:p>
        </w:tc>
        <w:tc>
          <w:tcPr>
            <w:tcW w:w="1137" w:type="dxa"/>
            <w:tcBorders>
              <w:top w:val="single" w:color="auto" w:sz="4" w:space="0"/>
              <w:left w:val="nil"/>
              <w:bottom w:val="single" w:color="auto" w:sz="4" w:space="0"/>
              <w:right w:val="single" w:color="auto" w:sz="4" w:space="0"/>
            </w:tcBorders>
            <w:vAlign w:val="center"/>
          </w:tcPr>
          <w:p w14:paraId="3BD27D4B">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计量单位</w:t>
            </w:r>
          </w:p>
        </w:tc>
        <w:tc>
          <w:tcPr>
            <w:tcW w:w="2020" w:type="dxa"/>
            <w:tcBorders>
              <w:top w:val="single" w:color="auto" w:sz="4" w:space="0"/>
              <w:left w:val="nil"/>
              <w:bottom w:val="single" w:color="auto" w:sz="4" w:space="0"/>
              <w:right w:val="single" w:color="auto" w:sz="4" w:space="0"/>
            </w:tcBorders>
            <w:vAlign w:val="center"/>
          </w:tcPr>
          <w:p w14:paraId="7162ACC4">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中型</w:t>
            </w:r>
          </w:p>
        </w:tc>
        <w:tc>
          <w:tcPr>
            <w:tcW w:w="1795" w:type="dxa"/>
            <w:tcBorders>
              <w:top w:val="single" w:color="auto" w:sz="4" w:space="0"/>
              <w:left w:val="nil"/>
              <w:bottom w:val="single" w:color="auto" w:sz="4" w:space="0"/>
              <w:right w:val="single" w:color="auto" w:sz="4" w:space="0"/>
            </w:tcBorders>
            <w:vAlign w:val="center"/>
          </w:tcPr>
          <w:p w14:paraId="0138B25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小型</w:t>
            </w:r>
          </w:p>
        </w:tc>
        <w:tc>
          <w:tcPr>
            <w:tcW w:w="1153" w:type="dxa"/>
            <w:tcBorders>
              <w:top w:val="single" w:color="auto" w:sz="4" w:space="0"/>
              <w:left w:val="nil"/>
              <w:bottom w:val="single" w:color="auto" w:sz="4" w:space="0"/>
              <w:right w:val="single" w:color="auto" w:sz="4" w:space="0"/>
            </w:tcBorders>
            <w:vAlign w:val="center"/>
          </w:tcPr>
          <w:p w14:paraId="4DDA87C0">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微型</w:t>
            </w:r>
          </w:p>
        </w:tc>
      </w:tr>
      <w:tr w14:paraId="46A13D52">
        <w:tblPrEx>
          <w:tblCellMar>
            <w:top w:w="0" w:type="dxa"/>
            <w:left w:w="108" w:type="dxa"/>
            <w:bottom w:w="0" w:type="dxa"/>
            <w:right w:w="108" w:type="dxa"/>
          </w:tblCellMar>
        </w:tblPrEx>
        <w:trPr>
          <w:trHeight w:val="336" w:hRule="atLeast"/>
          <w:jc w:val="center"/>
        </w:trPr>
        <w:tc>
          <w:tcPr>
            <w:tcW w:w="2121" w:type="dxa"/>
            <w:tcBorders>
              <w:top w:val="nil"/>
              <w:left w:val="single" w:color="auto" w:sz="4" w:space="0"/>
              <w:bottom w:val="single" w:color="auto" w:sz="4" w:space="0"/>
              <w:right w:val="single" w:color="auto" w:sz="4" w:space="0"/>
            </w:tcBorders>
            <w:vAlign w:val="center"/>
          </w:tcPr>
          <w:p w14:paraId="45CD2E4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农、林、牧、渔</w:t>
            </w:r>
          </w:p>
        </w:tc>
        <w:tc>
          <w:tcPr>
            <w:tcW w:w="1725" w:type="dxa"/>
            <w:tcBorders>
              <w:top w:val="nil"/>
              <w:left w:val="nil"/>
              <w:bottom w:val="single" w:color="auto" w:sz="4" w:space="0"/>
              <w:right w:val="single" w:color="auto" w:sz="4" w:space="0"/>
            </w:tcBorders>
            <w:vAlign w:val="center"/>
          </w:tcPr>
          <w:p w14:paraId="74EDB19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F71DE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15668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753B5E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50≤Y＜500</w:t>
            </w:r>
          </w:p>
        </w:tc>
        <w:tc>
          <w:tcPr>
            <w:tcW w:w="1153" w:type="dxa"/>
            <w:tcBorders>
              <w:top w:val="nil"/>
              <w:left w:val="nil"/>
              <w:bottom w:val="single" w:color="auto" w:sz="4" w:space="0"/>
              <w:right w:val="single" w:color="auto" w:sz="4" w:space="0"/>
            </w:tcBorders>
            <w:vAlign w:val="center"/>
          </w:tcPr>
          <w:p w14:paraId="2165B24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7AEA97C1">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C110B8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工业</w:t>
            </w:r>
          </w:p>
        </w:tc>
        <w:tc>
          <w:tcPr>
            <w:tcW w:w="1725" w:type="dxa"/>
            <w:tcBorders>
              <w:top w:val="nil"/>
              <w:left w:val="nil"/>
              <w:bottom w:val="single" w:color="auto" w:sz="4" w:space="0"/>
              <w:right w:val="single" w:color="auto" w:sz="4" w:space="0"/>
            </w:tcBorders>
            <w:vAlign w:val="center"/>
          </w:tcPr>
          <w:p w14:paraId="129EA40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09B81A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516DC30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4EA24E4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391768C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021ADCA2">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BE782B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7E1C1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6843B9C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44BF47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2000≤Y＜40000</w:t>
            </w:r>
          </w:p>
        </w:tc>
        <w:tc>
          <w:tcPr>
            <w:tcW w:w="1795" w:type="dxa"/>
            <w:tcBorders>
              <w:top w:val="nil"/>
              <w:left w:val="nil"/>
              <w:bottom w:val="single" w:color="auto" w:sz="4" w:space="0"/>
              <w:right w:val="single" w:color="auto" w:sz="4" w:space="0"/>
            </w:tcBorders>
            <w:vAlign w:val="center"/>
          </w:tcPr>
          <w:p w14:paraId="58590D2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300≤Y＜2000</w:t>
            </w:r>
          </w:p>
        </w:tc>
        <w:tc>
          <w:tcPr>
            <w:tcW w:w="1153" w:type="dxa"/>
            <w:tcBorders>
              <w:top w:val="nil"/>
              <w:left w:val="nil"/>
              <w:bottom w:val="single" w:color="auto" w:sz="4" w:space="0"/>
              <w:right w:val="single" w:color="auto" w:sz="4" w:space="0"/>
            </w:tcBorders>
            <w:vAlign w:val="center"/>
          </w:tcPr>
          <w:p w14:paraId="62FA2D8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141076B6">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FDE9D9" w:themeFill="accent6" w:themeFillTint="33"/>
            <w:vAlign w:val="center"/>
          </w:tcPr>
          <w:p w14:paraId="7C0C492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建筑业</w:t>
            </w: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0D03547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6965362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12D5693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6000≤Y＜80000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390BAAE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300≤Y＜6000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426372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55888EF9">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FDE9D9" w:themeFill="accent6" w:themeFillTint="33"/>
            <w:vAlign w:val="center"/>
          </w:tcPr>
          <w:p w14:paraId="50D3F6F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722EA1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3DD904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6537130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64672A0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300≤Z＜5000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29514C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Z＜300</w:t>
            </w:r>
          </w:p>
        </w:tc>
      </w:tr>
      <w:tr w14:paraId="288DA304">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auto"/>
            <w:vAlign w:val="center"/>
          </w:tcPr>
          <w:p w14:paraId="60601432">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批发业</w:t>
            </w:r>
          </w:p>
        </w:tc>
        <w:tc>
          <w:tcPr>
            <w:tcW w:w="1725" w:type="dxa"/>
            <w:tcBorders>
              <w:top w:val="nil"/>
              <w:left w:val="nil"/>
              <w:bottom w:val="single" w:color="auto" w:sz="4" w:space="0"/>
              <w:right w:val="single" w:color="auto" w:sz="4" w:space="0"/>
            </w:tcBorders>
            <w:shd w:val="clear" w:color="auto" w:fill="auto"/>
            <w:vAlign w:val="center"/>
          </w:tcPr>
          <w:p w14:paraId="5C6B6D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shd w:val="clear" w:color="auto" w:fill="auto"/>
            <w:vAlign w:val="center"/>
          </w:tcPr>
          <w:p w14:paraId="2501CC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shd w:val="clear" w:color="auto" w:fill="auto"/>
            <w:vAlign w:val="center"/>
          </w:tcPr>
          <w:p w14:paraId="23835A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20≤X＜200</w:t>
            </w:r>
          </w:p>
        </w:tc>
        <w:tc>
          <w:tcPr>
            <w:tcW w:w="1795" w:type="dxa"/>
            <w:tcBorders>
              <w:top w:val="nil"/>
              <w:left w:val="nil"/>
              <w:bottom w:val="single" w:color="auto" w:sz="4" w:space="0"/>
              <w:right w:val="single" w:color="auto" w:sz="4" w:space="0"/>
            </w:tcBorders>
            <w:shd w:val="clear" w:color="auto" w:fill="auto"/>
            <w:vAlign w:val="center"/>
          </w:tcPr>
          <w:p w14:paraId="1BC54D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5≤X＜20</w:t>
            </w:r>
          </w:p>
        </w:tc>
        <w:tc>
          <w:tcPr>
            <w:tcW w:w="1153" w:type="dxa"/>
            <w:tcBorders>
              <w:top w:val="nil"/>
              <w:left w:val="nil"/>
              <w:bottom w:val="single" w:color="auto" w:sz="4" w:space="0"/>
              <w:right w:val="single" w:color="auto" w:sz="4" w:space="0"/>
            </w:tcBorders>
            <w:shd w:val="clear" w:color="auto" w:fill="auto"/>
            <w:vAlign w:val="center"/>
          </w:tcPr>
          <w:p w14:paraId="10CB1A8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X＜5</w:t>
            </w:r>
          </w:p>
        </w:tc>
      </w:tr>
      <w:tr w14:paraId="2624E217">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auto"/>
            <w:vAlign w:val="center"/>
          </w:tcPr>
          <w:p w14:paraId="70F966E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auto"/>
            <w:vAlign w:val="center"/>
          </w:tcPr>
          <w:p w14:paraId="3D4BAB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auto"/>
            <w:vAlign w:val="center"/>
          </w:tcPr>
          <w:p w14:paraId="1164443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auto"/>
            <w:vAlign w:val="center"/>
          </w:tcPr>
          <w:p w14:paraId="613849E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5000≤Y＜40000</w:t>
            </w:r>
          </w:p>
        </w:tc>
        <w:tc>
          <w:tcPr>
            <w:tcW w:w="1795" w:type="dxa"/>
            <w:tcBorders>
              <w:top w:val="nil"/>
              <w:left w:val="nil"/>
              <w:bottom w:val="single" w:color="auto" w:sz="4" w:space="0"/>
              <w:right w:val="single" w:color="auto" w:sz="4" w:space="0"/>
            </w:tcBorders>
            <w:shd w:val="clear" w:color="auto" w:fill="auto"/>
            <w:vAlign w:val="center"/>
          </w:tcPr>
          <w:p w14:paraId="756DA22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153" w:type="dxa"/>
            <w:tcBorders>
              <w:top w:val="nil"/>
              <w:left w:val="nil"/>
              <w:bottom w:val="single" w:color="auto" w:sz="4" w:space="0"/>
              <w:right w:val="single" w:color="auto" w:sz="4" w:space="0"/>
            </w:tcBorders>
            <w:shd w:val="clear" w:color="auto" w:fill="auto"/>
            <w:vAlign w:val="center"/>
          </w:tcPr>
          <w:p w14:paraId="42FFCDA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Y＜1000</w:t>
            </w:r>
          </w:p>
        </w:tc>
      </w:tr>
      <w:tr w14:paraId="09C832DA">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48ABBB0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零售业</w:t>
            </w:r>
          </w:p>
        </w:tc>
        <w:tc>
          <w:tcPr>
            <w:tcW w:w="1725" w:type="dxa"/>
            <w:tcBorders>
              <w:top w:val="nil"/>
              <w:left w:val="nil"/>
              <w:bottom w:val="single" w:color="auto" w:sz="4" w:space="0"/>
              <w:right w:val="single" w:color="auto" w:sz="4" w:space="0"/>
            </w:tcBorders>
            <w:vAlign w:val="center"/>
          </w:tcPr>
          <w:p w14:paraId="2906FE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B188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787DFC9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50≤X＜300</w:t>
            </w:r>
          </w:p>
        </w:tc>
        <w:tc>
          <w:tcPr>
            <w:tcW w:w="1795" w:type="dxa"/>
            <w:tcBorders>
              <w:top w:val="nil"/>
              <w:left w:val="nil"/>
              <w:bottom w:val="single" w:color="auto" w:sz="4" w:space="0"/>
              <w:right w:val="single" w:color="auto" w:sz="4" w:space="0"/>
            </w:tcBorders>
            <w:vAlign w:val="center"/>
          </w:tcPr>
          <w:p w14:paraId="06EE30F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10≤X＜50</w:t>
            </w:r>
          </w:p>
        </w:tc>
        <w:tc>
          <w:tcPr>
            <w:tcW w:w="1153" w:type="dxa"/>
            <w:tcBorders>
              <w:top w:val="nil"/>
              <w:left w:val="nil"/>
              <w:bottom w:val="single" w:color="auto" w:sz="4" w:space="0"/>
              <w:right w:val="single" w:color="auto" w:sz="4" w:space="0"/>
            </w:tcBorders>
            <w:vAlign w:val="center"/>
          </w:tcPr>
          <w:p w14:paraId="47D380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40694498">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65AD5AB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D62F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6506B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7FE3CB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1C6473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100≤Y＜500</w:t>
            </w:r>
          </w:p>
        </w:tc>
        <w:tc>
          <w:tcPr>
            <w:tcW w:w="1153" w:type="dxa"/>
            <w:tcBorders>
              <w:top w:val="nil"/>
              <w:left w:val="nil"/>
              <w:bottom w:val="single" w:color="auto" w:sz="4" w:space="0"/>
              <w:right w:val="single" w:color="auto" w:sz="4" w:space="0"/>
            </w:tcBorders>
            <w:vAlign w:val="center"/>
          </w:tcPr>
          <w:p w14:paraId="32ACD89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542CF12">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156F0A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交通运输业</w:t>
            </w:r>
          </w:p>
        </w:tc>
        <w:tc>
          <w:tcPr>
            <w:tcW w:w="1725" w:type="dxa"/>
            <w:tcBorders>
              <w:top w:val="nil"/>
              <w:left w:val="nil"/>
              <w:bottom w:val="single" w:color="auto" w:sz="4" w:space="0"/>
              <w:right w:val="single" w:color="auto" w:sz="4" w:space="0"/>
            </w:tcBorders>
            <w:vAlign w:val="center"/>
          </w:tcPr>
          <w:p w14:paraId="4382CB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E940D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FE98E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664D9C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2EADFF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1D40817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68D773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27A13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1C7CCC6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41C490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3000≤Y＜30000</w:t>
            </w:r>
          </w:p>
        </w:tc>
        <w:tc>
          <w:tcPr>
            <w:tcW w:w="1795" w:type="dxa"/>
            <w:tcBorders>
              <w:top w:val="nil"/>
              <w:left w:val="nil"/>
              <w:bottom w:val="single" w:color="auto" w:sz="4" w:space="0"/>
              <w:right w:val="single" w:color="auto" w:sz="4" w:space="0"/>
            </w:tcBorders>
            <w:vAlign w:val="center"/>
          </w:tcPr>
          <w:p w14:paraId="0C969EE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200≤Y＜3000</w:t>
            </w:r>
          </w:p>
        </w:tc>
        <w:tc>
          <w:tcPr>
            <w:tcW w:w="1153" w:type="dxa"/>
            <w:tcBorders>
              <w:top w:val="nil"/>
              <w:left w:val="nil"/>
              <w:bottom w:val="single" w:color="auto" w:sz="4" w:space="0"/>
              <w:right w:val="single" w:color="auto" w:sz="4" w:space="0"/>
            </w:tcBorders>
            <w:vAlign w:val="center"/>
          </w:tcPr>
          <w:p w14:paraId="417B11B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w:t>
            </w:r>
          </w:p>
        </w:tc>
      </w:tr>
      <w:tr w14:paraId="4A6B8FBD">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21001D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仓储业</w:t>
            </w:r>
          </w:p>
        </w:tc>
        <w:tc>
          <w:tcPr>
            <w:tcW w:w="1725" w:type="dxa"/>
            <w:tcBorders>
              <w:top w:val="nil"/>
              <w:left w:val="nil"/>
              <w:bottom w:val="single" w:color="auto" w:sz="4" w:space="0"/>
              <w:right w:val="single" w:color="auto" w:sz="4" w:space="0"/>
            </w:tcBorders>
            <w:vAlign w:val="center"/>
          </w:tcPr>
          <w:p w14:paraId="7D072E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1E51603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B1B5D2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w:t>
            </w:r>
          </w:p>
        </w:tc>
        <w:tc>
          <w:tcPr>
            <w:tcW w:w="1795" w:type="dxa"/>
            <w:tcBorders>
              <w:top w:val="nil"/>
              <w:left w:val="nil"/>
              <w:bottom w:val="single" w:color="auto" w:sz="4" w:space="0"/>
              <w:right w:val="single" w:color="auto" w:sz="4" w:space="0"/>
            </w:tcBorders>
            <w:vAlign w:val="center"/>
          </w:tcPr>
          <w:p w14:paraId="6FDAAAB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20≤X＜100</w:t>
            </w:r>
          </w:p>
        </w:tc>
        <w:tc>
          <w:tcPr>
            <w:tcW w:w="1153" w:type="dxa"/>
            <w:tcBorders>
              <w:top w:val="nil"/>
              <w:left w:val="nil"/>
              <w:bottom w:val="single" w:color="auto" w:sz="4" w:space="0"/>
              <w:right w:val="single" w:color="auto" w:sz="4" w:space="0"/>
            </w:tcBorders>
            <w:vAlign w:val="center"/>
          </w:tcPr>
          <w:p w14:paraId="3E85B8C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7760116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246EE9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5DE2092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C443CE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E39ED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1000≤Y＜30000</w:t>
            </w:r>
          </w:p>
        </w:tc>
        <w:tc>
          <w:tcPr>
            <w:tcW w:w="1795" w:type="dxa"/>
            <w:tcBorders>
              <w:top w:val="nil"/>
              <w:left w:val="nil"/>
              <w:bottom w:val="single" w:color="auto" w:sz="4" w:space="0"/>
              <w:right w:val="single" w:color="auto" w:sz="4" w:space="0"/>
            </w:tcBorders>
            <w:vAlign w:val="center"/>
          </w:tcPr>
          <w:p w14:paraId="246442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4A5BF29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5F63F64C">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5E2987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邮政业</w:t>
            </w:r>
          </w:p>
        </w:tc>
        <w:tc>
          <w:tcPr>
            <w:tcW w:w="1725" w:type="dxa"/>
            <w:tcBorders>
              <w:top w:val="nil"/>
              <w:left w:val="nil"/>
              <w:bottom w:val="single" w:color="auto" w:sz="4" w:space="0"/>
              <w:right w:val="single" w:color="auto" w:sz="4" w:space="0"/>
            </w:tcBorders>
            <w:vAlign w:val="center"/>
          </w:tcPr>
          <w:p w14:paraId="15DE7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7411367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7899C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3D8990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6CF75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68C06A93">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2FC05170">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1A4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14FF48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58D855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2000≤Y＜30000</w:t>
            </w:r>
          </w:p>
        </w:tc>
        <w:tc>
          <w:tcPr>
            <w:tcW w:w="1795" w:type="dxa"/>
            <w:tcBorders>
              <w:top w:val="nil"/>
              <w:left w:val="nil"/>
              <w:bottom w:val="single" w:color="auto" w:sz="4" w:space="0"/>
              <w:right w:val="single" w:color="auto" w:sz="4" w:space="0"/>
            </w:tcBorders>
            <w:vAlign w:val="center"/>
          </w:tcPr>
          <w:p w14:paraId="6DFDACC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4D3E5F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ED4C299">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1667F413">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住宿业</w:t>
            </w:r>
          </w:p>
        </w:tc>
        <w:tc>
          <w:tcPr>
            <w:tcW w:w="1725" w:type="dxa"/>
            <w:tcBorders>
              <w:top w:val="nil"/>
              <w:left w:val="nil"/>
              <w:bottom w:val="single" w:color="auto" w:sz="4" w:space="0"/>
              <w:right w:val="single" w:color="auto" w:sz="4" w:space="0"/>
            </w:tcBorders>
            <w:vAlign w:val="center"/>
          </w:tcPr>
          <w:p w14:paraId="048098A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81E29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12FDB5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EE8B03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035CEF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2C0B4F1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E7944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37EDB4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250CD6C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96AB6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1B1D058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5B8505F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070EC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F7E817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餐饮业</w:t>
            </w:r>
          </w:p>
        </w:tc>
        <w:tc>
          <w:tcPr>
            <w:tcW w:w="1725" w:type="dxa"/>
            <w:tcBorders>
              <w:top w:val="nil"/>
              <w:left w:val="nil"/>
              <w:bottom w:val="single" w:color="auto" w:sz="4" w:space="0"/>
              <w:right w:val="single" w:color="auto" w:sz="4" w:space="0"/>
            </w:tcBorders>
            <w:vAlign w:val="center"/>
          </w:tcPr>
          <w:p w14:paraId="2B2B5AF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AF99A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CD3E6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4A6F5E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D25318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7FF2DD2E">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43B36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AAE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8BB77A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D9145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0DAE5C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8DE05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2610D57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AD74DF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信息传输业</w:t>
            </w:r>
          </w:p>
        </w:tc>
        <w:tc>
          <w:tcPr>
            <w:tcW w:w="1725" w:type="dxa"/>
            <w:tcBorders>
              <w:top w:val="nil"/>
              <w:left w:val="nil"/>
              <w:bottom w:val="single" w:color="auto" w:sz="4" w:space="0"/>
              <w:right w:val="single" w:color="auto" w:sz="4" w:space="0"/>
            </w:tcBorders>
            <w:vAlign w:val="center"/>
          </w:tcPr>
          <w:p w14:paraId="7156B6C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066715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7D979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100≤X＜2000</w:t>
            </w:r>
          </w:p>
        </w:tc>
        <w:tc>
          <w:tcPr>
            <w:tcW w:w="1795" w:type="dxa"/>
            <w:tcBorders>
              <w:top w:val="nil"/>
              <w:left w:val="nil"/>
              <w:bottom w:val="single" w:color="auto" w:sz="4" w:space="0"/>
              <w:right w:val="single" w:color="auto" w:sz="4" w:space="0"/>
            </w:tcBorders>
            <w:vAlign w:val="center"/>
          </w:tcPr>
          <w:p w14:paraId="5ED4C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4BA4E12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06248E36">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9A9B1D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0724E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73B35B8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15E9DF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1000≤Y＜100000</w:t>
            </w:r>
          </w:p>
        </w:tc>
        <w:tc>
          <w:tcPr>
            <w:tcW w:w="1795" w:type="dxa"/>
            <w:tcBorders>
              <w:top w:val="nil"/>
              <w:left w:val="nil"/>
              <w:bottom w:val="single" w:color="auto" w:sz="4" w:space="0"/>
              <w:right w:val="single" w:color="auto" w:sz="4" w:space="0"/>
            </w:tcBorders>
            <w:vAlign w:val="center"/>
          </w:tcPr>
          <w:p w14:paraId="178B88F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6A9456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2003E01">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66D7140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软件和信息技术服务业</w:t>
            </w:r>
          </w:p>
        </w:tc>
        <w:tc>
          <w:tcPr>
            <w:tcW w:w="1725" w:type="dxa"/>
            <w:tcBorders>
              <w:top w:val="single" w:color="auto" w:sz="4" w:space="0"/>
              <w:left w:val="single" w:color="auto" w:sz="4" w:space="0"/>
              <w:bottom w:val="single" w:color="auto" w:sz="4" w:space="0"/>
              <w:right w:val="single" w:color="auto" w:sz="4" w:space="0"/>
            </w:tcBorders>
            <w:vAlign w:val="center"/>
          </w:tcPr>
          <w:p w14:paraId="37EBDFB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single" w:color="auto" w:sz="4" w:space="0"/>
              <w:bottom w:val="single" w:color="auto" w:sz="4" w:space="0"/>
              <w:right w:val="single" w:color="auto" w:sz="4" w:space="0"/>
            </w:tcBorders>
            <w:vAlign w:val="center"/>
          </w:tcPr>
          <w:p w14:paraId="4269BCE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single" w:color="auto" w:sz="4" w:space="0"/>
              <w:bottom w:val="single" w:color="auto" w:sz="4" w:space="0"/>
              <w:right w:val="single" w:color="auto" w:sz="4" w:space="0"/>
            </w:tcBorders>
            <w:vAlign w:val="center"/>
          </w:tcPr>
          <w:p w14:paraId="4DB3566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single" w:color="auto" w:sz="4" w:space="0"/>
              <w:left w:val="single" w:color="auto" w:sz="4" w:space="0"/>
              <w:bottom w:val="single" w:color="auto" w:sz="4" w:space="0"/>
              <w:right w:val="single" w:color="auto" w:sz="4" w:space="0"/>
            </w:tcBorders>
            <w:vAlign w:val="center"/>
          </w:tcPr>
          <w:p w14:paraId="3498C5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single" w:color="auto" w:sz="4" w:space="0"/>
              <w:left w:val="single" w:color="auto" w:sz="4" w:space="0"/>
              <w:bottom w:val="single" w:color="auto" w:sz="4" w:space="0"/>
              <w:right w:val="single" w:color="auto" w:sz="4" w:space="0"/>
            </w:tcBorders>
            <w:vAlign w:val="center"/>
          </w:tcPr>
          <w:p w14:paraId="6E42A1A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51D9740E">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312B65F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612AE9D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3D8711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0436740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w:t>
            </w:r>
          </w:p>
        </w:tc>
        <w:tc>
          <w:tcPr>
            <w:tcW w:w="1795" w:type="dxa"/>
            <w:tcBorders>
              <w:top w:val="single" w:color="auto" w:sz="4" w:space="0"/>
              <w:left w:val="single" w:color="auto" w:sz="4" w:space="0"/>
              <w:bottom w:val="single" w:color="auto" w:sz="4" w:space="0"/>
              <w:right w:val="single" w:color="auto" w:sz="4" w:space="0"/>
            </w:tcBorders>
            <w:vAlign w:val="center"/>
          </w:tcPr>
          <w:p w14:paraId="36CEF3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50≤Y＜1000</w:t>
            </w:r>
          </w:p>
        </w:tc>
        <w:tc>
          <w:tcPr>
            <w:tcW w:w="1153" w:type="dxa"/>
            <w:tcBorders>
              <w:top w:val="single" w:color="auto" w:sz="4" w:space="0"/>
              <w:left w:val="single" w:color="auto" w:sz="4" w:space="0"/>
              <w:bottom w:val="single" w:color="auto" w:sz="4" w:space="0"/>
              <w:right w:val="single" w:color="auto" w:sz="4" w:space="0"/>
            </w:tcBorders>
            <w:vAlign w:val="center"/>
          </w:tcPr>
          <w:p w14:paraId="3BFCC57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01F63DAB">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55AF272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房地产开发经营</w:t>
            </w:r>
          </w:p>
        </w:tc>
        <w:tc>
          <w:tcPr>
            <w:tcW w:w="1725" w:type="dxa"/>
            <w:tcBorders>
              <w:top w:val="single" w:color="auto" w:sz="4" w:space="0"/>
              <w:left w:val="single" w:color="auto" w:sz="4" w:space="0"/>
              <w:bottom w:val="single" w:color="auto" w:sz="4" w:space="0"/>
              <w:right w:val="single" w:color="auto" w:sz="4" w:space="0"/>
            </w:tcBorders>
            <w:vAlign w:val="center"/>
          </w:tcPr>
          <w:p w14:paraId="54EE4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010930D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1CADCA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1000≤Y＜200000</w:t>
            </w:r>
          </w:p>
        </w:tc>
        <w:tc>
          <w:tcPr>
            <w:tcW w:w="1795" w:type="dxa"/>
            <w:tcBorders>
              <w:top w:val="single" w:color="auto" w:sz="4" w:space="0"/>
              <w:left w:val="single" w:color="auto" w:sz="4" w:space="0"/>
              <w:bottom w:val="single" w:color="auto" w:sz="4" w:space="0"/>
              <w:right w:val="single" w:color="auto" w:sz="4" w:space="0"/>
            </w:tcBorders>
            <w:vAlign w:val="center"/>
          </w:tcPr>
          <w:p w14:paraId="2A76B3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100≤X＜1000</w:t>
            </w:r>
          </w:p>
        </w:tc>
        <w:tc>
          <w:tcPr>
            <w:tcW w:w="1153" w:type="dxa"/>
            <w:tcBorders>
              <w:top w:val="single" w:color="auto" w:sz="4" w:space="0"/>
              <w:left w:val="single" w:color="auto" w:sz="4" w:space="0"/>
              <w:bottom w:val="single" w:color="auto" w:sz="4" w:space="0"/>
              <w:right w:val="single" w:color="auto" w:sz="4" w:space="0"/>
            </w:tcBorders>
            <w:vAlign w:val="center"/>
          </w:tcPr>
          <w:p w14:paraId="2B119EA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631FC0EA">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0FBF89BA">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4D13D7A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single" w:color="auto" w:sz="4" w:space="0"/>
              <w:left w:val="single" w:color="auto" w:sz="4" w:space="0"/>
              <w:bottom w:val="single" w:color="auto" w:sz="4" w:space="0"/>
              <w:right w:val="single" w:color="auto" w:sz="4" w:space="0"/>
            </w:tcBorders>
            <w:vAlign w:val="center"/>
          </w:tcPr>
          <w:p w14:paraId="373B819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251E210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5000≤Z＜10000</w:t>
            </w:r>
          </w:p>
        </w:tc>
        <w:tc>
          <w:tcPr>
            <w:tcW w:w="1795" w:type="dxa"/>
            <w:tcBorders>
              <w:top w:val="single" w:color="auto" w:sz="4" w:space="0"/>
              <w:left w:val="single" w:color="auto" w:sz="4" w:space="0"/>
              <w:bottom w:val="single" w:color="auto" w:sz="4" w:space="0"/>
              <w:right w:val="single" w:color="auto" w:sz="4" w:space="0"/>
            </w:tcBorders>
            <w:vAlign w:val="center"/>
          </w:tcPr>
          <w:p w14:paraId="207D7DA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2000≤Y＜5000</w:t>
            </w:r>
          </w:p>
        </w:tc>
        <w:tc>
          <w:tcPr>
            <w:tcW w:w="1153" w:type="dxa"/>
            <w:tcBorders>
              <w:top w:val="single" w:color="auto" w:sz="4" w:space="0"/>
              <w:left w:val="single" w:color="auto" w:sz="4" w:space="0"/>
              <w:bottom w:val="single" w:color="auto" w:sz="4" w:space="0"/>
              <w:right w:val="single" w:color="auto" w:sz="4" w:space="0"/>
            </w:tcBorders>
            <w:vAlign w:val="center"/>
          </w:tcPr>
          <w:p w14:paraId="5186B7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Y＜2000</w:t>
            </w:r>
          </w:p>
        </w:tc>
      </w:tr>
      <w:tr w14:paraId="0247A921">
        <w:tblPrEx>
          <w:tblCellMar>
            <w:top w:w="0" w:type="dxa"/>
            <w:left w:w="108" w:type="dxa"/>
            <w:bottom w:w="0" w:type="dxa"/>
            <w:right w:w="108" w:type="dxa"/>
          </w:tblCellMar>
        </w:tblPrEx>
        <w:trPr>
          <w:trHeight w:val="336"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3F45DCD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物业管理</w:t>
            </w:r>
          </w:p>
        </w:tc>
        <w:tc>
          <w:tcPr>
            <w:tcW w:w="1725" w:type="dxa"/>
            <w:tcBorders>
              <w:top w:val="single" w:color="auto" w:sz="4" w:space="0"/>
              <w:left w:val="nil"/>
              <w:bottom w:val="single" w:color="auto" w:sz="4" w:space="0"/>
              <w:right w:val="single" w:color="auto" w:sz="4" w:space="0"/>
            </w:tcBorders>
            <w:vAlign w:val="center"/>
          </w:tcPr>
          <w:p w14:paraId="7F139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nil"/>
              <w:bottom w:val="single" w:color="auto" w:sz="4" w:space="0"/>
              <w:right w:val="single" w:color="auto" w:sz="4" w:space="0"/>
            </w:tcBorders>
            <w:vAlign w:val="center"/>
          </w:tcPr>
          <w:p w14:paraId="4A176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nil"/>
              <w:bottom w:val="single" w:color="auto" w:sz="4" w:space="0"/>
              <w:right w:val="single" w:color="auto" w:sz="4" w:space="0"/>
            </w:tcBorders>
            <w:vAlign w:val="center"/>
          </w:tcPr>
          <w:p w14:paraId="1DF8B03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single" w:color="auto" w:sz="4" w:space="0"/>
              <w:left w:val="nil"/>
              <w:bottom w:val="single" w:color="auto" w:sz="4" w:space="0"/>
              <w:right w:val="single" w:color="auto" w:sz="4" w:space="0"/>
            </w:tcBorders>
            <w:vAlign w:val="center"/>
          </w:tcPr>
          <w:p w14:paraId="2587CD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153" w:type="dxa"/>
            <w:tcBorders>
              <w:top w:val="single" w:color="auto" w:sz="4" w:space="0"/>
              <w:left w:val="nil"/>
              <w:bottom w:val="single" w:color="auto" w:sz="4" w:space="0"/>
              <w:right w:val="single" w:color="auto" w:sz="4" w:space="0"/>
            </w:tcBorders>
            <w:vAlign w:val="center"/>
          </w:tcPr>
          <w:p w14:paraId="4D59861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7836BD04">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1FA555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281CB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D3F92E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F6C5B1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795" w:type="dxa"/>
            <w:tcBorders>
              <w:top w:val="nil"/>
              <w:left w:val="nil"/>
              <w:bottom w:val="single" w:color="auto" w:sz="4" w:space="0"/>
              <w:right w:val="single" w:color="auto" w:sz="4" w:space="0"/>
            </w:tcBorders>
            <w:vAlign w:val="center"/>
          </w:tcPr>
          <w:p w14:paraId="5B8E51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500≤Y＜1000</w:t>
            </w:r>
          </w:p>
        </w:tc>
        <w:tc>
          <w:tcPr>
            <w:tcW w:w="1153" w:type="dxa"/>
            <w:tcBorders>
              <w:top w:val="nil"/>
              <w:left w:val="nil"/>
              <w:bottom w:val="single" w:color="auto" w:sz="4" w:space="0"/>
              <w:right w:val="single" w:color="auto" w:sz="4" w:space="0"/>
            </w:tcBorders>
            <w:vAlign w:val="center"/>
          </w:tcPr>
          <w:p w14:paraId="2C6F972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Y＜500</w:t>
            </w:r>
          </w:p>
        </w:tc>
      </w:tr>
      <w:tr w14:paraId="2322B3C5">
        <w:tblPrEx>
          <w:tblCellMar>
            <w:top w:w="0" w:type="dxa"/>
            <w:left w:w="108" w:type="dxa"/>
            <w:bottom w:w="0" w:type="dxa"/>
            <w:right w:w="108" w:type="dxa"/>
          </w:tblCellMar>
        </w:tblPrEx>
        <w:trPr>
          <w:trHeight w:val="336"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279E10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租赁和商务服务业</w:t>
            </w:r>
          </w:p>
        </w:tc>
        <w:tc>
          <w:tcPr>
            <w:tcW w:w="1725" w:type="dxa"/>
            <w:tcBorders>
              <w:top w:val="nil"/>
              <w:left w:val="nil"/>
              <w:bottom w:val="single" w:color="auto" w:sz="4" w:space="0"/>
              <w:right w:val="single" w:color="auto" w:sz="4" w:space="0"/>
            </w:tcBorders>
            <w:vAlign w:val="center"/>
          </w:tcPr>
          <w:p w14:paraId="1EB43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A72236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BE7E25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D50E5E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C1ED81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3D05475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7DC2113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4C449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vAlign w:val="center"/>
          </w:tcPr>
          <w:p w14:paraId="7B61D9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F45AF7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8000≤Z＜120000</w:t>
            </w:r>
          </w:p>
        </w:tc>
        <w:tc>
          <w:tcPr>
            <w:tcW w:w="1795" w:type="dxa"/>
            <w:tcBorders>
              <w:top w:val="nil"/>
              <w:left w:val="nil"/>
              <w:bottom w:val="single" w:color="auto" w:sz="4" w:space="0"/>
              <w:right w:val="single" w:color="auto" w:sz="4" w:space="0"/>
            </w:tcBorders>
            <w:vAlign w:val="center"/>
          </w:tcPr>
          <w:p w14:paraId="34458B3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100≤Z＜8000</w:t>
            </w:r>
          </w:p>
        </w:tc>
        <w:tc>
          <w:tcPr>
            <w:tcW w:w="1153" w:type="dxa"/>
            <w:tcBorders>
              <w:top w:val="nil"/>
              <w:left w:val="nil"/>
              <w:bottom w:val="single" w:color="auto" w:sz="4" w:space="0"/>
              <w:right w:val="single" w:color="auto" w:sz="4" w:space="0"/>
            </w:tcBorders>
            <w:vAlign w:val="center"/>
          </w:tcPr>
          <w:p w14:paraId="667FB45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8076C5">
        <w:tblPrEx>
          <w:tblCellMar>
            <w:top w:w="0" w:type="dxa"/>
            <w:left w:w="108" w:type="dxa"/>
            <w:bottom w:w="0" w:type="dxa"/>
            <w:right w:w="108" w:type="dxa"/>
          </w:tblCellMar>
        </w:tblPrEx>
        <w:trPr>
          <w:trHeight w:val="354" w:hRule="atLeast"/>
          <w:jc w:val="center"/>
        </w:trPr>
        <w:tc>
          <w:tcPr>
            <w:tcW w:w="2121" w:type="dxa"/>
            <w:tcBorders>
              <w:top w:val="nil"/>
              <w:left w:val="single" w:color="auto" w:sz="4" w:space="0"/>
              <w:bottom w:val="single" w:color="auto" w:sz="4" w:space="0"/>
              <w:right w:val="single" w:color="auto" w:sz="4" w:space="0"/>
            </w:tcBorders>
            <w:vAlign w:val="center"/>
          </w:tcPr>
          <w:p w14:paraId="67AFD13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其他未列明行业</w:t>
            </w:r>
          </w:p>
        </w:tc>
        <w:tc>
          <w:tcPr>
            <w:tcW w:w="1725" w:type="dxa"/>
            <w:tcBorders>
              <w:top w:val="nil"/>
              <w:left w:val="nil"/>
              <w:bottom w:val="single" w:color="auto" w:sz="4" w:space="0"/>
              <w:right w:val="single" w:color="auto" w:sz="4" w:space="0"/>
            </w:tcBorders>
            <w:vAlign w:val="center"/>
          </w:tcPr>
          <w:p w14:paraId="79F8604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5DF639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D2DBA4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658A37C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7F88DC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bl>
    <w:p w14:paraId="08757D23">
      <w:pPr>
        <w:rPr>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556DD5E6">
      <w:pPr>
        <w:widowControl/>
        <w:jc w:val="left"/>
        <w:rPr>
          <w:rFonts w:ascii="Cambria" w:hAnsi="Cambria" w:eastAsia="宋体" w:cs="Times New Roman"/>
          <w:b/>
          <w:bCs/>
          <w:color w:val="000000" w:themeColor="text1"/>
          <w:sz w:val="32"/>
          <w:szCs w:val="32"/>
          <w:highlight w:val="none"/>
          <w14:textFill>
            <w14:solidFill>
              <w14:schemeClr w14:val="tx1"/>
            </w14:solidFill>
          </w14:textFill>
        </w:rPr>
      </w:pPr>
      <w:r>
        <w:rPr>
          <w:rFonts w:ascii="Cambria" w:hAnsi="Cambria" w:eastAsia="宋体" w:cs="Times New Roman"/>
          <w:b/>
          <w:bCs/>
          <w:color w:val="000000" w:themeColor="text1"/>
          <w:sz w:val="32"/>
          <w:szCs w:val="32"/>
          <w:highlight w:val="none"/>
          <w14:textFill>
            <w14:solidFill>
              <w14:schemeClr w14:val="tx1"/>
            </w14:solidFill>
          </w14:textFill>
        </w:rPr>
        <w:br w:type="page"/>
      </w:r>
    </w:p>
    <w:p w14:paraId="01193940">
      <w:pPr>
        <w:keepNext/>
        <w:keepLines/>
        <w:spacing w:before="260" w:after="260" w:line="240" w:lineRule="auto"/>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r>
        <w:rPr>
          <w:rFonts w:hint="eastAsia" w:ascii="Cambria" w:hAnsi="Cambria" w:eastAsia="宋体" w:cs="Times New Roman"/>
          <w:b/>
          <w:bCs/>
          <w:color w:val="000000" w:themeColor="text1"/>
          <w:sz w:val="32"/>
          <w:szCs w:val="32"/>
          <w:highlight w:val="none"/>
          <w14:textFill>
            <w14:solidFill>
              <w14:schemeClr w14:val="tx1"/>
            </w14:solidFill>
          </w14:textFill>
        </w:rPr>
        <w:t>磋商须知</w:t>
      </w:r>
      <w:bookmarkEnd w:id="52"/>
    </w:p>
    <w:p w14:paraId="3B48A0C0">
      <w:pPr>
        <w:keepNext/>
        <w:keepLines/>
        <w:spacing w:before="260" w:after="260" w:line="240"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3" w:name="_Toc27803"/>
      <w:r>
        <w:rPr>
          <w:rFonts w:hint="eastAsia" w:ascii="Cambria" w:hAnsi="Cambria" w:eastAsia="宋体" w:cs="Times New Roman"/>
          <w:b/>
          <w:bCs/>
          <w:color w:val="000000" w:themeColor="text1"/>
          <w:sz w:val="32"/>
          <w:szCs w:val="32"/>
          <w:highlight w:val="none"/>
          <w14:textFill>
            <w14:solidFill>
              <w14:schemeClr w14:val="tx1"/>
            </w14:solidFill>
          </w14:textFill>
        </w:rPr>
        <w:t>一、总　则</w:t>
      </w:r>
      <w:bookmarkEnd w:id="53"/>
    </w:p>
    <w:p w14:paraId="42BAC797">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 适用范围</w:t>
      </w:r>
    </w:p>
    <w:p w14:paraId="610197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b w:val="0"/>
          <w:bCs w:val="0"/>
          <w:color w:val="000000" w:themeColor="text1"/>
          <w:kern w:val="0"/>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1.1项目名称：</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港南区新塘镇蒙大村道路硬化建设以工代赈项目</w:t>
      </w:r>
      <w:r>
        <w:rPr>
          <w:rFonts w:hint="eastAsia" w:ascii="宋体" w:hAnsi="宋体" w:eastAsia="宋体" w:cs="宋体"/>
          <w:b w:val="0"/>
          <w:bCs w:val="0"/>
          <w:color w:val="000000" w:themeColor="text1"/>
          <w:kern w:val="0"/>
          <w:szCs w:val="21"/>
          <w:highlight w:val="none"/>
          <w14:textFill>
            <w14:solidFill>
              <w14:schemeClr w14:val="tx1"/>
            </w14:solidFill>
          </w14:textFill>
        </w:rPr>
        <w:t xml:space="preserve"> </w:t>
      </w:r>
    </w:p>
    <w:p w14:paraId="5B21ADE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Times New Roman" w:eastAsia="宋体" w:cs="Times New Roman"/>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1.2项目编号</w:t>
      </w:r>
      <w:r>
        <w:rPr>
          <w:rFonts w:hint="eastAsia" w:ascii="宋体" w:hAnsi="Times New Roman" w:eastAsia="宋体" w:cs="Times New Roman"/>
          <w:b w:val="0"/>
          <w:bCs w:val="0"/>
          <w:color w:val="000000" w:themeColor="text1"/>
          <w:szCs w:val="21"/>
          <w:highlight w:val="none"/>
          <w14:textFill>
            <w14:solidFill>
              <w14:schemeClr w14:val="tx1"/>
            </w14:solidFill>
          </w14:textFill>
        </w:rPr>
        <w:t>：GGZC2026-C2-030072-ZSKC</w:t>
      </w:r>
    </w:p>
    <w:p w14:paraId="53F365F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1.3本项目采购范围：本项目为港南区新塘镇蒙大村道路硬化建设以工代赈项目，对贵港市港南区新塘镇蒙大村5条碎石老路进行破除新建，道路总长1957米。</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如需进一步了解详细内容，具体内容详见工程量清单及图纸。</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 xml:space="preserve"> </w:t>
      </w:r>
    </w:p>
    <w:p w14:paraId="6A71311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cs="宋体" w:asciiTheme="minorEastAsia" w:hAnsiTheme="minorEastAsia"/>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1.4质量要求：</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达到国家和行业颁发的施工及验收规程规范要求。</w:t>
      </w:r>
    </w:p>
    <w:p w14:paraId="158F732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cs="Times New Roman" w:asciiTheme="minorEastAsia" w:hAnsiTheme="minorEastAsia"/>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1.5要求工期：</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270日历天</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w:t>
      </w:r>
    </w:p>
    <w:p w14:paraId="0D9106D6">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 定义</w:t>
      </w:r>
    </w:p>
    <w:p w14:paraId="50A0505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2.1“采购人”是指：依法进行采购的国家机关、事业单位、团体组织。 </w:t>
      </w:r>
    </w:p>
    <w:p w14:paraId="42A3D2B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2.2“采购</w:t>
      </w:r>
      <w:r>
        <w:rPr>
          <w:rFonts w:hint="eastAsia" w:ascii="宋体" w:hAnsi="Times New Roman" w:eastAsia="宋体" w:cs="Times New Roman"/>
          <w:color w:val="000000" w:themeColor="text1"/>
          <w:szCs w:val="21"/>
          <w:highlight w:val="none"/>
          <w14:textFill>
            <w14:solidFill>
              <w14:schemeClr w14:val="tx1"/>
            </w14:solidFill>
          </w14:textFill>
        </w:rPr>
        <w:t>代理机构”是指：</w:t>
      </w:r>
      <w:r>
        <w:rPr>
          <w:rFonts w:hint="eastAsia" w:ascii="Times New Roman" w:hAnsi="Times New Roman" w:eastAsia="宋体" w:cs="Times New Roman"/>
          <w:color w:val="000000" w:themeColor="text1"/>
          <w:highlight w:val="none"/>
          <w:lang w:eastAsia="zh-CN"/>
          <w14:textFill>
            <w14:solidFill>
              <w14:schemeClr w14:val="tx1"/>
            </w14:solidFill>
          </w14:textFill>
        </w:rPr>
        <w:t>泽圣勘察设计有限公司</w:t>
      </w:r>
    </w:p>
    <w:p w14:paraId="35635022">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2.3“供应商”是指响应本文件要求，参加磋商的法人或者其他组织。如果该供应商在本次磋商中成交，即成为“成交人”。</w:t>
      </w:r>
    </w:p>
    <w:p w14:paraId="4AABC22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2.4“货物”是指各种形态和种类的物品，包括原材料、燃料、设备、产品等。</w:t>
      </w:r>
    </w:p>
    <w:p w14:paraId="40B4F8B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2.5“服务”是指除货物和工程以外的其他采购对象。</w:t>
      </w:r>
    </w:p>
    <w:p w14:paraId="062217A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2.6“响应文件”是指：供应商根据本文件要求，编制包含报价、技术和服务等所有内容的响应文件。</w:t>
      </w:r>
    </w:p>
    <w:p w14:paraId="2F718E8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 供应商的基本条件：见磋商须知前附表。</w:t>
      </w:r>
    </w:p>
    <w:p w14:paraId="5D0595B5">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 磋商费用</w:t>
      </w:r>
    </w:p>
    <w:p w14:paraId="58EDEEC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4.1 供应商应自行承担所有与编写和提交响应文件有关的费用，不论磋商结果如何，采购人和采购代理机构在任何情况下无义务和责任承担此类费用。</w:t>
      </w:r>
    </w:p>
    <w:p w14:paraId="092BDAE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4.2本项目代理服务费：见磋商须知前附表。</w:t>
      </w:r>
    </w:p>
    <w:p w14:paraId="165D3E16">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竞争性磋商文件（以下简称磋商文件）的澄清与修改、公告</w:t>
      </w:r>
    </w:p>
    <w:p w14:paraId="575A91B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6D56600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5.2本项目采购公告在http://www.ccgp.gov.cn（中国政府采购网）、http://www.gxzfcg.gov.cn（广西壮族自治区政府采购网）、http://ggzy.jgswj.gxzf.gov.cn/ggggzy/（全国公共资源交易平台（广西•贵港））。</w:t>
      </w:r>
    </w:p>
    <w:p w14:paraId="60D15B7D">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4" w:name="_Toc12606"/>
      <w:r>
        <w:rPr>
          <w:rFonts w:hint="eastAsia" w:ascii="Cambria" w:hAnsi="Cambria" w:eastAsia="宋体" w:cs="Times New Roman"/>
          <w:b/>
          <w:bCs/>
          <w:color w:val="000000" w:themeColor="text1"/>
          <w:sz w:val="32"/>
          <w:szCs w:val="32"/>
          <w:highlight w:val="none"/>
          <w14:textFill>
            <w14:solidFill>
              <w14:schemeClr w14:val="tx1"/>
            </w14:solidFill>
          </w14:textFill>
        </w:rPr>
        <w:t>二、响应文件的编制</w:t>
      </w:r>
      <w:bookmarkEnd w:id="54"/>
    </w:p>
    <w:p w14:paraId="48EEA642">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 响应文件编制基本要求</w:t>
      </w:r>
    </w:p>
    <w:p w14:paraId="5169D4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6.1磋商人应仔细阅读竞争性磋商文件，在充分了解招标的内容、工程量清单和实质性要求条件后，编写响应文件。</w:t>
      </w:r>
    </w:p>
    <w:p w14:paraId="0898A6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供应商提交的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4E994A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6.3供应商应认真阅读、并充分理解本文件的全部内容（包括所有的补充、修改内容），承诺并履行本文件中各项条款规定及要求。</w:t>
      </w:r>
    </w:p>
    <w:p w14:paraId="68E8EEF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6.4响应文件必须按本文件的全部内容，包括所有的补充通知及附件进行编制。</w:t>
      </w:r>
    </w:p>
    <w:p w14:paraId="2999B60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6.5如因供应商只填写和提供了本文件要求的部分内容和附件，而给评审造成困难，其可能导致的结果和责任由供应商自行承担。</w:t>
      </w:r>
    </w:p>
    <w:p w14:paraId="4848C8C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响应文件中所须加盖公章位置均采用CA签章。若竞争性磋商采购文件中有专门标注的某关联点，并要求供应商在电子投标系统中作出磋商响应的，如供应商未对关联点进行响应或者在响应文件其它内容进行描述，造成电子评审不能查询的责任由供应商自行承担。</w:t>
      </w:r>
    </w:p>
    <w:p w14:paraId="73ACE99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6.6竞争性磋商采购文件要求提供的各种复印件，须加盖磋商供应商CA签章，否则其磋商无效。</w:t>
      </w:r>
    </w:p>
    <w:p w14:paraId="6A9B9A5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6.7竞争性磋商采购文件要求“必须提供”的证明等材料，磋商人必须全部提供，缺一不可，否则磋商无效。</w:t>
      </w:r>
    </w:p>
    <w:p w14:paraId="18EC89E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6.8竞争性磋商采购文件要求法定代表人或委托代理人签字及加盖公章的部分必须签字并加盖公章后然后扫描或者拍照做成pdf格式上传，无签字或盖章的视为磋商无效。</w:t>
      </w:r>
    </w:p>
    <w:p w14:paraId="00BA99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6.9响应文件应用不褪色的材料书写或打印，保证其清楚、工整，相关材料的复印件应清晰可辨认。响应文件字迹潦草、表达不清、模糊无法辨认而导致非唯一理解是供应商的风险，很可能导致该磋商无效。</w:t>
      </w:r>
    </w:p>
    <w:p w14:paraId="1923A8A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6.10第五章“响应文件格式”中规定了响应文件格式的，应按相应格式要求编写。</w:t>
      </w:r>
    </w:p>
    <w:p w14:paraId="736D365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6.11响应文件应由供应商的法定代表人或其委托代理人在凡规定签章处逐一签字或盖章并加盖单位公章。响应文件应尽量避免涂改、行间插字或删除。如果出现上述情况，改动之处应加盖单位公章或由供应商的法定代表人或其委托代理人签字或盖章确认。</w:t>
      </w:r>
    </w:p>
    <w:p w14:paraId="6EFB833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6.12响应文件应编制目录，且页码清晰准确。</w:t>
      </w:r>
    </w:p>
    <w:p w14:paraId="28B906A9">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6.13响应文件的组成：</w:t>
      </w:r>
      <w:r>
        <w:rPr>
          <w:rFonts w:hint="eastAsia" w:ascii="宋体" w:hAnsi="宋体" w:eastAsia="宋体" w:cs="Times New Roman"/>
          <w:color w:val="000000" w:themeColor="text1"/>
          <w:szCs w:val="21"/>
          <w:highlight w:val="none"/>
          <w14:textFill>
            <w14:solidFill>
              <w14:schemeClr w14:val="tx1"/>
            </w14:solidFill>
          </w14:textFill>
        </w:rPr>
        <w:t>响应文件由资格证明文件、报价文件和商务技术文件三部分组成。</w:t>
      </w:r>
    </w:p>
    <w:p w14:paraId="23E9CE11">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6.13.1资格证明文件</w:t>
      </w:r>
    </w:p>
    <w:p w14:paraId="1842C00D">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1A2672">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498BFA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5D1DA4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624C28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2A687FE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0110A9E">
      <w:pPr>
        <w:spacing w:line="44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6.13.2报价文件</w:t>
      </w:r>
    </w:p>
    <w:p w14:paraId="398FEE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69A4DB5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2C41BE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BAC76F2">
      <w:pPr>
        <w:spacing w:line="440" w:lineRule="exac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6.13.3  商务技术文件</w:t>
      </w:r>
    </w:p>
    <w:p w14:paraId="61DD2EC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0EE471F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D21ED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3CF8CE3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28A56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68CD2F4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FF483B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CE62C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imes New Roman"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注：磋商单位按照提供的磋商响应文件格式和顺序另行编制磋商文件。</w:t>
      </w:r>
    </w:p>
    <w:p w14:paraId="49E672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6.14响应文件有效期：见磋商须知前附表。</w:t>
      </w:r>
    </w:p>
    <w:p w14:paraId="20F83FE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6.15磋商保证金：见磋商须知前附表。</w:t>
      </w:r>
    </w:p>
    <w:p w14:paraId="4C8D8EC2">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7. 计量单位</w:t>
      </w:r>
    </w:p>
    <w:p w14:paraId="584E0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7.1除技术要求中另有规定外，本文件所要求使用的计量单位均应采用国家法定计量单位。</w:t>
      </w:r>
    </w:p>
    <w:p w14:paraId="44D6C7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5" w:name="_Toc28020"/>
      <w:r>
        <w:rPr>
          <w:rFonts w:hint="eastAsia" w:ascii="Cambria" w:hAnsi="Cambria" w:eastAsia="宋体" w:cs="Times New Roman"/>
          <w:b/>
          <w:bCs/>
          <w:color w:val="000000" w:themeColor="text1"/>
          <w:sz w:val="32"/>
          <w:szCs w:val="32"/>
          <w:highlight w:val="none"/>
          <w14:textFill>
            <w14:solidFill>
              <w14:schemeClr w14:val="tx1"/>
            </w14:solidFill>
          </w14:textFill>
        </w:rPr>
        <w:t>三、磋商报价及采购预算</w:t>
      </w:r>
      <w:bookmarkEnd w:id="55"/>
    </w:p>
    <w:p w14:paraId="16562F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14:paraId="14741B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8.2供应商必须就所投项目的全部内容作完整唯一报价，漏项报价的或有选择的或有条件的报价，其磋商将视为无效。</w:t>
      </w:r>
    </w:p>
    <w:p w14:paraId="25EB79F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8.3本项目磋商报价费用指项目策划费用。</w:t>
      </w:r>
    </w:p>
    <w:p w14:paraId="1BBFBA4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8.4磋商报价超出采购预算价的均作无效磋商处理。</w:t>
      </w:r>
    </w:p>
    <w:p w14:paraId="7A89F073">
      <w:pPr>
        <w:keepNext/>
        <w:keepLines/>
        <w:spacing w:before="260" w:after="260" w:line="415" w:lineRule="auto"/>
        <w:outlineLvl w:val="1"/>
        <w:rPr>
          <w:rFonts w:hint="eastAsia" w:ascii="Cambria" w:hAnsi="Cambria" w:eastAsia="宋体" w:cs="Times New Roman"/>
          <w:b/>
          <w:bCs/>
          <w:color w:val="000000" w:themeColor="text1"/>
          <w:sz w:val="32"/>
          <w:szCs w:val="32"/>
          <w:highlight w:val="none"/>
          <w:lang w:eastAsia="zh-CN"/>
          <w14:textFill>
            <w14:solidFill>
              <w14:schemeClr w14:val="tx1"/>
            </w14:solidFill>
          </w14:textFill>
        </w:rPr>
      </w:pPr>
      <w:bookmarkStart w:id="56" w:name="_Toc10085"/>
      <w:r>
        <w:rPr>
          <w:rFonts w:hint="eastAsia" w:ascii="Cambria" w:hAnsi="Cambria" w:eastAsia="宋体" w:cs="Times New Roman"/>
          <w:b/>
          <w:bCs/>
          <w:color w:val="000000" w:themeColor="text1"/>
          <w:sz w:val="32"/>
          <w:szCs w:val="32"/>
          <w:highlight w:val="none"/>
          <w14:textFill>
            <w14:solidFill>
              <w14:schemeClr w14:val="tx1"/>
            </w14:solidFill>
          </w14:textFill>
        </w:rPr>
        <w:t>四、响应文件编制</w:t>
      </w:r>
      <w:bookmarkEnd w:id="56"/>
      <w:r>
        <w:rPr>
          <w:rFonts w:hint="eastAsia" w:ascii="Cambria" w:hAnsi="Cambria" w:eastAsia="宋体" w:cs="Times New Roman"/>
          <w:b/>
          <w:bCs/>
          <w:color w:val="000000" w:themeColor="text1"/>
          <w:sz w:val="32"/>
          <w:szCs w:val="32"/>
          <w:highlight w:val="none"/>
          <w:lang w:eastAsia="zh-CN"/>
          <w14:textFill>
            <w14:solidFill>
              <w14:schemeClr w14:val="tx1"/>
            </w14:solidFill>
          </w14:textFill>
        </w:rPr>
        <w:t>的相关说明</w:t>
      </w:r>
    </w:p>
    <w:p w14:paraId="5BDD9B09">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竞争性磋商响应文件编制基本要求</w:t>
      </w:r>
    </w:p>
    <w:p w14:paraId="3DF62744">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本项目实行电子投标，供应商应准备电子磋商响应文件：</w:t>
      </w:r>
    </w:p>
    <w:p w14:paraId="2710AB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9.1电子响应文件按广西政府采购云平台要求及本竞争性磋商采购文件要求制作、加密并递交。具体操作流程可参考《政府采购项目电子交易管理操作指南-供应商》，指南可在“http://www.ccgp-guangxi.gov.cn/PurchaseAdvisory/ImportantNotice/2866753.html”下载。</w:t>
      </w:r>
    </w:p>
    <w:p w14:paraId="1BEE7F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9.2磋商响应文件启用顺序和效力：磋商响应文件的启用，按先后顺位分别为电子磋商响应文件、电子备份磋商响应文件。若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09FBEF4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9.3供应商提交的竞争性磋商响应文件以及供应商与本公司和采购人就有关磋商的所有来往函电均应使用中文。供应商提交的支持文件和印刷的文献可以使用别的语言，但其相应内容必须附有中文翻译文本，在解释竞争性磋商响应文件时以翻译文本为主。</w:t>
      </w:r>
    </w:p>
    <w:p w14:paraId="12A3EE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9.4供应商应认真阅读、并充分理解本文件的全部内容（包括所有的澄清、更改、补充、答疑等内容），承诺并履行本文件中各项条款规定及要求。</w:t>
      </w:r>
    </w:p>
    <w:p w14:paraId="1F8B490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9.5竞争性磋商响应文件必须按本文件的全部内容，包括所有的澄清、更改、补充、答疑等内容及附件进行编制。</w:t>
      </w:r>
    </w:p>
    <w:p w14:paraId="5242781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9.6如因供应商只填写和提供了本文件要求的部分内容和附件，而给磋商小组评审造成困难，其可能导致的结果和责任由供应商自行承担。</w:t>
      </w:r>
    </w:p>
    <w:p w14:paraId="0EDE3A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9.7竞争性磋商响应文件的组成：竞争性磋商响应文件应分为资格证明文件、报价文件、商务技术文件部分三个部分组成。供应商应仔细阅读竞争性磋商采购文件的所有内容，按竞争性磋商采购文件的要求，详细编制竞争性磋商响应文件。</w:t>
      </w:r>
    </w:p>
    <w:p w14:paraId="32FCB48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9.8竞争性磋商响应文件的签章</w:t>
      </w:r>
    </w:p>
    <w:p w14:paraId="551747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9.8.1 电子磋商响应文件中须加盖供应商公章位置均采用CA签章，并根据“政府采购项目电子交易管理操作指南-供应商”及本竞争性磋商采购文件规定的格式和顺序编制电子磋商响应文件并进行关联定位，以便磋商小组在评时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5683706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9.8.2 CA签章上目前没有法人或授权代表签字信息，供应商在磋商响应文件中涉及到签字的位置线下签好字然后扫描或者拍照做成PDF的格式即可。</w:t>
      </w:r>
    </w:p>
    <w:p w14:paraId="110C36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9.8.3 磋商响应文件不得涂改，若有修改错漏处，须法定代表人或授权委托人签字。磋商响应文件因字迹潦草或表达不清所引起的后果由供应商负责。</w:t>
      </w:r>
    </w:p>
    <w:p w14:paraId="1494F52B">
      <w:pPr>
        <w:spacing w:line="500" w:lineRule="exact"/>
        <w:rPr>
          <w:rFonts w:ascii="宋体" w:hAnsi="Times New Roman" w:eastAsia="宋体" w:cs="Times New Roman"/>
          <w:b/>
          <w:color w:val="000000" w:themeColor="text1"/>
          <w:spacing w:val="-10"/>
          <w:szCs w:val="21"/>
          <w:highlight w:val="none"/>
          <w14:textFill>
            <w14:solidFill>
              <w14:schemeClr w14:val="tx1"/>
            </w14:solidFill>
          </w14:textFill>
        </w:rPr>
      </w:pPr>
      <w:r>
        <w:rPr>
          <w:rFonts w:hint="eastAsia" w:ascii="宋体" w:hAnsi="Times New Roman" w:eastAsia="宋体" w:cs="Times New Roman"/>
          <w:b/>
          <w:color w:val="000000" w:themeColor="text1"/>
          <w:spacing w:val="-10"/>
          <w:szCs w:val="21"/>
          <w:highlight w:val="none"/>
          <w14:textFill>
            <w14:solidFill>
              <w14:schemeClr w14:val="tx1"/>
            </w14:solidFill>
          </w14:textFill>
        </w:rPr>
        <w:t>10.电子响应文件的相关说明：</w:t>
      </w:r>
    </w:p>
    <w:p w14:paraId="4FBFA6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10.1供应商进行电子投标应安装客户端软件，并按照采购文件和电子交易平台的要求编制并加密磋商响应文件。供应商未按规定加密的磋商响应文件，电子交易平台将拒收。供应商应当在开标截止时间前完成磋商响应文件的传输递交，并可以补充、修改或者撤回磋商响应文件。补充或者修改磋商响应文件的，应当先行撤回原文件，补充、修改后重新传输递交。开标截止时间前未完成传输的，视为撤回磋商响应文件。开标截止时间后递交的磋商响应文件，电子交易平台将拒收。</w:t>
      </w:r>
    </w:p>
    <w:p w14:paraId="2C5DE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10.2如有特殊情况，采购代理机构延长截止时间和开标时间，采购代理机构和供应商的权利和义务将受到新的截止时间和开标时间的约束。</w:t>
      </w:r>
    </w:p>
    <w:p w14:paraId="44834CAC">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7" w:name="_Toc18181"/>
      <w:r>
        <w:rPr>
          <w:rFonts w:hint="eastAsia" w:ascii="Cambria" w:hAnsi="Cambria" w:eastAsia="宋体" w:cs="Times New Roman"/>
          <w:b/>
          <w:bCs/>
          <w:color w:val="000000" w:themeColor="text1"/>
          <w:sz w:val="32"/>
          <w:szCs w:val="32"/>
          <w:highlight w:val="none"/>
          <w14:textFill>
            <w14:solidFill>
              <w14:schemeClr w14:val="tx1"/>
            </w14:solidFill>
          </w14:textFill>
        </w:rPr>
        <w:t>五、竞争性磋商（简称磋商）与评审</w:t>
      </w:r>
      <w:bookmarkEnd w:id="57"/>
    </w:p>
    <w:p w14:paraId="3304CDA3">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11.磋商小组组成及磋商时间、地点、人员</w:t>
      </w:r>
    </w:p>
    <w:p w14:paraId="63ECC5D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11.1磋商小组构成：本项目的磋商小组由采购人代表和评审专家共3人以上单数组成。</w:t>
      </w:r>
    </w:p>
    <w:p w14:paraId="7A35B5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11.2 具体的磋商时间、地点、人员见磋商须知前附表，参加磋商的磋商人应在前附表规定的日期和时间之前将响应文件上传提交至广西政府采购云平台系统。如未按时上传，由此产生的后果由供应商自行负责。</w:t>
      </w:r>
    </w:p>
    <w:p w14:paraId="10D58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11.3网上开标、电子评标</w:t>
      </w:r>
    </w:p>
    <w:p w14:paraId="2DB0585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11.3.1供应商根据采购文件要求，登录“广西政府采购云平台”，在指定时间内将电子响应文件通过 CA 加密后上传完成投标。开标实行网上不见面开标。到达开标截止时间后，政府采购代理机构工作人员在“广西政府采购云平台”开始网上开标，供应商在指定标书解密时间内各自远程登录“广西政府采购云平台”进行标书解密，供应商全部解密完成或解密时间结束后政府采购代理机构工作人员开启唱标及评标程序，供应商可在个人电脑上查看到唱标信息，并等待专家评委评审，评审结束后系统中将显示评标结果。</w:t>
      </w:r>
    </w:p>
    <w:p w14:paraId="2EFC0EF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11.3.2开标程序</w:t>
      </w:r>
    </w:p>
    <w:p w14:paraId="54001FB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开标截止时间后，主持人宣布开标开始。</w:t>
      </w:r>
    </w:p>
    <w:p w14:paraId="601218C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供应商登录广西政府采购云平台，用“项目采购-开标评标”功能对电子磋商响应文件进行在线解密。</w:t>
      </w:r>
      <w:r>
        <w:rPr>
          <w:rFonts w:hint="eastAsia" w:ascii="宋体" w:hAnsi="Times New Roman" w:eastAsia="宋体" w:cs="Times New Roman"/>
          <w:b/>
          <w:color w:val="000000" w:themeColor="text1"/>
          <w:szCs w:val="21"/>
          <w:highlight w:val="none"/>
          <w14:textFill>
            <w14:solidFill>
              <w14:schemeClr w14:val="tx1"/>
            </w14:solidFill>
          </w14:textFill>
        </w:rPr>
        <w:t>在线解密电子磋商响应文件时间为开标时间起（30分内）。</w:t>
      </w:r>
    </w:p>
    <w:p w14:paraId="42BF4275">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12．评审原则和评审办法</w:t>
      </w:r>
    </w:p>
    <w:p w14:paraId="59808B4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12.1具体评审原则和评审办法见评分标准。</w:t>
      </w:r>
    </w:p>
    <w:p w14:paraId="53D3598F">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13.响应文件评审及磋商的步骤</w:t>
      </w:r>
    </w:p>
    <w:p w14:paraId="03B139E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13.1</w:t>
      </w:r>
      <w:r>
        <w:rPr>
          <w:rFonts w:hint="eastAsia" w:ascii="宋体" w:hAnsi="Times New Roman" w:eastAsia="宋体" w:cs="Times New Roman"/>
          <w:b/>
          <w:color w:val="000000" w:themeColor="text1"/>
          <w:szCs w:val="21"/>
          <w:highlight w:val="none"/>
          <w14:textFill>
            <w14:solidFill>
              <w14:schemeClr w14:val="tx1"/>
            </w14:solidFill>
          </w14:textFill>
        </w:rPr>
        <w:t>资格或符合性审查：</w:t>
      </w:r>
      <w:r>
        <w:rPr>
          <w:rFonts w:hint="eastAsia" w:ascii="宋体" w:hAnsi="Times New Roman" w:eastAsia="宋体" w:cs="Times New Roman"/>
          <w:color w:val="000000" w:themeColor="text1"/>
          <w:szCs w:val="21"/>
          <w:highlight w:val="none"/>
          <w14:textFill>
            <w14:solidFill>
              <w14:schemeClr w14:val="tx1"/>
            </w14:solidFill>
          </w14:textFill>
        </w:rPr>
        <w:t>磋商小组对磋商资格条件及响应文件进行评审，并从符合竞争性磋商文件规定的相应资格条件的供应商名单中确定不少于3家的供应商参加磋商。资格条件不符合的供应商或未实质性响应磋商文件的响应文件按无效响应处理，磋商小组应当告知有关供应商。</w:t>
      </w:r>
    </w:p>
    <w:p w14:paraId="0B9C93A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00AF753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（2）确定参加磋商的供应商名单。磋商小组将所有通过资格性审查及符合性审查的供应商确定为参加磋商的供应商。 </w:t>
      </w:r>
    </w:p>
    <w:p w14:paraId="034DA80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（3）采购过程中出现以下情形，导致电子交易平台无法正常运行，或者无法保证电子交易的公平、公正和安全时，采购组织机构可中止电子交易活动：</w:t>
      </w:r>
    </w:p>
    <w:p w14:paraId="269A684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（4）电子交易平台发生故障而无法登录访问的；</w:t>
      </w:r>
    </w:p>
    <w:p w14:paraId="60C718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（5）电子交易平台应用或数据库出现错误，不能进行正常操作的；</w:t>
      </w:r>
    </w:p>
    <w:p w14:paraId="253D777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（6）电子交易平台发现严重安全漏洞，有潜在泄密危险的；</w:t>
      </w:r>
    </w:p>
    <w:p w14:paraId="49296F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（7）病毒发作导致不能进行正常操作的；</w:t>
      </w:r>
    </w:p>
    <w:p w14:paraId="6B15EA4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（8）其他无法保证电子交易的公平、公正和安全的情况。</w:t>
      </w:r>
    </w:p>
    <w:p w14:paraId="22CDCCF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（9）出现前款规定情形，不影响采购公平、公正性的，采购组织机构可以待上述情形消除后继续组织电子交易活动，也可以决定某些环节以纸质形式进行；影响或可能影响采购公平、公正性的，应当重新采购。</w:t>
      </w:r>
    </w:p>
    <w:p w14:paraId="4A7FEB40">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13.2确认第一轮磋商报价。</w:t>
      </w:r>
    </w:p>
    <w:p w14:paraId="60964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13.2.1代理机构开启报价文件，供应商对报价记录表进行确认，如对报价记录表无异议，供应商对报价记录表进行CA签章。如供应商对报价记录表有异议，先申请异议后再进行CA签章。</w:t>
      </w:r>
    </w:p>
    <w:p w14:paraId="19B01C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13.2.2报价确认：如供应商确认报价记录表无异议，点击【报价确认】，进行签章；如供应商对报价记录表有异议，供应商先点击【报价异议】，选择【有异议】并填写异议说明后，再点击【报价确认】对报价记录表进行签章。</w:t>
      </w:r>
    </w:p>
    <w:p w14:paraId="65A427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13.2.3查看报价列表：可放大查看报价列表。</w:t>
      </w:r>
    </w:p>
    <w:p w14:paraId="6659818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13.2.4报价确认：代理机构开启签字时段后，供应商才可对报价记录表进行CA签字确认。</w:t>
      </w:r>
    </w:p>
    <w:p w14:paraId="4D3998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13.2.5查看联合体供应商：若是联合体供应商，在供应商名称左侧展示“联*”表示联合体供应商以及家数（不包括主供应商），将鼠标停留在“联”上可查看联合供应商的名称。</w:t>
      </w:r>
    </w:p>
    <w:p w14:paraId="637B48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13.2.6填写姓名：填写授权委托人的姓名，确认签字后，系统会自动录入该姓名的系统字体。</w:t>
      </w:r>
    </w:p>
    <w:p w14:paraId="2D26885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13.2.7签字完成：等待评审小组对报价进行评审。</w:t>
      </w:r>
    </w:p>
    <w:p w14:paraId="5DB1A033">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13.3在线多轮报价（最终报价）。</w:t>
      </w:r>
    </w:p>
    <w:p w14:paraId="0A450DE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13.3.1参与报价：磋商小组在平台开启新一轮报价，供应商点击【报价】，参与报价。</w:t>
      </w:r>
    </w:p>
    <w:p w14:paraId="33187E9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13.3.2参与报价：在报价页面填写最终报价、项目负责人等信息，生成报价文件。</w:t>
      </w:r>
    </w:p>
    <w:p w14:paraId="2CE6F69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13.3.3报价文件签章：生成报价文件后，供应商需报价文件进行CA签章。CA签章：供应商确认报价文件无误后，在电脑上插入CA锁，对报价文件进行签章。修改报价文件：生成报价文件后，报价栏内容都置灰，无法编辑，如供应商需要修改，可点击【重新编辑】，进行修改。</w:t>
      </w:r>
    </w:p>
    <w:p w14:paraId="21F9002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查看文件：供应商点击【查看文件】，可查看本轮次生成的报价文件。</w:t>
      </w:r>
    </w:p>
    <w:p w14:paraId="1D9751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13.3.4提交报价文件：确认报价文件后，点击右上角【提交】，提交报价文件。</w:t>
      </w:r>
    </w:p>
    <w:p w14:paraId="2945C5A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13.3.5如供应商未对报价文件签章，提交时，弹框提醒“报价文件未签章，请进行签章操作”，供应商在：签章后再进行提交。</w:t>
      </w:r>
    </w:p>
    <w:p w14:paraId="7FB224D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13.3.6若是联合投标的供应商，在对应的供应商名称右边显示“联合*家投标”（不包含主供应商），供应商将鼠标停留在该文字上，可查看具体联合的两家供应商名称。</w:t>
      </w:r>
    </w:p>
    <w:p w14:paraId="4CCE417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2" w:firstLineChars="200"/>
        <w:jc w:val="left"/>
        <w:textAlignment w:val="auto"/>
        <w:rPr>
          <w:rFonts w:ascii="宋体" w:hAnsi="Calibri" w:eastAsia="宋体" w:cs="Times New Roman"/>
          <w:b/>
          <w:color w:val="000000" w:themeColor="text1"/>
          <w:szCs w:val="21"/>
          <w:highlight w:val="none"/>
          <w14:textFill>
            <w14:solidFill>
              <w14:schemeClr w14:val="tx1"/>
            </w14:solidFill>
          </w14:textFill>
        </w:rPr>
      </w:pPr>
      <w:r>
        <w:rPr>
          <w:rFonts w:hint="eastAsia" w:ascii="宋体" w:hAnsi="Calibri" w:eastAsia="宋体" w:cs="Times New Roman"/>
          <w:b/>
          <w:color w:val="000000" w:themeColor="text1"/>
          <w:szCs w:val="21"/>
          <w:highlight w:val="none"/>
          <w14:textFill>
            <w14:solidFill>
              <w14:schemeClr w14:val="tx1"/>
            </w14:solidFill>
          </w14:textFill>
        </w:rPr>
        <w:t>注：本项目磋商采用二次报价（在线多轮报价（最终报价））方式，如磋商人的第二次报价有调整时，报价文件必须以工程量清单报价表的格式编制转为pdf格式作为附件上传系统。磋商人不得以总价下浮的方式做报价，否则作无效磋商处理。请各磋商人须提前做好相关准备并按时递交报价文件，报价高于本项目预算控制价的磋商响应文件将被拒绝。</w:t>
      </w:r>
    </w:p>
    <w:p w14:paraId="666F1DD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13.3.7综合评分：经磋商确定最终采购需求和提交最后报价的供应商后，由磋商小组采用综合评分法对提交最后报价的供应商的响应文件和最后报价进行综合评分。</w:t>
      </w:r>
    </w:p>
    <w:p w14:paraId="1812499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bookmarkStart w:id="58" w:name="_Toc19054"/>
      <w:bookmarkStart w:id="59" w:name="_Toc13560"/>
      <w:r>
        <w:rPr>
          <w:rFonts w:hint="eastAsia" w:ascii="宋体" w:hAnsi="Times New Roman" w:eastAsia="宋体" w:cs="Times New Roman"/>
          <w:color w:val="000000" w:themeColor="text1"/>
          <w:szCs w:val="21"/>
          <w:highlight w:val="none"/>
          <w14:textFill>
            <w14:solidFill>
              <w14:schemeClr w14:val="tx1"/>
            </w14:solidFill>
          </w14:textFill>
        </w:rPr>
        <w:t>磋商小组应当根据综合评分情况，按照评审得分由高到低顺序推荐3名成交候选供应商，并编写评审报告。符合《政府采购竞争性磋商采购方式管理暂行办法》（财库﹝2014﹞214号）第二十一条第三款情形和财库〔2015〕124号的，可以推荐3家成交候选供应商。评审得分相同的，按照最后报价由低到高的顺序推荐。评审得分且最后报价相同的，则按照项目技术标优劣顺序推荐。</w:t>
      </w:r>
      <w:bookmarkEnd w:id="58"/>
      <w:bookmarkEnd w:id="59"/>
    </w:p>
    <w:p w14:paraId="38E846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13.3.8响应供应商的报价均超过了采购预算价，采购人不能支付的，磋商活动终止。</w:t>
      </w:r>
    </w:p>
    <w:p w14:paraId="2293FDC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13.3.9在评标过程中出现法律法规和磋商文件均没有明确规定的情形时，由磋商小组现场协商解决，协商不一致的，由全体磋商小组投票表决，以得票率半数以上专家的意见为准。</w:t>
      </w:r>
    </w:p>
    <w:p w14:paraId="1740444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13.4特别说明：</w:t>
      </w:r>
    </w:p>
    <w:p w14:paraId="77AA9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1.供应商磋商所使用的资格、信誉、荣誉、业绩与企业认证必须为本法人所拥有（特殊要求除外）。供应商磋商所使用的采购项目实施人员必须为本法人员工（或必须为本法人或控股公司正式员工）。</w:t>
      </w:r>
    </w:p>
    <w:p w14:paraId="6A6010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2.供应商应仔细阅读竞争性磋商文件的所有内容，按照竞争性磋商文件的要求提交响应文件，并对所提供的全部资料的真实性承担法律责任。</w:t>
      </w:r>
    </w:p>
    <w:p w14:paraId="1C9D3F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供应商在磋商活动中提供任何虚假材料，其磋商无效，并报监管部门查处；成交后发现的，成交供应商须依照《中华人民共和国消费者权益保护法》第五十五条第一款之规定三倍赔偿采购人，且民事赔偿并不免除违法供应商的行政与刑事责任。</w:t>
      </w:r>
    </w:p>
    <w:p w14:paraId="17B1B8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13.5低于成本报价</w:t>
      </w:r>
    </w:p>
    <w:p w14:paraId="0C7E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磋商小组在评审过程中发现供应商的总报价明显低于其他供应商的总报价或者明显低于采购预算价，有理由怀疑其总报价可能低于其成本的，应当要求该供应商做出书面说明并提供相关证明材料。供应商不能合理说明或者不能提供相关证明材料的，视作该供应商以低于成本报价磋商，其磋商无效。</w:t>
      </w:r>
    </w:p>
    <w:p w14:paraId="74C46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13.6最终磋商结束后，磋商小组不得再与供应商进行任何形式的商谈。</w:t>
      </w:r>
    </w:p>
    <w:p w14:paraId="543926E8">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0" w:name="_Toc29757"/>
      <w:r>
        <w:rPr>
          <w:rFonts w:hint="eastAsia" w:ascii="Cambria" w:hAnsi="Cambria" w:eastAsia="宋体" w:cs="Times New Roman"/>
          <w:b/>
          <w:bCs/>
          <w:color w:val="000000" w:themeColor="text1"/>
          <w:sz w:val="32"/>
          <w:szCs w:val="32"/>
          <w:highlight w:val="none"/>
          <w14:textFill>
            <w14:solidFill>
              <w14:schemeClr w14:val="tx1"/>
            </w14:solidFill>
          </w14:textFill>
        </w:rPr>
        <w:t>六、确定成交供应商办法及结果公告</w:t>
      </w:r>
      <w:bookmarkEnd w:id="60"/>
    </w:p>
    <w:p w14:paraId="034C397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宋体"/>
          <w:color w:val="000000" w:themeColor="text1"/>
          <w:kern w:val="0"/>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14.1</w:t>
      </w:r>
      <w:r>
        <w:rPr>
          <w:rFonts w:hint="eastAsia" w:ascii="宋体" w:hAnsi="Times New Roman" w:eastAsia="宋体" w:cs="宋体"/>
          <w:color w:val="000000" w:themeColor="text1"/>
          <w:kern w:val="0"/>
          <w:szCs w:val="21"/>
          <w:highlight w:val="none"/>
          <w14:textFill>
            <w14:solidFill>
              <w14:schemeClr w14:val="tx1"/>
            </w14:solidFill>
          </w14:textFill>
        </w:rPr>
        <w:t>采购</w:t>
      </w:r>
      <w:r>
        <w:rPr>
          <w:rFonts w:hint="eastAsia" w:ascii="宋体" w:hAnsi="Times New Roman" w:eastAsia="宋体" w:cs="Times New Roman"/>
          <w:color w:val="000000" w:themeColor="text1"/>
          <w:szCs w:val="21"/>
          <w:highlight w:val="none"/>
          <w14:textFill>
            <w14:solidFill>
              <w14:schemeClr w14:val="tx1"/>
            </w14:solidFill>
          </w14:textFill>
        </w:rPr>
        <w:t>代理</w:t>
      </w:r>
      <w:r>
        <w:rPr>
          <w:rFonts w:hint="eastAsia" w:ascii="宋体" w:hAnsi="Times New Roman" w:eastAsia="宋体" w:cs="宋体"/>
          <w:color w:val="000000" w:themeColor="text1"/>
          <w:kern w:val="0"/>
          <w:szCs w:val="21"/>
          <w:highlight w:val="none"/>
          <w14:textFill>
            <w14:solidFill>
              <w14:schemeClr w14:val="tx1"/>
            </w14:solidFill>
          </w14:textFill>
        </w:rPr>
        <w:t>机构应当在评审结束后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内将评审报告送采购人确认。采购人应当在收到评审报告后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F62D76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14.2采购代理机构应当在成交供应商确定</w:t>
      </w:r>
      <w:r>
        <w:rPr>
          <w:rFonts w:hint="eastAsia" w:ascii="宋体" w:hAnsi="Times New Roman" w:eastAsia="宋体" w:cs="Times New Roman"/>
          <w:b/>
          <w:color w:val="000000" w:themeColor="text1"/>
          <w:szCs w:val="21"/>
          <w:highlight w:val="none"/>
          <w14:textFill>
            <w14:solidFill>
              <w14:schemeClr w14:val="tx1"/>
            </w14:solidFill>
          </w14:textFill>
        </w:rPr>
        <w:t>后2个工作日内</w:t>
      </w:r>
      <w:r>
        <w:rPr>
          <w:rFonts w:hint="eastAsia" w:ascii="宋体" w:hAnsi="Times New Roman" w:eastAsia="宋体" w:cs="Times New Roman"/>
          <w:color w:val="000000" w:themeColor="text1"/>
          <w:szCs w:val="21"/>
          <w:highlight w:val="none"/>
          <w14:textFill>
            <w14:solidFill>
              <w14:schemeClr w14:val="tx1"/>
            </w14:solidFill>
          </w14:textFill>
        </w:rPr>
        <w:t>，在竞争性磋商公告发布媒体上公告成交结果，同时向成交供应商发出成交通知书。</w:t>
      </w:r>
    </w:p>
    <w:p w14:paraId="5862BE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1" w:name="_Toc11003"/>
      <w:r>
        <w:rPr>
          <w:rFonts w:hint="eastAsia" w:ascii="Cambria" w:hAnsi="Cambria" w:eastAsia="宋体" w:cs="Times New Roman"/>
          <w:b/>
          <w:bCs/>
          <w:color w:val="000000" w:themeColor="text1"/>
          <w:sz w:val="32"/>
          <w:szCs w:val="32"/>
          <w:highlight w:val="none"/>
          <w14:textFill>
            <w14:solidFill>
              <w14:schemeClr w14:val="tx1"/>
            </w14:solidFill>
          </w14:textFill>
        </w:rPr>
        <w:t>七、履约保证金：无。</w:t>
      </w:r>
      <w:bookmarkEnd w:id="61"/>
    </w:p>
    <w:p w14:paraId="029822DE">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2" w:name="_Toc25472"/>
      <w:r>
        <w:rPr>
          <w:rFonts w:hint="eastAsia" w:ascii="Cambria" w:hAnsi="Cambria" w:eastAsia="宋体" w:cs="Times New Roman"/>
          <w:b/>
          <w:bCs/>
          <w:color w:val="000000" w:themeColor="text1"/>
          <w:sz w:val="32"/>
          <w:szCs w:val="32"/>
          <w:highlight w:val="none"/>
          <w14:textFill>
            <w14:solidFill>
              <w14:schemeClr w14:val="tx1"/>
            </w14:solidFill>
          </w14:textFill>
        </w:rPr>
        <w:t>八、签订合同</w:t>
      </w:r>
      <w:bookmarkEnd w:id="62"/>
    </w:p>
    <w:p w14:paraId="3432C4C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15.1自成交通知书发出之日起2</w:t>
      </w:r>
      <w:r>
        <w:rPr>
          <w:rFonts w:hint="eastAsia" w:ascii="宋体" w:hAnsi="Times New Roman" w:eastAsia="宋体" w:cs="Times New Roman"/>
          <w:color w:val="000000" w:themeColor="text1"/>
          <w:szCs w:val="21"/>
          <w:highlight w:val="none"/>
          <w:lang w:val="en-US" w:eastAsia="zh-CN"/>
          <w14:textFill>
            <w14:solidFill>
              <w14:schemeClr w14:val="tx1"/>
            </w14:solidFill>
          </w14:textFill>
        </w:rPr>
        <w:t>5</w:t>
      </w:r>
      <w:r>
        <w:rPr>
          <w:rFonts w:hint="eastAsia" w:ascii="宋体" w:hAnsi="Times New Roman" w:eastAsia="宋体" w:cs="Times New Roman"/>
          <w:color w:val="000000" w:themeColor="text1"/>
          <w:szCs w:val="21"/>
          <w:highlight w:val="none"/>
          <w14:textFill>
            <w14:solidFill>
              <w14:schemeClr w14:val="tx1"/>
            </w14:solidFill>
          </w14:textFill>
        </w:rPr>
        <w:t>日内与采购人签订合同。</w:t>
      </w:r>
    </w:p>
    <w:p w14:paraId="52C3631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2DE8687">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3" w:name="_Toc7138"/>
      <w:r>
        <w:rPr>
          <w:rFonts w:hint="eastAsia" w:ascii="Cambria" w:hAnsi="Cambria" w:eastAsia="宋体" w:cs="Times New Roman"/>
          <w:b/>
          <w:bCs/>
          <w:color w:val="000000" w:themeColor="text1"/>
          <w:sz w:val="32"/>
          <w:szCs w:val="32"/>
          <w:highlight w:val="none"/>
          <w14:textFill>
            <w14:solidFill>
              <w14:schemeClr w14:val="tx1"/>
            </w14:solidFill>
          </w14:textFill>
        </w:rPr>
        <w:t>九、政府采购合同公告</w:t>
      </w:r>
      <w:bookmarkEnd w:id="63"/>
    </w:p>
    <w:p w14:paraId="7814EBE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16.1根据《中华人民共和国政府采购法实施条例》第五十条规定，采购人应当自政府采购合同签订之日起</w:t>
      </w:r>
      <w:r>
        <w:rPr>
          <w:rFonts w:hint="eastAsia" w:ascii="宋体" w:hAnsi="Times New Roman" w:eastAsia="宋体" w:cs="Times New Roman"/>
          <w:b/>
          <w:color w:val="000000" w:themeColor="text1"/>
          <w:szCs w:val="21"/>
          <w:highlight w:val="none"/>
          <w14:textFill>
            <w14:solidFill>
              <w14:schemeClr w14:val="tx1"/>
            </w14:solidFill>
          </w14:textFill>
        </w:rPr>
        <w:t>2个工作日内</w:t>
      </w:r>
      <w:r>
        <w:rPr>
          <w:rFonts w:hint="eastAsia" w:ascii="宋体" w:hAnsi="Times New Roman" w:eastAsia="宋体" w:cs="Times New Roman"/>
          <w:color w:val="000000" w:themeColor="text1"/>
          <w:szCs w:val="21"/>
          <w:highlight w:val="none"/>
          <w14:textFill>
            <w14:solidFill>
              <w14:schemeClr w14:val="tx1"/>
            </w14:solidFill>
          </w14:textFill>
        </w:rPr>
        <w:t>，将政府采购合同在省级以上人民政府财政部门指定的媒体上公告，但政府采购合同中涉及国家秘密、商业秘密的内容除外。</w:t>
      </w:r>
    </w:p>
    <w:p w14:paraId="196FFEC2">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4" w:name="_Toc9309"/>
      <w:r>
        <w:rPr>
          <w:rFonts w:hint="eastAsia" w:ascii="Cambria" w:hAnsi="Cambria" w:eastAsia="宋体" w:cs="Times New Roman"/>
          <w:b/>
          <w:bCs/>
          <w:color w:val="000000" w:themeColor="text1"/>
          <w:sz w:val="32"/>
          <w:szCs w:val="32"/>
          <w:highlight w:val="none"/>
          <w14:textFill>
            <w14:solidFill>
              <w14:schemeClr w14:val="tx1"/>
            </w14:solidFill>
          </w14:textFill>
        </w:rPr>
        <w:t>十、适用法律</w:t>
      </w:r>
      <w:bookmarkEnd w:id="64"/>
    </w:p>
    <w:p w14:paraId="17F61486">
      <w:pPr>
        <w:keepNext w:val="0"/>
        <w:keepLines w:val="0"/>
        <w:pageBreakBefore w:val="0"/>
        <w:widowControl w:val="0"/>
        <w:tabs>
          <w:tab w:val="left" w:pos="2835"/>
        </w:tabs>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17.</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采购当事人的一切活动均适用于《中华人民共和国政府采购法》、</w:t>
      </w:r>
      <w:r>
        <w:rPr>
          <w:rFonts w:hint="eastAsia" w:ascii="宋体" w:hAnsi="宋体" w:eastAsia="宋体" w:cs="Times New Roman"/>
          <w:color w:val="000000" w:themeColor="text1"/>
          <w:szCs w:val="21"/>
          <w:highlight w:val="none"/>
          <w14:textFill>
            <w14:solidFill>
              <w14:schemeClr w14:val="tx1"/>
            </w14:solidFill>
          </w14:textFill>
        </w:rPr>
        <w:t>《中华人民共和国政府民法典》、</w:t>
      </w:r>
      <w:r>
        <w:rPr>
          <w:rFonts w:hint="eastAsia" w:ascii="宋体" w:hAnsi="Times New Roman" w:eastAsia="宋体" w:cs="Times New Roman"/>
          <w:color w:val="000000" w:themeColor="text1"/>
          <w:szCs w:val="21"/>
          <w:highlight w:val="none"/>
          <w14:textFill>
            <w14:solidFill>
              <w14:schemeClr w14:val="tx1"/>
            </w14:solidFill>
          </w14:textFill>
        </w:rPr>
        <w:t>《政府采购竞争性磋商采购方式管理暂行办法》及相关规定。</w:t>
      </w:r>
    </w:p>
    <w:p w14:paraId="66BB03D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5" w:name="_Toc12214"/>
      <w:r>
        <w:rPr>
          <w:rFonts w:hint="eastAsia" w:ascii="Cambria" w:hAnsi="Cambria" w:eastAsia="宋体" w:cs="Times New Roman"/>
          <w:b/>
          <w:bCs/>
          <w:color w:val="000000" w:themeColor="text1"/>
          <w:sz w:val="32"/>
          <w:szCs w:val="32"/>
          <w:highlight w:val="none"/>
          <w14:textFill>
            <w14:solidFill>
              <w14:schemeClr w14:val="tx1"/>
            </w14:solidFill>
          </w14:textFill>
        </w:rPr>
        <w:t>十一、其他事项</w:t>
      </w:r>
      <w:bookmarkEnd w:id="65"/>
    </w:p>
    <w:p w14:paraId="5716F412">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18.1.解释权</w:t>
      </w:r>
    </w:p>
    <w:p w14:paraId="6AFC65D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解释权属本采购代理机构。</w:t>
      </w:r>
    </w:p>
    <w:p w14:paraId="41021DB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18.2有关事宜</w:t>
      </w:r>
    </w:p>
    <w:p w14:paraId="0D45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18.3所有与本竞争性磋商采购文件有关的函电请按下列通讯地址联系：</w:t>
      </w:r>
    </w:p>
    <w:p w14:paraId="03DEF87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lang w:eastAsia="zh-CN"/>
          <w14:textFill>
            <w14:solidFill>
              <w14:schemeClr w14:val="tx1"/>
            </w14:solidFill>
          </w14:textFill>
        </w:rPr>
        <w:t>泽圣勘察设计有限公司</w:t>
      </w:r>
    </w:p>
    <w:p w14:paraId="082C7DC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邮政编码：537100</w:t>
      </w:r>
    </w:p>
    <w:p w14:paraId="39FD0F4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通讯地址：</w:t>
      </w:r>
      <w:r>
        <w:rPr>
          <w:rFonts w:hint="eastAsia" w:ascii="宋体" w:hAnsi="Times New Roman" w:eastAsia="宋体" w:cs="Times New Roman"/>
          <w:color w:val="000000" w:themeColor="text1"/>
          <w:szCs w:val="21"/>
          <w:highlight w:val="none"/>
          <w:lang w:eastAsia="zh-CN"/>
          <w14:textFill>
            <w14:solidFill>
              <w14:schemeClr w14:val="tx1"/>
            </w14:solidFill>
          </w14:textFill>
        </w:rPr>
        <w:t>南宁市高新区科园大道31号高新苑第34-40号楼一层42号商铺</w:t>
      </w:r>
    </w:p>
    <w:p w14:paraId="692A62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1EB5769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咨询电话：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B2708F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6" w:name="_Toc12866"/>
      <w:r>
        <w:rPr>
          <w:rFonts w:hint="eastAsia" w:ascii="Cambria" w:hAnsi="Cambria" w:eastAsia="宋体" w:cs="Times New Roman"/>
          <w:b/>
          <w:bCs/>
          <w:color w:val="000000" w:themeColor="text1"/>
          <w:sz w:val="32"/>
          <w:szCs w:val="32"/>
          <w:highlight w:val="none"/>
          <w14:textFill>
            <w14:solidFill>
              <w14:schemeClr w14:val="tx1"/>
            </w14:solidFill>
          </w14:textFill>
        </w:rPr>
        <w:t>十二、质疑和投诉</w:t>
      </w:r>
      <w:bookmarkEnd w:id="66"/>
    </w:p>
    <w:p w14:paraId="5D63EA0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19.1磋商人认为磋商文件、采购过程或成交结果使自己的合法权益受到损害的，应当在知道或者应知其权益受到损害之日起七个工作日内，以书面形式向采购人、采购代理机构提出质疑。 </w:t>
      </w:r>
    </w:p>
    <w:p w14:paraId="61594FD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19.2磋商人对采购人、采购代理机构的质疑答复不满意，或者采购人、采购代理机构未在规定时间内作出答复的，可以在答复期满后十五个工作日内向同级政府采购监管部门投诉。 </w:t>
      </w:r>
    </w:p>
    <w:p w14:paraId="329F128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19.3质疑、投诉应当采用书面形式，质疑书、投诉书均应明确阐述招标文件、招标过程或成交结果中使自己合法权益受到损害的实质性内容，提供相关事实、依据和证据及其来源或线索，便于有关单位调查、答复和处理。 </w:t>
      </w:r>
    </w:p>
    <w:p w14:paraId="71D8323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供应商提出质疑应当提交质疑函和必要的证明材料，针对同一采购程序环节的质疑必须在法定质疑期内一次性提出。质疑函应当包括下列内容： </w:t>
      </w:r>
    </w:p>
    <w:p w14:paraId="0B14DB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（1）供应商的姓名或者名称、地址、邮编、联系人及联系电话； </w:t>
      </w:r>
    </w:p>
    <w:p w14:paraId="7C1726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（2）质疑项目的名称、编号； </w:t>
      </w:r>
    </w:p>
    <w:p w14:paraId="67979F7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（3）具体、明确的质疑事项和与质疑事项相关的请求； </w:t>
      </w:r>
    </w:p>
    <w:p w14:paraId="3A9CA2E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（4）事实依据； </w:t>
      </w:r>
    </w:p>
    <w:p w14:paraId="6555D63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（5）必要的法律依据； </w:t>
      </w:r>
    </w:p>
    <w:p w14:paraId="0323F39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（6）提出质疑的日期。 </w:t>
      </w:r>
    </w:p>
    <w:p w14:paraId="6E5A1E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imes New Roman" w:hAnsi="Times New Roman" w:eastAsia="宋体" w:cs="Times New Roman"/>
          <w:color w:val="000000" w:themeColor="text1"/>
          <w:sz w:val="44"/>
          <w:szCs w:val="44"/>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bookmarkStart w:id="67" w:name="_Toc451430916"/>
    </w:p>
    <w:p w14:paraId="3E4AE7CA">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6A57522">
      <w:pPr>
        <w:keepNext/>
        <w:keepLines/>
        <w:spacing w:before="260" w:after="260" w:line="500" w:lineRule="exact"/>
        <w:jc w:val="center"/>
        <w:outlineLvl w:val="1"/>
        <w:rPr>
          <w:rFonts w:cs="Times New Roman" w:asciiTheme="minorEastAsia" w:hAnsiTheme="minorEastAsia"/>
          <w:b/>
          <w:bCs/>
          <w:color w:val="000000" w:themeColor="text1"/>
          <w:sz w:val="44"/>
          <w:szCs w:val="44"/>
          <w:highlight w:val="none"/>
          <w14:textFill>
            <w14:solidFill>
              <w14:schemeClr w14:val="tx1"/>
            </w14:solidFill>
          </w14:textFill>
        </w:rPr>
      </w:pPr>
      <w:bookmarkStart w:id="68" w:name="_Toc17414"/>
      <w:bookmarkStart w:id="69" w:name="_Toc10219641"/>
      <w:r>
        <w:rPr>
          <w:rFonts w:hint="eastAsia" w:cs="Times New Roman" w:asciiTheme="minorEastAsia" w:hAnsiTheme="minorEastAsia"/>
          <w:b/>
          <w:bCs/>
          <w:color w:val="000000" w:themeColor="text1"/>
          <w:sz w:val="44"/>
          <w:szCs w:val="44"/>
          <w:highlight w:val="none"/>
          <w14:textFill>
            <w14:solidFill>
              <w14:schemeClr w14:val="tx1"/>
            </w14:solidFill>
          </w14:textFill>
        </w:rPr>
        <w:t xml:space="preserve">第三章 </w:t>
      </w:r>
      <w:bookmarkEnd w:id="67"/>
      <w:bookmarkStart w:id="70" w:name="_Toc451430917"/>
      <w:r>
        <w:rPr>
          <w:rFonts w:hint="eastAsia" w:cs="Times New Roman" w:asciiTheme="minorEastAsia" w:hAnsiTheme="minorEastAsia"/>
          <w:b/>
          <w:bCs/>
          <w:color w:val="000000" w:themeColor="text1"/>
          <w:sz w:val="44"/>
          <w:szCs w:val="44"/>
          <w:highlight w:val="none"/>
          <w14:textFill>
            <w14:solidFill>
              <w14:schemeClr w14:val="tx1"/>
            </w14:solidFill>
          </w14:textFill>
        </w:rPr>
        <w:t>评定标准</w:t>
      </w:r>
      <w:bookmarkEnd w:id="68"/>
      <w:bookmarkEnd w:id="69"/>
      <w:bookmarkEnd w:id="70"/>
    </w:p>
    <w:p w14:paraId="7AF640BA">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一、评标原则</w:t>
      </w:r>
    </w:p>
    <w:p w14:paraId="5552CBBB">
      <w:pPr>
        <w:spacing w:line="440" w:lineRule="exact"/>
        <w:ind w:firstLine="273" w:firstLineChars="13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 竞争性磋商小组构成：本项目的磋商小组由采购人代表和评审专家共3人以上单数组成，其中专家人数不少于成员总数的三分之二。</w:t>
      </w:r>
    </w:p>
    <w:p w14:paraId="6A86C409">
      <w:pPr>
        <w:spacing w:line="440" w:lineRule="exact"/>
        <w:ind w:firstLine="289" w:firstLineChars="138"/>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(二)评标依据：竞争性磋商小组将以竞争性磋商采购文件、磋商响应文件为评标依据，对供应商的各项因素进行打分。</w:t>
      </w:r>
    </w:p>
    <w:p w14:paraId="5EBF0343">
      <w:pPr>
        <w:spacing w:line="440" w:lineRule="exact"/>
        <w:ind w:firstLine="289" w:firstLineChars="138"/>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(三)评标方式：以封闭方式进行。</w:t>
      </w:r>
    </w:p>
    <w:p w14:paraId="10E217CE">
      <w:pPr>
        <w:keepNext w:val="0"/>
        <w:keepLines w:val="0"/>
        <w:pageBreakBefore w:val="0"/>
        <w:widowControl w:val="0"/>
        <w:kinsoku/>
        <w:wordWrap/>
        <w:overflowPunct/>
        <w:topLinePunct w:val="0"/>
        <w:autoSpaceDE/>
        <w:autoSpaceDN/>
        <w:bidi w:val="0"/>
        <w:adjustRightInd/>
        <w:snapToGrid/>
        <w:spacing w:line="440" w:lineRule="exact"/>
        <w:ind w:firstLine="211" w:firstLineChars="100"/>
        <w:textAlignment w:val="auto"/>
        <w:rPr>
          <w:rFonts w:hint="eastAsia" w:ascii="宋体" w:hAnsi="宋体" w:eastAsia="宋体" w:cs="Times New Roman"/>
          <w:b/>
          <w:color w:val="000000" w:themeColor="text1"/>
          <w:szCs w:val="21"/>
          <w:highlight w:val="none"/>
          <w:u w:val="non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（四）本项目属于专门面向</w:t>
      </w: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中小企业</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采购的项目，不再执行价格评审优惠的扶持政策。</w:t>
      </w:r>
    </w:p>
    <w:p w14:paraId="0091A150">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二、评审办法</w:t>
      </w:r>
    </w:p>
    <w:p w14:paraId="03741AB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（一）对进入详评的，采用综合评分法。</w:t>
      </w:r>
    </w:p>
    <w:p w14:paraId="23BB5D3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（二）计分办法（按四舍五入取至小数点后二位）。</w:t>
      </w:r>
    </w:p>
    <w:tbl>
      <w:tblPr>
        <w:tblStyle w:val="29"/>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50"/>
        <w:gridCol w:w="7307"/>
      </w:tblGrid>
      <w:tr w14:paraId="1F53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792F7E2F">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序号</w:t>
            </w:r>
          </w:p>
        </w:tc>
        <w:tc>
          <w:tcPr>
            <w:tcW w:w="1550" w:type="dxa"/>
            <w:vAlign w:val="center"/>
          </w:tcPr>
          <w:p w14:paraId="0A0A85EB">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评分因素</w:t>
            </w:r>
          </w:p>
        </w:tc>
        <w:tc>
          <w:tcPr>
            <w:tcW w:w="7307" w:type="dxa"/>
            <w:vAlign w:val="center"/>
          </w:tcPr>
          <w:p w14:paraId="71BFDFAD">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评分内容</w:t>
            </w:r>
          </w:p>
        </w:tc>
      </w:tr>
      <w:tr w14:paraId="1FDF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053EC89B">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1</w:t>
            </w:r>
          </w:p>
        </w:tc>
        <w:tc>
          <w:tcPr>
            <w:tcW w:w="1550" w:type="dxa"/>
            <w:vAlign w:val="center"/>
          </w:tcPr>
          <w:p w14:paraId="7745CA45">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价格分</w:t>
            </w:r>
          </w:p>
          <w:p w14:paraId="2FE40B49">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（满分30分）</w:t>
            </w:r>
          </w:p>
        </w:tc>
        <w:tc>
          <w:tcPr>
            <w:tcW w:w="7307" w:type="dxa"/>
          </w:tcPr>
          <w:p w14:paraId="61103329">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（1）以进入详评的且评审报价最低的供应商的评审报价为磋商基准价，其价格分为30分。</w:t>
            </w:r>
          </w:p>
          <w:p w14:paraId="3F7646DD">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（2）价格分计算公式：</w:t>
            </w:r>
          </w:p>
          <w:p w14:paraId="78EB0A05">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评标基准价</w:t>
            </w:r>
          </w:p>
          <w:p w14:paraId="4A0315D8">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某有效磋商人价格分=---------------------×</w:t>
            </w:r>
            <w:r>
              <w:rPr>
                <w:rFonts w:hint="eastAsia" w:ascii="宋体" w:hAnsi="宋体"/>
                <w:color w:val="000000" w:themeColor="text1"/>
                <w:szCs w:val="21"/>
                <w:highlight w:val="none"/>
                <w:lang w:val="en-US" w:eastAsia="zh-CN"/>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p w14:paraId="7D70C6A6">
            <w:pPr>
              <w:keepNext w:val="0"/>
              <w:keepLines w:val="0"/>
              <w:pageBreakBefore w:val="0"/>
              <w:kinsoku/>
              <w:wordWrap/>
              <w:overflowPunct/>
              <w:topLinePunct w:val="0"/>
              <w:autoSpaceDE/>
              <w:autoSpaceDN/>
              <w:bidi w:val="0"/>
              <w:adjustRightInd/>
              <w:spacing w:line="380" w:lineRule="exact"/>
              <w:ind w:firstLine="2100" w:firstLineChars="1000"/>
              <w:jc w:val="both"/>
              <w:textAlignment w:val="auto"/>
              <w:rPr>
                <w:rFonts w:cs="宋体" w:asciiTheme="minorEastAsia" w:hAnsiTheme="minorEastAsia"/>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某有效磋商人评标报价</w:t>
            </w:r>
          </w:p>
        </w:tc>
      </w:tr>
      <w:tr w14:paraId="1AD8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5EE0635F">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2</w:t>
            </w:r>
          </w:p>
        </w:tc>
        <w:tc>
          <w:tcPr>
            <w:tcW w:w="1550" w:type="dxa"/>
            <w:vAlign w:val="center"/>
          </w:tcPr>
          <w:p w14:paraId="3FE49F4E">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施工组织设计分（满分56分）</w:t>
            </w:r>
          </w:p>
        </w:tc>
        <w:tc>
          <w:tcPr>
            <w:tcW w:w="7307" w:type="dxa"/>
            <w:vAlign w:val="center"/>
          </w:tcPr>
          <w:p w14:paraId="5D5D9D3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（1）主要施工方法（满分7分）</w:t>
            </w:r>
          </w:p>
          <w:p w14:paraId="50745A9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一档（2分）：对项目的总体认识不足，施工方案不完整，技术措施不具体，施工段划分不合理.</w:t>
            </w:r>
          </w:p>
          <w:p w14:paraId="3430BB27">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二档（4分）：对项目总体有认识，表述基本清晰。施工方案基本完整、合理，技术措施不够具体，施工段划分较合理、采用了一般的技术、工艺、材料、设备。</w:t>
            </w:r>
          </w:p>
          <w:p w14:paraId="39D0BB02">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总体有深刻认识，表述清晰。施工方案完整、严谨、合理，技术措施先进、具体、有效、成熟，施工段划分呼应总体表述，划分清晰、合理，符合规范要求。采用了己论证的新技术、新工艺、新材料、新设备。</w:t>
            </w:r>
          </w:p>
          <w:p w14:paraId="5DD5C3F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（2）拟投入的主要物资计划（满分7分）</w:t>
            </w:r>
          </w:p>
          <w:p w14:paraId="6352464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一档（2分）：资源配备不合理，不满足施工需要。</w:t>
            </w:r>
          </w:p>
          <w:p w14:paraId="3CC46D6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二档（4分）：资源配备基本合理，基本满足施工需要，调配投入计划基本可行。</w:t>
            </w:r>
          </w:p>
          <w:p w14:paraId="2C9444C9">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三档（7分）：资源配备计划与工程进度计划呼应，较好满足施工需要，调配投入计划合理、准确。</w:t>
            </w:r>
          </w:p>
          <w:p w14:paraId="012380CF">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（3）劳动力安排计划（满分7分）</w:t>
            </w:r>
          </w:p>
          <w:p w14:paraId="2A93FB7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一档（2分）：劳动力投入不合理，未满足施工需要，或未提供劳动力安排计划的。</w:t>
            </w:r>
          </w:p>
          <w:p w14:paraId="4EA6ACA7">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二档（4分）：各主要施工工序应有较合理的劳动力安排计划，有各工种劳动力安排计划，满足施工需要。</w:t>
            </w:r>
          </w:p>
          <w:p w14:paraId="7974BE3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三档（7分）：各主要施工工序应有详细周密的劳动力安排计划，有各工种劳动力安排计划，劳动力投入合理，人员配备齐全的。</w:t>
            </w:r>
          </w:p>
          <w:p w14:paraId="5CF91A7C">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（4）确保工程质量的技术组织措施（满分7分）</w:t>
            </w:r>
          </w:p>
          <w:p w14:paraId="66685FEF">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一档（2分）：质量管理体系表述不清晰，对项目重点、难点没有可行的质量保证措施，质量管理措施不可行。</w:t>
            </w:r>
          </w:p>
          <w:p w14:paraId="2E0CB5BD">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质量管理体系基本完善并基本符合项目特点、可行，对项目的质量管理（特别是关键部位技术、工艺）有一定的表述级有一般可行、粗咯的质量保证措施，针对项目重点、难点有较合理的质量保证措施，质量管理措施基本可行。</w:t>
            </w:r>
          </w:p>
          <w:p w14:paraId="3F9EFF0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质量管理体系完善并具备符合性、有效性及可行性。对项目的质量管理（特别是关键部位技术、工艺）有深入的表述及有效的先进的、可行的、具体的质量保证措施，针对项目重点、难点有可行的质量保证措施，质量管理措施完整、安全、切实、可行、得力。</w:t>
            </w:r>
          </w:p>
          <w:p w14:paraId="7093213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（5）确保安全生产的技术组织措施（满分7分）</w:t>
            </w:r>
          </w:p>
          <w:p w14:paraId="094E597B">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一档（2分）：安全技术组织措施不完善，对项目的安全管理（特别是关键部位技术、工艺）保证措施不可行，采用规范不正确。</w:t>
            </w:r>
          </w:p>
          <w:p w14:paraId="271BCDD1">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二档（4分）：安全技术组织措施基本完善、可行。对项目的安全管理（特别是关键部位技术、工艺）保证措施基本可行。采用规范基本正确。</w:t>
            </w:r>
          </w:p>
          <w:p w14:paraId="7EB9D1DB">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三档（7分）：安全技术组织措施完善并具备符合性、有效性及可行性。对项目的安全管理（特别是关键部位技术、工艺）有深入的表述及有具体、完整、可行的安全保证实施措施，采用规范正确、清晰。</w:t>
            </w:r>
          </w:p>
          <w:p w14:paraId="425CFAEB">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（6）确保工期的技术组织措施（满分7分）</w:t>
            </w:r>
          </w:p>
          <w:p w14:paraId="52D4F4E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一档（2分）：对工程进度安排表述不清晰，关键线路不清晰，计划编制不合理、不可行，无关键节点的控制措施、无进度违约责任。</w:t>
            </w:r>
          </w:p>
          <w:p w14:paraId="4454FC2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二档（4分）：对工程进度总体安排表述基本清晰。关键线路基本清晰、计划编制合理、基本可行，关键节点的控制措施基本可行，进度违约责任承诺较组略。</w:t>
            </w:r>
          </w:p>
          <w:p w14:paraId="52FE2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三档（7分）：对工程进度总体安排表述清晰。关键线路清晰。准确、完整，计划编制合理、可行，关键节点的控制措施有力、合理、可行，进度违约责任承诺具体。</w:t>
            </w:r>
          </w:p>
          <w:p w14:paraId="50FD17D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（7）确保文明施工的技术组织措施（满分7分）</w:t>
            </w:r>
          </w:p>
          <w:p w14:paraId="537ECA84">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w:t>
            </w:r>
            <w:r>
              <w:rPr>
                <w:rFonts w:cs="Times New Roman" w:asciiTheme="minorEastAsia" w:hAnsiTheme="minorEastAsia"/>
                <w:bCs/>
                <w:color w:val="000000" w:themeColor="text1"/>
                <w:szCs w:val="21"/>
                <w:highlight w:val="none"/>
                <w14:textFill>
                  <w14:solidFill>
                    <w14:schemeClr w14:val="tx1"/>
                  </w14:solidFill>
                </w14:textFill>
              </w:rPr>
              <w:t>现场文明施工、环境保护措施和内容与《建筑施工安全生产检查标准》、《广西壮族自治区建筑专业工程文明施工导则》的要求偏差大，</w:t>
            </w:r>
            <w:r>
              <w:rPr>
                <w:rFonts w:hint="eastAsia" w:cs="Times New Roman" w:asciiTheme="minorEastAsia" w:hAnsiTheme="minorEastAsia"/>
                <w:bCs/>
                <w:color w:val="000000" w:themeColor="text1"/>
                <w:szCs w:val="21"/>
                <w:highlight w:val="none"/>
                <w14:textFill>
                  <w14:solidFill>
                    <w14:schemeClr w14:val="tx1"/>
                  </w14:solidFill>
                </w14:textFill>
              </w:rPr>
              <w:t>无现场文明施工目标的承诺。</w:t>
            </w:r>
          </w:p>
          <w:p w14:paraId="5BD3F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二档（4分）：有具体实现现场文明施工目标的承诺，而且各项措施周全、具体、有效的。</w:t>
            </w:r>
          </w:p>
          <w:p w14:paraId="25B8CDB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三档（7分）：有具体实现现场文明施工目标的承诺，而且各项措施科学、具体、得力的。</w:t>
            </w:r>
          </w:p>
          <w:p w14:paraId="469594F8">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（8）工程施工的重点和难点及保证措施（满分7分）</w:t>
            </w:r>
          </w:p>
          <w:p w14:paraId="3DCA12BE">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一档（2分）：对项目关键技术有表述，对重点、难点有建议，解决方案不可行。</w:t>
            </w:r>
          </w:p>
          <w:p w14:paraId="68DCE77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二档（4分）：对项目关键技术、工艺有深入的表述，对重点、难点有合理的建议，解决方案经济、安全、基本可行。</w:t>
            </w:r>
          </w:p>
          <w:p w14:paraId="4AF81533">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三档（7分）：对项目关键技术、工艺有深入的表述。对重点、难点有先进合理的施工措施并有可行的安全措施，解决方案完整、经济、安全、切实可行，措施得力。</w:t>
            </w:r>
          </w:p>
        </w:tc>
      </w:tr>
      <w:tr w14:paraId="3C2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3461C230">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3</w:t>
            </w:r>
          </w:p>
        </w:tc>
        <w:tc>
          <w:tcPr>
            <w:tcW w:w="1550" w:type="dxa"/>
            <w:vAlign w:val="center"/>
          </w:tcPr>
          <w:p w14:paraId="0BE9885C">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项目管理机构配备分</w:t>
            </w:r>
          </w:p>
          <w:p w14:paraId="248177A8">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（满分12分）</w:t>
            </w:r>
          </w:p>
        </w:tc>
        <w:tc>
          <w:tcPr>
            <w:tcW w:w="7307" w:type="dxa"/>
            <w:vAlign w:val="center"/>
          </w:tcPr>
          <w:p w14:paraId="0F6DC14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（1）项目经理（满分4分）</w:t>
            </w:r>
          </w:p>
          <w:p w14:paraId="40C46FE2">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kern w:val="0"/>
                <w:szCs w:val="21"/>
                <w:highlight w:val="none"/>
                <w14:textFill>
                  <w14:solidFill>
                    <w14:schemeClr w14:val="tx1"/>
                  </w14:solidFill>
                </w14:textFill>
              </w:rPr>
              <w:t>①项目经理学历（满分4分）：具有中专或大专学历的得2分，本科及以上学历的得4分。</w:t>
            </w:r>
          </w:p>
          <w:p w14:paraId="7138683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（2）其他主要管理人员（满分8分）</w:t>
            </w:r>
          </w:p>
          <w:p w14:paraId="735E77B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一档（2分）：拟投入本工程的专职安全员持证上岗，其他项目班子人员不太齐备或搭配不太合理得2分。</w:t>
            </w:r>
          </w:p>
          <w:p w14:paraId="0AA1FEC2">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二档（5分）：拟投入本工程的技术负责人有中级职称，专职安全员持证上岗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，其他项目班子人员齐备、搭配基本合理，都有岗位证书得5分。</w:t>
            </w:r>
          </w:p>
          <w:p w14:paraId="1F17A94E">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三档（8分）：拟投入本工程的技术负责人有中级职称，专职安全员持证上岗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，其他项目班子人员齐备、搭配合理，都有岗位证书得8分。</w:t>
            </w:r>
          </w:p>
        </w:tc>
      </w:tr>
      <w:tr w14:paraId="47CF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13CC32ED">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4</w:t>
            </w:r>
          </w:p>
        </w:tc>
        <w:tc>
          <w:tcPr>
            <w:tcW w:w="1550" w:type="dxa"/>
            <w:vAlign w:val="center"/>
          </w:tcPr>
          <w:p w14:paraId="58ED1FB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业绩分</w:t>
            </w:r>
          </w:p>
          <w:p w14:paraId="51C7C87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（满分2分）</w:t>
            </w:r>
          </w:p>
        </w:tc>
        <w:tc>
          <w:tcPr>
            <w:tcW w:w="7307" w:type="dxa"/>
          </w:tcPr>
          <w:p w14:paraId="4F94A36B">
            <w:pPr>
              <w:widowControl/>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1、供应商提供从 202</w:t>
            </w:r>
            <w:r>
              <w:rPr>
                <w:rFonts w:hint="eastAsia" w:cs="Times New Roman" w:asciiTheme="minorEastAsia" w:hAnsiTheme="minorEastAsia"/>
                <w:b w:val="0"/>
                <w:bCs w:val="0"/>
                <w:color w:val="000000" w:themeColor="text1"/>
                <w:kern w:val="0"/>
                <w:szCs w:val="21"/>
                <w:highlight w:val="none"/>
                <w:lang w:val="en-US" w:eastAsia="zh-CN"/>
                <w14:textFill>
                  <w14:solidFill>
                    <w14:schemeClr w14:val="tx1"/>
                  </w14:solidFill>
                </w14:textFill>
              </w:rPr>
              <w:t>3</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年01月01日至磋商截止时间止完成过</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市政公用工程</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项目业绩的（提供施工合同或成交（中标）通知书证明材料）并加盖单位公章。每个得1分</w:t>
            </w:r>
            <w:r>
              <w:rPr>
                <w:rFonts w:hint="eastAsia" w:cs="Times New Roman" w:asciiTheme="minorEastAsia" w:hAnsiTheme="minorEastAsia"/>
                <w:color w:val="000000" w:themeColor="text1"/>
                <w:kern w:val="0"/>
                <w:szCs w:val="21"/>
                <w:highlight w:val="none"/>
                <w14:textFill>
                  <w14:solidFill>
                    <w14:schemeClr w14:val="tx1"/>
                  </w14:solidFill>
                </w14:textFill>
              </w:rPr>
              <w:t>， 满分2分。</w:t>
            </w:r>
          </w:p>
        </w:tc>
      </w:tr>
      <w:tr w14:paraId="5BAB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43" w:type="dxa"/>
            <w:gridSpan w:val="3"/>
          </w:tcPr>
          <w:p w14:paraId="5884078B">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本项目总得分＝1+2+3+4</w:t>
            </w:r>
          </w:p>
        </w:tc>
      </w:tr>
    </w:tbl>
    <w:p w14:paraId="0595D824">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三、成交候选人推荐原则</w:t>
      </w:r>
    </w:p>
    <w:p w14:paraId="3508CB18">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1</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磋商小组应当根据综合评分情况，按照评审得分由高到低顺序推荐3名成交候选供应商，并编写评审报告。评审得分相同的，以磋商响应报价由低到高顺序排列；若仍相同的，按照项目技术标优劣顺序推荐。</w:t>
      </w:r>
    </w:p>
    <w:p w14:paraId="6528C8D2">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2</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第一名供应商放弃成交或因不可抗力等原因提出不能履行合同，采购单位可以确定排名次位的供应商为成交人，以此类推。但确定为成交人的供应商放弃成交时，采购人也可以重新开展磋商。</w:t>
      </w:r>
    </w:p>
    <w:p w14:paraId="2FDC78F6">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3</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认为，某供应商的有效响应报价或者某些分项报价明显不合理或者低于成本，有可能影响商品质量和不能诚信履约的，应要求其在规定的期限内提供书面文件予以解释说明，并提交相关证明材料，否则，磋商小组可以取消该供应商的成交候选资格，按顺序由排在其后面的供应商递补，以此类推。</w:t>
      </w:r>
      <w:bookmarkStart w:id="71" w:name="_Toc451430918"/>
    </w:p>
    <w:p w14:paraId="381E0959">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Ansi="宋体" w:eastAsia="宋体" w:cs="Times New Roman"/>
          <w:color w:val="000000" w:themeColor="text1"/>
          <w:highlight w:val="none"/>
          <w14:textFill>
            <w14:solidFill>
              <w14:schemeClr w14:val="tx1"/>
            </w14:solidFill>
          </w14:textFill>
        </w:rPr>
        <w:br w:type="page"/>
      </w:r>
    </w:p>
    <w:p w14:paraId="2A466660">
      <w:pPr>
        <w:keepNext/>
        <w:keepLines/>
        <w:spacing w:before="260" w:after="260" w:line="500" w:lineRule="exact"/>
        <w:ind w:left="180"/>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72" w:name="_Toc10219642"/>
      <w:bookmarkStart w:id="73" w:name="_Toc27892"/>
      <w:r>
        <w:rPr>
          <w:rFonts w:hint="eastAsia" w:ascii="Cambria" w:hAnsi="Cambria" w:eastAsia="宋体" w:cs="Times New Roman"/>
          <w:b/>
          <w:bCs/>
          <w:color w:val="000000" w:themeColor="text1"/>
          <w:sz w:val="44"/>
          <w:szCs w:val="44"/>
          <w:highlight w:val="none"/>
          <w14:textFill>
            <w14:solidFill>
              <w14:schemeClr w14:val="tx1"/>
            </w14:solidFill>
          </w14:textFill>
        </w:rPr>
        <w:t>第四章   合同主要条款（参考格式）</w:t>
      </w:r>
      <w:bookmarkEnd w:id="71"/>
      <w:bookmarkEnd w:id="72"/>
      <w:bookmarkEnd w:id="73"/>
    </w:p>
    <w:p w14:paraId="6C1D58EE">
      <w:pPr>
        <w:spacing w:line="360" w:lineRule="auto"/>
        <w:ind w:left="1380" w:leftChars="657"/>
        <w:rPr>
          <w:rFonts w:ascii="仿宋_GB2312" w:hAnsi="仿宋" w:eastAsia="仿宋_GB2312" w:cs="Times New Roman"/>
          <w:b/>
          <w:color w:val="000000" w:themeColor="text1"/>
          <w:sz w:val="28"/>
          <w:szCs w:val="28"/>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w:t>
      </w:r>
      <w:r>
        <w:rPr>
          <w:rFonts w:hint="eastAsia" w:ascii="仿宋_GB2312" w:hAnsi="仿宋" w:eastAsia="仿宋_GB2312" w:cs="Times New Roman"/>
          <w:b/>
          <w:color w:val="000000" w:themeColor="text1"/>
          <w:sz w:val="28"/>
          <w:szCs w:val="28"/>
          <w:highlight w:val="none"/>
          <w14:textFill>
            <w14:solidFill>
              <w14:schemeClr w14:val="tx1"/>
            </w14:solidFill>
          </w14:textFill>
        </w:rPr>
        <w:t>注：本合同格式仅为合同的参考文本，合同签订双方</w:t>
      </w:r>
    </w:p>
    <w:p w14:paraId="4760BDD0">
      <w:pPr>
        <w:spacing w:line="360" w:lineRule="auto"/>
        <w:ind w:left="1380" w:leftChars="657" w:firstLine="1405" w:firstLineChars="500"/>
        <w:rPr>
          <w:rFonts w:ascii="宋体" w:hAnsi="宋体" w:eastAsia="宋体" w:cs="Times New Roman"/>
          <w:color w:val="000000" w:themeColor="text1"/>
          <w:sz w:val="28"/>
          <w:highlight w:val="none"/>
          <w14:textFill>
            <w14:solidFill>
              <w14:schemeClr w14:val="tx1"/>
            </w14:solidFill>
          </w14:textFill>
        </w:rPr>
      </w:pPr>
      <w:r>
        <w:rPr>
          <w:rFonts w:hint="eastAsia" w:ascii="仿宋_GB2312" w:hAnsi="仿宋" w:eastAsia="仿宋_GB2312" w:cs="Times New Roman"/>
          <w:b/>
          <w:color w:val="000000" w:themeColor="text1"/>
          <w:sz w:val="28"/>
          <w:szCs w:val="28"/>
          <w:highlight w:val="none"/>
          <w14:textFill>
            <w14:solidFill>
              <w14:schemeClr w14:val="tx1"/>
            </w14:solidFill>
          </w14:textFill>
        </w:rPr>
        <w:t>可根据项目的具体要求进行修订。</w:t>
      </w:r>
      <w:r>
        <w:rPr>
          <w:rFonts w:hint="eastAsia" w:ascii="Times New Roman" w:hAnsi="Times New Roman" w:eastAsia="宋体" w:cs="Times New Roman"/>
          <w:color w:val="000000" w:themeColor="text1"/>
          <w:highlight w:val="none"/>
          <w14:textFill>
            <w14:solidFill>
              <w14:schemeClr w14:val="tx1"/>
            </w14:solidFill>
          </w14:textFill>
        </w:rPr>
        <w:t>）</w:t>
      </w:r>
    </w:p>
    <w:p w14:paraId="56DF847F">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49DAA562">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0E4B7780">
      <w:pPr>
        <w:jc w:val="center"/>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（GF—201</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7</w:t>
      </w:r>
      <w:r>
        <w:rPr>
          <w:rFonts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0201）</w:t>
      </w:r>
    </w:p>
    <w:p w14:paraId="4A831AC4">
      <w:pPr>
        <w:jc w:val="center"/>
        <w:rPr>
          <w:rFonts w:ascii="宋体" w:hAnsi="宋体" w:eastAsia="宋体" w:cs="Times New Roman"/>
          <w:b/>
          <w:color w:val="000000" w:themeColor="text1"/>
          <w:sz w:val="52"/>
          <w:szCs w:val="52"/>
          <w:highlight w:val="none"/>
          <w14:textFill>
            <w14:solidFill>
              <w14:schemeClr w14:val="tx1"/>
            </w14:solidFill>
          </w14:textFill>
        </w:rPr>
      </w:pPr>
    </w:p>
    <w:p w14:paraId="12F4F84A">
      <w:pPr>
        <w:jc w:val="center"/>
        <w:rPr>
          <w:rFonts w:ascii="宋体" w:hAnsi="宋体" w:eastAsia="宋体" w:cs="Times New Roman"/>
          <w:b/>
          <w:color w:val="000000" w:themeColor="text1"/>
          <w:sz w:val="52"/>
          <w:szCs w:val="52"/>
          <w:highlight w:val="none"/>
          <w14:textFill>
            <w14:solidFill>
              <w14:schemeClr w14:val="tx1"/>
            </w14:solidFill>
          </w14:textFill>
        </w:rPr>
      </w:pPr>
    </w:p>
    <w:p w14:paraId="4EDC0F0F">
      <w:pPr>
        <w:jc w:val="center"/>
        <w:rPr>
          <w:rFonts w:ascii="宋体" w:hAnsi="宋体" w:eastAsia="宋体" w:cs="Times New Roman"/>
          <w:b/>
          <w:color w:val="000000" w:themeColor="text1"/>
          <w:sz w:val="52"/>
          <w:szCs w:val="52"/>
          <w:highlight w:val="none"/>
          <w14:textFill>
            <w14:solidFill>
              <w14:schemeClr w14:val="tx1"/>
            </w14:solidFill>
          </w14:textFill>
        </w:rPr>
      </w:pPr>
      <w:r>
        <w:rPr>
          <w:rFonts w:ascii="宋体" w:hAnsi="宋体" w:eastAsia="宋体" w:cs="Times New Roman"/>
          <w:b/>
          <w:color w:val="000000" w:themeColor="text1"/>
          <w:sz w:val="72"/>
          <w:szCs w:val="52"/>
          <w:highlight w:val="none"/>
          <w14:textFill>
            <w14:solidFill>
              <w14:schemeClr w14:val="tx1"/>
            </w14:solidFill>
          </w14:textFill>
        </w:rPr>
        <w:t>建设工程施工合同</w:t>
      </w:r>
      <w:r>
        <w:rPr>
          <w:rFonts w:ascii="宋体" w:hAnsi="宋体" w:eastAsia="宋体" w:cs="Times New Roman"/>
          <w:b/>
          <w:color w:val="000000" w:themeColor="text1"/>
          <w:sz w:val="52"/>
          <w:szCs w:val="52"/>
          <w:highlight w:val="none"/>
          <w14:textFill>
            <w14:solidFill>
              <w14:schemeClr w14:val="tx1"/>
            </w14:solidFill>
          </w14:textFill>
        </w:rPr>
        <w:br w:type="textWrapping"/>
      </w:r>
      <w:r>
        <w:rPr>
          <w:rFonts w:ascii="宋体" w:hAnsi="宋体" w:eastAsia="宋体" w:cs="Times New Roman"/>
          <w:b/>
          <w:color w:val="000000" w:themeColor="text1"/>
          <w:sz w:val="52"/>
          <w:szCs w:val="52"/>
          <w:highlight w:val="none"/>
          <w14:textFill>
            <w14:solidFill>
              <w14:schemeClr w14:val="tx1"/>
            </w14:solidFill>
          </w14:textFill>
        </w:rPr>
        <w:t>（示范文本）</w:t>
      </w:r>
    </w:p>
    <w:p w14:paraId="4CCB42AC">
      <w:pPr>
        <w:jc w:val="center"/>
        <w:rPr>
          <w:rFonts w:ascii="宋体" w:hAnsi="宋体" w:eastAsia="宋体" w:cs="Times New Roman"/>
          <w:b/>
          <w:color w:val="000000" w:themeColor="text1"/>
          <w:sz w:val="52"/>
          <w:szCs w:val="52"/>
          <w:highlight w:val="none"/>
          <w14:textFill>
            <w14:solidFill>
              <w14:schemeClr w14:val="tx1"/>
            </w14:solidFill>
          </w14:textFill>
        </w:rPr>
      </w:pPr>
    </w:p>
    <w:p w14:paraId="2F3D1238">
      <w:pPr>
        <w:jc w:val="center"/>
        <w:rPr>
          <w:rFonts w:ascii="宋体" w:hAnsi="宋体" w:eastAsia="宋体" w:cs="Times New Roman"/>
          <w:b/>
          <w:color w:val="000000" w:themeColor="text1"/>
          <w:sz w:val="72"/>
          <w:szCs w:val="72"/>
          <w:highlight w:val="none"/>
          <w14:textFill>
            <w14:solidFill>
              <w14:schemeClr w14:val="tx1"/>
            </w14:solidFill>
          </w14:textFill>
        </w:rPr>
      </w:pPr>
    </w:p>
    <w:p w14:paraId="7E4BE316">
      <w:pPr>
        <w:rPr>
          <w:rFonts w:ascii="宋体" w:hAnsi="宋体" w:eastAsia="宋体" w:cs="Times New Roman"/>
          <w:b/>
          <w:color w:val="000000" w:themeColor="text1"/>
          <w:szCs w:val="28"/>
          <w:highlight w:val="none"/>
          <w14:textFill>
            <w14:solidFill>
              <w14:schemeClr w14:val="tx1"/>
            </w14:solidFill>
          </w14:textFill>
        </w:rPr>
      </w:pPr>
    </w:p>
    <w:p w14:paraId="61319CB0">
      <w:pPr>
        <w:rPr>
          <w:rFonts w:ascii="宋体" w:hAnsi="宋体" w:eastAsia="宋体" w:cs="Times New Roman"/>
          <w:b/>
          <w:color w:val="000000" w:themeColor="text1"/>
          <w:szCs w:val="28"/>
          <w:highlight w:val="none"/>
          <w14:textFill>
            <w14:solidFill>
              <w14:schemeClr w14:val="tx1"/>
            </w14:solidFill>
          </w14:textFill>
        </w:rPr>
      </w:pPr>
    </w:p>
    <w:p w14:paraId="3CBBAFE3">
      <w:pPr>
        <w:rPr>
          <w:rFonts w:ascii="宋体" w:hAnsi="宋体" w:eastAsia="宋体" w:cs="Times New Roman"/>
          <w:b/>
          <w:color w:val="000000" w:themeColor="text1"/>
          <w:szCs w:val="28"/>
          <w:highlight w:val="none"/>
          <w14:textFill>
            <w14:solidFill>
              <w14:schemeClr w14:val="tx1"/>
            </w14:solidFill>
          </w14:textFill>
        </w:rPr>
      </w:pPr>
    </w:p>
    <w:p w14:paraId="1504120B">
      <w:pPr>
        <w:rPr>
          <w:rFonts w:ascii="宋体" w:hAnsi="宋体" w:eastAsia="宋体" w:cs="Times New Roman"/>
          <w:b/>
          <w:color w:val="000000" w:themeColor="text1"/>
          <w:szCs w:val="28"/>
          <w:highlight w:val="none"/>
          <w14:textFill>
            <w14:solidFill>
              <w14:schemeClr w14:val="tx1"/>
            </w14:solidFill>
          </w14:textFill>
        </w:rPr>
      </w:pPr>
    </w:p>
    <w:p w14:paraId="401CB125">
      <w:pPr>
        <w:ind w:right="2719" w:rightChars="1295" w:firstLine="1890" w:firstLineChars="900"/>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8255" t="5080" r="10795" b="1397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3EBBFD2A">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BzS1x2AAAAAkBAAAPAAAAAAAAAAEAIAAAACIAAABkcnMv&#10;ZG93bnJldi54bWxQSwECFAAUAAAACACHTuJA8pzPLjwCAABdBAAADgAAAAAAAAABACAAAAAnAQAA&#10;ZHJzL2Uyb0RvYy54bWxQSwUGAAAAAAYABgBZAQAA1QUAAAAA&#10;">
                <v:fill on="f" focussize="0,0"/>
                <v:stroke color="#FFFFFF" miterlimit="8" joinstyle="miter"/>
                <v:imagedata o:title=""/>
                <o:lock v:ext="edit" aspectratio="f"/>
                <v:textbox>
                  <w:txbxContent>
                    <w:p w14:paraId="3EBBFD2A">
                      <w:pPr>
                        <w:rPr>
                          <w:b/>
                          <w:bCs/>
                          <w:sz w:val="32"/>
                        </w:rPr>
                      </w:pPr>
                      <w:r>
                        <w:rPr>
                          <w:rFonts w:hint="eastAsia"/>
                          <w:b/>
                          <w:bCs/>
                          <w:sz w:val="32"/>
                        </w:rPr>
                        <w:t>制定</w:t>
                      </w:r>
                    </w:p>
                  </w:txbxContent>
                </v:textbox>
              </v:shape>
            </w:pict>
          </mc:Fallback>
        </mc:AlternateContent>
      </w:r>
      <w:r>
        <w:rPr>
          <w:rFonts w:ascii="宋体" w:hAnsi="宋体" w:eastAsia="宋体" w:cs="Times New Roman"/>
          <w:b/>
          <w:color w:val="000000" w:themeColor="text1"/>
          <w:sz w:val="32"/>
          <w:szCs w:val="28"/>
          <w:highlight w:val="none"/>
          <w14:textFill>
            <w14:solidFill>
              <w14:schemeClr w14:val="tx1"/>
            </w14:solidFill>
          </w14:textFill>
        </w:rPr>
        <w:t>住房和城乡建设部</w:t>
      </w:r>
    </w:p>
    <w:p w14:paraId="3EC18E5C">
      <w:pPr>
        <w:ind w:right="2719" w:rightChars="1295" w:firstLine="1911" w:firstLineChars="595"/>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b/>
          <w:color w:val="000000" w:themeColor="text1"/>
          <w:sz w:val="32"/>
          <w:szCs w:val="28"/>
          <w:highlight w:val="none"/>
          <w14:textFill>
            <w14:solidFill>
              <w14:schemeClr w14:val="tx1"/>
            </w14:solidFill>
          </w14:textFill>
        </w:rPr>
        <w:t>国家工商行政管理总局</w:t>
      </w:r>
    </w:p>
    <w:p w14:paraId="69650784">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78A8EFD2">
      <w:pPr>
        <w:spacing w:line="360" w:lineRule="auto"/>
        <w:jc w:val="center"/>
        <w:rPr>
          <w:rFonts w:ascii="Times New Roman" w:hAnsi="Times New Roman" w:eastAsia="宋体" w:cs="Times New Roman"/>
          <w:b/>
          <w:color w:val="000000" w:themeColor="text1"/>
          <w:sz w:val="24"/>
          <w:highlight w:val="none"/>
          <w:lang w:val="zh-CN"/>
          <w14:textFill>
            <w14:solidFill>
              <w14:schemeClr w14:val="tx1"/>
            </w14:solidFill>
          </w14:textFill>
        </w:rPr>
      </w:pPr>
      <w:bookmarkStart w:id="74" w:name="_Toc26923"/>
      <w:bookmarkStart w:id="75" w:name="_Toc296890982"/>
      <w:bookmarkStart w:id="76" w:name="_Toc296503025"/>
      <w:bookmarkStart w:id="77" w:name="_Toc451430919"/>
      <w:r>
        <w:rPr>
          <w:rFonts w:ascii="Times New Roman" w:hAnsi="Times New Roman" w:eastAsia="宋体" w:cs="Times New Roman"/>
          <w:b/>
          <w:color w:val="000000" w:themeColor="text1"/>
          <w:sz w:val="24"/>
          <w:highlight w:val="none"/>
          <w:lang w:val="zh-CN"/>
          <w14:textFill>
            <w14:solidFill>
              <w14:schemeClr w14:val="tx1"/>
            </w14:solidFill>
          </w14:textFill>
        </w:rPr>
        <w:br w:type="page"/>
      </w:r>
      <w:r>
        <w:rPr>
          <w:rFonts w:hint="eastAsia" w:ascii="Times New Roman" w:hAnsi="Times New Roman" w:eastAsia="宋体" w:cs="Times New Roman"/>
          <w:b/>
          <w:color w:val="000000" w:themeColor="text1"/>
          <w:sz w:val="24"/>
          <w:highlight w:val="none"/>
          <w:lang w:val="zh-CN"/>
          <w14:textFill>
            <w14:solidFill>
              <w14:schemeClr w14:val="tx1"/>
            </w14:solidFill>
          </w14:textFill>
        </w:rPr>
        <w:t>说  明</w:t>
      </w:r>
    </w:p>
    <w:p w14:paraId="3FDD65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4E346D96">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一、《示范文本》的组成</w:t>
      </w:r>
    </w:p>
    <w:p w14:paraId="5C988A9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《示范文本》由合同协议书、通用合同条款和专用合同条款三部分组成。</w:t>
      </w:r>
    </w:p>
    <w:p w14:paraId="6B1FD30E">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（一）合同协议书</w:t>
      </w:r>
    </w:p>
    <w:p w14:paraId="5180773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575CB17A">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（二）通用合同条款</w:t>
      </w:r>
    </w:p>
    <w:p w14:paraId="21B21C6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通用合同条款是合同当事人根据《中华人民共和国建筑法》、《中华人民共和国民法典》等法律法规的规定，就工程建设的实施及相关事项，对合同当事人的权利义务作出的原则性约定。</w:t>
      </w:r>
    </w:p>
    <w:p w14:paraId="74FDB1C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391EF0C">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（三）专用合同条款</w:t>
      </w:r>
    </w:p>
    <w:p w14:paraId="0DFC9F2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是对通用合同条款原则性约定的细化、完善、补充、修改或另行约定的条款。合同当事人可以根据不同建设工程的特点及具体情况，通过双方的磋商、协商对相应的专用合同条款进行修改补充。在使用专用合同条款时，应注意以下事项：</w:t>
      </w:r>
    </w:p>
    <w:p w14:paraId="1AAA716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1.专用合同条款的编号应与相应的通用合同条款的编号一致；</w:t>
      </w:r>
    </w:p>
    <w:p w14:paraId="2E5E36B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2.合同当事人可以通过对专用合同条款的修改，满足具体建设工程的特殊要求，避免直接修改通用合同条款；</w:t>
      </w:r>
    </w:p>
    <w:p w14:paraId="29FF93A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3.在专用合同条款中有横道线的地方，合同当事人可针对相应的通用合同条款进行细化、完善、补充、修改或另行约定；如无细化、完善、补充、修改或另行约定，则填写“无”或划“/”。</w:t>
      </w:r>
    </w:p>
    <w:p w14:paraId="049712A1">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二、《示范文本》的性质和适用范围</w:t>
      </w:r>
    </w:p>
    <w:p w14:paraId="4C8215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sectPr>
          <w:footerReference r:id="rId9" w:type="default"/>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示范文本》为非强制性使用文本。《示范文本》适用于房屋建筑专业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2889FFE6">
      <w:pPr>
        <w:spacing w:line="360" w:lineRule="auto"/>
        <w:jc w:val="center"/>
        <w:rPr>
          <w:rFonts w:ascii="宋体" w:hAnsi="宋体" w:eastAsia="宋体" w:cs="Times New Roman"/>
          <w:b/>
          <w:bCs/>
          <w:color w:val="000000" w:themeColor="text1"/>
          <w:sz w:val="28"/>
          <w:szCs w:val="32"/>
          <w:highlight w:val="none"/>
          <w14:textFill>
            <w14:solidFill>
              <w14:schemeClr w14:val="tx1"/>
            </w14:solidFill>
          </w14:textFill>
        </w:rPr>
      </w:pPr>
      <w:r>
        <w:rPr>
          <w:rFonts w:ascii="宋体" w:hAnsi="宋体" w:eastAsia="宋体" w:cs="Times New Roman"/>
          <w:b/>
          <w:bCs/>
          <w:color w:val="000000" w:themeColor="text1"/>
          <w:sz w:val="28"/>
          <w:szCs w:val="32"/>
          <w:highlight w:val="none"/>
          <w:lang w:val="zh-CN"/>
          <w14:textFill>
            <w14:solidFill>
              <w14:schemeClr w14:val="tx1"/>
            </w14:solidFill>
          </w14:textFill>
        </w:rPr>
        <w:t>目</w:t>
      </w:r>
      <w:r>
        <w:rPr>
          <w:rFonts w:hint="eastAsia" w:ascii="宋体" w:hAnsi="宋体" w:eastAsia="宋体" w:cs="Times New Roman"/>
          <w:b/>
          <w:bCs/>
          <w:color w:val="000000" w:themeColor="text1"/>
          <w:sz w:val="28"/>
          <w:szCs w:val="32"/>
          <w:highlight w:val="none"/>
          <w:lang w:val="zh-CN"/>
          <w14:textFill>
            <w14:solidFill>
              <w14:schemeClr w14:val="tx1"/>
            </w14:solidFill>
          </w14:textFill>
        </w:rPr>
        <w:t xml:space="preserve">  </w:t>
      </w:r>
      <w:r>
        <w:rPr>
          <w:rFonts w:ascii="宋体" w:hAnsi="宋体" w:eastAsia="宋体" w:cs="Times New Roman"/>
          <w:b/>
          <w:bCs/>
          <w:color w:val="000000" w:themeColor="text1"/>
          <w:sz w:val="28"/>
          <w:szCs w:val="32"/>
          <w:highlight w:val="none"/>
          <w:lang w:val="zh-CN"/>
          <w14:textFill>
            <w14:solidFill>
              <w14:schemeClr w14:val="tx1"/>
            </w14:solidFill>
          </w14:textFill>
        </w:rPr>
        <w:t>录</w:t>
      </w:r>
      <w:bookmarkEnd w:id="74"/>
    </w:p>
    <w:p w14:paraId="6544FC24">
      <w:pPr>
        <w:pStyle w:val="21"/>
        <w:tabs>
          <w:tab w:val="right" w:leader="dot" w:pos="8820"/>
        </w:tabs>
        <w:spacing w:line="360" w:lineRule="auto"/>
        <w:rPr>
          <w:color w:val="000000" w:themeColor="text1"/>
          <w:highlight w:val="none"/>
          <w14:textFill>
            <w14:solidFill>
              <w14:schemeClr w14:val="tx1"/>
            </w14:solidFill>
          </w14:textFill>
        </w:rPr>
      </w:pPr>
      <w:bookmarkStart w:id="78" w:name="_Toc351203480"/>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"1-1"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"_Toc10959"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第一部分 合同协议书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16CCE1">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"_Toc3209"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第二部分 通用合同条款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E31A8C0">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"_Toc8137"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第三部分 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C4759C5">
      <w:pPr>
        <w:pStyle w:val="21"/>
        <w:tabs>
          <w:tab w:val="right" w:leader="dot" w:pos="8820"/>
        </w:tabs>
        <w:rPr>
          <w:color w:val="000000" w:themeColor="text1"/>
          <w:highlight w:val="none"/>
          <w14:textFill>
            <w14:solidFill>
              <w14:schemeClr w14:val="tx1"/>
            </w14:solidFill>
          </w14:textFill>
        </w:rPr>
      </w:pPr>
    </w:p>
    <w:p w14:paraId="0DBB47A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bookmarkEnd w:id="75"/>
    <w:bookmarkEnd w:id="76"/>
    <w:bookmarkEnd w:id="78"/>
    <w:p w14:paraId="297F845F">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r>
        <w:rPr>
          <w:rFonts w:ascii="Cambria" w:hAnsi="Cambria" w:eastAsia="宋体" w:cs="Times New Roman"/>
          <w:b/>
          <w:bCs/>
          <w:color w:val="000000" w:themeColor="text1"/>
          <w:sz w:val="32"/>
          <w:szCs w:val="21"/>
          <w:highlight w:val="none"/>
          <w14:textFill>
            <w14:solidFill>
              <w14:schemeClr w14:val="tx1"/>
            </w14:solidFill>
          </w14:textFill>
        </w:rPr>
        <w:br w:type="page"/>
      </w:r>
      <w:bookmarkStart w:id="79" w:name="_Toc533863304"/>
      <w:bookmarkStart w:id="80" w:name="_Toc10959"/>
      <w:bookmarkStart w:id="81" w:name="_Toc6192"/>
      <w:bookmarkStart w:id="82" w:name="_Toc27987"/>
      <w:bookmarkStart w:id="83" w:name="EB959a0cec904a4675a610b8ff15efe337"/>
      <w:r>
        <w:rPr>
          <w:rFonts w:hint="eastAsia" w:ascii="宋体" w:hAnsi="宋体" w:eastAsia="宋体" w:cs="宋体"/>
          <w:b/>
          <w:bCs/>
          <w:color w:val="000000" w:themeColor="text1"/>
          <w:kern w:val="44"/>
          <w:sz w:val="32"/>
          <w:szCs w:val="32"/>
          <w:highlight w:val="none"/>
          <w14:textFill>
            <w14:solidFill>
              <w14:schemeClr w14:val="tx1"/>
            </w14:solidFill>
          </w14:textFill>
        </w:rPr>
        <w:t>第一部分 合同协议书</w:t>
      </w:r>
      <w:bookmarkEnd w:id="79"/>
      <w:bookmarkEnd w:id="80"/>
      <w:bookmarkEnd w:id="81"/>
      <w:bookmarkEnd w:id="82"/>
    </w:p>
    <w:p w14:paraId="78D0087B">
      <w:pPr>
        <w:widowControl/>
        <w:rPr>
          <w:rFonts w:hint="eastAsia" w:ascii="Times New Roman" w:hAnsi="Times New Roman" w:eastAsia="宋体" w:cs="Times New Roman"/>
          <w:color w:val="000000" w:themeColor="text1"/>
          <w:szCs w:val="21"/>
          <w:highlight w:val="none"/>
          <w:u w:val="single"/>
          <w:lang w:eastAsia="zh-CN"/>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发包人（全称）：</w:t>
      </w:r>
      <w:r>
        <w:rPr>
          <w:rFonts w:hint="eastAsia" w:ascii="Times New Roman" w:hAnsi="宋体" w:eastAsia="宋体" w:cs="Times New Roman"/>
          <w:b/>
          <w:bCs/>
          <w:color w:val="000000" w:themeColor="text1"/>
          <w:szCs w:val="21"/>
          <w:highlight w:val="none"/>
          <w:u w:val="single"/>
          <w:lang w:eastAsia="zh-CN"/>
          <w14:textFill>
            <w14:solidFill>
              <w14:schemeClr w14:val="tx1"/>
            </w14:solidFill>
          </w14:textFill>
        </w:rPr>
        <w:t>贵港市港南区新塘镇人民政府</w:t>
      </w:r>
    </w:p>
    <w:p w14:paraId="184AAECA">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承包人（全称）：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p>
    <w:p w14:paraId="0E9DCE79">
      <w:pPr>
        <w:widowControl/>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bCs/>
          <w:color w:val="000000" w:themeColor="text1"/>
          <w:szCs w:val="21"/>
          <w:highlight w:val="none"/>
          <w:u w:val="single"/>
          <w:lang w:eastAsia="zh-CN"/>
          <w14:textFill>
            <w14:solidFill>
              <w14:schemeClr w14:val="tx1"/>
            </w14:solidFill>
          </w14:textFill>
        </w:rPr>
        <w:t>港南区新塘镇蒙大村道路硬化建设以工代赈项目</w:t>
      </w:r>
      <w:r>
        <w:rPr>
          <w:rFonts w:hint="eastAsia" w:ascii="宋体" w:hAnsi="宋体" w:eastAsia="宋体" w:cs="Times New Roman"/>
          <w:b/>
          <w:bCs/>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工程施工及有关事项协商一致，共同达成如下协议：</w:t>
      </w:r>
      <w:bookmarkStart w:id="84" w:name="_Toc351203481"/>
    </w:p>
    <w:p w14:paraId="4128749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一、工程概况</w:t>
      </w:r>
      <w:bookmarkEnd w:id="84"/>
    </w:p>
    <w:p w14:paraId="2F1735AF">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项目名称</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宋体" w:hAnsi="宋体" w:eastAsia="宋体" w:cs="Times New Roman"/>
          <w:bCs/>
          <w:color w:val="000000" w:themeColor="text1"/>
          <w:szCs w:val="21"/>
          <w:highlight w:val="none"/>
          <w:u w:val="single"/>
          <w:lang w:eastAsia="zh-CN"/>
          <w14:textFill>
            <w14:solidFill>
              <w14:schemeClr w14:val="tx1"/>
            </w14:solidFill>
          </w14:textFill>
        </w:rPr>
        <w:t>港南区新塘镇蒙大村道路硬化建设以工代赈项目</w:t>
      </w:r>
      <w:r>
        <w:rPr>
          <w:rFonts w:ascii="Times New Roman" w:hAnsi="宋体" w:eastAsia="宋体" w:cs="Times New Roman"/>
          <w:color w:val="000000" w:themeColor="text1"/>
          <w:szCs w:val="21"/>
          <w:highlight w:val="none"/>
          <w14:textFill>
            <w14:solidFill>
              <w14:schemeClr w14:val="tx1"/>
            </w14:solidFill>
          </w14:textFill>
        </w:rPr>
        <w:t>。</w:t>
      </w:r>
    </w:p>
    <w:p w14:paraId="11264AA3">
      <w:pPr>
        <w:widowControl/>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工程地点：</w:t>
      </w:r>
      <w:r>
        <w:rPr>
          <w:rFonts w:hint="eastAsia" w:ascii="宋体" w:hAnsi="宋体" w:eastAsia="宋体" w:cs="宋体"/>
          <w:color w:val="000000" w:themeColor="text1"/>
          <w:szCs w:val="21"/>
          <w:highlight w:val="none"/>
          <w:u w:val="single"/>
          <w:lang w:eastAsia="zh-CN"/>
          <w14:textFill>
            <w14:solidFill>
              <w14:schemeClr w14:val="tx1"/>
            </w14:solidFill>
          </w14:textFill>
        </w:rPr>
        <w:t>贵港市港南区新塘镇蒙大村</w:t>
      </w:r>
      <w:r>
        <w:rPr>
          <w:rFonts w:ascii="Times New Roman" w:hAnsi="宋体" w:eastAsia="宋体" w:cs="Times New Roman"/>
          <w:color w:val="000000" w:themeColor="text1"/>
          <w:szCs w:val="21"/>
          <w:highlight w:val="none"/>
          <w14:textFill>
            <w14:solidFill>
              <w14:schemeClr w14:val="tx1"/>
            </w14:solidFill>
          </w14:textFill>
        </w:rPr>
        <w:t>。</w:t>
      </w:r>
    </w:p>
    <w:p w14:paraId="2A7E141F">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工程立项批准文号：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bCs/>
          <w:color w:val="000000" w:themeColor="text1"/>
          <w:szCs w:val="21"/>
          <w:highlight w:val="none"/>
          <w14:textFill>
            <w14:solidFill>
              <w14:schemeClr w14:val="tx1"/>
            </w14:solidFill>
          </w14:textFill>
        </w:rPr>
        <w:t>。</w:t>
      </w:r>
    </w:p>
    <w:p w14:paraId="54E46C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4.</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资金来源：</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w:t>
      </w:r>
    </w:p>
    <w:p w14:paraId="752AAE18">
      <w:pPr>
        <w:spacing w:line="360" w:lineRule="auto"/>
        <w:ind w:firstLine="411" w:firstLineChars="196"/>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5.</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工程内容：</w:t>
      </w:r>
      <w:r>
        <w:rPr>
          <w:rFonts w:hint="eastAsia" w:ascii="Times New Roman" w:hAnsi="宋体" w:eastAsia="宋体" w:cs="Times New Roman"/>
          <w:bCs/>
          <w:color w:val="000000" w:themeColor="text1"/>
          <w:szCs w:val="21"/>
          <w:highlight w:val="none"/>
          <w:u w:val="single"/>
          <w14:textFill>
            <w14:solidFill>
              <w14:schemeClr w14:val="tx1"/>
            </w14:solidFill>
          </w14:textFill>
        </w:rPr>
        <w:t>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仿宋"/>
          <w:color w:val="000000" w:themeColor="text1"/>
          <w:szCs w:val="21"/>
          <w:highlight w:val="none"/>
          <w:u w:val="single"/>
          <w:lang w:eastAsia="zh-CN"/>
          <w14:textFill>
            <w14:solidFill>
              <w14:schemeClr w14:val="tx1"/>
            </w14:solidFill>
          </w14:textFill>
        </w:rPr>
        <w:t>。</w:t>
      </w:r>
    </w:p>
    <w:p w14:paraId="44D3B3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群体工程应附《承包人承揽工程项目一览表》（附件</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w:t>
      </w:r>
    </w:p>
    <w:p w14:paraId="4A12D4CE">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6.</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工程承包范围：</w:t>
      </w:r>
    </w:p>
    <w:p w14:paraId="59E817B5">
      <w:pPr>
        <w:spacing w:line="360" w:lineRule="auto"/>
        <w:ind w:firstLine="405" w:firstLineChars="193"/>
        <w:rPr>
          <w:rFonts w:hint="eastAsia" w:ascii="宋体" w:hAnsi="宋体" w:eastAsia="宋体" w:cs="宋体"/>
          <w:color w:val="000000" w:themeColor="text1"/>
          <w:szCs w:val="21"/>
          <w:highlight w:val="none"/>
          <w:u w:val="single"/>
          <w:lang w:eastAsia="zh-CN"/>
          <w14:textFill>
            <w14:solidFill>
              <w14:schemeClr w14:val="tx1"/>
            </w14:solidFill>
          </w14:textFill>
        </w:rPr>
      </w:pPr>
      <w:bookmarkStart w:id="85" w:name="_Toc351203482"/>
      <w:r>
        <w:rPr>
          <w:rFonts w:hint="eastAsia" w:ascii="宋体" w:hAnsi="宋体" w:eastAsia="宋体" w:cs="宋体"/>
          <w:color w:val="000000" w:themeColor="text1"/>
          <w:szCs w:val="21"/>
          <w:highlight w:val="none"/>
          <w:u w:val="single"/>
          <w:lang w:eastAsia="zh-CN"/>
          <w14:textFill>
            <w14:solidFill>
              <w14:schemeClr w14:val="tx1"/>
            </w14:solidFill>
          </w14:textFill>
        </w:rPr>
        <w:t>港南区新塘镇蒙大村道路硬化建设以工代赈项目，</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宋体"/>
          <w:color w:val="000000" w:themeColor="text1"/>
          <w:szCs w:val="21"/>
          <w:highlight w:val="none"/>
          <w:u w:val="single"/>
          <w:lang w:eastAsia="zh-CN"/>
          <w14:textFill>
            <w14:solidFill>
              <w14:schemeClr w14:val="tx1"/>
            </w14:solidFill>
          </w14:textFill>
        </w:rPr>
        <w:t>。</w:t>
      </w:r>
    </w:p>
    <w:p w14:paraId="7F87A5FF">
      <w:pPr>
        <w:spacing w:line="360" w:lineRule="auto"/>
        <w:ind w:firstLine="407" w:firstLineChars="193"/>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二、合同工期</w:t>
      </w:r>
      <w:bookmarkEnd w:id="85"/>
    </w:p>
    <w:p w14:paraId="4169741F">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计划开工日期：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r>
        <w:rPr>
          <w:rFonts w:hint="eastAsia" w:ascii="Times New Roman" w:hAnsi="宋体" w:eastAsia="宋体" w:cs="宋体"/>
          <w:color w:val="000000" w:themeColor="text1"/>
          <w:highlight w:val="none"/>
          <w14:textFill>
            <w14:solidFill>
              <w14:schemeClr w14:val="tx1"/>
            </w14:solidFill>
          </w14:textFill>
        </w:rPr>
        <w:t>（具体以发包人书面通知为准）</w:t>
      </w:r>
    </w:p>
    <w:p w14:paraId="07535AFE">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计划竣工日期：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p>
    <w:p w14:paraId="200602FD">
      <w:pPr>
        <w:spacing w:line="360" w:lineRule="auto"/>
        <w:ind w:firstLine="459"/>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工期总日历天数：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天。工期总日历天数与根据前述计划开竣工日期计算的工期天数不一致的，以工期总日历天数为准。</w:t>
      </w:r>
    </w:p>
    <w:p w14:paraId="14589430">
      <w:pPr>
        <w:spacing w:line="360" w:lineRule="auto"/>
        <w:ind w:firstLine="459"/>
        <w:rPr>
          <w:rFonts w:ascii="Times New Roman" w:hAnsi="Times New Roman" w:eastAsia="宋体" w:cs="Times New Roman"/>
          <w:b/>
          <w:bCs/>
          <w:color w:val="000000" w:themeColor="text1"/>
          <w:szCs w:val="21"/>
          <w:highlight w:val="none"/>
          <w14:textFill>
            <w14:solidFill>
              <w14:schemeClr w14:val="tx1"/>
            </w14:solidFill>
          </w14:textFill>
        </w:rPr>
      </w:pPr>
      <w:bookmarkStart w:id="86" w:name="_Toc351203483"/>
      <w:r>
        <w:rPr>
          <w:rFonts w:ascii="Times New Roman" w:hAnsi="宋体" w:eastAsia="宋体" w:cs="Times New Roman"/>
          <w:b/>
          <w:bCs/>
          <w:color w:val="000000" w:themeColor="text1"/>
          <w:szCs w:val="21"/>
          <w:highlight w:val="none"/>
          <w14:textFill>
            <w14:solidFill>
              <w14:schemeClr w14:val="tx1"/>
            </w14:solidFill>
          </w14:textFill>
        </w:rPr>
        <w:t>三、质量标准</w:t>
      </w:r>
      <w:bookmarkEnd w:id="86"/>
    </w:p>
    <w:p w14:paraId="4701938E">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工程质量符合</w:t>
      </w:r>
      <w:r>
        <w:rPr>
          <w:rFonts w:hint="eastAsia" w:ascii="宋体" w:hAnsi="宋体" w:eastAsia="宋体" w:cs="宋体"/>
          <w:color w:val="000000" w:themeColor="text1"/>
          <w:szCs w:val="21"/>
          <w:highlight w:val="none"/>
          <w:u w:val="single"/>
          <w14:textFill>
            <w14:solidFill>
              <w14:schemeClr w14:val="tx1"/>
            </w14:solidFill>
          </w14:textFill>
        </w:rPr>
        <w:t xml:space="preserve">达到国家和行业颁发的施工及验收规程规范要求 </w:t>
      </w:r>
      <w:r>
        <w:rPr>
          <w:rFonts w:ascii="Times New Roman" w:hAnsi="宋体" w:eastAsia="宋体" w:cs="Times New Roman"/>
          <w:color w:val="000000" w:themeColor="text1"/>
          <w:szCs w:val="21"/>
          <w:highlight w:val="none"/>
          <w14:textFill>
            <w14:solidFill>
              <w14:schemeClr w14:val="tx1"/>
            </w14:solidFill>
          </w14:textFill>
        </w:rPr>
        <w:t>标准。</w:t>
      </w:r>
    </w:p>
    <w:p w14:paraId="11594822">
      <w:pPr>
        <w:spacing w:line="360" w:lineRule="auto"/>
        <w:ind w:firstLine="459"/>
        <w:rPr>
          <w:rFonts w:ascii="Times New Roman" w:hAnsi="宋体" w:eastAsia="宋体" w:cs="Times New Roman"/>
          <w:b/>
          <w:bCs/>
          <w:color w:val="000000" w:themeColor="text1"/>
          <w:szCs w:val="21"/>
          <w:highlight w:val="none"/>
          <w14:textFill>
            <w14:solidFill>
              <w14:schemeClr w14:val="tx1"/>
            </w14:solidFill>
          </w14:textFill>
        </w:rPr>
      </w:pPr>
      <w:bookmarkStart w:id="87" w:name="_Toc351203484"/>
      <w:r>
        <w:rPr>
          <w:rFonts w:ascii="Times New Roman" w:hAnsi="宋体" w:eastAsia="宋体" w:cs="Times New Roman"/>
          <w:b/>
          <w:bCs/>
          <w:color w:val="000000" w:themeColor="text1"/>
          <w:szCs w:val="21"/>
          <w:highlight w:val="none"/>
          <w14:textFill>
            <w14:solidFill>
              <w14:schemeClr w14:val="tx1"/>
            </w14:solidFill>
          </w14:textFill>
        </w:rPr>
        <w:t>四、签约合同价与合同价格形式</w:t>
      </w:r>
      <w:bookmarkEnd w:id="87"/>
    </w:p>
    <w:p w14:paraId="5BA1AE53">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1.</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签约合同价为：</w:t>
      </w:r>
    </w:p>
    <w:p w14:paraId="4BC5CD41">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445B09A">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其中：</w:t>
      </w:r>
    </w:p>
    <w:p w14:paraId="282BDBD7">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安全文明施工费：</w:t>
      </w:r>
    </w:p>
    <w:p w14:paraId="71D0B551">
      <w:pPr>
        <w:spacing w:line="360" w:lineRule="auto"/>
        <w:ind w:left="420" w:leftChars="200"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29FA87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）建安劳保费：</w:t>
      </w:r>
    </w:p>
    <w:p w14:paraId="039B6481">
      <w:pPr>
        <w:spacing w:line="360" w:lineRule="auto"/>
        <w:ind w:left="420" w:leftChars="200" w:firstLine="525" w:firstLineChars="2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0E3E128">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）材料和工程设备暂估价金额：</w:t>
      </w:r>
    </w:p>
    <w:p w14:paraId="45E2694B">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77D46C0">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）专业工程暂估价金额：</w:t>
      </w:r>
    </w:p>
    <w:p w14:paraId="565F7B8C">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E08FE04">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）暂列金额：</w:t>
      </w:r>
    </w:p>
    <w:p w14:paraId="34499521">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BCEAF7C">
      <w:pPr>
        <w:spacing w:line="360" w:lineRule="auto"/>
        <w:ind w:firstLine="359" w:firstLineChars="171"/>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w:t>
      </w:r>
      <w:r>
        <w:rPr>
          <w:rFonts w:ascii="Times New Roman" w:hAnsi="宋体" w:eastAsia="宋体" w:cs="Times New Roman"/>
          <w:color w:val="000000" w:themeColor="text1"/>
          <w:highlight w:val="none"/>
          <w14:textFill>
            <w14:solidFill>
              <w14:schemeClr w14:val="tx1"/>
            </w14:solidFill>
          </w14:textFill>
        </w:rPr>
        <w:t>6</w:t>
      </w:r>
      <w:r>
        <w:rPr>
          <w:rFonts w:hint="eastAsia" w:ascii="Times New Roman" w:hAnsi="宋体" w:eastAsia="宋体" w:cs="宋体"/>
          <w:color w:val="000000" w:themeColor="text1"/>
          <w:highlight w:val="none"/>
          <w14:textFill>
            <w14:solidFill>
              <w14:schemeClr w14:val="tx1"/>
            </w14:solidFill>
          </w14:textFill>
        </w:rPr>
        <w:t>）增值税额：</w:t>
      </w:r>
    </w:p>
    <w:p w14:paraId="17A26384">
      <w:pPr>
        <w:spacing w:line="360" w:lineRule="auto"/>
        <w:ind w:firstLine="945" w:firstLineChars="450"/>
        <w:rPr>
          <w:rFonts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人民币（大写）</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宋体"/>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14:textFill>
            <w14:solidFill>
              <w14:schemeClr w14:val="tx1"/>
            </w14:solidFill>
          </w14:textFill>
        </w:rPr>
        <w:t>元</w:t>
      </w:r>
      <w:r>
        <w:rPr>
          <w:rFonts w:hint="eastAsia" w:ascii="Times New Roman" w:hAnsi="Times New Roman" w:eastAsia="宋体" w:cs="宋体"/>
          <w:color w:val="000000" w:themeColor="text1"/>
          <w:highlight w:val="none"/>
          <w14:textFill>
            <w14:solidFill>
              <w14:schemeClr w14:val="tx1"/>
            </w14:solidFill>
          </w14:textFill>
        </w:rPr>
        <w:t>）</w:t>
      </w:r>
      <w:r>
        <w:rPr>
          <w:rFonts w:hint="eastAsia" w:ascii="Times New Roman" w:hAnsi="宋体" w:eastAsia="宋体" w:cs="宋体"/>
          <w:color w:val="000000" w:themeColor="text1"/>
          <w:highlight w:val="none"/>
          <w14:textFill>
            <w14:solidFill>
              <w14:schemeClr w14:val="tx1"/>
            </w14:solidFill>
          </w14:textFill>
        </w:rPr>
        <w:t>。</w:t>
      </w:r>
    </w:p>
    <w:p w14:paraId="583C1162">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增值税率：</w:t>
      </w:r>
      <w:r>
        <w:rPr>
          <w:rFonts w:ascii="Times New Roman" w:hAnsi="宋体"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u w:val="single"/>
          <w14:textFill>
            <w14:solidFill>
              <w14:schemeClr w14:val="tx1"/>
            </w14:solidFill>
          </w14:textFill>
        </w:rPr>
        <w:t>　　　　　　</w:t>
      </w:r>
      <w:r>
        <w:rPr>
          <w:rFonts w:ascii="Times New Roman" w:hAnsi="宋体" w:eastAsia="宋体" w:cs="Times New Roman"/>
          <w:color w:val="000000" w:themeColor="text1"/>
          <w:highlight w:val="none"/>
          <w:u w:val="single"/>
          <w14:textFill>
            <w14:solidFill>
              <w14:schemeClr w14:val="tx1"/>
            </w14:solidFill>
          </w14:textFill>
        </w:rPr>
        <w:t xml:space="preserve">  </w:t>
      </w:r>
    </w:p>
    <w:p w14:paraId="20181B8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2.</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合同价格形式：</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固定综合单价合同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w:t>
      </w:r>
    </w:p>
    <w:p w14:paraId="1AE5039B">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3.（1）工程款支付账户：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 xml:space="preserve"> </w:t>
      </w:r>
    </w:p>
    <w:p w14:paraId="1B9C5FB0">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32BF89D6">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12CCC9C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（2）安全生产费用专户：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公司安全生产费用专户</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13212E3C">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6A4CAA1B">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5248661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（3）农民工工资支付专用账户：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公司农民工工资支付专用账户</w:t>
      </w:r>
      <w:r>
        <w:rPr>
          <w:rFonts w:ascii="Times New Roman" w:hAnsi="宋体"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67D08536">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27A048E3">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01C23BA1">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p>
    <w:p w14:paraId="1065FFD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8" w:name="_Toc351203485"/>
      <w:r>
        <w:rPr>
          <w:rFonts w:ascii="Times New Roman" w:hAnsi="宋体" w:eastAsia="宋体" w:cs="Times New Roman"/>
          <w:b/>
          <w:bCs/>
          <w:color w:val="000000" w:themeColor="text1"/>
          <w:szCs w:val="21"/>
          <w:highlight w:val="none"/>
          <w14:textFill>
            <w14:solidFill>
              <w14:schemeClr w14:val="tx1"/>
            </w14:solidFill>
          </w14:textFill>
        </w:rPr>
        <w:t>五、</w:t>
      </w:r>
      <w:bookmarkEnd w:id="88"/>
      <w:r>
        <w:rPr>
          <w:rFonts w:ascii="Times New Roman" w:hAnsi="宋体" w:eastAsia="宋体" w:cs="Times New Roman"/>
          <w:b/>
          <w:bCs/>
          <w:color w:val="000000" w:themeColor="text1"/>
          <w:szCs w:val="21"/>
          <w:highlight w:val="none"/>
          <w14:textFill>
            <w14:solidFill>
              <w14:schemeClr w14:val="tx1"/>
            </w14:solidFill>
          </w14:textFill>
        </w:rPr>
        <w:t>项目经理</w:t>
      </w:r>
    </w:p>
    <w:p w14:paraId="313D5886">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承包人项目经理：</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E2397CA">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9" w:name="_Toc351203486"/>
      <w:r>
        <w:rPr>
          <w:rFonts w:ascii="Times New Roman" w:hAnsi="宋体" w:eastAsia="宋体" w:cs="Times New Roman"/>
          <w:b/>
          <w:bCs/>
          <w:color w:val="000000" w:themeColor="text1"/>
          <w:szCs w:val="21"/>
          <w:highlight w:val="none"/>
          <w14:textFill>
            <w14:solidFill>
              <w14:schemeClr w14:val="tx1"/>
            </w14:solidFill>
          </w14:textFill>
        </w:rPr>
        <w:t>六、合同文件构成</w:t>
      </w:r>
      <w:bookmarkEnd w:id="89"/>
    </w:p>
    <w:p w14:paraId="72093741">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本协议书与下列文件一起构成合同文件：</w:t>
      </w:r>
    </w:p>
    <w:p w14:paraId="233E254F">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）中标</w:t>
      </w:r>
      <w:r>
        <w:rPr>
          <w:rFonts w:hint="eastAsia" w:ascii="Times New Roman" w:hAnsi="宋体" w:eastAsia="宋体" w:cs="Times New Roman"/>
          <w:color w:val="000000" w:themeColor="text1"/>
          <w:szCs w:val="21"/>
          <w:highlight w:val="none"/>
          <w14:textFill>
            <w14:solidFill>
              <w14:schemeClr w14:val="tx1"/>
            </w14:solidFill>
          </w14:textFill>
        </w:rPr>
        <w:t>（成交）</w:t>
      </w:r>
      <w:r>
        <w:rPr>
          <w:rFonts w:ascii="Times New Roman" w:hAnsi="宋体" w:eastAsia="宋体" w:cs="Times New Roman"/>
          <w:color w:val="000000" w:themeColor="text1"/>
          <w:szCs w:val="21"/>
          <w:highlight w:val="none"/>
          <w14:textFill>
            <w14:solidFill>
              <w14:schemeClr w14:val="tx1"/>
            </w14:solidFill>
          </w14:textFill>
        </w:rPr>
        <w:t>通知书（如有）；</w:t>
      </w:r>
    </w:p>
    <w:p w14:paraId="11D3796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响应（投标）</w:t>
      </w:r>
      <w:r>
        <w:rPr>
          <w:rFonts w:ascii="Times New Roman" w:hAnsi="宋体" w:eastAsia="宋体" w:cs="Times New Roman"/>
          <w:color w:val="000000" w:themeColor="text1"/>
          <w:szCs w:val="21"/>
          <w:highlight w:val="none"/>
          <w14:textFill>
            <w14:solidFill>
              <w14:schemeClr w14:val="tx1"/>
            </w14:solidFill>
          </w14:textFill>
        </w:rPr>
        <w:t>函及其附录（如有）；</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1CEDACAA">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）专用合同条款及其附件；</w:t>
      </w:r>
    </w:p>
    <w:p w14:paraId="3916997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）通用合同条款；</w:t>
      </w:r>
    </w:p>
    <w:p w14:paraId="1D84119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）技术标准和要求；</w:t>
      </w:r>
    </w:p>
    <w:p w14:paraId="1231EF2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6</w:t>
      </w:r>
      <w:r>
        <w:rPr>
          <w:rFonts w:ascii="Times New Roman" w:hAnsi="宋体" w:eastAsia="宋体" w:cs="Times New Roman"/>
          <w:color w:val="000000" w:themeColor="text1"/>
          <w:szCs w:val="21"/>
          <w:highlight w:val="none"/>
          <w14:textFill>
            <w14:solidFill>
              <w14:schemeClr w14:val="tx1"/>
            </w14:solidFill>
          </w14:textFill>
        </w:rPr>
        <w:t>）已标价工程量清单或预算书；</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7993A9D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7</w:t>
      </w:r>
      <w:r>
        <w:rPr>
          <w:rFonts w:ascii="Times New Roman" w:hAnsi="宋体" w:eastAsia="宋体" w:cs="Times New Roman"/>
          <w:color w:val="000000" w:themeColor="text1"/>
          <w:szCs w:val="21"/>
          <w:highlight w:val="none"/>
          <w14:textFill>
            <w14:solidFill>
              <w14:schemeClr w14:val="tx1"/>
            </w14:solidFill>
          </w14:textFill>
        </w:rPr>
        <w:t>）图纸；</w:t>
      </w:r>
    </w:p>
    <w:p w14:paraId="47BB16A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8</w:t>
      </w:r>
      <w:r>
        <w:rPr>
          <w:rFonts w:ascii="Times New Roman" w:hAnsi="宋体" w:eastAsia="宋体" w:cs="Times New Roman"/>
          <w:color w:val="000000" w:themeColor="text1"/>
          <w:szCs w:val="21"/>
          <w:highlight w:val="none"/>
          <w14:textFill>
            <w14:solidFill>
              <w14:schemeClr w14:val="tx1"/>
            </w14:solidFill>
          </w14:textFill>
        </w:rPr>
        <w:t>）其他合同文件。</w:t>
      </w:r>
    </w:p>
    <w:p w14:paraId="08D6BFAE">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在合同订立及履行过程中形成的与合同有关的文件均构成合同文件组成部分。</w:t>
      </w:r>
    </w:p>
    <w:p w14:paraId="79881A94">
      <w:pPr>
        <w:autoSpaceDE w:val="0"/>
        <w:autoSpaceDN w:val="0"/>
        <w:adjustRightInd w:val="0"/>
        <w:spacing w:line="360" w:lineRule="auto"/>
        <w:ind w:firstLine="420" w:firstLineChars="200"/>
        <w:jc w:val="left"/>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1CF48C43">
      <w:pPr>
        <w:autoSpaceDE w:val="0"/>
        <w:autoSpaceDN w:val="0"/>
        <w:adjustRightInd w:val="0"/>
        <w:spacing w:line="360" w:lineRule="auto"/>
        <w:ind w:firstLine="422" w:firstLineChars="200"/>
        <w:jc w:val="left"/>
        <w:rPr>
          <w:rFonts w:ascii="Times New Roman" w:hAnsi="Times New Roman" w:eastAsia="宋体" w:cs="Times New Roman"/>
          <w:b/>
          <w:bCs/>
          <w:color w:val="000000" w:themeColor="text1"/>
          <w:szCs w:val="21"/>
          <w:highlight w:val="none"/>
          <w14:textFill>
            <w14:solidFill>
              <w14:schemeClr w14:val="tx1"/>
            </w14:solidFill>
          </w14:textFill>
        </w:rPr>
      </w:pPr>
      <w:bookmarkStart w:id="90" w:name="_Toc351203487"/>
      <w:r>
        <w:rPr>
          <w:rFonts w:ascii="Times New Roman" w:hAnsi="宋体" w:eastAsia="宋体" w:cs="Times New Roman"/>
          <w:b/>
          <w:bCs/>
          <w:color w:val="000000" w:themeColor="text1"/>
          <w:szCs w:val="21"/>
          <w:highlight w:val="none"/>
          <w14:textFill>
            <w14:solidFill>
              <w14:schemeClr w14:val="tx1"/>
            </w14:solidFill>
          </w14:textFill>
        </w:rPr>
        <w:t>七、承诺</w:t>
      </w:r>
      <w:bookmarkEnd w:id="90"/>
    </w:p>
    <w:p w14:paraId="29CB743D">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发包人承诺按照法律规定履行项目审批手续、筹集工程建设资金并按照合同约定的期限和方式支付合同价款。</w:t>
      </w:r>
    </w:p>
    <w:p w14:paraId="5C3154C9">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0AF84743">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发包人和承包人通过招投标形式签订合同的，双方理解并承诺不再就同一工程另行签订与合同实质性内容相背离的协议。</w:t>
      </w:r>
      <w:bookmarkStart w:id="91" w:name="_Toc351203488"/>
    </w:p>
    <w:p w14:paraId="48396C3D">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八、词语含义</w:t>
      </w:r>
      <w:bookmarkEnd w:id="91"/>
    </w:p>
    <w:p w14:paraId="68EE29E5">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本协议书中词语含义与第二部分通用合同条款中赋予的含义相同。</w:t>
      </w:r>
    </w:p>
    <w:p w14:paraId="7CF2A641">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2" w:name="_Toc351203489"/>
      <w:r>
        <w:rPr>
          <w:rFonts w:ascii="Times New Roman" w:hAnsi="宋体" w:eastAsia="宋体" w:cs="Times New Roman"/>
          <w:b/>
          <w:bCs/>
          <w:color w:val="000000" w:themeColor="text1"/>
          <w:szCs w:val="21"/>
          <w:highlight w:val="none"/>
          <w14:textFill>
            <w14:solidFill>
              <w14:schemeClr w14:val="tx1"/>
            </w14:solidFill>
          </w14:textFill>
        </w:rPr>
        <w:t>九、签订时间</w:t>
      </w:r>
      <w:bookmarkEnd w:id="92"/>
    </w:p>
    <w:p w14:paraId="63BB2EA9">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本合同于</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年</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月</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日签订。</w:t>
      </w:r>
    </w:p>
    <w:p w14:paraId="3231602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3" w:name="_Toc351203490"/>
      <w:r>
        <w:rPr>
          <w:rFonts w:ascii="Times New Roman" w:hAnsi="宋体" w:eastAsia="宋体" w:cs="Times New Roman"/>
          <w:b/>
          <w:bCs/>
          <w:color w:val="000000" w:themeColor="text1"/>
          <w:szCs w:val="21"/>
          <w:highlight w:val="none"/>
          <w14:textFill>
            <w14:solidFill>
              <w14:schemeClr w14:val="tx1"/>
            </w14:solidFill>
          </w14:textFill>
        </w:rPr>
        <w:t>十、签订地点</w:t>
      </w:r>
      <w:bookmarkEnd w:id="93"/>
    </w:p>
    <w:p w14:paraId="25FAE07E">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本合同在</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签订。</w:t>
      </w:r>
    </w:p>
    <w:p w14:paraId="233B644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4" w:name="_Toc351203491"/>
      <w:r>
        <w:rPr>
          <w:rFonts w:ascii="Times New Roman" w:hAnsi="宋体" w:eastAsia="宋体" w:cs="Times New Roman"/>
          <w:b/>
          <w:bCs/>
          <w:color w:val="000000" w:themeColor="text1"/>
          <w:szCs w:val="21"/>
          <w:highlight w:val="none"/>
          <w14:textFill>
            <w14:solidFill>
              <w14:schemeClr w14:val="tx1"/>
            </w14:solidFill>
          </w14:textFill>
        </w:rPr>
        <w:t>十一、补充协议</w:t>
      </w:r>
      <w:bookmarkEnd w:id="94"/>
    </w:p>
    <w:p w14:paraId="4D93477D">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合同未尽事宜，合同当事人另行签订补充协议，补充协议是合同的组成部分。</w:t>
      </w:r>
    </w:p>
    <w:p w14:paraId="69F17F92">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5" w:name="_Toc351203492"/>
      <w:r>
        <w:rPr>
          <w:rFonts w:ascii="Times New Roman" w:hAnsi="宋体" w:eastAsia="宋体" w:cs="Times New Roman"/>
          <w:b/>
          <w:bCs/>
          <w:color w:val="000000" w:themeColor="text1"/>
          <w:szCs w:val="21"/>
          <w:highlight w:val="none"/>
          <w14:textFill>
            <w14:solidFill>
              <w14:schemeClr w14:val="tx1"/>
            </w14:solidFill>
          </w14:textFill>
        </w:rPr>
        <w:t>十二、合同生效</w:t>
      </w:r>
      <w:bookmarkEnd w:id="95"/>
    </w:p>
    <w:p w14:paraId="0D6D65E7">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本合同自</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生效。</w:t>
      </w:r>
    </w:p>
    <w:p w14:paraId="58D2EC25">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6" w:name="_Toc351203493"/>
      <w:r>
        <w:rPr>
          <w:rFonts w:ascii="Times New Roman" w:hAnsi="宋体" w:eastAsia="宋体" w:cs="Times New Roman"/>
          <w:b/>
          <w:bCs/>
          <w:color w:val="000000" w:themeColor="text1"/>
          <w:szCs w:val="21"/>
          <w:highlight w:val="none"/>
          <w14:textFill>
            <w14:solidFill>
              <w14:schemeClr w14:val="tx1"/>
            </w14:solidFill>
          </w14:textFill>
        </w:rPr>
        <w:t>十三、合同份数</w:t>
      </w:r>
      <w:bookmarkEnd w:id="96"/>
    </w:p>
    <w:p w14:paraId="17434715">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本合同一式</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份，均具有同等法律效力，发包人执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份，承包人执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w:t>
      </w:r>
    </w:p>
    <w:p w14:paraId="0365DAE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承包人：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p>
    <w:p w14:paraId="020451F0">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05B3A83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法定代表人或其委托代理人：</w:t>
      </w:r>
    </w:p>
    <w:p w14:paraId="0E706AE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（签字）</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（签字）</w:t>
      </w:r>
    </w:p>
    <w:p w14:paraId="2118A5C3">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p>
    <w:p w14:paraId="655B2161">
      <w:pPr>
        <w:tabs>
          <w:tab w:val="left" w:pos="4410"/>
        </w:tabs>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4E0E1416">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8E18A8">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6AFFC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74C726D0">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69300BD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625ACB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0056309">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39DABE4">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335832A">
      <w:pPr>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bookmarkEnd w:id="83"/>
    <w:p w14:paraId="4E4B827C">
      <w:pPr>
        <w:spacing w:line="420" w:lineRule="exact"/>
        <w:rPr>
          <w:rFonts w:ascii="宋体" w:hAnsi="宋体" w:eastAsia="宋体" w:cs="宋体"/>
          <w:color w:val="000000" w:themeColor="text1"/>
          <w:highlight w:val="none"/>
          <w14:textFill>
            <w14:solidFill>
              <w14:schemeClr w14:val="tx1"/>
            </w14:solidFill>
          </w14:textFill>
        </w:rPr>
      </w:pPr>
    </w:p>
    <w:p w14:paraId="45786861">
      <w:pPr>
        <w:rPr>
          <w:rFonts w:ascii="Times New Roman" w:hAnsi="Times New Roman" w:eastAsia="宋体" w:cs="Times New Roman"/>
          <w:color w:val="000000" w:themeColor="text1"/>
          <w:highlight w:val="none"/>
          <w14:textFill>
            <w14:solidFill>
              <w14:schemeClr w14:val="tx1"/>
            </w14:solidFill>
          </w14:textFill>
        </w:rPr>
      </w:pPr>
      <w:bookmarkStart w:id="97" w:name="_Toc351203494"/>
      <w:bookmarkStart w:id="98" w:name="_Toc533863305"/>
    </w:p>
    <w:p w14:paraId="017FF377">
      <w:pPr>
        <w:rPr>
          <w:rFonts w:ascii="Times New Roman" w:hAnsi="Times New Roman" w:eastAsia="宋体" w:cs="Times New Roman"/>
          <w:color w:val="000000" w:themeColor="text1"/>
          <w:highlight w:val="none"/>
          <w14:textFill>
            <w14:solidFill>
              <w14:schemeClr w14:val="tx1"/>
            </w14:solidFill>
          </w14:textFill>
        </w:rPr>
      </w:pPr>
    </w:p>
    <w:p w14:paraId="2E025450">
      <w:pPr>
        <w:rPr>
          <w:rFonts w:ascii="Times New Roman" w:hAnsi="Times New Roman" w:eastAsia="宋体" w:cs="Times New Roman"/>
          <w:color w:val="000000" w:themeColor="text1"/>
          <w:highlight w:val="none"/>
          <w14:textFill>
            <w14:solidFill>
              <w14:schemeClr w14:val="tx1"/>
            </w14:solidFill>
          </w14:textFill>
        </w:rPr>
      </w:pPr>
    </w:p>
    <w:p w14:paraId="38D05B5C">
      <w:pPr>
        <w:rPr>
          <w:rFonts w:ascii="宋体" w:hAnsi="宋体" w:eastAsia="宋体" w:cs="宋体"/>
          <w:color w:val="000000" w:themeColor="text1"/>
          <w:highlight w:val="none"/>
          <w14:textFill>
            <w14:solidFill>
              <w14:schemeClr w14:val="tx1"/>
            </w14:solidFill>
          </w14:textFill>
        </w:rPr>
      </w:pPr>
    </w:p>
    <w:p w14:paraId="2071DB65">
      <w:pPr>
        <w:rPr>
          <w:rFonts w:ascii="宋体" w:hAnsi="宋体" w:eastAsia="宋体" w:cs="宋体"/>
          <w:color w:val="000000" w:themeColor="text1"/>
          <w:highlight w:val="none"/>
          <w14:textFill>
            <w14:solidFill>
              <w14:schemeClr w14:val="tx1"/>
            </w14:solidFill>
          </w14:textFill>
        </w:rPr>
      </w:pPr>
    </w:p>
    <w:p w14:paraId="5D22AD0F">
      <w:pPr>
        <w:rPr>
          <w:rFonts w:ascii="宋体" w:hAnsi="宋体" w:eastAsia="宋体" w:cs="宋体"/>
          <w:color w:val="000000" w:themeColor="text1"/>
          <w:highlight w:val="none"/>
          <w14:textFill>
            <w14:solidFill>
              <w14:schemeClr w14:val="tx1"/>
            </w14:solidFill>
          </w14:textFill>
        </w:rPr>
      </w:pPr>
    </w:p>
    <w:p w14:paraId="6904252D">
      <w:pPr>
        <w:rPr>
          <w:rFonts w:ascii="宋体" w:hAnsi="宋体" w:eastAsia="宋体" w:cs="宋体"/>
          <w:color w:val="000000" w:themeColor="text1"/>
          <w:highlight w:val="none"/>
          <w14:textFill>
            <w14:solidFill>
              <w14:schemeClr w14:val="tx1"/>
            </w14:solidFill>
          </w14:textFill>
        </w:rPr>
      </w:pPr>
    </w:p>
    <w:p w14:paraId="6081106F">
      <w:pPr>
        <w:rPr>
          <w:rFonts w:ascii="宋体" w:hAnsi="宋体" w:eastAsia="宋体" w:cs="宋体"/>
          <w:color w:val="000000" w:themeColor="text1"/>
          <w:highlight w:val="none"/>
          <w14:textFill>
            <w14:solidFill>
              <w14:schemeClr w14:val="tx1"/>
            </w14:solidFill>
          </w14:textFill>
        </w:rPr>
      </w:pPr>
    </w:p>
    <w:p w14:paraId="5CA4EDAA">
      <w:pPr>
        <w:rPr>
          <w:rFonts w:ascii="宋体" w:hAnsi="宋体" w:eastAsia="宋体" w:cs="宋体"/>
          <w:color w:val="000000" w:themeColor="text1"/>
          <w:highlight w:val="none"/>
          <w14:textFill>
            <w14:solidFill>
              <w14:schemeClr w14:val="tx1"/>
            </w14:solidFill>
          </w14:textFill>
        </w:rPr>
      </w:pPr>
    </w:p>
    <w:p w14:paraId="204C6032">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textWrapping"/>
      </w:r>
    </w:p>
    <w:p w14:paraId="34A93369">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page"/>
      </w:r>
    </w:p>
    <w:p w14:paraId="191151FD">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99" w:name="_Toc3209"/>
      <w:bookmarkStart w:id="100" w:name="_Toc8790"/>
      <w:bookmarkStart w:id="101" w:name="_Toc31012"/>
      <w:r>
        <w:rPr>
          <w:rFonts w:hint="eastAsia" w:ascii="宋体" w:hAnsi="宋体" w:eastAsia="宋体" w:cs="宋体"/>
          <w:b/>
          <w:bCs/>
          <w:color w:val="000000" w:themeColor="text1"/>
          <w:kern w:val="44"/>
          <w:sz w:val="32"/>
          <w:szCs w:val="32"/>
          <w:highlight w:val="none"/>
          <w14:textFill>
            <w14:solidFill>
              <w14:schemeClr w14:val="tx1"/>
            </w14:solidFill>
          </w14:textFill>
        </w:rPr>
        <w:t>第二部分 通用合同条款</w:t>
      </w:r>
      <w:bookmarkEnd w:id="97"/>
      <w:bookmarkEnd w:id="98"/>
      <w:bookmarkEnd w:id="99"/>
      <w:bookmarkEnd w:id="100"/>
      <w:bookmarkEnd w:id="101"/>
      <w:bookmarkStart w:id="102" w:name="_Toc337558727"/>
    </w:p>
    <w:p w14:paraId="32C953E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03" w:name="_Toc351203495"/>
      <w:bookmarkStart w:id="104" w:name="_Toc9858"/>
      <w:bookmarkStart w:id="105" w:name="_Toc533863306"/>
      <w:r>
        <w:rPr>
          <w:rFonts w:ascii="宋体" w:hAnsi="宋体" w:eastAsia="宋体" w:cs="宋体"/>
          <w:bCs/>
          <w:color w:val="000000" w:themeColor="text1"/>
          <w:szCs w:val="21"/>
          <w:highlight w:val="none"/>
          <w14:textFill>
            <w14:solidFill>
              <w14:schemeClr w14:val="tx1"/>
            </w14:solidFill>
          </w14:textFill>
        </w:rPr>
        <w:t>1.</w:t>
      </w:r>
      <w:bookmarkStart w:id="106" w:name="_Toc303538972"/>
      <w:bookmarkEnd w:id="106"/>
      <w:bookmarkStart w:id="107" w:name="_Toc303538974"/>
      <w:bookmarkEnd w:id="107"/>
      <w:bookmarkStart w:id="108" w:name="_Toc303538973"/>
      <w:bookmarkEnd w:id="108"/>
      <w:bookmarkStart w:id="109" w:name="_Toc303538976"/>
      <w:bookmarkEnd w:id="109"/>
      <w:bookmarkStart w:id="110" w:name="_Toc303538975"/>
      <w:bookmarkEnd w:id="110"/>
      <w:bookmarkStart w:id="111" w:name="_Toc296503027"/>
      <w:bookmarkStart w:id="112" w:name="_Toc296346528"/>
      <w:r>
        <w:rPr>
          <w:rFonts w:ascii="宋体" w:hAnsi="宋体" w:eastAsia="宋体" w:cs="宋体"/>
          <w:bCs/>
          <w:color w:val="000000" w:themeColor="text1"/>
          <w:szCs w:val="21"/>
          <w:highlight w:val="non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一般约定</w:t>
      </w:r>
      <w:bookmarkEnd w:id="103"/>
      <w:bookmarkEnd w:id="104"/>
      <w:bookmarkEnd w:id="105"/>
      <w:bookmarkEnd w:id="111"/>
      <w:bookmarkEnd w:id="112"/>
    </w:p>
    <w:p w14:paraId="691D9D5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13" w:name="_Toc296503028"/>
      <w:bookmarkStart w:id="114" w:name="_Toc337558728"/>
      <w:bookmarkStart w:id="115" w:name="_Toc296346529"/>
      <w:bookmarkStart w:id="116" w:name="_Toc351203496"/>
      <w:bookmarkStart w:id="117" w:name="_Toc533863307"/>
      <w:r>
        <w:rPr>
          <w:rFonts w:ascii="宋体" w:hAnsi="宋体" w:eastAsia="宋体" w:cs="宋体"/>
          <w:bCs/>
          <w:color w:val="000000" w:themeColor="text1"/>
          <w:kern w:val="0"/>
          <w:szCs w:val="21"/>
          <w:highlight w:val="none"/>
          <w14:textFill>
            <w14:solidFill>
              <w14:schemeClr w14:val="tx1"/>
            </w14:solidFill>
          </w14:textFill>
        </w:rPr>
        <w:t>1.1词语定义</w:t>
      </w:r>
      <w:bookmarkEnd w:id="113"/>
      <w:bookmarkEnd w:id="114"/>
      <w:bookmarkEnd w:id="115"/>
      <w:r>
        <w:rPr>
          <w:rFonts w:ascii="宋体" w:hAnsi="宋体" w:eastAsia="宋体" w:cs="宋体"/>
          <w:bCs/>
          <w:color w:val="000000" w:themeColor="text1"/>
          <w:kern w:val="0"/>
          <w:szCs w:val="21"/>
          <w:highlight w:val="none"/>
          <w14:textFill>
            <w14:solidFill>
              <w14:schemeClr w14:val="tx1"/>
            </w14:solidFill>
          </w14:textFill>
        </w:rPr>
        <w:t>与解释</w:t>
      </w:r>
      <w:bookmarkEnd w:id="116"/>
      <w:bookmarkEnd w:id="117"/>
    </w:p>
    <w:p w14:paraId="3745D63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合同协议书、通用合同条款、专用合同条款中的下列词语具有本款所赋予的含义：</w:t>
      </w:r>
    </w:p>
    <w:p w14:paraId="53C5AAC6">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1.1.1 </w:t>
      </w:r>
      <w:r>
        <w:rPr>
          <w:rFonts w:hint="eastAsia" w:ascii="宋体" w:hAnsi="宋体" w:eastAsia="宋体" w:cs="宋体"/>
          <w:color w:val="000000" w:themeColor="text1"/>
          <w:kern w:val="0"/>
          <w:szCs w:val="21"/>
          <w:highlight w:val="none"/>
          <w14:textFill>
            <w14:solidFill>
              <w14:schemeClr w14:val="tx1"/>
            </w14:solidFill>
          </w14:textFill>
        </w:rPr>
        <w:t>合同</w:t>
      </w:r>
    </w:p>
    <w:p w14:paraId="6A6FC4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、通用合同条款、技术标准和要求、图纸、已标价工程量清单或预算书以及其他合同文件。</w:t>
      </w:r>
    </w:p>
    <w:p w14:paraId="23C0381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合同协议书：是指构成合同的由发包人和承包人共同签署的称为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合同协议书</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的书面文件。</w:t>
      </w:r>
    </w:p>
    <w:p w14:paraId="1B8143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中标通知书：是指构成合同的由发包人通知承包人中标的书面文件。</w:t>
      </w:r>
    </w:p>
    <w:p w14:paraId="02DE49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1.1.1.4 </w:t>
      </w:r>
      <w:r>
        <w:rPr>
          <w:rFonts w:hint="eastAsia" w:ascii="宋体" w:hAnsi="宋体" w:eastAsia="宋体" w:cs="宋体"/>
          <w:color w:val="000000" w:themeColor="text1"/>
          <w:kern w:val="0"/>
          <w:szCs w:val="21"/>
          <w:highlight w:val="none"/>
          <w14:textFill>
            <w14:solidFill>
              <w14:schemeClr w14:val="tx1"/>
            </w14:solidFill>
          </w14:textFill>
        </w:rPr>
        <w:t>投标函：是指构成合同的由承包人填写并签署的用于投标的称为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125897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1.1.1.5 </w:t>
      </w:r>
      <w:r>
        <w:rPr>
          <w:rFonts w:hint="eastAsia" w:ascii="宋体" w:hAnsi="宋体" w:eastAsia="宋体" w:cs="宋体"/>
          <w:color w:val="000000" w:themeColor="text1"/>
          <w:kern w:val="0"/>
          <w:szCs w:val="21"/>
          <w:highlight w:val="none"/>
          <w14:textFill>
            <w14:solidFill>
              <w14:schemeClr w14:val="tx1"/>
            </w14:solidFill>
          </w14:textFill>
        </w:rPr>
        <w:t>投标函附录：是指构成合同的附在投标函后的称为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投标函附录</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45FD863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1.1.1.6 </w:t>
      </w:r>
      <w:r>
        <w:rPr>
          <w:rFonts w:hint="eastAsia" w:ascii="宋体" w:hAnsi="宋体" w:eastAsia="宋体" w:cs="宋体"/>
          <w:color w:val="000000" w:themeColor="text1"/>
          <w:kern w:val="0"/>
          <w:szCs w:val="21"/>
          <w:highlight w:val="none"/>
          <w14:textFill>
            <w14:solidFill>
              <w14:schemeClr w14:val="tx1"/>
            </w14:solidFill>
          </w14:textFill>
        </w:rPr>
        <w:t>技术标准和要求：是指构成合同的施工应当遵守的或指导施工的国家、行业或地方的技术标准和要求，以及合同约定的技术标准和要求。</w:t>
      </w:r>
    </w:p>
    <w:p w14:paraId="7FB003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1.1.1.7 </w:t>
      </w:r>
      <w:r>
        <w:rPr>
          <w:rFonts w:hint="eastAsia" w:ascii="宋体" w:hAnsi="宋体" w:eastAsia="宋体" w:cs="宋体"/>
          <w:color w:val="000000" w:themeColor="text1"/>
          <w:kern w:val="0"/>
          <w:szCs w:val="21"/>
          <w:highlight w:val="none"/>
          <w14:textFill>
            <w14:solidFill>
              <w14:schemeClr w14:val="tx1"/>
            </w14:solidFill>
          </w14:textFill>
        </w:rPr>
        <w:t>图纸：是指构成合同的图纸，包括由发包人按照合同约定提供或经发包人批准的设计文件、施工图、鸟瞰图及模型等，以及在合同履行过程中形成的图纸文件。图纸应当按照法律规定审查合格。</w:t>
      </w:r>
    </w:p>
    <w:p w14:paraId="12D8A413">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1.1.1.8 </w:t>
      </w:r>
      <w:r>
        <w:rPr>
          <w:rFonts w:hint="eastAsia" w:ascii="宋体" w:hAnsi="宋体" w:eastAsia="宋体" w:cs="宋体"/>
          <w:color w:val="000000" w:themeColor="text1"/>
          <w:kern w:val="0"/>
          <w:szCs w:val="21"/>
          <w:highlight w:val="none"/>
          <w14:textFill>
            <w14:solidFill>
              <w14:schemeClr w14:val="tx1"/>
            </w14:solidFill>
          </w14:textFill>
        </w:rPr>
        <w:t>已标价工程量清单：是指构成合同的由承包人按照规定的格式和要求填写并标明价格的工程量清单，包括说明和表格。</w:t>
      </w:r>
    </w:p>
    <w:p w14:paraId="679429A2">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1.1.1.9 </w:t>
      </w:r>
      <w:r>
        <w:rPr>
          <w:rFonts w:hint="eastAsia" w:ascii="宋体" w:hAnsi="宋体" w:eastAsia="宋体" w:cs="宋体"/>
          <w:color w:val="000000" w:themeColor="text1"/>
          <w:kern w:val="0"/>
          <w:szCs w:val="21"/>
          <w:highlight w:val="none"/>
          <w14:textFill>
            <w14:solidFill>
              <w14:schemeClr w14:val="tx1"/>
            </w14:solidFill>
          </w14:textFill>
        </w:rPr>
        <w:t>预算书：是指构成合同的由承包人按照发包人规定的格式和要求编制的工程预算文件。</w:t>
      </w:r>
    </w:p>
    <w:p w14:paraId="6EABF7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1.1.1.10 </w:t>
      </w:r>
      <w:r>
        <w:rPr>
          <w:rFonts w:hint="eastAsia" w:ascii="宋体" w:hAnsi="宋体" w:eastAsia="宋体" w:cs="宋体"/>
          <w:color w:val="000000" w:themeColor="text1"/>
          <w:kern w:val="0"/>
          <w:szCs w:val="21"/>
          <w:highlight w:val="none"/>
          <w14:textFill>
            <w14:solidFill>
              <w14:schemeClr w14:val="tx1"/>
            </w14:solidFill>
          </w14:textFill>
        </w:rPr>
        <w:t>其他合同文件：是指经合同当事人约定的与工程施工有关的具有合同约束力的文件或书面协议。合同当事人可以在专用合同条款中进行约定。</w:t>
      </w:r>
    </w:p>
    <w:p w14:paraId="24088A1E">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1.1.2 </w:t>
      </w:r>
      <w:r>
        <w:rPr>
          <w:rFonts w:hint="eastAsia" w:ascii="宋体" w:hAnsi="宋体" w:eastAsia="宋体" w:cs="宋体"/>
          <w:color w:val="000000" w:themeColor="text1"/>
          <w:kern w:val="0"/>
          <w:szCs w:val="21"/>
          <w:highlight w:val="none"/>
          <w14:textFill>
            <w14:solidFill>
              <w14:schemeClr w14:val="tx1"/>
            </w14:solidFill>
          </w14:textFill>
        </w:rPr>
        <w:t>合同当事人及其他相关方</w:t>
      </w:r>
    </w:p>
    <w:p w14:paraId="0B1720C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1.1.2.1 </w:t>
      </w:r>
      <w:r>
        <w:rPr>
          <w:rFonts w:hint="eastAsia" w:ascii="宋体" w:hAnsi="宋体" w:eastAsia="宋体" w:cs="宋体"/>
          <w:color w:val="000000" w:themeColor="text1"/>
          <w:kern w:val="0"/>
          <w:szCs w:val="21"/>
          <w:highlight w:val="none"/>
          <w14:textFill>
            <w14:solidFill>
              <w14:schemeClr w14:val="tx1"/>
            </w14:solidFill>
          </w14:textFill>
        </w:rPr>
        <w:t>合同当事人：是指发包人和（或）承包人。</w:t>
      </w:r>
    </w:p>
    <w:p w14:paraId="449B8DA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1.1.2.2 </w:t>
      </w:r>
      <w:r>
        <w:rPr>
          <w:rFonts w:hint="eastAsia" w:ascii="宋体" w:hAnsi="宋体" w:eastAsia="宋体" w:cs="宋体"/>
          <w:color w:val="000000" w:themeColor="text1"/>
          <w:kern w:val="0"/>
          <w:szCs w:val="21"/>
          <w:highlight w:val="none"/>
          <w14:textFill>
            <w14:solidFill>
              <w14:schemeClr w14:val="tx1"/>
            </w14:solidFill>
          </w14:textFill>
        </w:rPr>
        <w:t>发包人：是指与承包人签订合同协议书的当事人及取得该当事人资格的合法继承人。</w:t>
      </w:r>
    </w:p>
    <w:p w14:paraId="1068C1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1.1.2.3 </w:t>
      </w:r>
      <w:r>
        <w:rPr>
          <w:rFonts w:hint="eastAsia" w:ascii="宋体" w:hAnsi="宋体" w:eastAsia="宋体" w:cs="宋体"/>
          <w:color w:val="000000" w:themeColor="text1"/>
          <w:kern w:val="0"/>
          <w:szCs w:val="21"/>
          <w:highlight w:val="none"/>
          <w14:textFill>
            <w14:solidFill>
              <w14:schemeClr w14:val="tx1"/>
            </w14:solidFill>
          </w14:textFill>
        </w:rPr>
        <w:t>承包人：是指与发包人签订合同协议书的，具有相应工程施工承包资质的当事人及取得该当事人资格的合法继承人。</w:t>
      </w:r>
    </w:p>
    <w:p w14:paraId="30C53F0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1.1.2.4 </w:t>
      </w:r>
      <w:r>
        <w:rPr>
          <w:rFonts w:hint="eastAsia" w:ascii="宋体" w:hAnsi="宋体" w:eastAsia="宋体" w:cs="宋体"/>
          <w:color w:val="000000" w:themeColor="text1"/>
          <w:kern w:val="0"/>
          <w:szCs w:val="21"/>
          <w:highlight w:val="none"/>
          <w14:textFill>
            <w14:solidFill>
              <w14:schemeClr w14:val="tx1"/>
            </w14:solidFill>
          </w14:textFill>
        </w:rPr>
        <w:t>监理人：是指在专用合同条款中指明的，受发包人委托按照法律规定进行工程监督管理的法人或其他组织。</w:t>
      </w:r>
    </w:p>
    <w:p w14:paraId="0BAD37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1.1.2.5 </w:t>
      </w:r>
      <w:r>
        <w:rPr>
          <w:rFonts w:hint="eastAsia" w:ascii="宋体" w:hAnsi="宋体" w:eastAsia="宋体" w:cs="宋体"/>
          <w:color w:val="000000" w:themeColor="text1"/>
          <w:kern w:val="0"/>
          <w:szCs w:val="21"/>
          <w:highlight w:val="none"/>
          <w14:textFill>
            <w14:solidFill>
              <w14:schemeClr w14:val="tx1"/>
            </w14:solidFill>
          </w14:textFill>
        </w:rPr>
        <w:t>设计人：是指在专用合同条款中指明的，受发包人委托负责工程设计并具备相应工程设计资质的法人或其他组织。</w:t>
      </w:r>
    </w:p>
    <w:p w14:paraId="71631A17">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1.1.2.6 </w:t>
      </w:r>
      <w:r>
        <w:rPr>
          <w:rFonts w:hint="eastAsia" w:ascii="宋体" w:hAnsi="宋体" w:eastAsia="宋体" w:cs="宋体"/>
          <w:color w:val="000000" w:themeColor="text1"/>
          <w:kern w:val="0"/>
          <w:szCs w:val="21"/>
          <w:highlight w:val="none"/>
          <w14:textFill>
            <w14:solidFill>
              <w14:schemeClr w14:val="tx1"/>
            </w14:solidFill>
          </w14:textFill>
        </w:rPr>
        <w:t>分包人：</w:t>
      </w:r>
      <w:bookmarkStart w:id="118" w:name="#go5"/>
      <w:bookmarkEnd w:id="118"/>
      <w:r>
        <w:rPr>
          <w:rFonts w:hint="eastAsia" w:ascii="宋体" w:hAnsi="宋体" w:eastAsia="宋体" w:cs="宋体"/>
          <w:color w:val="000000" w:themeColor="text1"/>
          <w:kern w:val="0"/>
          <w:szCs w:val="21"/>
          <w:highlight w:val="none"/>
          <w14:textFill>
            <w14:solidFill>
              <w14:schemeClr w14:val="tx1"/>
            </w14:solidFill>
          </w14:textFill>
        </w:rPr>
        <w:t>是指按照法律规定和合同约定，分包部分工程或工作，并与承包人签订分包合同的具有相应资质的法人。</w:t>
      </w:r>
    </w:p>
    <w:p w14:paraId="3538B18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1.1.2.7 </w:t>
      </w:r>
      <w:r>
        <w:rPr>
          <w:rFonts w:hint="eastAsia" w:ascii="宋体" w:hAnsi="宋体" w:eastAsia="宋体" w:cs="宋体"/>
          <w:color w:val="000000" w:themeColor="text1"/>
          <w:kern w:val="0"/>
          <w:szCs w:val="21"/>
          <w:highlight w:val="none"/>
          <w14:textFill>
            <w14:solidFill>
              <w14:schemeClr w14:val="tx1"/>
            </w14:solidFill>
          </w14:textFill>
        </w:rPr>
        <w:t>发包人代表：是指由发包人任命并派驻施工现场在发包人授权范围内行使发包人权利的人。</w:t>
      </w:r>
    </w:p>
    <w:p w14:paraId="52017E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1.1.2.8 </w:t>
      </w:r>
      <w:r>
        <w:rPr>
          <w:rFonts w:hint="eastAsia" w:ascii="宋体" w:hAnsi="宋体" w:eastAsia="宋体" w:cs="宋体"/>
          <w:color w:val="000000" w:themeColor="text1"/>
          <w:kern w:val="0"/>
          <w:szCs w:val="21"/>
          <w:highlight w:val="none"/>
          <w14:textFill>
            <w14:solidFill>
              <w14:schemeClr w14:val="tx1"/>
            </w14:solidFill>
          </w14:textFill>
        </w:rPr>
        <w:t>项目经理：是指由承包人任命并派驻施工现场，在承包人授权范围内负责合同履行，且按照法律规定具有相应资格的项目负责人。</w:t>
      </w:r>
    </w:p>
    <w:p w14:paraId="37A094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1.1.2.9 </w:t>
      </w:r>
      <w:r>
        <w:rPr>
          <w:rFonts w:hint="eastAsia" w:ascii="宋体" w:hAnsi="宋体" w:eastAsia="宋体" w:cs="宋体"/>
          <w:color w:val="000000" w:themeColor="text1"/>
          <w:kern w:val="0"/>
          <w:szCs w:val="21"/>
          <w:highlight w:val="none"/>
          <w14:textFill>
            <w14:solidFill>
              <w14:schemeClr w14:val="tx1"/>
            </w14:solidFill>
          </w14:textFill>
        </w:rPr>
        <w:t>总监理工程师：是指由监理人任命并派驻施工现场进行工程监理的总负责人。</w:t>
      </w:r>
    </w:p>
    <w:p w14:paraId="5DD451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 </w:t>
      </w:r>
      <w:r>
        <w:rPr>
          <w:rFonts w:hint="eastAsia" w:ascii="宋体" w:hAnsi="宋体" w:eastAsia="宋体" w:cs="宋体"/>
          <w:color w:val="000000" w:themeColor="text1"/>
          <w:kern w:val="0"/>
          <w:szCs w:val="21"/>
          <w:highlight w:val="none"/>
          <w14:textFill>
            <w14:solidFill>
              <w14:schemeClr w14:val="tx1"/>
            </w14:solidFill>
          </w14:textFill>
        </w:rPr>
        <w:t>工程和设备</w:t>
      </w:r>
    </w:p>
    <w:p w14:paraId="53CABD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 </w:t>
      </w:r>
      <w:r>
        <w:rPr>
          <w:rFonts w:hint="eastAsia" w:ascii="宋体" w:hAnsi="宋体" w:eastAsia="宋体" w:cs="宋体"/>
          <w:color w:val="000000" w:themeColor="text1"/>
          <w:kern w:val="0"/>
          <w:szCs w:val="21"/>
          <w:highlight w:val="none"/>
          <w14:textFill>
            <w14:solidFill>
              <w14:schemeClr w14:val="tx1"/>
            </w14:solidFill>
          </w14:textFill>
        </w:rPr>
        <w:t>工程：是指与合同协议书中工程承包范围对应的永久工程和（或）临时工程。</w:t>
      </w:r>
    </w:p>
    <w:p w14:paraId="51977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1.1.3.2 </w:t>
      </w:r>
      <w:r>
        <w:rPr>
          <w:rFonts w:hint="eastAsia" w:ascii="宋体" w:hAnsi="宋体" w:eastAsia="宋体" w:cs="宋体"/>
          <w:color w:val="000000" w:themeColor="text1"/>
          <w:kern w:val="0"/>
          <w:szCs w:val="21"/>
          <w:highlight w:val="none"/>
          <w14:textFill>
            <w14:solidFill>
              <w14:schemeClr w14:val="tx1"/>
            </w14:solidFill>
          </w14:textFill>
        </w:rPr>
        <w:t>永久工程：是指按合同约定建造并移交给发包人的工程，包括工程设备。</w:t>
      </w:r>
    </w:p>
    <w:p w14:paraId="72908A8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1.1.3.3 </w:t>
      </w:r>
      <w:r>
        <w:rPr>
          <w:rFonts w:hint="eastAsia" w:ascii="宋体" w:hAnsi="宋体" w:eastAsia="宋体" w:cs="宋体"/>
          <w:color w:val="000000" w:themeColor="text1"/>
          <w:kern w:val="0"/>
          <w:szCs w:val="21"/>
          <w:highlight w:val="none"/>
          <w14:textFill>
            <w14:solidFill>
              <w14:schemeClr w14:val="tx1"/>
            </w14:solidFill>
          </w14:textFill>
        </w:rPr>
        <w:t>临时工程：是指为完成合同约定的永久工程所修建的各类临时性工程，不包括施工设备。</w:t>
      </w:r>
    </w:p>
    <w:p w14:paraId="29620B5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1.1.3.4 </w:t>
      </w:r>
      <w:r>
        <w:rPr>
          <w:rFonts w:hint="eastAsia" w:ascii="宋体" w:hAnsi="宋体" w:eastAsia="宋体" w:cs="宋体"/>
          <w:color w:val="000000" w:themeColor="text1"/>
          <w:kern w:val="0"/>
          <w:szCs w:val="21"/>
          <w:highlight w:val="none"/>
          <w14:textFill>
            <w14:solidFill>
              <w14:schemeClr w14:val="tx1"/>
            </w14:solidFill>
          </w14:textFill>
        </w:rPr>
        <w:t>单位工程：是指在合同协议书中指明的，具备独立施工条件并能形成独立使用功能的永久工程。</w:t>
      </w:r>
    </w:p>
    <w:p w14:paraId="47D0B7B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1.1.3.5 </w:t>
      </w:r>
      <w:r>
        <w:rPr>
          <w:rFonts w:hint="eastAsia" w:ascii="宋体" w:hAnsi="宋体" w:eastAsia="宋体" w:cs="宋体"/>
          <w:color w:val="000000" w:themeColor="text1"/>
          <w:kern w:val="0"/>
          <w:szCs w:val="21"/>
          <w:highlight w:val="none"/>
          <w14:textFill>
            <w14:solidFill>
              <w14:schemeClr w14:val="tx1"/>
            </w14:solidFill>
          </w14:textFill>
        </w:rPr>
        <w:t>工程设备：是指构成永久工程的机电设备、金属结构设备、仪器及其他类似的设备和装置。</w:t>
      </w:r>
    </w:p>
    <w:p w14:paraId="392682F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1.1.3.6 </w:t>
      </w:r>
      <w:r>
        <w:rPr>
          <w:rFonts w:hint="eastAsia" w:ascii="宋体" w:hAnsi="宋体" w:eastAsia="宋体" w:cs="宋体"/>
          <w:color w:val="000000" w:themeColor="text1"/>
          <w:kern w:val="0"/>
          <w:szCs w:val="21"/>
          <w:highlight w:val="none"/>
          <w14:textFill>
            <w14:solidFill>
              <w14:schemeClr w14:val="tx1"/>
            </w14:solidFill>
          </w14:textFill>
        </w:rPr>
        <w:t>施工设备：是指为完成合同约定的各项工作所需的设备、器具和其他物品，但不包括工程设备、临时工程和材料。</w:t>
      </w:r>
    </w:p>
    <w:p w14:paraId="48309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1.1.3.7 </w:t>
      </w:r>
      <w:r>
        <w:rPr>
          <w:rFonts w:hint="eastAsia" w:ascii="宋体" w:hAnsi="宋体" w:eastAsia="宋体" w:cs="宋体"/>
          <w:color w:val="000000" w:themeColor="text1"/>
          <w:kern w:val="0"/>
          <w:szCs w:val="21"/>
          <w:highlight w:val="none"/>
          <w14:textFill>
            <w14:solidFill>
              <w14:schemeClr w14:val="tx1"/>
            </w14:solidFill>
          </w14:textFill>
        </w:rPr>
        <w:t>施工现场：是指用于工程施工的场所，以及在专用合同条款中指明作为施工场所组成部分的其他场所，包括永久占地和临时占地。</w:t>
      </w:r>
    </w:p>
    <w:p w14:paraId="15643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1.1.3.8</w:t>
      </w:r>
      <w:r>
        <w:rPr>
          <w:rFonts w:hint="eastAsia" w:ascii="宋体" w:hAnsi="宋体" w:eastAsia="宋体" w:cs="宋体"/>
          <w:color w:val="000000" w:themeColor="text1"/>
          <w:kern w:val="0"/>
          <w:szCs w:val="21"/>
          <w:highlight w:val="none"/>
          <w14:textFill>
            <w14:solidFill>
              <w14:schemeClr w14:val="tx1"/>
            </w14:solidFill>
          </w14:textFill>
        </w:rPr>
        <w:t>临时设施：是指为完成合同约定的各项工作所服务的临时性生产和生活设施。</w:t>
      </w:r>
    </w:p>
    <w:p w14:paraId="7789F2A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1.1.3.9 </w:t>
      </w:r>
      <w:r>
        <w:rPr>
          <w:rFonts w:hint="eastAsia" w:ascii="宋体" w:hAnsi="宋体" w:eastAsia="宋体" w:cs="宋体"/>
          <w:color w:val="000000" w:themeColor="text1"/>
          <w:kern w:val="0"/>
          <w:szCs w:val="21"/>
          <w:highlight w:val="none"/>
          <w14:textFill>
            <w14:solidFill>
              <w14:schemeClr w14:val="tx1"/>
            </w14:solidFill>
          </w14:textFill>
        </w:rPr>
        <w:t>永久占地：是指专用合同条款中指明为实施工程需永久占用的土地。</w:t>
      </w:r>
    </w:p>
    <w:p w14:paraId="5CA5301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1.1.3.10 </w:t>
      </w:r>
      <w:r>
        <w:rPr>
          <w:rFonts w:hint="eastAsia" w:ascii="宋体" w:hAnsi="宋体" w:eastAsia="宋体" w:cs="宋体"/>
          <w:color w:val="000000" w:themeColor="text1"/>
          <w:kern w:val="0"/>
          <w:szCs w:val="21"/>
          <w:highlight w:val="none"/>
          <w14:textFill>
            <w14:solidFill>
              <w14:schemeClr w14:val="tx1"/>
            </w14:solidFill>
          </w14:textFill>
        </w:rPr>
        <w:t>临时占地：是指专用合同条款中指明为实施工程需要临时占用的土地。</w:t>
      </w:r>
    </w:p>
    <w:p w14:paraId="15AE1A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 </w:t>
      </w:r>
      <w:r>
        <w:rPr>
          <w:rFonts w:hint="eastAsia" w:ascii="宋体" w:hAnsi="宋体" w:eastAsia="宋体" w:cs="宋体"/>
          <w:color w:val="000000" w:themeColor="text1"/>
          <w:kern w:val="0"/>
          <w:szCs w:val="21"/>
          <w:highlight w:val="none"/>
          <w14:textFill>
            <w14:solidFill>
              <w14:schemeClr w14:val="tx1"/>
            </w14:solidFill>
          </w14:textFill>
        </w:rPr>
        <w:t>日期和期限</w:t>
      </w:r>
    </w:p>
    <w:p w14:paraId="302FD47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1.1.4.1 </w:t>
      </w:r>
      <w:r>
        <w:rPr>
          <w:rFonts w:hint="eastAsia" w:ascii="宋体" w:hAnsi="宋体" w:eastAsia="宋体" w:cs="宋体"/>
          <w:color w:val="000000" w:themeColor="text1"/>
          <w:kern w:val="0"/>
          <w:szCs w:val="21"/>
          <w:highlight w:val="none"/>
          <w14:textFill>
            <w14:solidFill>
              <w14:schemeClr w14:val="tx1"/>
            </w14:solidFill>
          </w14:textFill>
        </w:rPr>
        <w:t>开工日期：包括计划开工日期和实际开工日期。计划开工日期是指合同协议书约定的开工日期；实际开工日期是指监理人按照第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项〔开工通知〕约定发出的符合法律规定的开工通知中载明的开工日期。</w:t>
      </w:r>
    </w:p>
    <w:p w14:paraId="4494B3B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1.1.4.2 </w:t>
      </w:r>
      <w:r>
        <w:rPr>
          <w:rFonts w:hint="eastAsia" w:ascii="宋体" w:hAnsi="宋体" w:eastAsia="宋体" w:cs="宋体"/>
          <w:color w:val="000000" w:themeColor="text1"/>
          <w:kern w:val="0"/>
          <w:szCs w:val="21"/>
          <w:highlight w:val="none"/>
          <w14:textFill>
            <w14:solidFill>
              <w14:schemeClr w14:val="tx1"/>
            </w14:solidFill>
          </w14:textFill>
        </w:rPr>
        <w:t>竣工日期：包括计划竣工日期和实际竣工日期。计划竣工日期是指合同协议书约定的竣工日期；实际竣工日期按照第</w:t>
      </w:r>
      <w:r>
        <w:rPr>
          <w:rFonts w:ascii="宋体" w:hAnsi="宋体" w:eastAsia="宋体" w:cs="宋体"/>
          <w:color w:val="000000" w:themeColor="text1"/>
          <w:kern w:val="0"/>
          <w:szCs w:val="21"/>
          <w:highlight w:val="none"/>
          <w14:textFill>
            <w14:solidFill>
              <w14:schemeClr w14:val="tx1"/>
            </w14:solidFill>
          </w14:textFill>
        </w:rPr>
        <w:t>13.2.3</w:t>
      </w:r>
      <w:r>
        <w:rPr>
          <w:rFonts w:hint="eastAsia" w:ascii="宋体" w:hAnsi="宋体" w:eastAsia="宋体" w:cs="宋体"/>
          <w:color w:val="000000" w:themeColor="text1"/>
          <w:kern w:val="0"/>
          <w:szCs w:val="21"/>
          <w:highlight w:val="none"/>
          <w14:textFill>
            <w14:solidFill>
              <w14:schemeClr w14:val="tx1"/>
            </w14:solidFill>
          </w14:textFill>
        </w:rPr>
        <w:t>项〔竣工日期〕的约定确定。</w:t>
      </w:r>
      <w:r>
        <w:rPr>
          <w:rFonts w:ascii="宋体" w:hAnsi="宋体" w:eastAsia="宋体" w:cs="宋体"/>
          <w:color w:val="000000" w:themeColor="text1"/>
          <w:kern w:val="0"/>
          <w:szCs w:val="21"/>
          <w:highlight w:val="none"/>
          <w14:textFill>
            <w14:solidFill>
              <w14:schemeClr w14:val="tx1"/>
            </w14:solidFill>
          </w14:textFill>
        </w:rPr>
        <w:t xml:space="preserve"> </w:t>
      </w:r>
    </w:p>
    <w:p w14:paraId="38BE8017">
      <w:pPr>
        <w:spacing w:line="360" w:lineRule="auto"/>
        <w:ind w:firstLine="426" w:firstLineChars="203"/>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1.1.4.3 </w:t>
      </w:r>
      <w:r>
        <w:rPr>
          <w:rFonts w:hint="eastAsia" w:ascii="宋体" w:hAnsi="宋体" w:eastAsia="宋体" w:cs="宋体"/>
          <w:color w:val="000000" w:themeColor="text1"/>
          <w:kern w:val="0"/>
          <w:szCs w:val="21"/>
          <w:highlight w:val="none"/>
          <w14:textFill>
            <w14:solidFill>
              <w14:schemeClr w14:val="tx1"/>
            </w14:solidFill>
          </w14:textFill>
        </w:rPr>
        <w:t>工期：是指在合同协议书约定的承包人完成工程所需的期限，包括按照合同约定所作的期限变更。</w:t>
      </w:r>
    </w:p>
    <w:p w14:paraId="3E98B3B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1.1.4.4 </w:t>
      </w:r>
      <w:r>
        <w:rPr>
          <w:rFonts w:hint="eastAsia" w:ascii="宋体" w:hAnsi="宋体" w:eastAsia="宋体" w:cs="宋体"/>
          <w:color w:val="000000" w:themeColor="text1"/>
          <w:kern w:val="0"/>
          <w:szCs w:val="21"/>
          <w:highlight w:val="none"/>
          <w14:textFill>
            <w14:solidFill>
              <w14:schemeClr w14:val="tx1"/>
            </w14:solidFill>
          </w14:textFill>
        </w:rPr>
        <w:t>缺陷责任期：是指承包人按照合同约定承担缺陷修复义务，且发包人预留质量保证金（已缴纳履约保证金的除外）的期限，自工程实际竣工日期起计算。</w:t>
      </w:r>
    </w:p>
    <w:p w14:paraId="741674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1.1.4.5 </w:t>
      </w:r>
      <w:r>
        <w:rPr>
          <w:rFonts w:hint="eastAsia" w:ascii="宋体" w:hAnsi="宋体" w:eastAsia="宋体" w:cs="宋体"/>
          <w:color w:val="000000" w:themeColor="text1"/>
          <w:kern w:val="0"/>
          <w:szCs w:val="21"/>
          <w:highlight w:val="none"/>
          <w14:textFill>
            <w14:solidFill>
              <w14:schemeClr w14:val="tx1"/>
            </w14:solidFill>
          </w14:textFill>
        </w:rPr>
        <w:t>保修期：是指承包人按照合同约定对工程承担保修责任的期限，从工程竣工验收合格之日起计算。</w:t>
      </w:r>
    </w:p>
    <w:p w14:paraId="1DD2999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1.1.4.6 </w:t>
      </w:r>
      <w:r>
        <w:rPr>
          <w:rFonts w:hint="eastAsia" w:ascii="宋体" w:hAnsi="宋体" w:eastAsia="宋体" w:cs="宋体"/>
          <w:color w:val="000000" w:themeColor="text1"/>
          <w:kern w:val="0"/>
          <w:szCs w:val="21"/>
          <w:highlight w:val="none"/>
          <w14:textFill>
            <w14:solidFill>
              <w14:schemeClr w14:val="tx1"/>
            </w14:solidFill>
          </w14:textFill>
        </w:rPr>
        <w:t>基准日期：招标发包的工程以投标截止日前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天的日期为基准日期，直接发包的工程以合同签订日前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w:t>
      </w:r>
    </w:p>
    <w:p w14:paraId="3F0006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1.1.4.7 </w:t>
      </w:r>
      <w:r>
        <w:rPr>
          <w:rFonts w:hint="eastAsia" w:ascii="宋体" w:hAnsi="宋体" w:eastAsia="宋体" w:cs="宋体"/>
          <w:color w:val="000000" w:themeColor="text1"/>
          <w:kern w:val="0"/>
          <w:szCs w:val="21"/>
          <w:highlight w:val="none"/>
          <w14:textFill>
            <w14:solidFill>
              <w14:schemeClr w14:val="tx1"/>
            </w14:solidFill>
          </w14:textFill>
        </w:rPr>
        <w:t>天：除特别指明外，均指日历天。合同中按天计算时间的，开始当天不计入，从次日开始计算，期限最后一天的截止时间为当天</w:t>
      </w:r>
      <w:r>
        <w:rPr>
          <w:rFonts w:ascii="宋体" w:hAnsi="宋体" w:eastAsia="宋体" w:cs="宋体"/>
          <w:color w:val="000000" w:themeColor="text1"/>
          <w:kern w:val="0"/>
          <w:szCs w:val="21"/>
          <w:highlight w:val="none"/>
          <w14:textFill>
            <w14:solidFill>
              <w14:schemeClr w14:val="tx1"/>
            </w14:solidFill>
          </w14:textFill>
        </w:rPr>
        <w:t>24:00</w:t>
      </w:r>
      <w:r>
        <w:rPr>
          <w:rFonts w:hint="eastAsia" w:ascii="宋体" w:hAnsi="宋体" w:eastAsia="宋体" w:cs="宋体"/>
          <w:color w:val="000000" w:themeColor="text1"/>
          <w:kern w:val="0"/>
          <w:szCs w:val="21"/>
          <w:highlight w:val="none"/>
          <w14:textFill>
            <w14:solidFill>
              <w14:schemeClr w14:val="tx1"/>
            </w14:solidFill>
          </w14:textFill>
        </w:rPr>
        <w:t>时。</w:t>
      </w:r>
    </w:p>
    <w:p w14:paraId="0969DF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 </w:t>
      </w:r>
      <w:r>
        <w:rPr>
          <w:rFonts w:hint="eastAsia" w:ascii="宋体" w:hAnsi="宋体" w:eastAsia="宋体" w:cs="宋体"/>
          <w:color w:val="000000" w:themeColor="text1"/>
          <w:kern w:val="0"/>
          <w:szCs w:val="21"/>
          <w:highlight w:val="none"/>
          <w14:textFill>
            <w14:solidFill>
              <w14:schemeClr w14:val="tx1"/>
            </w14:solidFill>
          </w14:textFill>
        </w:rPr>
        <w:t>合同价格和费用</w:t>
      </w:r>
    </w:p>
    <w:p w14:paraId="7E08A93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1.1.5.1 </w:t>
      </w:r>
      <w:r>
        <w:rPr>
          <w:rFonts w:hint="eastAsia" w:ascii="宋体" w:hAnsi="宋体" w:eastAsia="宋体" w:cs="宋体"/>
          <w:color w:val="000000" w:themeColor="text1"/>
          <w:kern w:val="0"/>
          <w:szCs w:val="21"/>
          <w:highlight w:val="none"/>
          <w14:textFill>
            <w14:solidFill>
              <w14:schemeClr w14:val="tx1"/>
            </w14:solidFill>
          </w14:textFill>
        </w:rPr>
        <w:t>签约合同价：是指</w:t>
      </w:r>
      <w:r>
        <w:rPr>
          <w:rFonts w:hint="eastAsia" w:ascii="宋体" w:hAnsi="宋体" w:eastAsia="宋体" w:cs="宋体"/>
          <w:color w:val="000000" w:themeColor="text1"/>
          <w:szCs w:val="21"/>
          <w:highlight w:val="none"/>
          <w14:textFill>
            <w14:solidFill>
              <w14:schemeClr w14:val="tx1"/>
            </w14:solidFill>
          </w14:textFill>
        </w:rPr>
        <w:t>发包人和承包人在合同协议书中确定的总金额，包括安全文明施工费、暂估价及暂列金额等。</w:t>
      </w:r>
    </w:p>
    <w:p w14:paraId="2952CF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1.1.5.2 </w:t>
      </w:r>
      <w:r>
        <w:rPr>
          <w:rFonts w:hint="eastAsia" w:ascii="宋体" w:hAnsi="宋体" w:eastAsia="宋体" w:cs="宋体"/>
          <w:color w:val="000000" w:themeColor="text1"/>
          <w:kern w:val="0"/>
          <w:szCs w:val="21"/>
          <w:highlight w:val="none"/>
          <w14:textFill>
            <w14:solidFill>
              <w14:schemeClr w14:val="tx1"/>
            </w14:solidFill>
          </w14:textFill>
        </w:rPr>
        <w:t>合同价格：是指发包人用于支付承包人按照合同约定完成承包范围内全部工作的金额，包括合同履行过程中按合同约定发生的价格变化。</w:t>
      </w:r>
    </w:p>
    <w:p w14:paraId="7D967F7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1.1.5.3 </w:t>
      </w:r>
      <w:r>
        <w:rPr>
          <w:rFonts w:hint="eastAsia" w:ascii="宋体" w:hAnsi="宋体" w:eastAsia="宋体" w:cs="宋体"/>
          <w:color w:val="000000" w:themeColor="text1"/>
          <w:kern w:val="0"/>
          <w:szCs w:val="21"/>
          <w:highlight w:val="none"/>
          <w14:textFill>
            <w14:solidFill>
              <w14:schemeClr w14:val="tx1"/>
            </w14:solidFill>
          </w14:textFill>
        </w:rPr>
        <w:t>费用：是指为履行合同所发生的或将要发生的所有必需的开支，包括管理费和应分摊的其他费用，但不包括利润。</w:t>
      </w:r>
    </w:p>
    <w:p w14:paraId="236A22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1.1.5.4 </w:t>
      </w:r>
      <w:r>
        <w:rPr>
          <w:rFonts w:hint="eastAsia" w:ascii="宋体" w:hAnsi="宋体" w:eastAsia="宋体" w:cs="宋体"/>
          <w:color w:val="000000" w:themeColor="text1"/>
          <w:kern w:val="0"/>
          <w:szCs w:val="21"/>
          <w:highlight w:val="none"/>
          <w14:textFill>
            <w14:solidFill>
              <w14:schemeClr w14:val="tx1"/>
            </w14:solidFill>
          </w14:textFill>
        </w:rPr>
        <w:t>暂估价：是指发包人在工程量清单或预算书中提供的用于支付必然发生但暂时不能确定价格的材料、工程设备的单价、专业工程以及服务工作的金额。</w:t>
      </w:r>
    </w:p>
    <w:p w14:paraId="227114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1.1.5.5 </w:t>
      </w:r>
      <w:r>
        <w:rPr>
          <w:rFonts w:hint="eastAsia" w:ascii="宋体" w:hAnsi="宋体" w:eastAsia="宋体" w:cs="宋体"/>
          <w:color w:val="000000" w:themeColor="text1"/>
          <w:kern w:val="0"/>
          <w:szCs w:val="21"/>
          <w:highlight w:val="none"/>
          <w14:textFill>
            <w14:solidFill>
              <w14:schemeClr w14:val="tx1"/>
            </w14:solidFill>
          </w14:textFill>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714E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1.1.5.6 </w:t>
      </w:r>
      <w:r>
        <w:rPr>
          <w:rFonts w:hint="eastAsia" w:ascii="宋体" w:hAnsi="宋体" w:eastAsia="宋体" w:cs="宋体"/>
          <w:color w:val="000000" w:themeColor="text1"/>
          <w:kern w:val="0"/>
          <w:szCs w:val="21"/>
          <w:highlight w:val="none"/>
          <w14:textFill>
            <w14:solidFill>
              <w14:schemeClr w14:val="tx1"/>
            </w14:solidFill>
          </w14:textFill>
        </w:rPr>
        <w:t>计日工：是指合同履行过程中，承包人完成发包人提出的零星工作或需要采用计日工计价的变更工作时，按合同中约定的单价计价的一种方式。</w:t>
      </w:r>
    </w:p>
    <w:p w14:paraId="018A60B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1.1.5.7 </w:t>
      </w:r>
      <w:r>
        <w:rPr>
          <w:rFonts w:hint="eastAsia" w:ascii="宋体" w:hAnsi="宋体" w:eastAsia="宋体" w:cs="宋体"/>
          <w:color w:val="000000" w:themeColor="text1"/>
          <w:kern w:val="0"/>
          <w:szCs w:val="21"/>
          <w:highlight w:val="none"/>
          <w14:textFill>
            <w14:solidFill>
              <w14:schemeClr w14:val="tx1"/>
            </w14:solidFill>
          </w14:textFill>
        </w:rPr>
        <w:t>质量保证金</w:t>
      </w:r>
      <w:bookmarkStart w:id="119" w:name="#go2"/>
      <w:bookmarkEnd w:id="119"/>
      <w:r>
        <w:rPr>
          <w:rFonts w:hint="eastAsia" w:ascii="宋体" w:hAnsi="宋体" w:eastAsia="宋体" w:cs="宋体"/>
          <w:color w:val="000000" w:themeColor="text1"/>
          <w:kern w:val="0"/>
          <w:szCs w:val="21"/>
          <w:highlight w:val="none"/>
          <w14:textFill>
            <w14:solidFill>
              <w14:schemeClr w14:val="tx1"/>
            </w14:solidFill>
          </w14:textFill>
        </w:rPr>
        <w:t>：是指按照第</w:t>
      </w:r>
      <w:r>
        <w:rPr>
          <w:rFonts w:ascii="宋体" w:hAnsi="宋体" w:eastAsia="宋体" w:cs="宋体"/>
          <w:color w:val="000000" w:themeColor="text1"/>
          <w:kern w:val="0"/>
          <w:szCs w:val="21"/>
          <w:highlight w:val="none"/>
          <w14:textFill>
            <w14:solidFill>
              <w14:schemeClr w14:val="tx1"/>
            </w14:solidFill>
          </w14:textFill>
        </w:rPr>
        <w:t>15.3</w:t>
      </w:r>
      <w:r>
        <w:rPr>
          <w:rFonts w:hint="eastAsia" w:ascii="宋体" w:hAnsi="宋体" w:eastAsia="宋体" w:cs="宋体"/>
          <w:color w:val="000000" w:themeColor="text1"/>
          <w:kern w:val="0"/>
          <w:szCs w:val="21"/>
          <w:highlight w:val="none"/>
          <w14:textFill>
            <w14:solidFill>
              <w14:schemeClr w14:val="tx1"/>
            </w14:solidFill>
          </w14:textFill>
        </w:rPr>
        <w:t>款〔质量保证金〕约定承包人用于保证其在缺陷责任期内履行缺陷修补义务的担保</w:t>
      </w:r>
      <w:r>
        <w:rPr>
          <w:rFonts w:hint="eastAsia" w:ascii="宋体" w:hAnsi="宋体" w:eastAsia="宋体" w:cs="宋体"/>
          <w:color w:val="000000" w:themeColor="text1"/>
          <w:szCs w:val="21"/>
          <w:highlight w:val="none"/>
          <w14:textFill>
            <w14:solidFill>
              <w14:schemeClr w14:val="tx1"/>
            </w14:solidFill>
          </w14:textFill>
        </w:rPr>
        <w:t>。</w:t>
      </w:r>
    </w:p>
    <w:p w14:paraId="6DD747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1.1.5.8 </w:t>
      </w:r>
      <w:r>
        <w:rPr>
          <w:rFonts w:hint="eastAsia" w:ascii="宋体" w:hAnsi="宋体" w:eastAsia="宋体" w:cs="宋体"/>
          <w:color w:val="000000" w:themeColor="text1"/>
          <w:kern w:val="0"/>
          <w:szCs w:val="21"/>
          <w:highlight w:val="none"/>
          <w14:textFill>
            <w14:solidFill>
              <w14:schemeClr w14:val="tx1"/>
            </w14:solidFill>
          </w14:textFill>
        </w:rPr>
        <w:t>总价项目：是指在现行国家、行业以及地方的计量规则中无工程量计算规则，在已标价工程量清单或预算书中以总价或以费率形式计算的项目。</w:t>
      </w:r>
    </w:p>
    <w:p w14:paraId="5EE75D9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 </w:t>
      </w:r>
      <w:r>
        <w:rPr>
          <w:rFonts w:hint="eastAsia" w:ascii="宋体" w:hAnsi="宋体" w:eastAsia="宋体" w:cs="宋体"/>
          <w:color w:val="000000" w:themeColor="text1"/>
          <w:szCs w:val="21"/>
          <w:highlight w:val="none"/>
          <w14:textFill>
            <w14:solidFill>
              <w14:schemeClr w14:val="tx1"/>
            </w14:solidFill>
          </w14:textFill>
        </w:rPr>
        <w:t>其他</w:t>
      </w:r>
    </w:p>
    <w:p w14:paraId="15422F0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1.1.6.1 </w:t>
      </w:r>
      <w:r>
        <w:rPr>
          <w:rFonts w:hint="eastAsia" w:ascii="宋体" w:hAnsi="宋体" w:eastAsia="宋体" w:cs="宋体"/>
          <w:color w:val="000000" w:themeColor="text1"/>
          <w:szCs w:val="21"/>
          <w:highlight w:val="none"/>
          <w14:textFill>
            <w14:solidFill>
              <w14:schemeClr w14:val="tx1"/>
            </w14:solidFill>
          </w14:textFill>
        </w:rPr>
        <w:t>书面形式：是指合同文件、信函、电报、传真等可以有形地表现所载内容的形式。</w:t>
      </w:r>
    </w:p>
    <w:p w14:paraId="4B1342E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0" w:name="_Toc337558729"/>
      <w:bookmarkStart w:id="121" w:name="_Toc533863308"/>
      <w:bookmarkStart w:id="122" w:name="_Toc296503029"/>
      <w:bookmarkStart w:id="123" w:name="_Toc351203497"/>
      <w:bookmarkStart w:id="124" w:name="_Toc296346530"/>
      <w:r>
        <w:rPr>
          <w:rFonts w:ascii="宋体" w:hAnsi="宋体" w:eastAsia="宋体" w:cs="宋体"/>
          <w:bCs/>
          <w:color w:val="000000" w:themeColor="text1"/>
          <w:kern w:val="0"/>
          <w:szCs w:val="21"/>
          <w:highlight w:val="none"/>
          <w14:textFill>
            <w14:solidFill>
              <w14:schemeClr w14:val="tx1"/>
            </w14:solidFill>
          </w14:textFill>
        </w:rPr>
        <w:t>1.2语言文字</w:t>
      </w:r>
      <w:bookmarkEnd w:id="120"/>
      <w:bookmarkEnd w:id="121"/>
      <w:bookmarkEnd w:id="122"/>
      <w:bookmarkEnd w:id="123"/>
      <w:bookmarkEnd w:id="124"/>
    </w:p>
    <w:p w14:paraId="1746D69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合同以中国的汉语简体文字编写、解释和说明。合同当事人在专用合同条款中约定使用两种以上语言时，汉语为优先解释和说明合同的语言。</w:t>
      </w:r>
    </w:p>
    <w:p w14:paraId="4484793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5" w:name="_Toc351203498"/>
      <w:bookmarkStart w:id="126" w:name="_Toc296503030"/>
      <w:bookmarkStart w:id="127" w:name="_Toc296346531"/>
      <w:bookmarkStart w:id="128" w:name="_Toc337558730"/>
      <w:bookmarkStart w:id="129" w:name="_Toc533863309"/>
      <w:r>
        <w:rPr>
          <w:rFonts w:ascii="宋体" w:hAnsi="宋体" w:eastAsia="宋体" w:cs="宋体"/>
          <w:bCs/>
          <w:color w:val="000000" w:themeColor="text1"/>
          <w:kern w:val="0"/>
          <w:szCs w:val="21"/>
          <w:highlight w:val="none"/>
          <w14:textFill>
            <w14:solidFill>
              <w14:schemeClr w14:val="tx1"/>
            </w14:solidFill>
          </w14:textFill>
        </w:rPr>
        <w:t>1.3法律</w:t>
      </w:r>
      <w:bookmarkEnd w:id="125"/>
      <w:bookmarkEnd w:id="126"/>
      <w:bookmarkEnd w:id="127"/>
      <w:bookmarkEnd w:id="128"/>
      <w:bookmarkEnd w:id="129"/>
    </w:p>
    <w:p w14:paraId="6A003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合同所称法律是指中华人民共和国法律、行政法规、部门规章，以及工程所在地的地方性法规、自治条例、单行条例和地方政府规章等。</w:t>
      </w:r>
    </w:p>
    <w:p w14:paraId="77FA66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合同当事人可以在专用合同条款中约定合同适用的其他规范性文件。</w:t>
      </w:r>
    </w:p>
    <w:p w14:paraId="747CA68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0" w:name="_Toc351203499"/>
      <w:bookmarkStart w:id="131" w:name="_Toc533863310"/>
      <w:r>
        <w:rPr>
          <w:rFonts w:ascii="宋体" w:hAnsi="宋体" w:eastAsia="宋体" w:cs="宋体"/>
          <w:bCs/>
          <w:color w:val="000000" w:themeColor="text1"/>
          <w:kern w:val="0"/>
          <w:szCs w:val="21"/>
          <w:highlight w:val="none"/>
          <w14:textFill>
            <w14:solidFill>
              <w14:schemeClr w14:val="tx1"/>
            </w14:solidFill>
          </w14:textFill>
        </w:rPr>
        <w:t>1.4 标准和规范</w:t>
      </w:r>
      <w:bookmarkEnd w:id="130"/>
      <w:bookmarkEnd w:id="131"/>
    </w:p>
    <w:p w14:paraId="0FECE2C3">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1.4.1 </w:t>
      </w:r>
      <w:r>
        <w:rPr>
          <w:rFonts w:hint="eastAsia" w:ascii="宋体" w:hAnsi="宋体" w:eastAsia="宋体" w:cs="宋体"/>
          <w:color w:val="000000" w:themeColor="text1"/>
          <w:kern w:val="0"/>
          <w:szCs w:val="21"/>
          <w:highlight w:val="none"/>
          <w14:textFill>
            <w14:solidFill>
              <w14:schemeClr w14:val="tx1"/>
            </w14:solidFill>
          </w14:textFill>
        </w:rPr>
        <w:t>适用于工程的国家标准、行业标准、工程所在地的地方性标准，以及相应的规范、规程等，合同当事人有特别要求的，应在专用合同条款中约定。</w:t>
      </w:r>
    </w:p>
    <w:p w14:paraId="0093492B">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1.4.2 </w:t>
      </w:r>
      <w:r>
        <w:rPr>
          <w:rFonts w:hint="eastAsia" w:ascii="宋体" w:hAnsi="宋体" w:eastAsia="宋体" w:cs="宋体"/>
          <w:color w:val="000000" w:themeColor="text1"/>
          <w:kern w:val="0"/>
          <w:szCs w:val="21"/>
          <w:highlight w:val="none"/>
          <w14:textFill>
            <w14:solidFill>
              <w14:schemeClr w14:val="tx1"/>
            </w14:solidFill>
          </w14:textFill>
        </w:rPr>
        <w:t>发包人要求使用国外标准、规范的，发包人负责提供原文版本和中文译本，并在专用合同条款中约定提供标准规范的名称、份数和时间。</w:t>
      </w:r>
    </w:p>
    <w:p w14:paraId="57A87DB7">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1.4.3 </w:t>
      </w:r>
      <w:r>
        <w:rPr>
          <w:rFonts w:hint="eastAsia" w:ascii="宋体" w:hAnsi="宋体" w:eastAsia="宋体" w:cs="宋体"/>
          <w:color w:val="000000" w:themeColor="text1"/>
          <w:kern w:val="0"/>
          <w:szCs w:val="21"/>
          <w:highlight w:val="none"/>
          <w14:textFill>
            <w14:solidFill>
              <w14:schemeClr w14:val="tx1"/>
            </w14:solidFill>
          </w14:textFill>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4C6409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2" w:name="_Toc351203500"/>
      <w:bookmarkStart w:id="133" w:name="_Toc533863311"/>
      <w:r>
        <w:rPr>
          <w:rFonts w:ascii="宋体" w:hAnsi="宋体" w:eastAsia="宋体" w:cs="宋体"/>
          <w:bCs/>
          <w:color w:val="000000" w:themeColor="text1"/>
          <w:kern w:val="0"/>
          <w:szCs w:val="21"/>
          <w:highlight w:val="none"/>
          <w14:textFill>
            <w14:solidFill>
              <w14:schemeClr w14:val="tx1"/>
            </w14:solidFill>
          </w14:textFill>
        </w:rPr>
        <w:t>1</w:t>
      </w:r>
      <w:bookmarkStart w:id="134" w:name="_Toc296346532"/>
      <w:bookmarkStart w:id="135" w:name="_Toc296503031"/>
      <w:bookmarkStart w:id="136" w:name="_Toc337558731"/>
      <w:r>
        <w:rPr>
          <w:rFonts w:ascii="宋体" w:hAnsi="宋体" w:eastAsia="宋体" w:cs="宋体"/>
          <w:bCs/>
          <w:color w:val="000000" w:themeColor="text1"/>
          <w:kern w:val="0"/>
          <w:szCs w:val="21"/>
          <w:highlight w:val="none"/>
          <w14:textFill>
            <w14:solidFill>
              <w14:schemeClr w14:val="tx1"/>
            </w14:solidFill>
          </w14:textFill>
        </w:rPr>
        <w:t>.5 合同文件的优先顺序</w:t>
      </w:r>
      <w:bookmarkEnd w:id="132"/>
      <w:bookmarkEnd w:id="133"/>
    </w:p>
    <w:bookmarkEnd w:id="134"/>
    <w:bookmarkEnd w:id="135"/>
    <w:bookmarkEnd w:id="136"/>
    <w:p w14:paraId="39CCCC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组成合同的各项文件应互相解释，互为说明。除专用合同条款另有约定外，解释合同文件的优先顺序如下：</w:t>
      </w:r>
    </w:p>
    <w:p w14:paraId="2A8BAFD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）合同协议书；</w:t>
      </w:r>
    </w:p>
    <w:p w14:paraId="6C5000E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）中标通知书（如果有）；</w:t>
      </w:r>
    </w:p>
    <w:p w14:paraId="0A98B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）投标函及其附录（如果有）；</w:t>
      </w:r>
    </w:p>
    <w:p w14:paraId="0013AA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w:t>
      </w:r>
    </w:p>
    <w:p w14:paraId="4776C9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5</w:t>
      </w:r>
      <w:r>
        <w:rPr>
          <w:rFonts w:hint="eastAsia" w:ascii="宋体" w:hAnsi="宋体" w:eastAsia="宋体" w:cs="宋体"/>
          <w:color w:val="000000" w:themeColor="text1"/>
          <w:kern w:val="0"/>
          <w:szCs w:val="21"/>
          <w:highlight w:val="none"/>
          <w14:textFill>
            <w14:solidFill>
              <w14:schemeClr w14:val="tx1"/>
            </w14:solidFill>
          </w14:textFill>
        </w:rPr>
        <w:t>）通用合同条款；</w:t>
      </w:r>
    </w:p>
    <w:p w14:paraId="003D52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14:textFill>
            <w14:solidFill>
              <w14:schemeClr w14:val="tx1"/>
            </w14:solidFill>
          </w14:textFill>
        </w:rPr>
        <w:t>）技术标准和要求；</w:t>
      </w:r>
    </w:p>
    <w:p w14:paraId="42051D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）图纸；</w:t>
      </w:r>
    </w:p>
    <w:p w14:paraId="1C4357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14:textFill>
            <w14:solidFill>
              <w14:schemeClr w14:val="tx1"/>
            </w14:solidFill>
          </w14:textFill>
        </w:rPr>
        <w:t>）已标价工程量清单或预算书；</w:t>
      </w:r>
    </w:p>
    <w:p w14:paraId="2B9C217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14:textFill>
            <w14:solidFill>
              <w14:schemeClr w14:val="tx1"/>
            </w14:solidFill>
          </w14:textFill>
        </w:rPr>
        <w:t>）其他合同文件。</w:t>
      </w:r>
    </w:p>
    <w:p w14:paraId="63DA02F4">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w:t>
      </w:r>
    </w:p>
    <w:p w14:paraId="2496C36E">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在合同订立及履行过程中形成的与合同有关的文件均构成合同文件组成部分，并根据其性质确定优先解释顺序。</w:t>
      </w:r>
    </w:p>
    <w:p w14:paraId="1FE946B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7" w:name="_Toc351203501"/>
      <w:bookmarkStart w:id="138" w:name="_Toc533863312"/>
      <w:r>
        <w:rPr>
          <w:rFonts w:ascii="宋体" w:hAnsi="宋体" w:eastAsia="宋体" w:cs="宋体"/>
          <w:bCs/>
          <w:color w:val="000000" w:themeColor="text1"/>
          <w:kern w:val="0"/>
          <w:szCs w:val="21"/>
          <w:highlight w:val="none"/>
          <w14:textFill>
            <w14:solidFill>
              <w14:schemeClr w14:val="tx1"/>
            </w14:solidFill>
          </w14:textFill>
        </w:rPr>
        <w:t>1</w:t>
      </w:r>
      <w:bookmarkStart w:id="139" w:name="_Toc296503032"/>
      <w:bookmarkStart w:id="140" w:name="_Toc296346533"/>
      <w:bookmarkStart w:id="141" w:name="_Toc337558732"/>
      <w:r>
        <w:rPr>
          <w:rFonts w:ascii="宋体" w:hAnsi="宋体" w:eastAsia="宋体" w:cs="宋体"/>
          <w:bCs/>
          <w:color w:val="000000" w:themeColor="text1"/>
          <w:kern w:val="0"/>
          <w:szCs w:val="21"/>
          <w:highlight w:val="none"/>
          <w14:textFill>
            <w14:solidFill>
              <w14:schemeClr w14:val="tx1"/>
            </w14:solidFill>
          </w14:textFill>
        </w:rPr>
        <w:t>.6图纸和承包人文件</w:t>
      </w:r>
      <w:bookmarkEnd w:id="137"/>
      <w:bookmarkEnd w:id="138"/>
    </w:p>
    <w:bookmarkEnd w:id="139"/>
    <w:bookmarkEnd w:id="140"/>
    <w:bookmarkEnd w:id="141"/>
    <w:p w14:paraId="777019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1.6.1 </w:t>
      </w:r>
      <w:r>
        <w:rPr>
          <w:rFonts w:hint="eastAsia" w:ascii="宋体" w:hAnsi="宋体" w:eastAsia="宋体" w:cs="宋体"/>
          <w:color w:val="000000" w:themeColor="text1"/>
          <w:kern w:val="0"/>
          <w:szCs w:val="21"/>
          <w:highlight w:val="none"/>
          <w14:textFill>
            <w14:solidFill>
              <w14:schemeClr w14:val="tx1"/>
            </w14:solidFill>
          </w14:textFill>
        </w:rPr>
        <w:t>图纸的提供和交底</w:t>
      </w:r>
    </w:p>
    <w:p w14:paraId="155B5D4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发包人应按照专用合同条款约定的期限、数量和内容向承包人免费提供图纸，并组织承包人、监理人和设计人进行图纸会审和设计交底。发包人至迟不得晚于第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项〔开工通知〕载明的开工日期前</w:t>
      </w:r>
      <w:r>
        <w:rPr>
          <w:rFonts w:ascii="宋体" w:hAnsi="宋体" w:eastAsia="宋体" w:cs="宋体"/>
          <w:color w:val="000000" w:themeColor="text1"/>
          <w:kern w:val="0"/>
          <w:szCs w:val="21"/>
          <w:highlight w:val="none"/>
          <w14:textFill>
            <w14:solidFill>
              <w14:schemeClr w14:val="tx1"/>
            </w14:solidFill>
          </w14:textFill>
        </w:rPr>
        <w:t>14</w:t>
      </w:r>
      <w:r>
        <w:rPr>
          <w:rFonts w:hint="eastAsia" w:ascii="宋体" w:hAnsi="宋体" w:eastAsia="宋体" w:cs="宋体"/>
          <w:color w:val="000000" w:themeColor="text1"/>
          <w:kern w:val="0"/>
          <w:szCs w:val="21"/>
          <w:highlight w:val="none"/>
          <w14:textFill>
            <w14:solidFill>
              <w14:schemeClr w14:val="tx1"/>
            </w14:solidFill>
          </w14:textFill>
        </w:rPr>
        <w:t>天向承包人提供图纸。</w:t>
      </w:r>
    </w:p>
    <w:p w14:paraId="7F8EC2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因发包人未按合同约定提供图纸导致承包人费用增加和（或）工期延误的，按照第</w:t>
      </w:r>
      <w:r>
        <w:rPr>
          <w:rFonts w:ascii="宋体" w:hAnsi="宋体" w:eastAsia="宋体" w:cs="宋体"/>
          <w:color w:val="000000" w:themeColor="text1"/>
          <w:kern w:val="0"/>
          <w:szCs w:val="21"/>
          <w:highlight w:val="none"/>
          <w14:textFill>
            <w14:solidFill>
              <w14:schemeClr w14:val="tx1"/>
            </w14:solidFill>
          </w14:textFill>
        </w:rPr>
        <w:t>7.5.1</w:t>
      </w:r>
      <w:r>
        <w:rPr>
          <w:rFonts w:hint="eastAsia" w:ascii="宋体" w:hAnsi="宋体" w:eastAsia="宋体" w:cs="宋体"/>
          <w:color w:val="000000" w:themeColor="text1"/>
          <w:kern w:val="0"/>
          <w:szCs w:val="21"/>
          <w:highlight w:val="none"/>
          <w14:textFill>
            <w14:solidFill>
              <w14:schemeClr w14:val="tx1"/>
            </w14:solidFill>
          </w14:textFill>
        </w:rPr>
        <w:t>项〔因发包人原因导致工期延误〕约定办理。</w:t>
      </w:r>
    </w:p>
    <w:p w14:paraId="5E5616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1.6.2 </w:t>
      </w:r>
      <w:r>
        <w:rPr>
          <w:rFonts w:hint="eastAsia" w:ascii="宋体" w:hAnsi="宋体" w:eastAsia="宋体" w:cs="宋体"/>
          <w:color w:val="000000" w:themeColor="text1"/>
          <w:kern w:val="0"/>
          <w:szCs w:val="21"/>
          <w:highlight w:val="none"/>
          <w14:textFill>
            <w14:solidFill>
              <w14:schemeClr w14:val="tx1"/>
            </w14:solidFill>
          </w14:textFill>
        </w:rPr>
        <w:t>图纸的错误</w:t>
      </w:r>
    </w:p>
    <w:p w14:paraId="7C509BB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B25B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1.6.3 </w:t>
      </w:r>
      <w:r>
        <w:rPr>
          <w:rFonts w:hint="eastAsia" w:ascii="宋体" w:hAnsi="宋体" w:eastAsia="宋体" w:cs="宋体"/>
          <w:color w:val="000000" w:themeColor="text1"/>
          <w:kern w:val="0"/>
          <w:szCs w:val="21"/>
          <w:highlight w:val="none"/>
          <w14:textFill>
            <w14:solidFill>
              <w14:schemeClr w14:val="tx1"/>
            </w14:solidFill>
          </w14:textFill>
        </w:rPr>
        <w:t>图纸的修改和补充</w:t>
      </w:r>
    </w:p>
    <w:p w14:paraId="627BE9D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1A4E16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1.6.4 </w:t>
      </w:r>
      <w:r>
        <w:rPr>
          <w:rFonts w:hint="eastAsia" w:ascii="宋体" w:hAnsi="宋体" w:eastAsia="宋体" w:cs="宋体"/>
          <w:color w:val="000000" w:themeColor="text1"/>
          <w:kern w:val="0"/>
          <w:szCs w:val="21"/>
          <w:highlight w:val="none"/>
          <w14:textFill>
            <w14:solidFill>
              <w14:schemeClr w14:val="tx1"/>
            </w14:solidFill>
          </w14:textFill>
        </w:rPr>
        <w:t>承包人文件</w:t>
      </w:r>
    </w:p>
    <w:p w14:paraId="48DEF6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484886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除专用合同条款另有约定外，监理人应在收到承包人文件后</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天内审查完毕，监理人对承包人文件有异议的，承包人应予以修改，并重新报送监理人。监理人的审查并不减轻或免除承包人根据合同约定应当承担的责任。</w:t>
      </w:r>
    </w:p>
    <w:p w14:paraId="39875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1.6.5 </w:t>
      </w:r>
      <w:r>
        <w:rPr>
          <w:rFonts w:hint="eastAsia" w:ascii="宋体" w:hAnsi="宋体" w:eastAsia="宋体" w:cs="宋体"/>
          <w:color w:val="000000" w:themeColor="text1"/>
          <w:kern w:val="0"/>
          <w:szCs w:val="21"/>
          <w:highlight w:val="none"/>
          <w14:textFill>
            <w14:solidFill>
              <w14:schemeClr w14:val="tx1"/>
            </w14:solidFill>
          </w14:textFill>
        </w:rPr>
        <w:t>图纸和承包人文件的保管</w:t>
      </w:r>
    </w:p>
    <w:p w14:paraId="1605ED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除专用合同条款另有约定外，承包人应在施工现场另外保存一套完整的图纸和承包人文件，供发包人、监理人及有关人员进行工程检查时使用。</w:t>
      </w:r>
    </w:p>
    <w:p w14:paraId="3924B41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2" w:name="_Toc533863313"/>
      <w:bookmarkStart w:id="143" w:name="_Toc351203502"/>
      <w:r>
        <w:rPr>
          <w:rFonts w:ascii="宋体" w:hAnsi="宋体" w:eastAsia="宋体" w:cs="宋体"/>
          <w:bCs/>
          <w:color w:val="000000" w:themeColor="text1"/>
          <w:kern w:val="0"/>
          <w:szCs w:val="21"/>
          <w:highlight w:val="none"/>
          <w14:textFill>
            <w14:solidFill>
              <w14:schemeClr w14:val="tx1"/>
            </w14:solidFill>
          </w14:textFill>
        </w:rPr>
        <w:t>1</w:t>
      </w:r>
      <w:bookmarkStart w:id="144" w:name="_Toc337558733"/>
      <w:bookmarkStart w:id="145" w:name="_Toc296503033"/>
      <w:bookmarkStart w:id="146" w:name="_Toc296346534"/>
      <w:r>
        <w:rPr>
          <w:rFonts w:ascii="宋体" w:hAnsi="宋体" w:eastAsia="宋体" w:cs="宋体"/>
          <w:bCs/>
          <w:color w:val="000000" w:themeColor="text1"/>
          <w:kern w:val="0"/>
          <w:szCs w:val="21"/>
          <w:highlight w:val="none"/>
          <w14:textFill>
            <w14:solidFill>
              <w14:schemeClr w14:val="tx1"/>
            </w14:solidFill>
          </w14:textFill>
        </w:rPr>
        <w:t>.7联络</w:t>
      </w:r>
      <w:bookmarkEnd w:id="142"/>
      <w:bookmarkEnd w:id="143"/>
    </w:p>
    <w:bookmarkEnd w:id="144"/>
    <w:bookmarkEnd w:id="145"/>
    <w:bookmarkEnd w:id="146"/>
    <w:p w14:paraId="7CAB09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1.7.1 </w:t>
      </w:r>
      <w:r>
        <w:rPr>
          <w:rFonts w:hint="eastAsia" w:ascii="宋体" w:hAnsi="宋体" w:eastAsia="宋体" w:cs="宋体"/>
          <w:color w:val="000000" w:themeColor="text1"/>
          <w:kern w:val="0"/>
          <w:szCs w:val="21"/>
          <w:highlight w:val="none"/>
          <w14:textFill>
            <w14:solidFill>
              <w14:schemeClr w14:val="tx1"/>
            </w14:solidFill>
          </w14:textFill>
        </w:rPr>
        <w:t>与合同有关的通知、批准、证明、证书、指示、指令、要求、请求、同意、意见、确定和决定等，均应采用书面形式，并应在合同约定的期限内送达接收人和送达地点。</w:t>
      </w:r>
    </w:p>
    <w:p w14:paraId="5B0946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1.7.2 </w:t>
      </w:r>
      <w:r>
        <w:rPr>
          <w:rFonts w:hint="eastAsia" w:ascii="宋体" w:hAnsi="宋体" w:eastAsia="宋体" w:cs="宋体"/>
          <w:color w:val="000000" w:themeColor="text1"/>
          <w:kern w:val="0"/>
          <w:szCs w:val="21"/>
          <w:highlight w:val="none"/>
          <w14:textFill>
            <w14:solidFill>
              <w14:schemeClr w14:val="tx1"/>
            </w14:solidFill>
          </w14:textFill>
        </w:rPr>
        <w:t>发包人和承包人应在专用合同条款中约定各自的送达接收人和送达地点。任何一方合同当事人指定的接收人或送达地点发生变动的，应提前</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天以书面形式通知对方。</w:t>
      </w:r>
    </w:p>
    <w:p w14:paraId="00EBF0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1.7.3 </w:t>
      </w:r>
      <w:r>
        <w:rPr>
          <w:rFonts w:hint="eastAsia" w:ascii="宋体" w:hAnsi="宋体" w:eastAsia="宋体" w:cs="宋体"/>
          <w:color w:val="000000" w:themeColor="text1"/>
          <w:kern w:val="0"/>
          <w:szCs w:val="21"/>
          <w:highlight w:val="none"/>
          <w14:textFill>
            <w14:solidFill>
              <w14:schemeClr w14:val="tx1"/>
            </w14:solidFill>
          </w14:textFill>
        </w:rPr>
        <w:t>发包人和承包人应当及时签收另一方送达至送达地点和指定接收人的来往信函。拒不签收的，由此增加的费用和（或）延误的工期由拒绝接收一方承担。</w:t>
      </w:r>
    </w:p>
    <w:p w14:paraId="6A3B4E0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7" w:name="_Toc533863314"/>
      <w:bookmarkStart w:id="148" w:name="_Toc351203503"/>
      <w:r>
        <w:rPr>
          <w:rFonts w:ascii="宋体" w:hAnsi="宋体" w:eastAsia="宋体" w:cs="宋体"/>
          <w:bCs/>
          <w:color w:val="000000" w:themeColor="text1"/>
          <w:kern w:val="0"/>
          <w:szCs w:val="21"/>
          <w:highlight w:val="none"/>
          <w14:textFill>
            <w14:solidFill>
              <w14:schemeClr w14:val="tx1"/>
            </w14:solidFill>
          </w14:textFill>
        </w:rPr>
        <w:t>1</w:t>
      </w:r>
      <w:bookmarkStart w:id="149" w:name="_Toc296346536"/>
      <w:bookmarkStart w:id="150" w:name="_Toc296503035"/>
      <w:bookmarkStart w:id="151" w:name="_Toc337558734"/>
      <w:r>
        <w:rPr>
          <w:rFonts w:ascii="宋体" w:hAnsi="宋体" w:eastAsia="宋体" w:cs="宋体"/>
          <w:bCs/>
          <w:color w:val="000000" w:themeColor="text1"/>
          <w:kern w:val="0"/>
          <w:szCs w:val="21"/>
          <w:highlight w:val="none"/>
          <w14:textFill>
            <w14:solidFill>
              <w14:schemeClr w14:val="tx1"/>
            </w14:solidFill>
          </w14:textFill>
        </w:rPr>
        <w:t>.8严禁贿赂</w:t>
      </w:r>
      <w:bookmarkEnd w:id="147"/>
      <w:bookmarkEnd w:id="148"/>
    </w:p>
    <w:bookmarkEnd w:id="149"/>
    <w:bookmarkEnd w:id="150"/>
    <w:bookmarkEnd w:id="151"/>
    <w:p w14:paraId="71F028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2C05D4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177135C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2" w:name="_Toc351203504"/>
      <w:bookmarkStart w:id="153" w:name="_Toc533863315"/>
      <w:r>
        <w:rPr>
          <w:rFonts w:ascii="宋体" w:hAnsi="宋体" w:eastAsia="宋体" w:cs="宋体"/>
          <w:bCs/>
          <w:color w:val="000000" w:themeColor="text1"/>
          <w:kern w:val="0"/>
          <w:szCs w:val="21"/>
          <w:highlight w:val="none"/>
          <w14:textFill>
            <w14:solidFill>
              <w14:schemeClr w14:val="tx1"/>
            </w14:solidFill>
          </w14:textFill>
        </w:rPr>
        <w:t>1</w:t>
      </w:r>
      <w:bookmarkStart w:id="154" w:name="_Toc296503036"/>
      <w:bookmarkStart w:id="155" w:name="_Toc337558735"/>
      <w:bookmarkStart w:id="156" w:name="_Toc296346537"/>
      <w:r>
        <w:rPr>
          <w:rFonts w:ascii="宋体" w:hAnsi="宋体" w:eastAsia="宋体" w:cs="宋体"/>
          <w:bCs/>
          <w:color w:val="000000" w:themeColor="text1"/>
          <w:kern w:val="0"/>
          <w:szCs w:val="21"/>
          <w:highlight w:val="none"/>
          <w14:textFill>
            <w14:solidFill>
              <w14:schemeClr w14:val="tx1"/>
            </w14:solidFill>
          </w14:textFill>
        </w:rPr>
        <w:t>.9化石、文物</w:t>
      </w:r>
      <w:bookmarkEnd w:id="152"/>
      <w:bookmarkEnd w:id="153"/>
    </w:p>
    <w:bookmarkEnd w:id="154"/>
    <w:bookmarkEnd w:id="155"/>
    <w:bookmarkEnd w:id="156"/>
    <w:p w14:paraId="5C398B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437C1A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发包人、监理人和承包人应按有关政府行政管理部门要求采取妥善的保护措施，由此增加的费用和（或）延误的工期由发包人承担。</w:t>
      </w:r>
    </w:p>
    <w:p w14:paraId="3C2FE8D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承包人发现文物后不及时报告或隐瞒不报，致使文物丢失或损坏的，应赔偿损失，并承担相应的法律责任。</w:t>
      </w:r>
    </w:p>
    <w:p w14:paraId="66C44FC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7" w:name="_Toc533863316"/>
      <w:bookmarkStart w:id="158" w:name="_Toc351203505"/>
      <w:r>
        <w:rPr>
          <w:rFonts w:ascii="宋体" w:hAnsi="宋体" w:eastAsia="宋体" w:cs="宋体"/>
          <w:bCs/>
          <w:color w:val="000000" w:themeColor="text1"/>
          <w:kern w:val="0"/>
          <w:szCs w:val="21"/>
          <w:highlight w:val="none"/>
          <w14:textFill>
            <w14:solidFill>
              <w14:schemeClr w14:val="tx1"/>
            </w14:solidFill>
          </w14:textFill>
        </w:rPr>
        <w:t>1</w:t>
      </w:r>
      <w:bookmarkStart w:id="159" w:name="_Toc337558736"/>
      <w:r>
        <w:rPr>
          <w:rFonts w:ascii="宋体" w:hAnsi="宋体" w:eastAsia="宋体" w:cs="宋体"/>
          <w:bCs/>
          <w:color w:val="000000" w:themeColor="text1"/>
          <w:kern w:val="0"/>
          <w:szCs w:val="21"/>
          <w:highlight w:val="none"/>
          <w14:textFill>
            <w14:solidFill>
              <w14:schemeClr w14:val="tx1"/>
            </w14:solidFill>
          </w14:textFill>
        </w:rPr>
        <w:t>.10交通运输</w:t>
      </w:r>
      <w:bookmarkEnd w:id="157"/>
      <w:bookmarkEnd w:id="158"/>
    </w:p>
    <w:bookmarkEnd w:id="159"/>
    <w:p w14:paraId="0CCF41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1.10.1 </w:t>
      </w:r>
      <w:r>
        <w:rPr>
          <w:rFonts w:hint="eastAsia" w:ascii="宋体" w:hAnsi="宋体" w:eastAsia="宋体" w:cs="宋体"/>
          <w:color w:val="000000" w:themeColor="text1"/>
          <w:kern w:val="0"/>
          <w:szCs w:val="21"/>
          <w:highlight w:val="none"/>
          <w14:textFill>
            <w14:solidFill>
              <w14:schemeClr w14:val="tx1"/>
            </w14:solidFill>
          </w14:textFill>
        </w:rPr>
        <w:t>出入现场的权利</w:t>
      </w:r>
    </w:p>
    <w:p w14:paraId="3EA109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C6BF2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6CC375D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1.10.2 </w:t>
      </w:r>
      <w:r>
        <w:rPr>
          <w:rFonts w:hint="eastAsia" w:ascii="宋体" w:hAnsi="宋体" w:eastAsia="宋体" w:cs="宋体"/>
          <w:color w:val="000000" w:themeColor="text1"/>
          <w:kern w:val="0"/>
          <w:szCs w:val="21"/>
          <w:highlight w:val="none"/>
          <w14:textFill>
            <w14:solidFill>
              <w14:schemeClr w14:val="tx1"/>
            </w14:solidFill>
          </w14:textFill>
        </w:rPr>
        <w:t>场外交通</w:t>
      </w:r>
    </w:p>
    <w:p w14:paraId="6FB8A9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667BBA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1.10.3</w:t>
      </w:r>
      <w:r>
        <w:rPr>
          <w:rFonts w:hint="eastAsia" w:ascii="宋体" w:hAnsi="宋体" w:eastAsia="宋体" w:cs="宋体"/>
          <w:color w:val="000000" w:themeColor="text1"/>
          <w:kern w:val="0"/>
          <w:szCs w:val="21"/>
          <w:highlight w:val="none"/>
          <w14:textFill>
            <w14:solidFill>
              <w14:schemeClr w14:val="tx1"/>
            </w14:solidFill>
          </w14:textFill>
        </w:rPr>
        <w:t>场内交通</w:t>
      </w:r>
    </w:p>
    <w:p w14:paraId="6A4E9D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6BA24A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405FE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场外交通和场内交通的边界由合同当事人在专用合同条款中约定。</w:t>
      </w:r>
    </w:p>
    <w:p w14:paraId="73A7687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1.10.4 </w:t>
      </w:r>
      <w:r>
        <w:rPr>
          <w:rFonts w:hint="eastAsia" w:ascii="宋体" w:hAnsi="宋体" w:eastAsia="宋体" w:cs="宋体"/>
          <w:color w:val="000000" w:themeColor="text1"/>
          <w:kern w:val="0"/>
          <w:szCs w:val="21"/>
          <w:highlight w:val="none"/>
          <w14:textFill>
            <w14:solidFill>
              <w14:schemeClr w14:val="tx1"/>
            </w14:solidFill>
          </w14:textFill>
        </w:rPr>
        <w:t>超大件和超重件的运输</w:t>
      </w:r>
    </w:p>
    <w:p w14:paraId="32C933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1164FF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1.10.5 </w:t>
      </w:r>
      <w:r>
        <w:rPr>
          <w:rFonts w:hint="eastAsia" w:ascii="宋体" w:hAnsi="宋体" w:eastAsia="宋体" w:cs="宋体"/>
          <w:color w:val="000000" w:themeColor="text1"/>
          <w:kern w:val="0"/>
          <w:szCs w:val="21"/>
          <w:highlight w:val="none"/>
          <w14:textFill>
            <w14:solidFill>
              <w14:schemeClr w14:val="tx1"/>
            </w14:solidFill>
          </w14:textFill>
        </w:rPr>
        <w:t>道路和桥梁的损坏责任</w:t>
      </w:r>
    </w:p>
    <w:p w14:paraId="3C0938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因承包人运输造成施工场地内外公共道路和桥梁损坏的，由承包人承担修复损坏的全部费用和可能引起的赔偿。</w:t>
      </w:r>
    </w:p>
    <w:p w14:paraId="62811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1.10.6 </w:t>
      </w:r>
      <w:r>
        <w:rPr>
          <w:rFonts w:hint="eastAsia" w:ascii="宋体" w:hAnsi="宋体" w:eastAsia="宋体" w:cs="宋体"/>
          <w:color w:val="000000" w:themeColor="text1"/>
          <w:kern w:val="0"/>
          <w:szCs w:val="21"/>
          <w:highlight w:val="none"/>
          <w14:textFill>
            <w14:solidFill>
              <w14:schemeClr w14:val="tx1"/>
            </w14:solidFill>
          </w14:textFill>
        </w:rPr>
        <w:t>水路和航空运输</w:t>
      </w:r>
    </w:p>
    <w:p w14:paraId="155D374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本款前述各项的内容适用于水路运输和航空运输，其中</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道路</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一词的涵义包括河道、航线、船闸、机场、码头、堤防以及水路或航空运输中其他相似结构物；</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车辆</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一词的涵义包括船舶和飞机等。</w:t>
      </w:r>
    </w:p>
    <w:p w14:paraId="41737F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0" w:name="_Toc351203506"/>
      <w:bookmarkStart w:id="161" w:name="_Toc533863317"/>
      <w:r>
        <w:rPr>
          <w:rFonts w:ascii="宋体" w:hAnsi="宋体" w:eastAsia="宋体" w:cs="宋体"/>
          <w:bCs/>
          <w:color w:val="000000" w:themeColor="text1"/>
          <w:kern w:val="0"/>
          <w:szCs w:val="21"/>
          <w:highlight w:val="none"/>
          <w14:textFill>
            <w14:solidFill>
              <w14:schemeClr w14:val="tx1"/>
            </w14:solidFill>
          </w14:textFill>
        </w:rPr>
        <w:t>1</w:t>
      </w:r>
      <w:bookmarkStart w:id="162" w:name="_Toc337558737"/>
      <w:bookmarkStart w:id="163" w:name="_Toc296346538"/>
      <w:bookmarkStart w:id="164" w:name="_Toc296503037"/>
      <w:r>
        <w:rPr>
          <w:rFonts w:ascii="宋体" w:hAnsi="宋体" w:eastAsia="宋体" w:cs="宋体"/>
          <w:bCs/>
          <w:color w:val="000000" w:themeColor="text1"/>
          <w:kern w:val="0"/>
          <w:szCs w:val="21"/>
          <w:highlight w:val="none"/>
          <w14:textFill>
            <w14:solidFill>
              <w14:schemeClr w14:val="tx1"/>
            </w14:solidFill>
          </w14:textFill>
        </w:rPr>
        <w:t>.11知识产权</w:t>
      </w:r>
      <w:bookmarkEnd w:id="160"/>
      <w:bookmarkEnd w:id="161"/>
      <w:r>
        <w:rPr>
          <w:rFonts w:ascii="宋体" w:hAnsi="宋体" w:eastAsia="宋体" w:cs="宋体"/>
          <w:bCs/>
          <w:color w:val="000000" w:themeColor="text1"/>
          <w:kern w:val="0"/>
          <w:szCs w:val="21"/>
          <w:highlight w:val="none"/>
          <w14:textFill>
            <w14:solidFill>
              <w14:schemeClr w14:val="tx1"/>
            </w14:solidFill>
          </w14:textFill>
        </w:rPr>
        <w:t xml:space="preserve"> </w:t>
      </w:r>
      <w:bookmarkEnd w:id="162"/>
    </w:p>
    <w:bookmarkEnd w:id="163"/>
    <w:bookmarkEnd w:id="164"/>
    <w:p w14:paraId="10C83E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6FC808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6A0730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E1DA9F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1.11.4 除专用合同条款另有约定外，承包人在合同签订前和签订时已确定采用的专利、专有技术、技术秘密的使用费已包含在签约合同价中。</w:t>
      </w:r>
    </w:p>
    <w:p w14:paraId="6B0E7438">
      <w:pPr>
        <w:rPr>
          <w:rFonts w:ascii="宋体" w:hAnsi="宋体" w:eastAsia="宋体" w:cs="宋体"/>
          <w:color w:val="000000" w:themeColor="text1"/>
          <w:highlight w:val="none"/>
          <w14:textFill>
            <w14:solidFill>
              <w14:schemeClr w14:val="tx1"/>
            </w14:solidFill>
          </w14:textFill>
        </w:rPr>
      </w:pPr>
    </w:p>
    <w:bookmarkEnd w:id="102"/>
    <w:p w14:paraId="3403334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5" w:name="_Toc533863318"/>
      <w:bookmarkStart w:id="166" w:name="_Toc351203507"/>
      <w:r>
        <w:rPr>
          <w:rFonts w:ascii="宋体" w:hAnsi="宋体" w:eastAsia="宋体" w:cs="宋体"/>
          <w:bCs/>
          <w:color w:val="000000" w:themeColor="text1"/>
          <w:kern w:val="0"/>
          <w:szCs w:val="21"/>
          <w:highlight w:val="none"/>
          <w14:textFill>
            <w14:solidFill>
              <w14:schemeClr w14:val="tx1"/>
            </w14:solidFill>
          </w14:textFill>
        </w:rPr>
        <w:t>1</w:t>
      </w:r>
      <w:bookmarkStart w:id="167" w:name="_Toc337558738"/>
      <w:r>
        <w:rPr>
          <w:rFonts w:ascii="宋体" w:hAnsi="宋体" w:eastAsia="宋体" w:cs="宋体"/>
          <w:bCs/>
          <w:color w:val="000000" w:themeColor="text1"/>
          <w:kern w:val="0"/>
          <w:szCs w:val="21"/>
          <w:highlight w:val="none"/>
          <w14:textFill>
            <w14:solidFill>
              <w14:schemeClr w14:val="tx1"/>
            </w14:solidFill>
          </w14:textFill>
        </w:rPr>
        <w:t>.12保密</w:t>
      </w:r>
      <w:bookmarkEnd w:id="165"/>
      <w:bookmarkEnd w:id="166"/>
    </w:p>
    <w:bookmarkEnd w:id="167"/>
    <w:p w14:paraId="003AB0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6A4933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除法律规定或合同另有约定外，未经承包人同意，发包人不得将承包人提供的技术秘密及声明需要保密的资料信息等商业秘密泄露给第三方。</w:t>
      </w:r>
    </w:p>
    <w:p w14:paraId="2D793E8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8" w:name="_Toc351203508"/>
      <w:bookmarkStart w:id="169" w:name="_Toc533863319"/>
      <w:r>
        <w:rPr>
          <w:rFonts w:ascii="宋体" w:hAnsi="宋体" w:eastAsia="宋体" w:cs="宋体"/>
          <w:bCs/>
          <w:color w:val="000000" w:themeColor="text1"/>
          <w:kern w:val="0"/>
          <w:szCs w:val="21"/>
          <w:highlight w:val="none"/>
          <w14:textFill>
            <w14:solidFill>
              <w14:schemeClr w14:val="tx1"/>
            </w14:solidFill>
          </w14:textFill>
        </w:rPr>
        <w:t>1.13工程量清单错误的修正</w:t>
      </w:r>
      <w:bookmarkEnd w:id="168"/>
      <w:bookmarkEnd w:id="169"/>
    </w:p>
    <w:p w14:paraId="305C17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59E2781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（1）工程量清单存在缺项、漏项的；</w:t>
      </w:r>
    </w:p>
    <w:p w14:paraId="57D815B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（2）工程量清单偏差超出专用合同条款约定的工程量偏差范围的；</w:t>
      </w:r>
    </w:p>
    <w:p w14:paraId="0DC0533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（3）未按照国家现行计量规范强制性规定计量的。</w:t>
      </w:r>
    </w:p>
    <w:p w14:paraId="0B4444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70" w:name="_Toc351203509"/>
      <w:bookmarkStart w:id="171" w:name="_Toc8087"/>
      <w:bookmarkStart w:id="172" w:name="_Toc533863320"/>
      <w:r>
        <w:rPr>
          <w:rFonts w:hint="eastAsia" w:ascii="宋体" w:hAnsi="宋体" w:eastAsia="宋体" w:cs="宋体"/>
          <w:bCs/>
          <w:color w:val="000000" w:themeColor="text1"/>
          <w:szCs w:val="21"/>
          <w:highlight w:val="none"/>
          <w14:textFill>
            <w14:solidFill>
              <w14:schemeClr w14:val="tx1"/>
            </w14:solidFill>
          </w14:textFill>
        </w:rPr>
        <w:t>2</w:t>
      </w:r>
      <w:bookmarkStart w:id="173" w:name="_Toc296503038"/>
      <w:bookmarkStart w:id="174" w:name="_Toc296346539"/>
      <w:bookmarkStart w:id="175" w:name="_Toc337558739"/>
      <w:bookmarkStart w:id="176" w:name="OLE_LINK1"/>
      <w:bookmarkStart w:id="177" w:name="OLE_LINK2"/>
      <w:r>
        <w:rPr>
          <w:rFonts w:hint="eastAsia" w:ascii="宋体" w:hAnsi="宋体" w:eastAsia="宋体" w:cs="宋体"/>
          <w:bCs/>
          <w:color w:val="000000" w:themeColor="text1"/>
          <w:szCs w:val="21"/>
          <w:highlight w:val="none"/>
          <w14:textFill>
            <w14:solidFill>
              <w14:schemeClr w14:val="tx1"/>
            </w14:solidFill>
          </w14:textFill>
        </w:rPr>
        <w:t>. 发包人</w:t>
      </w:r>
      <w:bookmarkEnd w:id="170"/>
      <w:bookmarkEnd w:id="171"/>
      <w:bookmarkEnd w:id="172"/>
    </w:p>
    <w:bookmarkEnd w:id="173"/>
    <w:bookmarkEnd w:id="174"/>
    <w:bookmarkEnd w:id="175"/>
    <w:p w14:paraId="1339662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78" w:name="_Toc533863321"/>
      <w:bookmarkStart w:id="179" w:name="_Toc351203510"/>
      <w:r>
        <w:rPr>
          <w:rFonts w:ascii="宋体" w:hAnsi="宋体" w:eastAsia="宋体" w:cs="宋体"/>
          <w:bCs/>
          <w:color w:val="000000" w:themeColor="text1"/>
          <w:kern w:val="0"/>
          <w:szCs w:val="21"/>
          <w:highlight w:val="none"/>
          <w14:textFill>
            <w14:solidFill>
              <w14:schemeClr w14:val="tx1"/>
            </w14:solidFill>
          </w14:textFill>
        </w:rPr>
        <w:t>2</w:t>
      </w:r>
      <w:bookmarkStart w:id="180" w:name="_Toc296346540"/>
      <w:bookmarkStart w:id="181" w:name="_Toc296503039"/>
      <w:bookmarkStart w:id="182" w:name="_Toc337558740"/>
      <w:r>
        <w:rPr>
          <w:rFonts w:ascii="宋体" w:hAnsi="宋体" w:eastAsia="宋体" w:cs="宋体"/>
          <w:bCs/>
          <w:color w:val="000000" w:themeColor="text1"/>
          <w:kern w:val="0"/>
          <w:szCs w:val="21"/>
          <w:highlight w:val="none"/>
          <w14:textFill>
            <w14:solidFill>
              <w14:schemeClr w14:val="tx1"/>
            </w14:solidFill>
          </w14:textFill>
        </w:rPr>
        <w:t>.1 许可或批准</w:t>
      </w:r>
      <w:bookmarkEnd w:id="178"/>
      <w:bookmarkEnd w:id="179"/>
    </w:p>
    <w:p w14:paraId="5B2031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BE35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因发包人原因未能及时办理完毕前述许可、批准或备案，由发包人承担由此增加的费用和（或）延误的工期，并支付承包人合理的利润。</w:t>
      </w:r>
    </w:p>
    <w:p w14:paraId="5E98BF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3" w:name="_Toc533863322"/>
      <w:bookmarkStart w:id="184" w:name="_Toc351203511"/>
      <w:r>
        <w:rPr>
          <w:rFonts w:ascii="宋体" w:hAnsi="宋体" w:eastAsia="宋体" w:cs="宋体"/>
          <w:bCs/>
          <w:color w:val="000000" w:themeColor="text1"/>
          <w:kern w:val="0"/>
          <w:szCs w:val="21"/>
          <w:highlight w:val="none"/>
          <w14:textFill>
            <w14:solidFill>
              <w14:schemeClr w14:val="tx1"/>
            </w14:solidFill>
          </w14:textFill>
        </w:rPr>
        <w:t>2.2 发包人代表</w:t>
      </w:r>
      <w:bookmarkEnd w:id="183"/>
      <w:bookmarkEnd w:id="184"/>
    </w:p>
    <w:p w14:paraId="04887C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31238CD">
      <w:pPr>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发包人代表不能按照合同约定履行其职责及义务，并导致合同无法继续正常履行的，承包人可以要求发包人撤换发包人代表。</w:t>
      </w:r>
    </w:p>
    <w:p w14:paraId="6A3B9A32">
      <w:pPr>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不属于法定必须监理的工程，监理人的职权可以由发包人代表或发包人指定的其他人员行使。</w:t>
      </w:r>
    </w:p>
    <w:p w14:paraId="5D17C00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5" w:name="_Toc351203512"/>
      <w:bookmarkStart w:id="186" w:name="_Toc533863323"/>
      <w:r>
        <w:rPr>
          <w:rFonts w:ascii="宋体" w:hAnsi="宋体" w:eastAsia="宋体" w:cs="宋体"/>
          <w:bCs/>
          <w:color w:val="000000" w:themeColor="text1"/>
          <w:kern w:val="0"/>
          <w:szCs w:val="21"/>
          <w:highlight w:val="none"/>
          <w14:textFill>
            <w14:solidFill>
              <w14:schemeClr w14:val="tx1"/>
            </w14:solidFill>
          </w14:textFill>
        </w:rPr>
        <w:t>2.3 发包人人员</w:t>
      </w:r>
      <w:bookmarkEnd w:id="185"/>
      <w:bookmarkEnd w:id="186"/>
    </w:p>
    <w:p w14:paraId="3536C2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6E51D71F">
      <w:pPr>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发包人人员包括发包人代表及其他由发包人派驻施工现场的人员。</w:t>
      </w:r>
      <w:bookmarkEnd w:id="180"/>
      <w:bookmarkEnd w:id="181"/>
      <w:bookmarkEnd w:id="182"/>
    </w:p>
    <w:p w14:paraId="6352021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7" w:name="_Toc351203513"/>
      <w:bookmarkStart w:id="188" w:name="_Toc533863324"/>
      <w:r>
        <w:rPr>
          <w:rFonts w:ascii="宋体" w:hAnsi="宋体" w:eastAsia="宋体" w:cs="宋体"/>
          <w:bCs/>
          <w:color w:val="000000" w:themeColor="text1"/>
          <w:kern w:val="0"/>
          <w:szCs w:val="21"/>
          <w:highlight w:val="none"/>
          <w14:textFill>
            <w14:solidFill>
              <w14:schemeClr w14:val="tx1"/>
            </w14:solidFill>
          </w14:textFill>
        </w:rPr>
        <w:t>2</w:t>
      </w:r>
      <w:bookmarkStart w:id="189" w:name="_Toc296503040"/>
      <w:bookmarkStart w:id="190" w:name="_Toc296346541"/>
      <w:bookmarkStart w:id="191" w:name="_Toc337558741"/>
      <w:r>
        <w:rPr>
          <w:rFonts w:ascii="宋体" w:hAnsi="宋体" w:eastAsia="宋体" w:cs="宋体"/>
          <w:bCs/>
          <w:color w:val="000000" w:themeColor="text1"/>
          <w:kern w:val="0"/>
          <w:szCs w:val="21"/>
          <w:highlight w:val="none"/>
          <w14:textFill>
            <w14:solidFill>
              <w14:schemeClr w14:val="tx1"/>
            </w14:solidFill>
          </w14:textFill>
        </w:rPr>
        <w:t>.4 施工现场、施工条件和基础资料的提供</w:t>
      </w:r>
      <w:bookmarkEnd w:id="187"/>
      <w:bookmarkEnd w:id="188"/>
      <w:r>
        <w:rPr>
          <w:rFonts w:ascii="宋体" w:hAnsi="宋体" w:eastAsia="宋体" w:cs="宋体"/>
          <w:bCs/>
          <w:color w:val="000000" w:themeColor="text1"/>
          <w:kern w:val="0"/>
          <w:szCs w:val="21"/>
          <w:highlight w:val="none"/>
          <w14:textFill>
            <w14:solidFill>
              <w14:schemeClr w14:val="tx1"/>
            </w14:solidFill>
          </w14:textFill>
        </w:rPr>
        <w:t xml:space="preserve"> </w:t>
      </w:r>
      <w:bookmarkEnd w:id="189"/>
      <w:bookmarkEnd w:id="190"/>
      <w:bookmarkEnd w:id="191"/>
      <w:r>
        <w:rPr>
          <w:rFonts w:ascii="宋体" w:hAnsi="宋体" w:eastAsia="宋体" w:cs="宋体"/>
          <w:bCs/>
          <w:color w:val="000000" w:themeColor="text1"/>
          <w:kern w:val="0"/>
          <w:szCs w:val="21"/>
          <w:highlight w:val="none"/>
          <w14:textFill>
            <w14:solidFill>
              <w14:schemeClr w14:val="tx1"/>
            </w14:solidFill>
          </w14:textFill>
        </w:rPr>
        <w:t xml:space="preserve"> </w:t>
      </w:r>
    </w:p>
    <w:p w14:paraId="2E7463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2.4.1 提供施工现场</w:t>
      </w:r>
    </w:p>
    <w:p w14:paraId="5DCF5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w:t>
      </w:r>
      <w:bookmarkEnd w:id="176"/>
      <w:bookmarkEnd w:id="177"/>
      <w:r>
        <w:rPr>
          <w:rFonts w:hint="eastAsia" w:ascii="宋体" w:hAnsi="宋体" w:eastAsia="宋体" w:cs="宋体"/>
          <w:color w:val="000000" w:themeColor="text1"/>
          <w:kern w:val="0"/>
          <w:szCs w:val="21"/>
          <w:highlight w:val="none"/>
          <w14:textFill>
            <w14:solidFill>
              <w14:schemeClr w14:val="tx1"/>
            </w14:solidFill>
          </w14:textFill>
        </w:rPr>
        <w:t>专用合同条款另有约定外，发包人应最迟于开工日期7天前向承包人移交施工现场。</w:t>
      </w:r>
    </w:p>
    <w:p w14:paraId="12681D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2.4.2 提供施工条件</w:t>
      </w:r>
    </w:p>
    <w:p w14:paraId="66F9632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除专用合同条款另有约定外，发包人应负责提供施工所需要的条件，包括：</w:t>
      </w:r>
    </w:p>
    <w:p w14:paraId="6D367B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（1）将施工用水、电力、通讯线路等施工所必需的条件接至施工现场内；</w:t>
      </w:r>
    </w:p>
    <w:p w14:paraId="152BB43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（2）保证向承包人提供正常施工所需要的进入施工现场的交通条件；</w:t>
      </w:r>
    </w:p>
    <w:p w14:paraId="209B2D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（3）协调处理施工现场周围地下管线和邻近建筑物、构筑物、古树名木的保护工作，并承担相关费用；</w:t>
      </w:r>
    </w:p>
    <w:p w14:paraId="101A7B2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（4）按照专用合同条款约定应提供的其他设施和条件。</w:t>
      </w:r>
    </w:p>
    <w:p w14:paraId="3EBC9CB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2.4.3 提供基础资料</w:t>
      </w:r>
    </w:p>
    <w:p w14:paraId="041794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E2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28C0EB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2.4.4 逾期提供的责任</w:t>
      </w:r>
    </w:p>
    <w:p w14:paraId="63A247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因发包人原因未能按合同约定及时向承包人提供施工现场、施工条件、基础资料的，由发包人承担由此增加的费用和（或）延误的工期。</w:t>
      </w:r>
    </w:p>
    <w:p w14:paraId="186F64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2" w:name="_Toc351203514"/>
      <w:bookmarkStart w:id="193" w:name="_Toc533863325"/>
      <w:r>
        <w:rPr>
          <w:rFonts w:ascii="宋体" w:hAnsi="宋体" w:eastAsia="宋体" w:cs="宋体"/>
          <w:bCs/>
          <w:color w:val="000000" w:themeColor="text1"/>
          <w:kern w:val="0"/>
          <w:szCs w:val="21"/>
          <w:highlight w:val="none"/>
          <w14:textFill>
            <w14:solidFill>
              <w14:schemeClr w14:val="tx1"/>
            </w14:solidFill>
          </w14:textFill>
        </w:rPr>
        <w:t>2</w:t>
      </w:r>
      <w:bookmarkStart w:id="194" w:name="_Toc337558745"/>
      <w:bookmarkStart w:id="195" w:name="_Toc296503042"/>
      <w:bookmarkStart w:id="196" w:name="_Toc296346543"/>
      <w:r>
        <w:rPr>
          <w:rFonts w:ascii="宋体" w:hAnsi="宋体" w:eastAsia="宋体" w:cs="宋体"/>
          <w:bCs/>
          <w:color w:val="000000" w:themeColor="text1"/>
          <w:kern w:val="0"/>
          <w:szCs w:val="21"/>
          <w:highlight w:val="none"/>
          <w14:textFill>
            <w14:solidFill>
              <w14:schemeClr w14:val="tx1"/>
            </w14:solidFill>
          </w14:textFill>
        </w:rPr>
        <w:t>.5 资</w:t>
      </w:r>
      <w:bookmarkEnd w:id="194"/>
      <w:bookmarkEnd w:id="195"/>
      <w:bookmarkEnd w:id="196"/>
      <w:r>
        <w:rPr>
          <w:rFonts w:ascii="宋体" w:hAnsi="宋体" w:eastAsia="宋体" w:cs="宋体"/>
          <w:bCs/>
          <w:color w:val="000000" w:themeColor="text1"/>
          <w:kern w:val="0"/>
          <w:szCs w:val="21"/>
          <w:highlight w:val="none"/>
          <w14:textFill>
            <w14:solidFill>
              <w14:schemeClr w14:val="tx1"/>
            </w14:solidFill>
          </w14:textFill>
        </w:rPr>
        <w:t>金来源证明及支付担保</w:t>
      </w:r>
      <w:bookmarkEnd w:id="192"/>
      <w:bookmarkEnd w:id="193"/>
    </w:p>
    <w:p w14:paraId="7952347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45EFA0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7567D63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7" w:name="_Toc351203515"/>
      <w:bookmarkStart w:id="198" w:name="_Toc533863326"/>
      <w:r>
        <w:rPr>
          <w:rFonts w:ascii="宋体" w:hAnsi="宋体" w:eastAsia="宋体" w:cs="宋体"/>
          <w:bCs/>
          <w:color w:val="000000" w:themeColor="text1"/>
          <w:kern w:val="0"/>
          <w:szCs w:val="21"/>
          <w:highlight w:val="none"/>
          <w14:textFill>
            <w14:solidFill>
              <w14:schemeClr w14:val="tx1"/>
            </w14:solidFill>
          </w14:textFill>
        </w:rPr>
        <w:t>2.6 支付合同价款</w:t>
      </w:r>
      <w:bookmarkEnd w:id="197"/>
      <w:bookmarkEnd w:id="198"/>
    </w:p>
    <w:p w14:paraId="72ACD0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发包人应按合同约定向承包人及时支付合同价款。</w:t>
      </w:r>
    </w:p>
    <w:p w14:paraId="588434F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9" w:name="_Toc351203516"/>
      <w:bookmarkStart w:id="200" w:name="_Toc533863327"/>
      <w:r>
        <w:rPr>
          <w:rFonts w:ascii="宋体" w:hAnsi="宋体" w:eastAsia="宋体" w:cs="宋体"/>
          <w:bCs/>
          <w:color w:val="000000" w:themeColor="text1"/>
          <w:kern w:val="0"/>
          <w:szCs w:val="21"/>
          <w:highlight w:val="none"/>
          <w14:textFill>
            <w14:solidFill>
              <w14:schemeClr w14:val="tx1"/>
            </w14:solidFill>
          </w14:textFill>
        </w:rPr>
        <w:t>2.7 组织竣工验收</w:t>
      </w:r>
      <w:bookmarkEnd w:id="199"/>
      <w:bookmarkEnd w:id="200"/>
    </w:p>
    <w:p w14:paraId="045772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发包人应按合同约定及时组织竣工验收。</w:t>
      </w:r>
    </w:p>
    <w:p w14:paraId="6F93FCD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1" w:name="_Toc351203517"/>
      <w:bookmarkStart w:id="202" w:name="_Toc533863328"/>
      <w:r>
        <w:rPr>
          <w:rFonts w:ascii="宋体" w:hAnsi="宋体" w:eastAsia="宋体" w:cs="宋体"/>
          <w:bCs/>
          <w:color w:val="000000" w:themeColor="text1"/>
          <w:kern w:val="0"/>
          <w:szCs w:val="21"/>
          <w:highlight w:val="none"/>
          <w14:textFill>
            <w14:solidFill>
              <w14:schemeClr w14:val="tx1"/>
            </w14:solidFill>
          </w14:textFill>
        </w:rPr>
        <w:t>2.8 现场统一管理协议</w:t>
      </w:r>
      <w:bookmarkEnd w:id="201"/>
      <w:bookmarkEnd w:id="202"/>
    </w:p>
    <w:p w14:paraId="3A0B2D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57E8ED38">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03" w:name="_Toc533863329"/>
      <w:bookmarkStart w:id="204" w:name="_Toc6970"/>
      <w:bookmarkStart w:id="205" w:name="_Toc351203518"/>
      <w:r>
        <w:rPr>
          <w:rFonts w:hint="eastAsia" w:ascii="宋体" w:hAnsi="宋体" w:eastAsia="宋体" w:cs="宋体"/>
          <w:bCs/>
          <w:color w:val="000000" w:themeColor="text1"/>
          <w:szCs w:val="21"/>
          <w:highlight w:val="none"/>
          <w14:textFill>
            <w14:solidFill>
              <w14:schemeClr w14:val="tx1"/>
            </w14:solidFill>
          </w14:textFill>
        </w:rPr>
        <w:t>3</w:t>
      </w:r>
      <w:bookmarkStart w:id="206" w:name="_Toc296346546"/>
      <w:bookmarkStart w:id="207" w:name="_Toc337558746"/>
      <w:bookmarkStart w:id="208" w:name="_Toc296503045"/>
      <w:r>
        <w:rPr>
          <w:rFonts w:hint="eastAsia" w:ascii="宋体" w:hAnsi="宋体" w:eastAsia="宋体" w:cs="宋体"/>
          <w:bCs/>
          <w:color w:val="000000" w:themeColor="text1"/>
          <w:szCs w:val="21"/>
          <w:highlight w:val="none"/>
          <w14:textFill>
            <w14:solidFill>
              <w14:schemeClr w14:val="tx1"/>
            </w14:solidFill>
          </w14:textFill>
        </w:rPr>
        <w:t>. 承包人</w:t>
      </w:r>
      <w:bookmarkEnd w:id="203"/>
      <w:bookmarkEnd w:id="204"/>
      <w:bookmarkEnd w:id="205"/>
    </w:p>
    <w:bookmarkEnd w:id="206"/>
    <w:bookmarkEnd w:id="207"/>
    <w:bookmarkEnd w:id="208"/>
    <w:p w14:paraId="5626642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9" w:name="_Toc533863330"/>
      <w:bookmarkStart w:id="210" w:name="_Toc351203519"/>
      <w:r>
        <w:rPr>
          <w:rFonts w:ascii="宋体" w:hAnsi="宋体" w:eastAsia="宋体" w:cs="宋体"/>
          <w:bCs/>
          <w:color w:val="000000" w:themeColor="text1"/>
          <w:kern w:val="0"/>
          <w:szCs w:val="21"/>
          <w:highlight w:val="none"/>
          <w14:textFill>
            <w14:solidFill>
              <w14:schemeClr w14:val="tx1"/>
            </w14:solidFill>
          </w14:textFill>
        </w:rPr>
        <w:t>3</w:t>
      </w:r>
      <w:bookmarkStart w:id="211" w:name="_Toc296346547"/>
      <w:bookmarkStart w:id="212" w:name="_Toc337558747"/>
      <w:bookmarkStart w:id="213" w:name="_Toc296503046"/>
      <w:r>
        <w:rPr>
          <w:rFonts w:ascii="宋体" w:hAnsi="宋体" w:eastAsia="宋体" w:cs="宋体"/>
          <w:bCs/>
          <w:color w:val="000000" w:themeColor="text1"/>
          <w:kern w:val="0"/>
          <w:szCs w:val="21"/>
          <w:highlight w:val="none"/>
          <w14:textFill>
            <w14:solidFill>
              <w14:schemeClr w14:val="tx1"/>
            </w14:solidFill>
          </w14:textFill>
        </w:rPr>
        <w:t>.1 承包人的一般义务</w:t>
      </w:r>
      <w:bookmarkEnd w:id="209"/>
      <w:bookmarkEnd w:id="210"/>
    </w:p>
    <w:bookmarkEnd w:id="211"/>
    <w:bookmarkEnd w:id="212"/>
    <w:bookmarkEnd w:id="213"/>
    <w:p w14:paraId="72633B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承包人在履行合同过程中应遵守法律和工程建设标准规范，并履行以下义务：</w:t>
      </w:r>
    </w:p>
    <w:p w14:paraId="0A2E6B47">
      <w:pPr>
        <w:numPr>
          <w:ilvl w:val="0"/>
          <w:numId w:val="1"/>
        </w:num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办理法律规定应由承包人办理的许可和批准，并将办理结果书面报送发包人留存；</w:t>
      </w:r>
    </w:p>
    <w:p w14:paraId="7590D9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（2）按法律规定和合同约定完成工程，并在保修期内承担保修义务；</w:t>
      </w:r>
    </w:p>
    <w:p w14:paraId="056D0F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（3）按法律规定和合同约定采取施工安全和环境保护措施，办理工伤保险，确保工程及人员、材料、设备和设施的安全；</w:t>
      </w:r>
    </w:p>
    <w:p w14:paraId="096F64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（4）按合同约定的工作内容和施工进度要求，编制施工组织设计和施工措施计划，并对所有施工作业和施工方法的完备性和安全可靠性负责；</w:t>
      </w:r>
    </w:p>
    <w:p w14:paraId="5A0B62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F5BC6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（6）按照第6.3款〔环境保护〕约定负责施工场地及其周边环境与生态的保护工作；</w:t>
      </w:r>
    </w:p>
    <w:p w14:paraId="42C5F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（7）按第6.1款〔安全文明施工〕约定采取施工安全措施，确保工程及其人员、材料、设备和设施的安全，防止因工程施工造成的人身伤害和财产损失；</w:t>
      </w:r>
    </w:p>
    <w:p w14:paraId="7418E0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（8）将发包人按合同约定支付的各项价款专用于合同工程，且应及时支付其雇用人员工资，并及时向分包人支付合同价款；</w:t>
      </w:r>
    </w:p>
    <w:p w14:paraId="428D1E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（9）按照法律规定和合同约定编制竣工资料，完成竣工资料立卷及归档，并按专用合同条款约定的竣工资料的套数、内容、时间等要求移交发包人；</w:t>
      </w:r>
    </w:p>
    <w:p w14:paraId="67AC42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（10）应履行的其他义务。</w:t>
      </w:r>
    </w:p>
    <w:p w14:paraId="7A1E9A2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4" w:name="_Toc351203520"/>
      <w:bookmarkStart w:id="215" w:name="_Toc533863331"/>
      <w:r>
        <w:rPr>
          <w:rFonts w:ascii="宋体" w:hAnsi="宋体" w:eastAsia="宋体" w:cs="宋体"/>
          <w:bCs/>
          <w:color w:val="000000" w:themeColor="text1"/>
          <w:kern w:val="0"/>
          <w:szCs w:val="21"/>
          <w:highlight w:val="none"/>
          <w14:textFill>
            <w14:solidFill>
              <w14:schemeClr w14:val="tx1"/>
            </w14:solidFill>
          </w14:textFill>
        </w:rPr>
        <w:t>3</w:t>
      </w:r>
      <w:bookmarkStart w:id="216" w:name="_Toc296503047"/>
      <w:bookmarkStart w:id="217" w:name="_Toc337558748"/>
      <w:bookmarkStart w:id="218" w:name="_Toc296346548"/>
      <w:r>
        <w:rPr>
          <w:rFonts w:ascii="宋体" w:hAnsi="宋体" w:eastAsia="宋体" w:cs="宋体"/>
          <w:bCs/>
          <w:color w:val="000000" w:themeColor="text1"/>
          <w:kern w:val="0"/>
          <w:szCs w:val="21"/>
          <w:highlight w:val="none"/>
          <w14:textFill>
            <w14:solidFill>
              <w14:schemeClr w14:val="tx1"/>
            </w14:solidFill>
          </w14:textFill>
        </w:rPr>
        <w:t xml:space="preserve">.2 </w:t>
      </w:r>
      <w:bookmarkEnd w:id="214"/>
      <w:r>
        <w:rPr>
          <w:rFonts w:ascii="宋体" w:hAnsi="宋体" w:eastAsia="宋体" w:cs="宋体"/>
          <w:bCs/>
          <w:color w:val="000000" w:themeColor="text1"/>
          <w:kern w:val="0"/>
          <w:szCs w:val="21"/>
          <w:highlight w:val="none"/>
          <w14:textFill>
            <w14:solidFill>
              <w14:schemeClr w14:val="tx1"/>
            </w14:solidFill>
          </w14:textFill>
        </w:rPr>
        <w:t>项目经理</w:t>
      </w:r>
      <w:bookmarkEnd w:id="215"/>
    </w:p>
    <w:bookmarkEnd w:id="216"/>
    <w:bookmarkEnd w:id="217"/>
    <w:bookmarkEnd w:id="218"/>
    <w:p w14:paraId="7900F68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64262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F4DF5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承包人违反上述约定的，应按照专用合同条款的约定，承担违约责任。</w:t>
      </w:r>
    </w:p>
    <w:p w14:paraId="3D9261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B41C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19B183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F8FB6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3.2.5 项目经理因特殊情况授权其下属人员履行其某项工作职责的，该下属人员应具备履行相应职责的能力，并应提前7天将上述人员的姓名和授权范围书面通知监理人，并征得发包人书面同意。</w:t>
      </w:r>
    </w:p>
    <w:p w14:paraId="0715AB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9" w:name="_Toc351203521"/>
      <w:bookmarkStart w:id="220" w:name="_Toc533863332"/>
      <w:r>
        <w:rPr>
          <w:rFonts w:ascii="宋体" w:hAnsi="宋体" w:eastAsia="宋体" w:cs="宋体"/>
          <w:bCs/>
          <w:color w:val="000000" w:themeColor="text1"/>
          <w:kern w:val="0"/>
          <w:szCs w:val="21"/>
          <w:highlight w:val="none"/>
          <w14:textFill>
            <w14:solidFill>
              <w14:schemeClr w14:val="tx1"/>
            </w14:solidFill>
          </w14:textFill>
        </w:rPr>
        <w:t>3</w:t>
      </w:r>
      <w:bookmarkStart w:id="221" w:name="_Toc296346549"/>
      <w:bookmarkStart w:id="222" w:name="_Toc296503048"/>
      <w:bookmarkStart w:id="223" w:name="_Toc337558749"/>
      <w:r>
        <w:rPr>
          <w:rFonts w:ascii="宋体" w:hAnsi="宋体" w:eastAsia="宋体" w:cs="宋体"/>
          <w:bCs/>
          <w:color w:val="000000" w:themeColor="text1"/>
          <w:kern w:val="0"/>
          <w:szCs w:val="21"/>
          <w:highlight w:val="none"/>
          <w14:textFill>
            <w14:solidFill>
              <w14:schemeClr w14:val="tx1"/>
            </w14:solidFill>
          </w14:textFill>
        </w:rPr>
        <w:t xml:space="preserve">.3 </w:t>
      </w:r>
      <w:bookmarkEnd w:id="221"/>
      <w:bookmarkEnd w:id="222"/>
      <w:r>
        <w:rPr>
          <w:rFonts w:ascii="宋体" w:hAnsi="宋体" w:eastAsia="宋体" w:cs="宋体"/>
          <w:bCs/>
          <w:color w:val="000000" w:themeColor="text1"/>
          <w:kern w:val="0"/>
          <w:szCs w:val="21"/>
          <w:highlight w:val="none"/>
          <w14:textFill>
            <w14:solidFill>
              <w14:schemeClr w14:val="tx1"/>
            </w14:solidFill>
          </w14:textFill>
        </w:rPr>
        <w:t>承包人人员</w:t>
      </w:r>
      <w:bookmarkEnd w:id="219"/>
      <w:bookmarkEnd w:id="220"/>
    </w:p>
    <w:bookmarkEnd w:id="223"/>
    <w:p w14:paraId="4A1288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855C5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7C6718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特殊工种作业人员均应持有相应的资格证明，监理人可以随时检查。</w:t>
      </w:r>
    </w:p>
    <w:p w14:paraId="1B1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8EA647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7015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3.3.5 承包人擅自更换主要施工管理人员，或前述人员未经监理人或发包人同意擅自离开施工现场的，应按照专用合同条款约定承担违约责任。</w:t>
      </w:r>
    </w:p>
    <w:p w14:paraId="7EA25E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4" w:name="_Toc533863333"/>
      <w:bookmarkStart w:id="225" w:name="_Toc351203522"/>
      <w:r>
        <w:rPr>
          <w:rFonts w:ascii="宋体" w:hAnsi="宋体" w:eastAsia="宋体" w:cs="宋体"/>
          <w:bCs/>
          <w:color w:val="000000" w:themeColor="text1"/>
          <w:kern w:val="0"/>
          <w:szCs w:val="21"/>
          <w:highlight w:val="none"/>
          <w14:textFill>
            <w14:solidFill>
              <w14:schemeClr w14:val="tx1"/>
            </w14:solidFill>
          </w14:textFill>
        </w:rPr>
        <w:t>3</w:t>
      </w:r>
      <w:bookmarkStart w:id="226" w:name="_Toc296503050"/>
      <w:bookmarkStart w:id="227" w:name="_Toc337558750"/>
      <w:bookmarkStart w:id="228" w:name="_Toc296346551"/>
      <w:r>
        <w:rPr>
          <w:rFonts w:ascii="宋体" w:hAnsi="宋体" w:eastAsia="宋体" w:cs="宋体"/>
          <w:bCs/>
          <w:color w:val="000000" w:themeColor="text1"/>
          <w:kern w:val="0"/>
          <w:szCs w:val="21"/>
          <w:highlight w:val="none"/>
          <w14:textFill>
            <w14:solidFill>
              <w14:schemeClr w14:val="tx1"/>
            </w14:solidFill>
          </w14:textFill>
        </w:rPr>
        <w:t>.4 承包人现场查勘</w:t>
      </w:r>
      <w:bookmarkEnd w:id="224"/>
      <w:bookmarkEnd w:id="225"/>
    </w:p>
    <w:bookmarkEnd w:id="226"/>
    <w:bookmarkEnd w:id="227"/>
    <w:bookmarkEnd w:id="228"/>
    <w:p w14:paraId="228B6C6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750BED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7B2CA2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9" w:name="_Toc351203523"/>
      <w:bookmarkStart w:id="230" w:name="_Toc533863334"/>
      <w:r>
        <w:rPr>
          <w:rFonts w:ascii="宋体" w:hAnsi="宋体" w:eastAsia="宋体" w:cs="宋体"/>
          <w:bCs/>
          <w:color w:val="000000" w:themeColor="text1"/>
          <w:kern w:val="0"/>
          <w:szCs w:val="21"/>
          <w:highlight w:val="none"/>
          <w14:textFill>
            <w14:solidFill>
              <w14:schemeClr w14:val="tx1"/>
            </w14:solidFill>
          </w14:textFill>
        </w:rPr>
        <w:t>3</w:t>
      </w:r>
      <w:bookmarkStart w:id="231" w:name="_Toc337558751"/>
      <w:bookmarkStart w:id="232" w:name="_Toc296503051"/>
      <w:bookmarkStart w:id="233" w:name="_Toc296346552"/>
      <w:r>
        <w:rPr>
          <w:rFonts w:ascii="宋体" w:hAnsi="宋体" w:eastAsia="宋体" w:cs="宋体"/>
          <w:bCs/>
          <w:color w:val="000000" w:themeColor="text1"/>
          <w:kern w:val="0"/>
          <w:szCs w:val="21"/>
          <w:highlight w:val="none"/>
          <w14:textFill>
            <w14:solidFill>
              <w14:schemeClr w14:val="tx1"/>
            </w14:solidFill>
          </w14:textFill>
        </w:rPr>
        <w:t>.5 分包</w:t>
      </w:r>
      <w:bookmarkEnd w:id="229"/>
      <w:bookmarkEnd w:id="230"/>
    </w:p>
    <w:bookmarkEnd w:id="231"/>
    <w:bookmarkEnd w:id="232"/>
    <w:bookmarkEnd w:id="233"/>
    <w:p w14:paraId="1EFAB8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3.5.1 分包的一般约定</w:t>
      </w:r>
    </w:p>
    <w:p w14:paraId="39A4BB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F4E79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承包人不得以劳务分包的名义转包或违法分包工程。</w:t>
      </w:r>
    </w:p>
    <w:p w14:paraId="63E573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3.5.2 分包的确定</w:t>
      </w:r>
    </w:p>
    <w:p w14:paraId="0A948E4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2F44A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3.5.3 分包管理</w:t>
      </w:r>
    </w:p>
    <w:p w14:paraId="2BC0076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218815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3.5.4 分包合同价款</w:t>
      </w:r>
    </w:p>
    <w:p w14:paraId="7A21584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65F3740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（2）生效法律文书要求发包人向分包人支付分包合同价款的，发包人有权从应付承包人工程款中扣除该部分款项。</w:t>
      </w:r>
    </w:p>
    <w:p w14:paraId="74FB2A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3.5.5 分包合同权益的转让</w:t>
      </w:r>
    </w:p>
    <w:p w14:paraId="57B511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34" w:name="_Toc351203524"/>
    </w:p>
    <w:p w14:paraId="64D9CD2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5" w:name="_Toc533863335"/>
      <w:r>
        <w:rPr>
          <w:rFonts w:ascii="宋体" w:hAnsi="宋体" w:eastAsia="宋体" w:cs="宋体"/>
          <w:bCs/>
          <w:color w:val="000000" w:themeColor="text1"/>
          <w:kern w:val="0"/>
          <w:szCs w:val="21"/>
          <w:highlight w:val="none"/>
          <w14:textFill>
            <w14:solidFill>
              <w14:schemeClr w14:val="tx1"/>
            </w14:solidFill>
          </w14:textFill>
        </w:rPr>
        <w:t>3.6 工程照管与成品、半成品保护</w:t>
      </w:r>
      <w:bookmarkEnd w:id="234"/>
      <w:bookmarkEnd w:id="235"/>
    </w:p>
    <w:p w14:paraId="0BFDC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7CE046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（2）在承包人负责照管期间，因承包人原因造成工程、材料、工程设备损坏的，由承包人负责修复或更换，并承担由此增加的费用和（或）延误的工期。</w:t>
      </w:r>
    </w:p>
    <w:p w14:paraId="32174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1E83B5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6" w:name="_Toc533863336"/>
      <w:bookmarkStart w:id="237" w:name="_Toc351203525"/>
      <w:r>
        <w:rPr>
          <w:rFonts w:ascii="宋体" w:hAnsi="宋体" w:eastAsia="宋体" w:cs="宋体"/>
          <w:bCs/>
          <w:color w:val="000000" w:themeColor="text1"/>
          <w:kern w:val="0"/>
          <w:szCs w:val="21"/>
          <w:highlight w:val="none"/>
          <w14:textFill>
            <w14:solidFill>
              <w14:schemeClr w14:val="tx1"/>
            </w14:solidFill>
          </w14:textFill>
        </w:rPr>
        <w:t>3</w:t>
      </w:r>
      <w:bookmarkStart w:id="238" w:name="_Toc296503052"/>
      <w:bookmarkStart w:id="239" w:name="_Toc296346553"/>
      <w:bookmarkStart w:id="240" w:name="_Toc337558752"/>
      <w:r>
        <w:rPr>
          <w:rFonts w:ascii="宋体" w:hAnsi="宋体" w:eastAsia="宋体" w:cs="宋体"/>
          <w:bCs/>
          <w:color w:val="000000" w:themeColor="text1"/>
          <w:kern w:val="0"/>
          <w:szCs w:val="21"/>
          <w:highlight w:val="none"/>
          <w14:textFill>
            <w14:solidFill>
              <w14:schemeClr w14:val="tx1"/>
            </w14:solidFill>
          </w14:textFill>
        </w:rPr>
        <w:t>.7 履约担保</w:t>
      </w:r>
      <w:bookmarkEnd w:id="236"/>
      <w:bookmarkEnd w:id="237"/>
    </w:p>
    <w:bookmarkEnd w:id="238"/>
    <w:bookmarkEnd w:id="239"/>
    <w:bookmarkEnd w:id="240"/>
    <w:p w14:paraId="3DCB3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9A67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77692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1" w:name="_Toc351203526"/>
      <w:bookmarkStart w:id="242" w:name="_Toc533863337"/>
      <w:r>
        <w:rPr>
          <w:rFonts w:ascii="宋体" w:hAnsi="宋体" w:eastAsia="宋体" w:cs="宋体"/>
          <w:bCs/>
          <w:color w:val="000000" w:themeColor="text1"/>
          <w:kern w:val="0"/>
          <w:szCs w:val="21"/>
          <w:highlight w:val="none"/>
          <w14:textFill>
            <w14:solidFill>
              <w14:schemeClr w14:val="tx1"/>
            </w14:solidFill>
          </w14:textFill>
        </w:rPr>
        <w:t>3.8 联合体</w:t>
      </w:r>
      <w:bookmarkEnd w:id="241"/>
      <w:bookmarkEnd w:id="242"/>
    </w:p>
    <w:p w14:paraId="1237F96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3.8.1 联合体各方应共同与发包人签订合同协议书。联合体各方应为履行合同向发包人承担连带责任。</w:t>
      </w:r>
    </w:p>
    <w:p w14:paraId="3DBB2DA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3.8.2 联合体协议经发包人确认后作为合同附件。在履行合同过程中，未经发包人同意，不得修改联合体协议。</w:t>
      </w:r>
    </w:p>
    <w:p w14:paraId="4ABFC36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3.8.3 联合体牵头人负责与发包人和监理人联系，并接受指示，负责组织联合体各成员全面履行合同。</w:t>
      </w:r>
    </w:p>
    <w:p w14:paraId="2F56AAF9">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43" w:name="_Toc19613"/>
      <w:bookmarkStart w:id="244" w:name="_Toc351203527"/>
      <w:bookmarkStart w:id="245" w:name="_Toc533863338"/>
      <w:r>
        <w:rPr>
          <w:rFonts w:hint="eastAsia" w:ascii="宋体" w:hAnsi="宋体" w:eastAsia="宋体" w:cs="宋体"/>
          <w:bCs/>
          <w:color w:val="000000" w:themeColor="text1"/>
          <w:szCs w:val="21"/>
          <w:highlight w:val="none"/>
          <w14:textFill>
            <w14:solidFill>
              <w14:schemeClr w14:val="tx1"/>
            </w14:solidFill>
          </w14:textFill>
        </w:rPr>
        <w:t>4</w:t>
      </w:r>
      <w:bookmarkStart w:id="246" w:name="_Toc296346554"/>
      <w:bookmarkStart w:id="247" w:name="_Toc296503053"/>
      <w:bookmarkStart w:id="248" w:name="_Toc337558753"/>
      <w:r>
        <w:rPr>
          <w:rFonts w:hint="eastAsia" w:ascii="宋体" w:hAnsi="宋体" w:eastAsia="宋体" w:cs="宋体"/>
          <w:bCs/>
          <w:color w:val="000000" w:themeColor="text1"/>
          <w:szCs w:val="21"/>
          <w:highlight w:val="none"/>
          <w14:textFill>
            <w14:solidFill>
              <w14:schemeClr w14:val="tx1"/>
            </w14:solidFill>
          </w14:textFill>
        </w:rPr>
        <w:t>. 监</w:t>
      </w:r>
      <w:bookmarkEnd w:id="246"/>
      <w:bookmarkEnd w:id="247"/>
      <w:r>
        <w:rPr>
          <w:rFonts w:hint="eastAsia" w:ascii="宋体" w:hAnsi="宋体" w:eastAsia="宋体" w:cs="宋体"/>
          <w:bCs/>
          <w:color w:val="000000" w:themeColor="text1"/>
          <w:szCs w:val="21"/>
          <w:highlight w:val="none"/>
          <w14:textFill>
            <w14:solidFill>
              <w14:schemeClr w14:val="tx1"/>
            </w14:solidFill>
          </w14:textFill>
        </w:rPr>
        <w:t>理人</w:t>
      </w:r>
      <w:bookmarkEnd w:id="243"/>
      <w:bookmarkEnd w:id="244"/>
      <w:bookmarkEnd w:id="245"/>
    </w:p>
    <w:bookmarkEnd w:id="248"/>
    <w:p w14:paraId="5CDDF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9" w:name="_Toc533863339"/>
      <w:bookmarkStart w:id="250" w:name="_Toc351203528"/>
      <w:r>
        <w:rPr>
          <w:rFonts w:ascii="宋体" w:hAnsi="宋体" w:eastAsia="宋体" w:cs="宋体"/>
          <w:bCs/>
          <w:color w:val="000000" w:themeColor="text1"/>
          <w:kern w:val="0"/>
          <w:szCs w:val="21"/>
          <w:highlight w:val="none"/>
          <w14:textFill>
            <w14:solidFill>
              <w14:schemeClr w14:val="tx1"/>
            </w14:solidFill>
          </w14:textFill>
        </w:rPr>
        <w:t>4</w:t>
      </w:r>
      <w:bookmarkStart w:id="251" w:name="_Toc296503054"/>
      <w:bookmarkStart w:id="252" w:name="_Toc337558754"/>
      <w:bookmarkStart w:id="253" w:name="_Toc296346555"/>
      <w:r>
        <w:rPr>
          <w:rFonts w:ascii="宋体" w:hAnsi="宋体" w:eastAsia="宋体" w:cs="宋体"/>
          <w:bCs/>
          <w:color w:val="000000" w:themeColor="text1"/>
          <w:kern w:val="0"/>
          <w:szCs w:val="21"/>
          <w:highlight w:val="none"/>
          <w14:textFill>
            <w14:solidFill>
              <w14:schemeClr w14:val="tx1"/>
            </w14:solidFill>
          </w14:textFill>
        </w:rPr>
        <w:t>.1监理人的一般规定</w:t>
      </w:r>
      <w:bookmarkEnd w:id="249"/>
      <w:bookmarkEnd w:id="250"/>
    </w:p>
    <w:bookmarkEnd w:id="251"/>
    <w:bookmarkEnd w:id="252"/>
    <w:bookmarkEnd w:id="253"/>
    <w:p w14:paraId="08468D7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1F90B4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除专用合同条款另有约定外，监理人在施工现场的办公场所、生活场所由承包人提供，所发生的费用由发包人承担。</w:t>
      </w:r>
    </w:p>
    <w:p w14:paraId="02528F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4" w:name="_Toc351203529"/>
      <w:bookmarkStart w:id="255" w:name="_Toc533863340"/>
      <w:r>
        <w:rPr>
          <w:rFonts w:ascii="宋体" w:hAnsi="宋体" w:eastAsia="宋体" w:cs="宋体"/>
          <w:bCs/>
          <w:color w:val="000000" w:themeColor="text1"/>
          <w:kern w:val="0"/>
          <w:szCs w:val="21"/>
          <w:highlight w:val="none"/>
          <w14:textFill>
            <w14:solidFill>
              <w14:schemeClr w14:val="tx1"/>
            </w14:solidFill>
          </w14:textFill>
        </w:rPr>
        <w:t>4</w:t>
      </w:r>
      <w:bookmarkStart w:id="256" w:name="_Toc337558755"/>
      <w:r>
        <w:rPr>
          <w:rFonts w:ascii="宋体" w:hAnsi="宋体" w:eastAsia="宋体" w:cs="宋体"/>
          <w:bCs/>
          <w:color w:val="000000" w:themeColor="text1"/>
          <w:kern w:val="0"/>
          <w:szCs w:val="21"/>
          <w:highlight w:val="none"/>
          <w14:textFill>
            <w14:solidFill>
              <w14:schemeClr w14:val="tx1"/>
            </w14:solidFill>
          </w14:textFill>
        </w:rPr>
        <w:t>.2监理人员</w:t>
      </w:r>
      <w:bookmarkEnd w:id="254"/>
      <w:bookmarkEnd w:id="255"/>
    </w:p>
    <w:bookmarkEnd w:id="256"/>
    <w:p w14:paraId="6BDA6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6B39ACA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7" w:name="_Toc351203530"/>
      <w:bookmarkStart w:id="258" w:name="_Toc533863341"/>
      <w:r>
        <w:rPr>
          <w:rFonts w:ascii="宋体" w:hAnsi="宋体" w:eastAsia="宋体" w:cs="宋体"/>
          <w:bCs/>
          <w:color w:val="000000" w:themeColor="text1"/>
          <w:kern w:val="0"/>
          <w:szCs w:val="21"/>
          <w:highlight w:val="none"/>
          <w14:textFill>
            <w14:solidFill>
              <w14:schemeClr w14:val="tx1"/>
            </w14:solidFill>
          </w14:textFill>
        </w:rPr>
        <w:t>4</w:t>
      </w:r>
      <w:bookmarkStart w:id="259" w:name="_Toc296346556"/>
      <w:bookmarkStart w:id="260" w:name="_Toc296503055"/>
      <w:bookmarkStart w:id="261" w:name="_Toc337558756"/>
      <w:r>
        <w:rPr>
          <w:rFonts w:ascii="宋体" w:hAnsi="宋体" w:eastAsia="宋体" w:cs="宋体"/>
          <w:bCs/>
          <w:color w:val="000000" w:themeColor="text1"/>
          <w:kern w:val="0"/>
          <w:szCs w:val="21"/>
          <w:highlight w:val="none"/>
          <w14:textFill>
            <w14:solidFill>
              <w14:schemeClr w14:val="tx1"/>
            </w14:solidFill>
          </w14:textFill>
        </w:rPr>
        <w:t>.3</w:t>
      </w:r>
      <w:bookmarkEnd w:id="259"/>
      <w:bookmarkEnd w:id="260"/>
      <w:r>
        <w:rPr>
          <w:rFonts w:ascii="宋体" w:hAnsi="宋体" w:eastAsia="宋体" w:cs="宋体"/>
          <w:bCs/>
          <w:color w:val="000000" w:themeColor="text1"/>
          <w:kern w:val="0"/>
          <w:szCs w:val="21"/>
          <w:highlight w:val="none"/>
          <w14:textFill>
            <w14:solidFill>
              <w14:schemeClr w14:val="tx1"/>
            </w14:solidFill>
          </w14:textFill>
        </w:rPr>
        <w:t>监理人的指</w:t>
      </w:r>
      <w:bookmarkEnd w:id="261"/>
      <w:r>
        <w:rPr>
          <w:rFonts w:ascii="宋体" w:hAnsi="宋体" w:eastAsia="宋体" w:cs="宋体"/>
          <w:bCs/>
          <w:color w:val="000000" w:themeColor="text1"/>
          <w:kern w:val="0"/>
          <w:szCs w:val="21"/>
          <w:highlight w:val="none"/>
          <w14:textFill>
            <w14:solidFill>
              <w14:schemeClr w14:val="tx1"/>
            </w14:solidFill>
          </w14:textFill>
        </w:rPr>
        <w:t>示</w:t>
      </w:r>
      <w:bookmarkEnd w:id="257"/>
      <w:bookmarkEnd w:id="258"/>
    </w:p>
    <w:p w14:paraId="47A9BD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49B85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EE217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5BD1CA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0B79729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62" w:name="_Toc533863342"/>
      <w:bookmarkStart w:id="263" w:name="_Toc351203531"/>
      <w:r>
        <w:rPr>
          <w:rFonts w:ascii="宋体" w:hAnsi="宋体" w:eastAsia="宋体" w:cs="宋体"/>
          <w:bCs/>
          <w:color w:val="000000" w:themeColor="text1"/>
          <w:kern w:val="0"/>
          <w:szCs w:val="21"/>
          <w:highlight w:val="none"/>
          <w14:textFill>
            <w14:solidFill>
              <w14:schemeClr w14:val="tx1"/>
            </w14:solidFill>
          </w14:textFill>
        </w:rPr>
        <w:t>4</w:t>
      </w:r>
      <w:bookmarkStart w:id="264" w:name="_Toc337558757"/>
      <w:bookmarkStart w:id="265" w:name="_Toc296503057"/>
      <w:bookmarkStart w:id="266" w:name="_Toc296346558"/>
      <w:r>
        <w:rPr>
          <w:rFonts w:ascii="宋体" w:hAnsi="宋体" w:eastAsia="宋体" w:cs="宋体"/>
          <w:bCs/>
          <w:color w:val="000000" w:themeColor="text1"/>
          <w:kern w:val="0"/>
          <w:szCs w:val="21"/>
          <w:highlight w:val="none"/>
          <w14:textFill>
            <w14:solidFill>
              <w14:schemeClr w14:val="tx1"/>
            </w14:solidFill>
          </w14:textFill>
        </w:rPr>
        <w:t>.4 商定或确定</w:t>
      </w:r>
      <w:bookmarkEnd w:id="262"/>
      <w:bookmarkEnd w:id="263"/>
    </w:p>
    <w:bookmarkEnd w:id="264"/>
    <w:bookmarkEnd w:id="265"/>
    <w:bookmarkEnd w:id="266"/>
    <w:p w14:paraId="4D8579D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47D3FA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F84CCC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67" w:name="_Toc192"/>
      <w:bookmarkStart w:id="268" w:name="_Toc533863343"/>
      <w:bookmarkStart w:id="269" w:name="_Toc351203532"/>
      <w:r>
        <w:rPr>
          <w:rFonts w:hint="eastAsia" w:ascii="宋体" w:hAnsi="宋体" w:eastAsia="宋体" w:cs="宋体"/>
          <w:bCs/>
          <w:color w:val="000000" w:themeColor="text1"/>
          <w:szCs w:val="21"/>
          <w:highlight w:val="none"/>
          <w14:textFill>
            <w14:solidFill>
              <w14:schemeClr w14:val="tx1"/>
            </w14:solidFill>
          </w14:textFill>
        </w:rPr>
        <w:t>5</w:t>
      </w:r>
      <w:bookmarkStart w:id="270" w:name="_Toc337558758"/>
      <w:r>
        <w:rPr>
          <w:rFonts w:hint="eastAsia" w:ascii="宋体" w:hAnsi="宋体" w:eastAsia="宋体" w:cs="宋体"/>
          <w:bCs/>
          <w:color w:val="000000" w:themeColor="text1"/>
          <w:szCs w:val="21"/>
          <w:highlight w:val="none"/>
          <w14:textFill>
            <w14:solidFill>
              <w14:schemeClr w14:val="tx1"/>
            </w14:solidFill>
          </w14:textFill>
        </w:rPr>
        <w:t>. 工程质量</w:t>
      </w:r>
      <w:bookmarkEnd w:id="267"/>
      <w:bookmarkEnd w:id="268"/>
      <w:bookmarkEnd w:id="269"/>
    </w:p>
    <w:bookmarkEnd w:id="270"/>
    <w:p w14:paraId="2A9AA3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1" w:name="_Toc351203533"/>
      <w:bookmarkStart w:id="272" w:name="_Toc533863344"/>
      <w:r>
        <w:rPr>
          <w:rFonts w:ascii="宋体" w:hAnsi="宋体" w:eastAsia="宋体" w:cs="宋体"/>
          <w:bCs/>
          <w:color w:val="000000" w:themeColor="text1"/>
          <w:kern w:val="0"/>
          <w:szCs w:val="21"/>
          <w:highlight w:val="none"/>
          <w14:textFill>
            <w14:solidFill>
              <w14:schemeClr w14:val="tx1"/>
            </w14:solidFill>
          </w14:textFill>
        </w:rPr>
        <w:t>5</w:t>
      </w:r>
      <w:bookmarkStart w:id="273" w:name="_Toc337558759"/>
      <w:r>
        <w:rPr>
          <w:rFonts w:ascii="宋体" w:hAnsi="宋体" w:eastAsia="宋体" w:cs="宋体"/>
          <w:bCs/>
          <w:color w:val="000000" w:themeColor="text1"/>
          <w:kern w:val="0"/>
          <w:szCs w:val="21"/>
          <w:highlight w:val="none"/>
          <w14:textFill>
            <w14:solidFill>
              <w14:schemeClr w14:val="tx1"/>
            </w14:solidFill>
          </w14:textFill>
        </w:rPr>
        <w:t>.1质量要求</w:t>
      </w:r>
      <w:bookmarkEnd w:id="271"/>
      <w:bookmarkEnd w:id="272"/>
    </w:p>
    <w:bookmarkEnd w:id="273"/>
    <w:p w14:paraId="532BD8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5.1.1 工程质量标准必须符合现行国家有关工程施工质量验收规范和标准的要求。有关工程质量的特殊标准或要求由合同当事人在专用合同条款中约定。</w:t>
      </w:r>
    </w:p>
    <w:p w14:paraId="3DD34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5.1.2 因发包人原因造成工程质量未达到合同约定标准的，由发包人承担由此增加的费用和（或）延误的工期，并支付承包人合理的利润。</w:t>
      </w:r>
    </w:p>
    <w:p w14:paraId="3C8389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5.1.3 因承包人原因造成工程质量未达到合同约定标准的，发包人有权要求承包人返工直至工程质量达到合同约定的标准为止，并由承包人承担由此增加的费用和（或）延误的工期。</w:t>
      </w:r>
    </w:p>
    <w:p w14:paraId="7A9DAB4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4" w:name="_Toc351203534"/>
      <w:bookmarkStart w:id="275" w:name="_Toc533863345"/>
      <w:r>
        <w:rPr>
          <w:rFonts w:ascii="宋体" w:hAnsi="宋体" w:eastAsia="宋体" w:cs="宋体"/>
          <w:bCs/>
          <w:color w:val="000000" w:themeColor="text1"/>
          <w:kern w:val="0"/>
          <w:szCs w:val="21"/>
          <w:highlight w:val="none"/>
          <w14:textFill>
            <w14:solidFill>
              <w14:schemeClr w14:val="tx1"/>
            </w14:solidFill>
          </w14:textFill>
        </w:rPr>
        <w:t>5</w:t>
      </w:r>
      <w:bookmarkStart w:id="276" w:name="_Toc337558760"/>
      <w:r>
        <w:rPr>
          <w:rFonts w:ascii="宋体" w:hAnsi="宋体" w:eastAsia="宋体" w:cs="宋体"/>
          <w:bCs/>
          <w:color w:val="000000" w:themeColor="text1"/>
          <w:kern w:val="0"/>
          <w:szCs w:val="21"/>
          <w:highlight w:val="none"/>
          <w14:textFill>
            <w14:solidFill>
              <w14:schemeClr w14:val="tx1"/>
            </w14:solidFill>
          </w14:textFill>
        </w:rPr>
        <w:t>.2质量保证措施</w:t>
      </w:r>
      <w:bookmarkEnd w:id="274"/>
      <w:bookmarkEnd w:id="275"/>
    </w:p>
    <w:bookmarkEnd w:id="276"/>
    <w:p w14:paraId="17FFF99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5.2.1 发包人的质量管理</w:t>
      </w:r>
    </w:p>
    <w:p w14:paraId="790C28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发包人应按照法律规定及合同约定完成与工程质量有关的各项工作。</w:t>
      </w:r>
    </w:p>
    <w:p w14:paraId="160CED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5.2.2 承包人的质量管理</w:t>
      </w:r>
    </w:p>
    <w:p w14:paraId="2609EC0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26746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承包人应对施工人员进行质量教育和技术培训，定期考核施工人员的劳动技能，严格执行施工规范和操作规程。</w:t>
      </w:r>
    </w:p>
    <w:p w14:paraId="50841B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DD89FC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5.2.3 监理人的质量检查和检验</w:t>
      </w:r>
    </w:p>
    <w:p w14:paraId="55F630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2E39A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37BCD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7" w:name="_Toc533863346"/>
      <w:bookmarkStart w:id="278" w:name="_Toc351203535"/>
      <w:r>
        <w:rPr>
          <w:rFonts w:ascii="宋体" w:hAnsi="宋体" w:eastAsia="宋体" w:cs="宋体"/>
          <w:bCs/>
          <w:color w:val="000000" w:themeColor="text1"/>
          <w:kern w:val="0"/>
          <w:szCs w:val="21"/>
          <w:highlight w:val="none"/>
          <w14:textFill>
            <w14:solidFill>
              <w14:schemeClr w14:val="tx1"/>
            </w14:solidFill>
          </w14:textFill>
        </w:rPr>
        <w:t>5</w:t>
      </w:r>
      <w:bookmarkStart w:id="279" w:name="_Toc337558761"/>
      <w:r>
        <w:rPr>
          <w:rFonts w:ascii="宋体" w:hAnsi="宋体" w:eastAsia="宋体" w:cs="宋体"/>
          <w:bCs/>
          <w:color w:val="000000" w:themeColor="text1"/>
          <w:kern w:val="0"/>
          <w:szCs w:val="21"/>
          <w:highlight w:val="none"/>
          <w14:textFill>
            <w14:solidFill>
              <w14:schemeClr w14:val="tx1"/>
            </w14:solidFill>
          </w14:textFill>
        </w:rPr>
        <w:t>.3 隐蔽工程检查</w:t>
      </w:r>
      <w:bookmarkEnd w:id="277"/>
      <w:bookmarkEnd w:id="278"/>
    </w:p>
    <w:bookmarkEnd w:id="279"/>
    <w:p w14:paraId="1CE87D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5.3.1承包人自检</w:t>
      </w:r>
    </w:p>
    <w:p w14:paraId="22F93E7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承包人应当对工程隐蔽部位进行自检，并经自检确认是否具备覆盖条件。</w:t>
      </w:r>
    </w:p>
    <w:p w14:paraId="24F691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5.3.2检查程序</w:t>
      </w:r>
    </w:p>
    <w:p w14:paraId="0522101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C37C8D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A642E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E86B21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5.3.3 重新检查</w:t>
      </w:r>
    </w:p>
    <w:p w14:paraId="7B4119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C1D8D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5.3.4 承包人私自覆盖</w:t>
      </w:r>
    </w:p>
    <w:p w14:paraId="4FAA7A5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0C7B537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0" w:name="_Toc533863347"/>
      <w:bookmarkStart w:id="281" w:name="_Toc351203536"/>
      <w:r>
        <w:rPr>
          <w:rFonts w:ascii="宋体" w:hAnsi="宋体" w:eastAsia="宋体" w:cs="宋体"/>
          <w:bCs/>
          <w:color w:val="000000" w:themeColor="text1"/>
          <w:kern w:val="0"/>
          <w:szCs w:val="21"/>
          <w:highlight w:val="none"/>
          <w14:textFill>
            <w14:solidFill>
              <w14:schemeClr w14:val="tx1"/>
            </w14:solidFill>
          </w14:textFill>
        </w:rPr>
        <w:t>5</w:t>
      </w:r>
      <w:bookmarkStart w:id="282" w:name="_Toc337558762"/>
      <w:r>
        <w:rPr>
          <w:rFonts w:ascii="宋体" w:hAnsi="宋体" w:eastAsia="宋体" w:cs="宋体"/>
          <w:bCs/>
          <w:color w:val="000000" w:themeColor="text1"/>
          <w:kern w:val="0"/>
          <w:szCs w:val="21"/>
          <w:highlight w:val="none"/>
          <w14:textFill>
            <w14:solidFill>
              <w14:schemeClr w14:val="tx1"/>
            </w14:solidFill>
          </w14:textFill>
        </w:rPr>
        <w:t>.4不合格工程的处理</w:t>
      </w:r>
      <w:bookmarkEnd w:id="280"/>
      <w:bookmarkEnd w:id="281"/>
    </w:p>
    <w:bookmarkEnd w:id="282"/>
    <w:p w14:paraId="05C1797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6FAE55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5.4.2 因发包人原因造成工程不合格的，由此增加的费用和（或）延误的工期由发包人承担，并支付承包人合理的利润。</w:t>
      </w:r>
    </w:p>
    <w:p w14:paraId="27A88A6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3" w:name="_Toc351203537"/>
      <w:bookmarkStart w:id="284" w:name="_Toc533863348"/>
      <w:r>
        <w:rPr>
          <w:rFonts w:ascii="宋体" w:hAnsi="宋体" w:eastAsia="宋体" w:cs="宋体"/>
          <w:bCs/>
          <w:color w:val="000000" w:themeColor="text1"/>
          <w:kern w:val="0"/>
          <w:szCs w:val="21"/>
          <w:highlight w:val="none"/>
          <w14:textFill>
            <w14:solidFill>
              <w14:schemeClr w14:val="tx1"/>
            </w14:solidFill>
          </w14:textFill>
        </w:rPr>
        <w:t>5.5 质量争议检测</w:t>
      </w:r>
      <w:bookmarkEnd w:id="283"/>
      <w:bookmarkEnd w:id="284"/>
    </w:p>
    <w:p w14:paraId="126CD79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合同当事人对工程质量有争议的，由双方协商确定的工程质量检测机构鉴定，由此产生的费用及因此造成的损失，由责任方承担。</w:t>
      </w:r>
    </w:p>
    <w:p w14:paraId="20A919D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合同当事人均有责任的，由双方根据其责任分别承担。合同当事人无法达成一致的，按照第4.4款〔商定或确定〕执行。</w:t>
      </w:r>
    </w:p>
    <w:p w14:paraId="2139B62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85" w:name="_Toc11232"/>
      <w:bookmarkStart w:id="286" w:name="_Toc351203538"/>
      <w:bookmarkStart w:id="287" w:name="_Toc533863349"/>
      <w:r>
        <w:rPr>
          <w:rFonts w:hint="eastAsia" w:ascii="宋体" w:hAnsi="宋体" w:eastAsia="宋体" w:cs="宋体"/>
          <w:bCs/>
          <w:color w:val="000000" w:themeColor="text1"/>
          <w:szCs w:val="21"/>
          <w:highlight w:val="none"/>
          <w14:textFill>
            <w14:solidFill>
              <w14:schemeClr w14:val="tx1"/>
            </w14:solidFill>
          </w14:textFill>
        </w:rPr>
        <w:t>6</w:t>
      </w:r>
      <w:bookmarkStart w:id="288" w:name="_Toc337558763"/>
      <w:r>
        <w:rPr>
          <w:rFonts w:hint="eastAsia" w:ascii="宋体" w:hAnsi="宋体" w:eastAsia="宋体" w:cs="宋体"/>
          <w:bCs/>
          <w:color w:val="000000" w:themeColor="text1"/>
          <w:szCs w:val="21"/>
          <w:highlight w:val="none"/>
          <w14:textFill>
            <w14:solidFill>
              <w14:schemeClr w14:val="tx1"/>
            </w14:solidFill>
          </w14:textFill>
        </w:rPr>
        <w:t>. 安全文明施工与环境保护</w:t>
      </w:r>
      <w:bookmarkEnd w:id="285"/>
      <w:bookmarkEnd w:id="286"/>
      <w:bookmarkEnd w:id="287"/>
    </w:p>
    <w:bookmarkEnd w:id="288"/>
    <w:p w14:paraId="1BF21C7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9" w:name="_Toc351203539"/>
      <w:bookmarkStart w:id="290" w:name="_Toc533863350"/>
      <w:r>
        <w:rPr>
          <w:rFonts w:ascii="宋体" w:hAnsi="宋体" w:eastAsia="宋体" w:cs="宋体"/>
          <w:bCs/>
          <w:color w:val="000000" w:themeColor="text1"/>
          <w:kern w:val="0"/>
          <w:szCs w:val="21"/>
          <w:highlight w:val="none"/>
          <w14:textFill>
            <w14:solidFill>
              <w14:schemeClr w14:val="tx1"/>
            </w14:solidFill>
          </w14:textFill>
        </w:rPr>
        <w:t>6</w:t>
      </w:r>
      <w:bookmarkStart w:id="291" w:name="_Toc337558764"/>
      <w:r>
        <w:rPr>
          <w:rFonts w:ascii="宋体" w:hAnsi="宋体" w:eastAsia="宋体" w:cs="宋体"/>
          <w:bCs/>
          <w:color w:val="000000" w:themeColor="text1"/>
          <w:kern w:val="0"/>
          <w:szCs w:val="21"/>
          <w:highlight w:val="none"/>
          <w14:textFill>
            <w14:solidFill>
              <w14:schemeClr w14:val="tx1"/>
            </w14:solidFill>
          </w14:textFill>
        </w:rPr>
        <w:t>.1安全文明施工</w:t>
      </w:r>
      <w:bookmarkEnd w:id="289"/>
      <w:bookmarkEnd w:id="290"/>
    </w:p>
    <w:bookmarkEnd w:id="291"/>
    <w:p w14:paraId="056739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6.1.1安全生产要求</w:t>
      </w:r>
    </w:p>
    <w:p w14:paraId="2D2AC8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06B9B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000000" w:themeColor="text1"/>
          <w:kern w:val="0"/>
          <w:szCs w:val="21"/>
          <w:highlight w:val="none"/>
          <w14:textFill>
            <w14:solidFill>
              <w14:schemeClr w14:val="tx1"/>
            </w14:solidFill>
          </w14:textFill>
        </w:rPr>
        <w:t>政府有关行政管理部门</w:t>
      </w:r>
      <w:r>
        <w:rPr>
          <w:rFonts w:hint="eastAsia" w:ascii="宋体" w:hAnsi="宋体" w:eastAsia="宋体" w:cs="宋体"/>
          <w:color w:val="000000" w:themeColor="text1"/>
          <w:szCs w:val="21"/>
          <w:highlight w:val="none"/>
          <w14:textFill>
            <w14:solidFill>
              <w14:schemeClr w14:val="tx1"/>
            </w14:solidFill>
          </w14:textFill>
        </w:rPr>
        <w:t>采取应急措施。</w:t>
      </w:r>
    </w:p>
    <w:p w14:paraId="620E2F4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因安全生产需要暂停施工的，按照第7.8款〔暂停施工〕的约定执行。</w:t>
      </w:r>
    </w:p>
    <w:p w14:paraId="2DDBD6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 安全生产保证措施</w:t>
      </w:r>
    </w:p>
    <w:p w14:paraId="64BB94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承包人应当按照有关</w:t>
      </w:r>
      <w:r>
        <w:rPr>
          <w:rFonts w:hint="eastAsia" w:ascii="宋体" w:hAnsi="宋体" w:eastAsia="宋体" w:cs="宋体"/>
          <w:color w:val="000000" w:themeColor="text1"/>
          <w:kern w:val="0"/>
          <w:szCs w:val="21"/>
          <w:highlight w:val="none"/>
          <w14:textFill>
            <w14:solidFill>
              <w14:schemeClr w14:val="tx1"/>
            </w14:solidFill>
          </w14:textFill>
        </w:rPr>
        <w:t>规定编制安全技术措施或者专项施工方案，</w:t>
      </w:r>
      <w:r>
        <w:rPr>
          <w:rFonts w:hint="eastAsia" w:ascii="宋体" w:hAnsi="宋体" w:eastAsia="宋体" w:cs="宋体"/>
          <w:color w:val="000000" w:themeColor="text1"/>
          <w:szCs w:val="21"/>
          <w:highlight w:val="none"/>
          <w14:textFill>
            <w14:solidFill>
              <w14:schemeClr w14:val="tx1"/>
            </w14:solidFill>
          </w14:textFill>
        </w:rPr>
        <w:t>建立安全生产责任制度、治安保卫制度及安全生产教育培训制度，并</w:t>
      </w:r>
      <w:r>
        <w:rPr>
          <w:rFonts w:hint="eastAsia" w:ascii="宋体" w:hAnsi="宋体" w:eastAsia="宋体" w:cs="宋体"/>
          <w:color w:val="000000" w:themeColor="text1"/>
          <w:kern w:val="0"/>
          <w:szCs w:val="21"/>
          <w:highlight w:val="none"/>
          <w14:textFill>
            <w14:solidFill>
              <w14:schemeClr w14:val="tx1"/>
            </w14:solidFill>
          </w14:textFill>
        </w:rPr>
        <w:t>按安全生产法律规定及合同约定履行安全职责，如实</w:t>
      </w:r>
      <w:r>
        <w:rPr>
          <w:rFonts w:hint="eastAsia" w:ascii="宋体" w:hAnsi="宋体" w:eastAsia="宋体" w:cs="宋体"/>
          <w:color w:val="000000" w:themeColor="text1"/>
          <w:szCs w:val="21"/>
          <w:highlight w:val="none"/>
          <w14:textFill>
            <w14:solidFill>
              <w14:schemeClr w14:val="tx1"/>
            </w14:solidFill>
          </w14:textFill>
        </w:rPr>
        <w:t>编制工程安全生产的有关记录，</w:t>
      </w:r>
      <w:r>
        <w:rPr>
          <w:rFonts w:hint="eastAsia" w:ascii="宋体" w:hAnsi="宋体" w:eastAsia="宋体" w:cs="宋体"/>
          <w:color w:val="000000" w:themeColor="text1"/>
          <w:kern w:val="0"/>
          <w:szCs w:val="21"/>
          <w:highlight w:val="none"/>
          <w14:textFill>
            <w14:solidFill>
              <w14:schemeClr w14:val="tx1"/>
            </w14:solidFill>
          </w14:textFill>
        </w:rPr>
        <w:t>接受发包人、监理人及政府安全监督部门的检查与监督。</w:t>
      </w:r>
    </w:p>
    <w:p w14:paraId="12F57BD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6.1.3特别安全生产事项</w:t>
      </w:r>
    </w:p>
    <w:p w14:paraId="7E45A4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FAD159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承包人在动力设备、输电线路、地下管道、密封防震车间、易燃易爆地段以及临街交通要道附近施工时，施工开始前应向发包人和监理人提出安全防护措施，经发包人认可后实施。 </w:t>
      </w:r>
    </w:p>
    <w:p w14:paraId="4CDC38B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35336A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4EA2B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 治安保卫</w:t>
      </w:r>
    </w:p>
    <w:p w14:paraId="49FAAD9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33CB73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6E34213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7D948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6.1.5 文明施工</w:t>
      </w:r>
    </w:p>
    <w:p w14:paraId="7A30F23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22641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0C2E4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6.1.6 安全文明施工费</w:t>
      </w:r>
    </w:p>
    <w:p w14:paraId="146096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18AB0DB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289D02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110569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6A79A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6.1.7 紧急情况处理</w:t>
      </w:r>
    </w:p>
    <w:p w14:paraId="316199D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BD58F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6.1.8 事故处理</w:t>
      </w:r>
    </w:p>
    <w:p w14:paraId="06BBC3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B61950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 安全生产责任</w:t>
      </w:r>
    </w:p>
    <w:p w14:paraId="23BE3FE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6.1.9.1 发包人的安全责任</w:t>
      </w:r>
    </w:p>
    <w:p w14:paraId="1C6DC15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发包人应负责赔偿以下各种情况造成的损失：</w:t>
      </w:r>
    </w:p>
    <w:p w14:paraId="10DCE2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（1）工程或工程的任何部分对土地的占用所造成的第三者财产损失；</w:t>
      </w:r>
    </w:p>
    <w:p w14:paraId="08EBF45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（2）由于发包人原因在施工场地及其毗邻地带造成的第三者人身伤亡和财产损失；</w:t>
      </w:r>
    </w:p>
    <w:p w14:paraId="1A1D65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（3）由于发包人原因对承包人、监理人造成的人员人身伤亡和财产损失；</w:t>
      </w:r>
    </w:p>
    <w:p w14:paraId="0470438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（4）由于发包人原因造成的发包人自身人员的人身伤害以及财产损失。</w:t>
      </w:r>
    </w:p>
    <w:p w14:paraId="0A85A5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6.1.9.2 承包人的安全责任</w:t>
      </w:r>
    </w:p>
    <w:p w14:paraId="49FA219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由于承包人原因在施工场地内及其毗邻地带造成的发包人、监理人以及第三者人员伤亡和财产损失，由承包人负责赔偿。</w:t>
      </w:r>
    </w:p>
    <w:p w14:paraId="19D91C8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2" w:name="_Toc351203540"/>
      <w:bookmarkStart w:id="293" w:name="_Toc533863351"/>
      <w:r>
        <w:rPr>
          <w:rFonts w:ascii="宋体" w:hAnsi="宋体" w:eastAsia="宋体" w:cs="宋体"/>
          <w:bCs/>
          <w:color w:val="000000" w:themeColor="text1"/>
          <w:kern w:val="0"/>
          <w:szCs w:val="21"/>
          <w:highlight w:val="none"/>
          <w14:textFill>
            <w14:solidFill>
              <w14:schemeClr w14:val="tx1"/>
            </w14:solidFill>
          </w14:textFill>
        </w:rPr>
        <w:t>6</w:t>
      </w:r>
      <w:bookmarkStart w:id="294" w:name="_Toc337558765"/>
      <w:r>
        <w:rPr>
          <w:rFonts w:ascii="宋体" w:hAnsi="宋体" w:eastAsia="宋体" w:cs="宋体"/>
          <w:bCs/>
          <w:color w:val="000000" w:themeColor="text1"/>
          <w:kern w:val="0"/>
          <w:szCs w:val="21"/>
          <w:highlight w:val="none"/>
          <w14:textFill>
            <w14:solidFill>
              <w14:schemeClr w14:val="tx1"/>
            </w14:solidFill>
          </w14:textFill>
        </w:rPr>
        <w:t>.2 职业健康</w:t>
      </w:r>
      <w:bookmarkEnd w:id="292"/>
      <w:bookmarkEnd w:id="293"/>
    </w:p>
    <w:bookmarkEnd w:id="294"/>
    <w:p w14:paraId="6F37B7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6.2.1 劳动保护</w:t>
      </w:r>
    </w:p>
    <w:p w14:paraId="15F88C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A7931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65E50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6A06105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6.2.2 生活条件</w:t>
      </w:r>
    </w:p>
    <w:p w14:paraId="3C0E0A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6A1661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5" w:name="_Toc533863352"/>
      <w:bookmarkStart w:id="296" w:name="_Toc351203541"/>
      <w:r>
        <w:rPr>
          <w:rFonts w:ascii="宋体" w:hAnsi="宋体" w:eastAsia="宋体" w:cs="宋体"/>
          <w:bCs/>
          <w:color w:val="000000" w:themeColor="text1"/>
          <w:kern w:val="0"/>
          <w:szCs w:val="21"/>
          <w:highlight w:val="none"/>
          <w14:textFill>
            <w14:solidFill>
              <w14:schemeClr w14:val="tx1"/>
            </w14:solidFill>
          </w14:textFill>
        </w:rPr>
        <w:t>6</w:t>
      </w:r>
      <w:bookmarkStart w:id="297" w:name="_Toc337558766"/>
      <w:r>
        <w:rPr>
          <w:rFonts w:ascii="宋体" w:hAnsi="宋体" w:eastAsia="宋体" w:cs="宋体"/>
          <w:bCs/>
          <w:color w:val="000000" w:themeColor="text1"/>
          <w:kern w:val="0"/>
          <w:szCs w:val="21"/>
          <w:highlight w:val="none"/>
          <w14:textFill>
            <w14:solidFill>
              <w14:schemeClr w14:val="tx1"/>
            </w14:solidFill>
          </w14:textFill>
        </w:rPr>
        <w:t>.3 环境保护</w:t>
      </w:r>
      <w:bookmarkEnd w:id="295"/>
      <w:bookmarkEnd w:id="296"/>
    </w:p>
    <w:bookmarkEnd w:id="297"/>
    <w:p w14:paraId="0B8B82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DBB78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208F9A24">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98" w:name="_Toc351203542"/>
      <w:bookmarkStart w:id="299" w:name="_Toc533863353"/>
      <w:bookmarkStart w:id="300" w:name="_Toc12951"/>
      <w:r>
        <w:rPr>
          <w:rFonts w:hint="eastAsia" w:ascii="宋体" w:hAnsi="宋体" w:eastAsia="宋体" w:cs="宋体"/>
          <w:bCs/>
          <w:color w:val="000000" w:themeColor="text1"/>
          <w:szCs w:val="21"/>
          <w:highlight w:val="none"/>
          <w14:textFill>
            <w14:solidFill>
              <w14:schemeClr w14:val="tx1"/>
            </w14:solidFill>
          </w14:textFill>
        </w:rPr>
        <w:t>7</w:t>
      </w:r>
      <w:bookmarkStart w:id="301" w:name="_Toc337558767"/>
      <w:r>
        <w:rPr>
          <w:rFonts w:hint="eastAsia" w:ascii="宋体" w:hAnsi="宋体" w:eastAsia="宋体" w:cs="宋体"/>
          <w:bCs/>
          <w:color w:val="000000" w:themeColor="text1"/>
          <w:szCs w:val="21"/>
          <w:highlight w:val="none"/>
          <w14:textFill>
            <w14:solidFill>
              <w14:schemeClr w14:val="tx1"/>
            </w14:solidFill>
          </w14:textFill>
        </w:rPr>
        <w:t>. 工期和进度</w:t>
      </w:r>
      <w:bookmarkEnd w:id="298"/>
      <w:bookmarkEnd w:id="299"/>
      <w:bookmarkEnd w:id="300"/>
    </w:p>
    <w:bookmarkEnd w:id="301"/>
    <w:p w14:paraId="5626951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2" w:name="_Toc533863354"/>
      <w:bookmarkStart w:id="303" w:name="_Toc351203543"/>
      <w:r>
        <w:rPr>
          <w:rFonts w:ascii="宋体" w:hAnsi="宋体" w:eastAsia="宋体" w:cs="宋体"/>
          <w:bCs/>
          <w:color w:val="000000" w:themeColor="text1"/>
          <w:kern w:val="0"/>
          <w:szCs w:val="21"/>
          <w:highlight w:val="none"/>
          <w14:textFill>
            <w14:solidFill>
              <w14:schemeClr w14:val="tx1"/>
            </w14:solidFill>
          </w14:textFill>
        </w:rPr>
        <w:t>7</w:t>
      </w:r>
      <w:bookmarkStart w:id="304" w:name="_Toc337558768"/>
      <w:bookmarkStart w:id="305" w:name="_Toc296346567"/>
      <w:bookmarkStart w:id="306" w:name="_Toc296503066"/>
      <w:r>
        <w:rPr>
          <w:rFonts w:ascii="宋体" w:hAnsi="宋体" w:eastAsia="宋体" w:cs="宋体"/>
          <w:bCs/>
          <w:color w:val="000000" w:themeColor="text1"/>
          <w:kern w:val="0"/>
          <w:szCs w:val="21"/>
          <w:highlight w:val="none"/>
          <w14:textFill>
            <w14:solidFill>
              <w14:schemeClr w14:val="tx1"/>
            </w14:solidFill>
          </w14:textFill>
        </w:rPr>
        <w:t>.1施工组织设计</w:t>
      </w:r>
      <w:bookmarkEnd w:id="302"/>
      <w:bookmarkEnd w:id="303"/>
    </w:p>
    <w:bookmarkEnd w:id="304"/>
    <w:p w14:paraId="7B8921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宋体"/>
          <w:color w:val="000000" w:themeColor="text1"/>
          <w:kern w:val="0"/>
          <w:szCs w:val="21"/>
          <w:highlight w:val="none"/>
          <w14:textFill>
            <w14:solidFill>
              <w14:schemeClr w14:val="tx1"/>
            </w14:solidFill>
          </w14:textFill>
        </w:rPr>
        <w:t>施工组织设计的内容</w:t>
      </w:r>
    </w:p>
    <w:p w14:paraId="4DCAC3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施工组织设计应包含以下内容：</w:t>
      </w:r>
    </w:p>
    <w:p w14:paraId="12FE37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（1）施工方案； </w:t>
      </w:r>
    </w:p>
    <w:p w14:paraId="48BA86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（2）施工现场平面布置图；</w:t>
      </w:r>
    </w:p>
    <w:p w14:paraId="38A5C0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（3）施工进度计划和保证措施； </w:t>
      </w:r>
    </w:p>
    <w:p w14:paraId="7F38C9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（4）劳动力及材料供应计划；</w:t>
      </w:r>
    </w:p>
    <w:p w14:paraId="6FFDA8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（5）施工机械设备的选用；</w:t>
      </w:r>
    </w:p>
    <w:p w14:paraId="60ACF12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（6）质量保证体系及措施；</w:t>
      </w:r>
    </w:p>
    <w:p w14:paraId="703305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（7）安全生产、文明施工措施；</w:t>
      </w:r>
    </w:p>
    <w:p w14:paraId="32F487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（8）环境保护、成本控制措施；</w:t>
      </w:r>
    </w:p>
    <w:p w14:paraId="61B8F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（9）合同当事人约定的其他内容。</w:t>
      </w:r>
    </w:p>
    <w:p w14:paraId="0F0A80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宋体"/>
          <w:color w:val="000000" w:themeColor="text1"/>
          <w:kern w:val="0"/>
          <w:szCs w:val="21"/>
          <w:highlight w:val="none"/>
          <w14:textFill>
            <w14:solidFill>
              <w14:schemeClr w14:val="tx1"/>
            </w14:solidFill>
          </w14:textFill>
        </w:rPr>
        <w:t>施工组织设计的提交和修改</w:t>
      </w:r>
    </w:p>
    <w:p w14:paraId="6D1BAF9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C1B4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施工进度计划的编制和修改按照第7.2款〔施工进度计划〕执行。</w:t>
      </w:r>
    </w:p>
    <w:p w14:paraId="7CBECD8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7" w:name="_Toc533863355"/>
      <w:bookmarkStart w:id="308" w:name="_Toc351203544"/>
      <w:r>
        <w:rPr>
          <w:rFonts w:ascii="宋体" w:hAnsi="宋体" w:eastAsia="宋体" w:cs="宋体"/>
          <w:bCs/>
          <w:color w:val="000000" w:themeColor="text1"/>
          <w:kern w:val="0"/>
          <w:szCs w:val="21"/>
          <w:highlight w:val="none"/>
          <w14:textFill>
            <w14:solidFill>
              <w14:schemeClr w14:val="tx1"/>
            </w14:solidFill>
          </w14:textFill>
        </w:rPr>
        <w:t>7</w:t>
      </w:r>
      <w:bookmarkStart w:id="309" w:name="_Toc337558769"/>
      <w:r>
        <w:rPr>
          <w:rFonts w:ascii="宋体" w:hAnsi="宋体" w:eastAsia="宋体" w:cs="宋体"/>
          <w:bCs/>
          <w:color w:val="000000" w:themeColor="text1"/>
          <w:kern w:val="0"/>
          <w:szCs w:val="21"/>
          <w:highlight w:val="none"/>
          <w14:textFill>
            <w14:solidFill>
              <w14:schemeClr w14:val="tx1"/>
            </w14:solidFill>
          </w14:textFill>
        </w:rPr>
        <w:t>.2 施工进度计划</w:t>
      </w:r>
      <w:bookmarkEnd w:id="307"/>
      <w:bookmarkEnd w:id="308"/>
    </w:p>
    <w:bookmarkEnd w:id="309"/>
    <w:p w14:paraId="5E3DE3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7.2.1 施工进度计划的编制</w:t>
      </w:r>
    </w:p>
    <w:p w14:paraId="5C44A7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A10E7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 施工进度计划的修订</w:t>
      </w:r>
    </w:p>
    <w:p w14:paraId="419ECB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93156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0" w:name="_Toc351203545"/>
      <w:bookmarkStart w:id="311" w:name="_Toc533863356"/>
      <w:r>
        <w:rPr>
          <w:rFonts w:ascii="宋体" w:hAnsi="宋体" w:eastAsia="宋体" w:cs="宋体"/>
          <w:bCs/>
          <w:color w:val="000000" w:themeColor="text1"/>
          <w:kern w:val="0"/>
          <w:szCs w:val="21"/>
          <w:highlight w:val="none"/>
          <w14:textFill>
            <w14:solidFill>
              <w14:schemeClr w14:val="tx1"/>
            </w14:solidFill>
          </w14:textFill>
        </w:rPr>
        <w:t>7</w:t>
      </w:r>
      <w:bookmarkStart w:id="312" w:name="_Toc337558770"/>
      <w:r>
        <w:rPr>
          <w:rFonts w:ascii="宋体" w:hAnsi="宋体" w:eastAsia="宋体" w:cs="宋体"/>
          <w:bCs/>
          <w:color w:val="000000" w:themeColor="text1"/>
          <w:kern w:val="0"/>
          <w:szCs w:val="21"/>
          <w:highlight w:val="none"/>
          <w14:textFill>
            <w14:solidFill>
              <w14:schemeClr w14:val="tx1"/>
            </w14:solidFill>
          </w14:textFill>
        </w:rPr>
        <w:t>.3 开工</w:t>
      </w:r>
      <w:bookmarkEnd w:id="310"/>
      <w:bookmarkEnd w:id="311"/>
    </w:p>
    <w:p w14:paraId="644C3C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7.3.1 开工准备</w:t>
      </w:r>
    </w:p>
    <w:p w14:paraId="556E8B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640C0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除专用合同条款另有约定外，合同当事人应按约定完成开工准备工作。</w:t>
      </w:r>
    </w:p>
    <w:p w14:paraId="27720D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7.3.2 开工通知</w:t>
      </w:r>
    </w:p>
    <w:bookmarkEnd w:id="312"/>
    <w:p w14:paraId="2A6C96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6BC70BE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40CE70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3" w:name="_Toc533863357"/>
      <w:bookmarkStart w:id="314" w:name="_Toc351203546"/>
      <w:r>
        <w:rPr>
          <w:rFonts w:ascii="宋体" w:hAnsi="宋体" w:eastAsia="宋体" w:cs="宋体"/>
          <w:bCs/>
          <w:color w:val="000000" w:themeColor="text1"/>
          <w:kern w:val="0"/>
          <w:szCs w:val="21"/>
          <w:highlight w:val="none"/>
          <w14:textFill>
            <w14:solidFill>
              <w14:schemeClr w14:val="tx1"/>
            </w14:solidFill>
          </w14:textFill>
        </w:rPr>
        <w:t>7.4测量放线</w:t>
      </w:r>
      <w:bookmarkEnd w:id="313"/>
      <w:bookmarkEnd w:id="314"/>
    </w:p>
    <w:p w14:paraId="2D9E94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4DEA8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D9C71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19842D0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施工过程中对施工现场内水准点等测量标志物的保护工作由承包人负责。</w:t>
      </w:r>
      <w:bookmarkStart w:id="315" w:name="_Toc351203547"/>
    </w:p>
    <w:p w14:paraId="6F0533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6" w:name="_Toc533863358"/>
      <w:r>
        <w:rPr>
          <w:rFonts w:ascii="宋体" w:hAnsi="宋体" w:eastAsia="宋体" w:cs="宋体"/>
          <w:bCs/>
          <w:color w:val="000000" w:themeColor="text1"/>
          <w:kern w:val="0"/>
          <w:szCs w:val="21"/>
          <w:highlight w:val="none"/>
          <w14:textFill>
            <w14:solidFill>
              <w14:schemeClr w14:val="tx1"/>
            </w14:solidFill>
          </w14:textFill>
        </w:rPr>
        <w:t>7</w:t>
      </w:r>
      <w:bookmarkEnd w:id="305"/>
      <w:bookmarkEnd w:id="306"/>
      <w:bookmarkStart w:id="317" w:name="_Toc296346574"/>
      <w:bookmarkStart w:id="318" w:name="_Toc296503073"/>
      <w:bookmarkStart w:id="319" w:name="_Toc337558772"/>
      <w:r>
        <w:rPr>
          <w:rFonts w:ascii="宋体" w:hAnsi="宋体" w:eastAsia="宋体" w:cs="宋体"/>
          <w:bCs/>
          <w:color w:val="000000" w:themeColor="text1"/>
          <w:kern w:val="0"/>
          <w:szCs w:val="21"/>
          <w:highlight w:val="none"/>
          <w14:textFill>
            <w14:solidFill>
              <w14:schemeClr w14:val="tx1"/>
            </w14:solidFill>
          </w14:textFill>
        </w:rPr>
        <w:t>.5 工期延误</w:t>
      </w:r>
      <w:bookmarkEnd w:id="315"/>
      <w:bookmarkEnd w:id="316"/>
    </w:p>
    <w:bookmarkEnd w:id="317"/>
    <w:bookmarkEnd w:id="318"/>
    <w:bookmarkEnd w:id="319"/>
    <w:p w14:paraId="22D068F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7.5.1 因发包人原因导致工期延误</w:t>
      </w:r>
    </w:p>
    <w:p w14:paraId="42C5E0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在合同履行过程中，因下列情况导致工期延误和（或）费用增加的，由发包人承担由此延误的工期和（或）增加的费用，且发包人应支付承包人合理的利润： </w:t>
      </w:r>
    </w:p>
    <w:p w14:paraId="4CF112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（1）发包人未能按合同约定提供图纸或所提供图纸不符合合同约定的；</w:t>
      </w:r>
    </w:p>
    <w:p w14:paraId="00481D4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（2）发包人未能按合同约定提供施工现场、施工条件、基础资料、许可、批准等开工条件的；</w:t>
      </w:r>
    </w:p>
    <w:p w14:paraId="443742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（3）发包人提供的测量基准点、基准线和水准点及其书面资料存在错误或疏漏的；</w:t>
      </w:r>
    </w:p>
    <w:p w14:paraId="1B11A3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（4）发包人未能在计划开工日期之日起7天内同意下达开工通知的；</w:t>
      </w:r>
    </w:p>
    <w:p w14:paraId="4E42AB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（5）发包人未能按合同约定日期支付工程预付款、进度款或竣工结算款的；</w:t>
      </w:r>
    </w:p>
    <w:p w14:paraId="7E4662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（6）监理人未按合同约定发出指示、批准等文件的；</w:t>
      </w:r>
    </w:p>
    <w:p w14:paraId="44BCD17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（7）专用合同条款中约定的其他情形。</w:t>
      </w:r>
    </w:p>
    <w:p w14:paraId="2A41D88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AFD152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7.5.2 因承包人原因导致工期延误</w:t>
      </w:r>
    </w:p>
    <w:p w14:paraId="1CE35C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bookmarkStart w:id="320" w:name="_Toc296503076"/>
      <w:bookmarkStart w:id="321" w:name="_Toc296346577"/>
      <w:r>
        <w:rPr>
          <w:rFonts w:hint="eastAsia" w:ascii="宋体" w:hAnsi="宋体" w:eastAsia="宋体" w:cs="宋体"/>
          <w:color w:val="000000" w:themeColor="text1"/>
          <w:kern w:val="0"/>
          <w:szCs w:val="21"/>
          <w:highlight w:val="none"/>
          <w14:textFill>
            <w14:solidFill>
              <w14:schemeClr w14:val="tx1"/>
            </w14:solidFill>
          </w14:textFill>
        </w:rPr>
        <w:t>因</w:t>
      </w:r>
      <w:bookmarkEnd w:id="320"/>
      <w:bookmarkEnd w:id="321"/>
      <w:r>
        <w:rPr>
          <w:rFonts w:hint="eastAsia" w:ascii="宋体" w:hAnsi="宋体" w:eastAsia="宋体" w:cs="宋体"/>
          <w:color w:val="000000" w:themeColor="text1"/>
          <w:kern w:val="0"/>
          <w:szCs w:val="21"/>
          <w:highlight w:val="none"/>
          <w14:textFill>
            <w14:solidFill>
              <w14:schemeClr w14:val="tx1"/>
            </w14:solidFill>
          </w14:textFill>
        </w:rPr>
        <w:t>承包人原因造成工期延误的，可以在专用合同条款中约定逾期竣工违约金的计算方法和逾期竣工违约金的上限。承包人支付逾期竣工违约金后，不免除承包人继续完成工程及修补缺陷的义务。</w:t>
      </w:r>
    </w:p>
    <w:p w14:paraId="581A3D0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2" w:name="_Toc351203548"/>
      <w:bookmarkStart w:id="323" w:name="_Toc533863359"/>
      <w:r>
        <w:rPr>
          <w:rFonts w:ascii="宋体" w:hAnsi="宋体" w:eastAsia="宋体" w:cs="宋体"/>
          <w:bCs/>
          <w:color w:val="000000" w:themeColor="text1"/>
          <w:kern w:val="0"/>
          <w:szCs w:val="21"/>
          <w:highlight w:val="none"/>
          <w14:textFill>
            <w14:solidFill>
              <w14:schemeClr w14:val="tx1"/>
            </w14:solidFill>
          </w14:textFill>
        </w:rPr>
        <w:t>7</w:t>
      </w:r>
      <w:bookmarkStart w:id="324" w:name="_Toc296503074"/>
      <w:bookmarkStart w:id="325" w:name="_Toc296346575"/>
      <w:bookmarkStart w:id="326" w:name="_Toc337558773"/>
      <w:bookmarkStart w:id="327" w:name="_Toc296346578"/>
      <w:bookmarkStart w:id="328" w:name="_Toc296503077"/>
      <w:r>
        <w:rPr>
          <w:rFonts w:ascii="宋体" w:hAnsi="宋体" w:eastAsia="宋体" w:cs="宋体"/>
          <w:bCs/>
          <w:color w:val="000000" w:themeColor="text1"/>
          <w:kern w:val="0"/>
          <w:szCs w:val="21"/>
          <w:highlight w:val="none"/>
          <w14:textFill>
            <w14:solidFill>
              <w14:schemeClr w14:val="tx1"/>
            </w14:solidFill>
          </w14:textFill>
        </w:rPr>
        <w:t>.6 不利物质条件</w:t>
      </w:r>
      <w:bookmarkEnd w:id="322"/>
      <w:bookmarkEnd w:id="323"/>
    </w:p>
    <w:bookmarkEnd w:id="324"/>
    <w:bookmarkEnd w:id="325"/>
    <w:bookmarkEnd w:id="326"/>
    <w:p w14:paraId="632B05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DBCC2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6197FEA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9" w:name="_Toc533863360"/>
      <w:bookmarkStart w:id="330" w:name="_Toc351203549"/>
      <w:r>
        <w:rPr>
          <w:rFonts w:ascii="宋体" w:hAnsi="宋体" w:eastAsia="宋体" w:cs="宋体"/>
          <w:bCs/>
          <w:color w:val="000000" w:themeColor="text1"/>
          <w:kern w:val="0"/>
          <w:szCs w:val="21"/>
          <w:highlight w:val="none"/>
          <w14:textFill>
            <w14:solidFill>
              <w14:schemeClr w14:val="tx1"/>
            </w14:solidFill>
          </w14:textFill>
        </w:rPr>
        <w:t>7</w:t>
      </w:r>
      <w:bookmarkStart w:id="331" w:name="_Toc296503075"/>
      <w:bookmarkStart w:id="332" w:name="_Toc337558774"/>
      <w:bookmarkStart w:id="333" w:name="_Toc296346576"/>
      <w:r>
        <w:rPr>
          <w:rFonts w:ascii="宋体" w:hAnsi="宋体" w:eastAsia="宋体" w:cs="宋体"/>
          <w:bCs/>
          <w:color w:val="000000" w:themeColor="text1"/>
          <w:kern w:val="0"/>
          <w:szCs w:val="21"/>
          <w:highlight w:val="none"/>
          <w14:textFill>
            <w14:solidFill>
              <w14:schemeClr w14:val="tx1"/>
            </w14:solidFill>
          </w14:textFill>
        </w:rPr>
        <w:t>.7 异常恶劣的气候条件</w:t>
      </w:r>
      <w:bookmarkEnd w:id="329"/>
      <w:bookmarkEnd w:id="330"/>
    </w:p>
    <w:bookmarkEnd w:id="331"/>
    <w:bookmarkEnd w:id="332"/>
    <w:bookmarkEnd w:id="333"/>
    <w:p w14:paraId="3BC3DA7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F8055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34" w:name="_Toc351203550"/>
    </w:p>
    <w:p w14:paraId="01248D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35" w:name="_Toc533863361"/>
      <w:r>
        <w:rPr>
          <w:rFonts w:ascii="宋体" w:hAnsi="宋体" w:eastAsia="宋体" w:cs="宋体"/>
          <w:b/>
          <w:bCs/>
          <w:color w:val="000000" w:themeColor="text1"/>
          <w:kern w:val="0"/>
          <w:szCs w:val="21"/>
          <w:highlight w:val="none"/>
          <w14:textFill>
            <w14:solidFill>
              <w14:schemeClr w14:val="tx1"/>
            </w14:solidFill>
          </w14:textFill>
        </w:rPr>
        <w:t>7</w:t>
      </w:r>
      <w:bookmarkStart w:id="336" w:name="_Toc337558775"/>
      <w:r>
        <w:rPr>
          <w:rFonts w:ascii="宋体" w:hAnsi="宋体" w:eastAsia="宋体" w:cs="宋体"/>
          <w:b/>
          <w:bCs/>
          <w:color w:val="000000" w:themeColor="text1"/>
          <w:kern w:val="0"/>
          <w:szCs w:val="21"/>
          <w:highlight w:val="none"/>
          <w14:textFill>
            <w14:solidFill>
              <w14:schemeClr w14:val="tx1"/>
            </w14:solidFill>
          </w14:textFill>
        </w:rPr>
        <w:t>.8 暂停施工</w:t>
      </w:r>
      <w:bookmarkEnd w:id="334"/>
      <w:bookmarkEnd w:id="335"/>
    </w:p>
    <w:bookmarkEnd w:id="327"/>
    <w:bookmarkEnd w:id="328"/>
    <w:bookmarkEnd w:id="336"/>
    <w:p w14:paraId="63DE4E4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7.8.1发包人原因引起的暂停施工</w:t>
      </w:r>
    </w:p>
    <w:p w14:paraId="75226AB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781B2B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因发包人原因引起的暂停施工，发包人应承担由此增加的费用和（或）延误的工期，并支付承包人合理的利润。</w:t>
      </w:r>
    </w:p>
    <w:p w14:paraId="1869634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7.8.2 承包人原因引起的暂停施工</w:t>
      </w:r>
    </w:p>
    <w:p w14:paraId="6F2389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F10D9A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7.8.3 指示暂停施工</w:t>
      </w:r>
    </w:p>
    <w:p w14:paraId="4A0E13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监理人认为有必要时，并经发包人批准后，可向承包人作出暂停施工的指示，承包人应按监理人指示暂停施工。</w:t>
      </w:r>
    </w:p>
    <w:p w14:paraId="15DB4C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7.8.4 紧急情况下的暂停施工</w:t>
      </w:r>
    </w:p>
    <w:p w14:paraId="5599E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8454B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7.8.5 暂停施工后的复工</w:t>
      </w:r>
    </w:p>
    <w:p w14:paraId="2717DA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855435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7D967B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7.8.6 暂停施工持续56天以上</w:t>
      </w:r>
    </w:p>
    <w:p w14:paraId="1F5B5D48">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733CB9EB">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09AB5FD4">
      <w:pPr>
        <w:spacing w:line="360" w:lineRule="auto"/>
        <w:ind w:left="16"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7.8.7 暂停施工期间的工程照管</w:t>
      </w:r>
    </w:p>
    <w:p w14:paraId="039C1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暂停施工期间，承包人应负责妥善照管工程并提供安全保障，由此增加的费用由责任方承担。</w:t>
      </w:r>
    </w:p>
    <w:p w14:paraId="26D688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7.8.8 暂停施工的措施</w:t>
      </w:r>
    </w:p>
    <w:p w14:paraId="107DBD9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暂停施工期间，发包人和承包人均应采取必要的措施确保工程质量及安全，防止因暂停施工扩大损失。</w:t>
      </w:r>
    </w:p>
    <w:p w14:paraId="40F7854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37" w:name="_Toc533863362"/>
      <w:bookmarkStart w:id="338" w:name="_Toc351203551"/>
      <w:r>
        <w:rPr>
          <w:rFonts w:ascii="宋体" w:hAnsi="宋体" w:eastAsia="宋体" w:cs="宋体"/>
          <w:bCs/>
          <w:color w:val="000000" w:themeColor="text1"/>
          <w:kern w:val="0"/>
          <w:szCs w:val="21"/>
          <w:highlight w:val="none"/>
          <w14:textFill>
            <w14:solidFill>
              <w14:schemeClr w14:val="tx1"/>
            </w14:solidFill>
          </w14:textFill>
        </w:rPr>
        <w:t>7.9提前竣工</w:t>
      </w:r>
      <w:bookmarkEnd w:id="337"/>
      <w:bookmarkEnd w:id="338"/>
    </w:p>
    <w:p w14:paraId="69640F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B44391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7.9.2 发包人要求承包人提前竣工，或承包人提出提前竣工的建议能够给发包人带来效益的，合同当事人可以在专用合同条款中约定提前竣工的奖励。</w:t>
      </w:r>
    </w:p>
    <w:p w14:paraId="4FEBD482">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39" w:name="_Toc533863363"/>
      <w:bookmarkStart w:id="340" w:name="_Toc351203552"/>
      <w:bookmarkStart w:id="341" w:name="_Toc10777"/>
      <w:r>
        <w:rPr>
          <w:rFonts w:hint="eastAsia" w:ascii="宋体" w:hAnsi="宋体" w:eastAsia="宋体" w:cs="宋体"/>
          <w:bCs/>
          <w:color w:val="000000" w:themeColor="text1"/>
          <w:szCs w:val="21"/>
          <w:highlight w:val="none"/>
          <w14:textFill>
            <w14:solidFill>
              <w14:schemeClr w14:val="tx1"/>
            </w14:solidFill>
          </w14:textFill>
        </w:rPr>
        <w:t>8</w:t>
      </w:r>
      <w:bookmarkStart w:id="342" w:name="_Toc296503058"/>
      <w:bookmarkStart w:id="343" w:name="_Toc337558776"/>
      <w:bookmarkStart w:id="344" w:name="_Toc296346559"/>
      <w:r>
        <w:rPr>
          <w:rFonts w:hint="eastAsia" w:ascii="宋体" w:hAnsi="宋体" w:eastAsia="宋体" w:cs="宋体"/>
          <w:bCs/>
          <w:color w:val="000000" w:themeColor="text1"/>
          <w:szCs w:val="21"/>
          <w:highlight w:val="none"/>
          <w14:textFill>
            <w14:solidFill>
              <w14:schemeClr w14:val="tx1"/>
            </w14:solidFill>
          </w14:textFill>
        </w:rPr>
        <w:t>. 材料与设备</w:t>
      </w:r>
      <w:bookmarkEnd w:id="339"/>
      <w:bookmarkEnd w:id="340"/>
      <w:bookmarkEnd w:id="341"/>
    </w:p>
    <w:bookmarkEnd w:id="342"/>
    <w:bookmarkEnd w:id="343"/>
    <w:bookmarkEnd w:id="344"/>
    <w:p w14:paraId="5B87347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45" w:name="_Toc351203553"/>
      <w:bookmarkStart w:id="346" w:name="_Toc533863364"/>
      <w:r>
        <w:rPr>
          <w:rFonts w:ascii="宋体" w:hAnsi="宋体" w:eastAsia="宋体" w:cs="宋体"/>
          <w:bCs/>
          <w:color w:val="000000" w:themeColor="text1"/>
          <w:kern w:val="0"/>
          <w:szCs w:val="21"/>
          <w:highlight w:val="none"/>
          <w14:textFill>
            <w14:solidFill>
              <w14:schemeClr w14:val="tx1"/>
            </w14:solidFill>
          </w14:textFill>
        </w:rPr>
        <w:t>8</w:t>
      </w:r>
      <w:bookmarkStart w:id="347" w:name="_Toc337558777"/>
      <w:bookmarkStart w:id="348" w:name="_Toc296346560"/>
      <w:bookmarkStart w:id="349" w:name="_Toc296503059"/>
      <w:bookmarkStart w:id="350" w:name="_Toc468936960"/>
      <w:r>
        <w:rPr>
          <w:rFonts w:ascii="宋体" w:hAnsi="宋体" w:eastAsia="宋体" w:cs="宋体"/>
          <w:bCs/>
          <w:color w:val="000000" w:themeColor="text1"/>
          <w:kern w:val="0"/>
          <w:szCs w:val="21"/>
          <w:highlight w:val="none"/>
          <w14:textFill>
            <w14:solidFill>
              <w14:schemeClr w14:val="tx1"/>
            </w14:solidFill>
          </w14:textFill>
        </w:rPr>
        <w:t>.1发包人供应材料与工程设备</w:t>
      </w:r>
      <w:bookmarkEnd w:id="345"/>
      <w:bookmarkEnd w:id="346"/>
    </w:p>
    <w:bookmarkEnd w:id="347"/>
    <w:bookmarkEnd w:id="348"/>
    <w:bookmarkEnd w:id="349"/>
    <w:p w14:paraId="278223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0A4921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31507D2">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51" w:name="_Toc533863365"/>
      <w:bookmarkStart w:id="352" w:name="_Toc351203554"/>
      <w:r>
        <w:rPr>
          <w:rFonts w:ascii="宋体" w:hAnsi="宋体" w:eastAsia="宋体" w:cs="宋体"/>
          <w:bCs/>
          <w:color w:val="000000" w:themeColor="text1"/>
          <w:kern w:val="0"/>
          <w:szCs w:val="21"/>
          <w:highlight w:val="none"/>
          <w14:textFill>
            <w14:solidFill>
              <w14:schemeClr w14:val="tx1"/>
            </w14:solidFill>
          </w14:textFill>
        </w:rPr>
        <w:t>8</w:t>
      </w:r>
      <w:bookmarkStart w:id="353" w:name="_Toc296346561"/>
      <w:bookmarkStart w:id="354" w:name="_Toc337558778"/>
      <w:bookmarkStart w:id="355" w:name="_Toc296503060"/>
      <w:r>
        <w:rPr>
          <w:rFonts w:ascii="宋体" w:hAnsi="宋体" w:eastAsia="宋体" w:cs="宋体"/>
          <w:bCs/>
          <w:color w:val="000000" w:themeColor="text1"/>
          <w:kern w:val="0"/>
          <w:szCs w:val="21"/>
          <w:highlight w:val="none"/>
          <w14:textFill>
            <w14:solidFill>
              <w14:schemeClr w14:val="tx1"/>
            </w14:solidFill>
          </w14:textFill>
        </w:rPr>
        <w:t>.2承包人采购材料与工程设备</w:t>
      </w:r>
      <w:bookmarkEnd w:id="351"/>
      <w:bookmarkEnd w:id="352"/>
    </w:p>
    <w:bookmarkEnd w:id="353"/>
    <w:bookmarkEnd w:id="354"/>
    <w:bookmarkEnd w:id="355"/>
    <w:p w14:paraId="480E64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D4455F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56" w:name="_Toc533863366"/>
      <w:bookmarkStart w:id="357" w:name="_Toc351203555"/>
      <w:r>
        <w:rPr>
          <w:rFonts w:ascii="宋体" w:hAnsi="宋体" w:eastAsia="宋体" w:cs="宋体"/>
          <w:bCs/>
          <w:color w:val="000000" w:themeColor="text1"/>
          <w:kern w:val="0"/>
          <w:szCs w:val="21"/>
          <w:highlight w:val="none"/>
          <w14:textFill>
            <w14:solidFill>
              <w14:schemeClr w14:val="tx1"/>
            </w14:solidFill>
          </w14:textFill>
        </w:rPr>
        <w:t>8</w:t>
      </w:r>
      <w:bookmarkStart w:id="358" w:name="_Toc296503061"/>
      <w:bookmarkStart w:id="359" w:name="_Toc337558779"/>
      <w:bookmarkStart w:id="360" w:name="_Toc296346562"/>
      <w:r>
        <w:rPr>
          <w:rFonts w:ascii="宋体" w:hAnsi="宋体" w:eastAsia="宋体" w:cs="宋体"/>
          <w:bCs/>
          <w:color w:val="000000" w:themeColor="text1"/>
          <w:kern w:val="0"/>
          <w:szCs w:val="21"/>
          <w:highlight w:val="none"/>
          <w14:textFill>
            <w14:solidFill>
              <w14:schemeClr w14:val="tx1"/>
            </w14:solidFill>
          </w14:textFill>
        </w:rPr>
        <w:t>.3材料与工程设备的接收与拒收</w:t>
      </w:r>
      <w:bookmarkEnd w:id="356"/>
      <w:bookmarkEnd w:id="357"/>
    </w:p>
    <w:bookmarkEnd w:id="358"/>
    <w:bookmarkEnd w:id="359"/>
    <w:bookmarkEnd w:id="360"/>
    <w:p w14:paraId="266D02C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A841B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0609CDE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8.3.2 承包人采购的材料和工程设备，应保证产品质量合格，承包人应在材料和工程设备到货前24小时通知监理人检验。承</w:t>
      </w:r>
      <w:bookmarkStart w:id="361" w:name="_Toc250655469"/>
      <w:r>
        <w:rPr>
          <w:rFonts w:hint="eastAsia" w:ascii="宋体" w:hAnsi="宋体" w:eastAsia="宋体" w:cs="宋体"/>
          <w:color w:val="000000" w:themeColor="text1"/>
          <w:kern w:val="0"/>
          <w:szCs w:val="21"/>
          <w:highlight w:val="none"/>
          <w14:textFill>
            <w14:solidFill>
              <w14:schemeClr w14:val="tx1"/>
            </w14:solidFill>
          </w14:textFill>
        </w:rPr>
        <w:t>包人进行永久设备、材料的制造和生产的，应符合相关质量标准，并向监理人提交材料的样本以及有关资料，并应在使用该材料或工程设备之前获得监理人同意。</w:t>
      </w:r>
    </w:p>
    <w:bookmarkEnd w:id="361"/>
    <w:p w14:paraId="4261C10D">
      <w:pPr>
        <w:autoSpaceDE w:val="0"/>
        <w:autoSpaceDN w:val="0"/>
        <w:adjustRightInd w:val="0"/>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B4D895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2" w:name="_Toc351203556"/>
      <w:bookmarkStart w:id="363" w:name="_Toc533863367"/>
      <w:r>
        <w:rPr>
          <w:rFonts w:ascii="宋体" w:hAnsi="宋体" w:eastAsia="宋体" w:cs="宋体"/>
          <w:bCs/>
          <w:color w:val="000000" w:themeColor="text1"/>
          <w:kern w:val="0"/>
          <w:szCs w:val="21"/>
          <w:highlight w:val="none"/>
          <w14:textFill>
            <w14:solidFill>
              <w14:schemeClr w14:val="tx1"/>
            </w14:solidFill>
          </w14:textFill>
        </w:rPr>
        <w:t>8</w:t>
      </w:r>
      <w:bookmarkStart w:id="364" w:name="_Toc296503062"/>
      <w:bookmarkStart w:id="365" w:name="_Toc337558780"/>
      <w:bookmarkStart w:id="366" w:name="_Toc296346563"/>
      <w:r>
        <w:rPr>
          <w:rFonts w:ascii="宋体" w:hAnsi="宋体" w:eastAsia="宋体" w:cs="宋体"/>
          <w:bCs/>
          <w:color w:val="000000" w:themeColor="text1"/>
          <w:kern w:val="0"/>
          <w:szCs w:val="21"/>
          <w:highlight w:val="none"/>
          <w14:textFill>
            <w14:solidFill>
              <w14:schemeClr w14:val="tx1"/>
            </w14:solidFill>
          </w14:textFill>
        </w:rPr>
        <w:t>.4材料与工程设备的保管与使用</w:t>
      </w:r>
      <w:bookmarkEnd w:id="362"/>
      <w:bookmarkEnd w:id="363"/>
    </w:p>
    <w:bookmarkEnd w:id="364"/>
    <w:bookmarkEnd w:id="365"/>
    <w:bookmarkEnd w:id="366"/>
    <w:p w14:paraId="70B68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8.4.1 发包人供应</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6F6B12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B6F6E2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发包人供应的材料和工程设备使用前，由承包人负责检验，检验费用由发包人承担，不合格的不得使用。</w:t>
      </w:r>
    </w:p>
    <w:p w14:paraId="73CB95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8.4.2 承包人采购</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3C859EC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C074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498306A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7" w:name="_Toc533863368"/>
      <w:bookmarkStart w:id="368" w:name="_Toc351203557"/>
      <w:r>
        <w:rPr>
          <w:rFonts w:ascii="宋体" w:hAnsi="宋体" w:eastAsia="宋体" w:cs="宋体"/>
          <w:bCs/>
          <w:color w:val="000000" w:themeColor="text1"/>
          <w:kern w:val="0"/>
          <w:szCs w:val="21"/>
          <w:highlight w:val="none"/>
          <w14:textFill>
            <w14:solidFill>
              <w14:schemeClr w14:val="tx1"/>
            </w14:solidFill>
          </w14:textFill>
        </w:rPr>
        <w:t>8.5禁止使用不合格的材料和工程设备</w:t>
      </w:r>
      <w:bookmarkEnd w:id="367"/>
      <w:bookmarkEnd w:id="368"/>
    </w:p>
    <w:p w14:paraId="28B11F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8.5.1 监理人有权拒绝承包人提供的不合格材料或工程设备，并要求承包人立即进行更换。监理人应在更换后再次进行检查和检验，由此增加的费用和（或）延误的工期由承包人承担。</w:t>
      </w:r>
    </w:p>
    <w:p w14:paraId="21C1B1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8.5.2 监理人发现承包人使用了不合格的材料和工程设备，承包人应按照监理人的指示立即改正，并禁止在工程中继续使用不合格的材料和工程设备。</w:t>
      </w:r>
    </w:p>
    <w:p w14:paraId="211A92E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8.5.3 发包人提供的材料或工程设备不符合合同要求的，承包人有权拒绝，并可要求发包人更换，由此增加的费用和（或）延误的工期由发包人承担，并支付承包人合理的利润。</w:t>
      </w:r>
    </w:p>
    <w:p w14:paraId="0D16B36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9" w:name="_Toc533863369"/>
      <w:bookmarkStart w:id="370" w:name="_Toc351203558"/>
      <w:r>
        <w:rPr>
          <w:rFonts w:ascii="宋体" w:hAnsi="宋体" w:eastAsia="宋体" w:cs="宋体"/>
          <w:bCs/>
          <w:color w:val="000000" w:themeColor="text1"/>
          <w:kern w:val="0"/>
          <w:szCs w:val="21"/>
          <w:highlight w:val="none"/>
          <w14:textFill>
            <w14:solidFill>
              <w14:schemeClr w14:val="tx1"/>
            </w14:solidFill>
          </w14:textFill>
        </w:rPr>
        <w:t>8.6 样品</w:t>
      </w:r>
      <w:bookmarkEnd w:id="369"/>
      <w:bookmarkEnd w:id="370"/>
    </w:p>
    <w:p w14:paraId="18F2507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宋体"/>
          <w:color w:val="000000" w:themeColor="text1"/>
          <w:kern w:val="0"/>
          <w:szCs w:val="21"/>
          <w:highlight w:val="none"/>
          <w14:textFill>
            <w14:solidFill>
              <w14:schemeClr w14:val="tx1"/>
            </w14:solidFill>
          </w14:textFill>
        </w:rPr>
        <w:tab/>
      </w:r>
      <w:r>
        <w:rPr>
          <w:rFonts w:hint="eastAsia" w:ascii="宋体" w:hAnsi="宋体" w:eastAsia="宋体" w:cs="宋体"/>
          <w:color w:val="000000" w:themeColor="text1"/>
          <w:kern w:val="0"/>
          <w:szCs w:val="21"/>
          <w:highlight w:val="none"/>
          <w14:textFill>
            <w14:solidFill>
              <w14:schemeClr w14:val="tx1"/>
            </w14:solidFill>
          </w14:textFill>
        </w:rPr>
        <w:t>样品的报送与封存</w:t>
      </w:r>
    </w:p>
    <w:p w14:paraId="05AB72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需要承包人报送样品的材料或工程设备，样品的种类、名称、规格、数量等要求均应在专用合同条款中约定。样品的报送程序如下：</w:t>
      </w:r>
    </w:p>
    <w:p w14:paraId="02A24E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D020AF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5ECC24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5C0E4A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773C7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8.6.2 样品的保管</w:t>
      </w:r>
    </w:p>
    <w:p w14:paraId="1FCA1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经批准的样品应由监理人负责封存于现场，承包人应在现场为保存样品提供适当和固定的场所并保持适当和良好的存储环境条件。</w:t>
      </w:r>
    </w:p>
    <w:p w14:paraId="2FA5493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1" w:name="_Toc533863370"/>
      <w:bookmarkStart w:id="372" w:name="_Toc351203559"/>
      <w:r>
        <w:rPr>
          <w:rFonts w:ascii="宋体" w:hAnsi="宋体" w:eastAsia="宋体" w:cs="宋体"/>
          <w:bCs/>
          <w:color w:val="000000" w:themeColor="text1"/>
          <w:kern w:val="0"/>
          <w:szCs w:val="21"/>
          <w:highlight w:val="none"/>
          <w14:textFill>
            <w14:solidFill>
              <w14:schemeClr w14:val="tx1"/>
            </w14:solidFill>
          </w14:textFill>
        </w:rPr>
        <w:t>8.7材料与工程设备的替代</w:t>
      </w:r>
      <w:bookmarkEnd w:id="371"/>
      <w:bookmarkEnd w:id="372"/>
    </w:p>
    <w:p w14:paraId="6DA318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8.7.1 出现下列情况需要使用替代材料和工程设备的，承包人应按照第8.7.2项约定的程序执行：</w:t>
      </w:r>
    </w:p>
    <w:p w14:paraId="63F298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（1）基准日期后生效的法律规定禁止使用的；</w:t>
      </w:r>
    </w:p>
    <w:p w14:paraId="3E7368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（2）发包人要求使用替代品的；</w:t>
      </w:r>
    </w:p>
    <w:p w14:paraId="0CCF0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（3）因其他原因必须使用替代品的。</w:t>
      </w:r>
    </w:p>
    <w:p w14:paraId="5CA83B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8.7.2 承包人应在使用替代材料和工程设备28天前书面通知监理人，并附下列文件：</w:t>
      </w:r>
    </w:p>
    <w:p w14:paraId="33CC234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（1）被替代的材料和工程设备的名称、数量、规格、型号、品牌、性能、价格及其他相关资料；</w:t>
      </w:r>
    </w:p>
    <w:p w14:paraId="412A0E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（2）替代品的名称、数量、规格、型号、品牌、性能、价格及其他相关资料；</w:t>
      </w:r>
    </w:p>
    <w:p w14:paraId="0255A1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（3）替代品与被替代产品之间的差异以及使用替代品可能对工程产生的影响；</w:t>
      </w:r>
    </w:p>
    <w:p w14:paraId="6AE2E5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（4）替代品与被替代产品的价格差异；</w:t>
      </w:r>
    </w:p>
    <w:p w14:paraId="10CAAA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（5）使用替代品的理由和原因说明；</w:t>
      </w:r>
    </w:p>
    <w:p w14:paraId="0253B89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（6）监理人要求的其他文件。</w:t>
      </w:r>
    </w:p>
    <w:p w14:paraId="17560C8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监理人应在收到通知后14天内向承包人发出经发包人签认的书面指示；监理人逾期发出书面指示的，视为发包人和监理人同意使用替代品。</w:t>
      </w:r>
    </w:p>
    <w:p w14:paraId="3D145C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332285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3" w:name="_Toc351203560"/>
      <w:bookmarkStart w:id="374" w:name="_Toc533863371"/>
      <w:r>
        <w:rPr>
          <w:rFonts w:ascii="宋体" w:hAnsi="宋体" w:eastAsia="宋体" w:cs="宋体"/>
          <w:bCs/>
          <w:color w:val="000000" w:themeColor="text1"/>
          <w:kern w:val="0"/>
          <w:szCs w:val="21"/>
          <w:highlight w:val="none"/>
          <w14:textFill>
            <w14:solidFill>
              <w14:schemeClr w14:val="tx1"/>
            </w14:solidFill>
          </w14:textFill>
        </w:rPr>
        <w:t>8.8施工设备和临时设施</w:t>
      </w:r>
      <w:bookmarkEnd w:id="373"/>
      <w:bookmarkEnd w:id="374"/>
    </w:p>
    <w:p w14:paraId="7312C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8.8.1 承包人提供的施工设备和临时设施</w:t>
      </w:r>
    </w:p>
    <w:p w14:paraId="6C61F4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1FCAA2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除专用合同条款另有约定外，承包人应自行承担修建临时设施的费用，需要临时占地的，应由发包人办理申请手续并承担相应费用。</w:t>
      </w:r>
    </w:p>
    <w:p w14:paraId="5CA63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8.8.2发包人提供的施工设备和临时设施</w:t>
      </w:r>
    </w:p>
    <w:p w14:paraId="5C3082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发包人提供的施工设备或临时设施在专用合同条款中约定。</w:t>
      </w:r>
    </w:p>
    <w:p w14:paraId="25B7C5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8.8.3要求承包人增加或更换施工设备</w:t>
      </w:r>
    </w:p>
    <w:p w14:paraId="5D5585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1912AF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5" w:name="_Toc351203561"/>
      <w:bookmarkStart w:id="376" w:name="_Toc533863372"/>
      <w:r>
        <w:rPr>
          <w:rFonts w:ascii="宋体" w:hAnsi="宋体" w:eastAsia="宋体" w:cs="宋体"/>
          <w:bCs/>
          <w:color w:val="000000" w:themeColor="text1"/>
          <w:kern w:val="0"/>
          <w:szCs w:val="21"/>
          <w:highlight w:val="none"/>
          <w14:textFill>
            <w14:solidFill>
              <w14:schemeClr w14:val="tx1"/>
            </w14:solidFill>
          </w14:textFill>
        </w:rPr>
        <w:t>8</w:t>
      </w:r>
      <w:bookmarkStart w:id="377" w:name="_Toc296346564"/>
      <w:bookmarkStart w:id="378" w:name="_Toc296503063"/>
      <w:bookmarkStart w:id="379" w:name="_Toc337558781"/>
      <w:r>
        <w:rPr>
          <w:rFonts w:ascii="宋体" w:hAnsi="宋体" w:eastAsia="宋体" w:cs="宋体"/>
          <w:bCs/>
          <w:color w:val="000000" w:themeColor="text1"/>
          <w:kern w:val="0"/>
          <w:szCs w:val="21"/>
          <w:highlight w:val="none"/>
          <w14:textFill>
            <w14:solidFill>
              <w14:schemeClr w14:val="tx1"/>
            </w14:solidFill>
          </w14:textFill>
        </w:rPr>
        <w:t>.9材料与设备专用</w:t>
      </w:r>
      <w:bookmarkEnd w:id="375"/>
      <w:r>
        <w:rPr>
          <w:rFonts w:ascii="宋体" w:hAnsi="宋体" w:eastAsia="宋体" w:cs="宋体"/>
          <w:bCs/>
          <w:color w:val="000000" w:themeColor="text1"/>
          <w:kern w:val="0"/>
          <w:szCs w:val="21"/>
          <w:highlight w:val="none"/>
          <w14:textFill>
            <w14:solidFill>
              <w14:schemeClr w14:val="tx1"/>
            </w14:solidFill>
          </w14:textFill>
        </w:rPr>
        <w:t>要求</w:t>
      </w:r>
      <w:bookmarkEnd w:id="376"/>
    </w:p>
    <w:bookmarkEnd w:id="377"/>
    <w:bookmarkEnd w:id="378"/>
    <w:bookmarkEnd w:id="379"/>
    <w:p w14:paraId="6A64E1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w:t>
      </w:r>
      <w:bookmarkEnd w:id="350"/>
      <w:r>
        <w:rPr>
          <w:rFonts w:hint="eastAsia" w:ascii="宋体" w:hAnsi="宋体" w:eastAsia="宋体" w:cs="宋体"/>
          <w:color w:val="000000" w:themeColor="text1"/>
          <w:kern w:val="0"/>
          <w:szCs w:val="21"/>
          <w:highlight w:val="none"/>
          <w14:textFill>
            <w14:solidFill>
              <w14:schemeClr w14:val="tx1"/>
            </w14:solidFill>
          </w14:textFill>
        </w:rPr>
        <w:t>经发包人批准，承包人可以根据施工进度计划撤走闲置的施工设备和其他物品。</w:t>
      </w:r>
    </w:p>
    <w:p w14:paraId="7A7E2311">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80" w:name="_Toc351203562"/>
      <w:bookmarkStart w:id="381" w:name="_Toc29903"/>
      <w:bookmarkStart w:id="382" w:name="_Toc533863373"/>
      <w:r>
        <w:rPr>
          <w:rFonts w:hint="eastAsia" w:ascii="宋体" w:hAnsi="宋体" w:eastAsia="宋体" w:cs="宋体"/>
          <w:bCs/>
          <w:color w:val="000000" w:themeColor="text1"/>
          <w:szCs w:val="21"/>
          <w:highlight w:val="none"/>
          <w14:textFill>
            <w14:solidFill>
              <w14:schemeClr w14:val="tx1"/>
            </w14:solidFill>
          </w14:textFill>
        </w:rPr>
        <w:t>9</w:t>
      </w:r>
      <w:bookmarkStart w:id="383" w:name="_Toc337558782"/>
      <w:bookmarkStart w:id="384" w:name="_Toc296346584"/>
      <w:bookmarkStart w:id="385" w:name="_Toc296503083"/>
      <w:r>
        <w:rPr>
          <w:rFonts w:hint="eastAsia" w:ascii="宋体" w:hAnsi="宋体" w:eastAsia="宋体" w:cs="宋体"/>
          <w:bCs/>
          <w:color w:val="000000" w:themeColor="text1"/>
          <w:szCs w:val="21"/>
          <w:highlight w:val="none"/>
          <w14:textFill>
            <w14:solidFill>
              <w14:schemeClr w14:val="tx1"/>
            </w14:solidFill>
          </w14:textFill>
        </w:rPr>
        <w:t>. 试验与检验</w:t>
      </w:r>
      <w:bookmarkEnd w:id="380"/>
      <w:bookmarkEnd w:id="381"/>
      <w:bookmarkEnd w:id="382"/>
    </w:p>
    <w:bookmarkEnd w:id="383"/>
    <w:p w14:paraId="399C00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6" w:name="_Toc533863374"/>
      <w:bookmarkStart w:id="387" w:name="_Toc351203563"/>
      <w:r>
        <w:rPr>
          <w:rFonts w:ascii="宋体" w:hAnsi="宋体" w:eastAsia="宋体" w:cs="宋体"/>
          <w:bCs/>
          <w:color w:val="000000" w:themeColor="text1"/>
          <w:kern w:val="0"/>
          <w:szCs w:val="21"/>
          <w:highlight w:val="none"/>
          <w14:textFill>
            <w14:solidFill>
              <w14:schemeClr w14:val="tx1"/>
            </w14:solidFill>
          </w14:textFill>
        </w:rPr>
        <w:t>9</w:t>
      </w:r>
      <w:bookmarkStart w:id="388" w:name="_Toc337558783"/>
      <w:r>
        <w:rPr>
          <w:rFonts w:ascii="宋体" w:hAnsi="宋体" w:eastAsia="宋体" w:cs="宋体"/>
          <w:bCs/>
          <w:color w:val="000000" w:themeColor="text1"/>
          <w:kern w:val="0"/>
          <w:szCs w:val="21"/>
          <w:highlight w:val="none"/>
          <w14:textFill>
            <w14:solidFill>
              <w14:schemeClr w14:val="tx1"/>
            </w14:solidFill>
          </w14:textFill>
        </w:rPr>
        <w:t>.1试验设备与试验人员</w:t>
      </w:r>
      <w:bookmarkEnd w:id="386"/>
      <w:bookmarkEnd w:id="387"/>
    </w:p>
    <w:bookmarkEnd w:id="388"/>
    <w:p w14:paraId="2AC5341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75CDC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9.1.2 承包人应按专用合同条款的约定提供试验设备、取样装置、试验场所和试验条件，并向监理人提交相应进场计划表。</w:t>
      </w:r>
    </w:p>
    <w:p w14:paraId="596D7C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4B97CAE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9.1.3 承包人应向监理人提交试验人员的名单及其岗位、资格等证明资料，试验人员必须能够熟练进行相应的检测试验，承包人对试验人员的试验程序和试验结果的正确性负责。</w:t>
      </w:r>
    </w:p>
    <w:p w14:paraId="6D2596E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9" w:name="_Toc351203564"/>
      <w:bookmarkStart w:id="390" w:name="_Toc533863375"/>
      <w:r>
        <w:rPr>
          <w:rFonts w:ascii="宋体" w:hAnsi="宋体" w:eastAsia="宋体" w:cs="宋体"/>
          <w:bCs/>
          <w:color w:val="000000" w:themeColor="text1"/>
          <w:kern w:val="0"/>
          <w:szCs w:val="21"/>
          <w:highlight w:val="none"/>
          <w14:textFill>
            <w14:solidFill>
              <w14:schemeClr w14:val="tx1"/>
            </w14:solidFill>
          </w14:textFill>
        </w:rPr>
        <w:t>9</w:t>
      </w:r>
      <w:bookmarkStart w:id="391" w:name="_Toc337558784"/>
      <w:r>
        <w:rPr>
          <w:rFonts w:ascii="宋体" w:hAnsi="宋体" w:eastAsia="宋体" w:cs="宋体"/>
          <w:bCs/>
          <w:color w:val="000000" w:themeColor="text1"/>
          <w:kern w:val="0"/>
          <w:szCs w:val="21"/>
          <w:highlight w:val="none"/>
          <w14:textFill>
            <w14:solidFill>
              <w14:schemeClr w14:val="tx1"/>
            </w14:solidFill>
          </w14:textFill>
        </w:rPr>
        <w:t>.2取样</w:t>
      </w:r>
      <w:bookmarkEnd w:id="389"/>
      <w:bookmarkEnd w:id="390"/>
    </w:p>
    <w:bookmarkEnd w:id="391"/>
    <w:p w14:paraId="210BD9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试验属于自检性质的，承包人可以单独取样。试验属于监理人抽检性质的，可由监理人取样，也可由承包人的试验人员在监理人的监督下取样。</w:t>
      </w:r>
    </w:p>
    <w:p w14:paraId="21FEF3D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2" w:name="_Toc351203565"/>
      <w:bookmarkStart w:id="393" w:name="_Toc533863376"/>
      <w:r>
        <w:rPr>
          <w:rFonts w:ascii="宋体" w:hAnsi="宋体" w:eastAsia="宋体" w:cs="宋体"/>
          <w:bCs/>
          <w:color w:val="000000" w:themeColor="text1"/>
          <w:kern w:val="0"/>
          <w:szCs w:val="21"/>
          <w:highlight w:val="none"/>
          <w14:textFill>
            <w14:solidFill>
              <w14:schemeClr w14:val="tx1"/>
            </w14:solidFill>
          </w14:textFill>
        </w:rPr>
        <w:t>9</w:t>
      </w:r>
      <w:bookmarkStart w:id="394" w:name="_Toc337558785"/>
      <w:r>
        <w:rPr>
          <w:rFonts w:ascii="宋体" w:hAnsi="宋体" w:eastAsia="宋体" w:cs="宋体"/>
          <w:bCs/>
          <w:color w:val="000000" w:themeColor="text1"/>
          <w:kern w:val="0"/>
          <w:szCs w:val="21"/>
          <w:highlight w:val="none"/>
          <w14:textFill>
            <w14:solidFill>
              <w14:schemeClr w14:val="tx1"/>
            </w14:solidFill>
          </w14:textFill>
        </w:rPr>
        <w:t>.3材料、工程设备和工程的试验和检验</w:t>
      </w:r>
      <w:bookmarkEnd w:id="392"/>
      <w:bookmarkEnd w:id="393"/>
    </w:p>
    <w:bookmarkEnd w:id="394"/>
    <w:p w14:paraId="4DB2A1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09A80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AB07A1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07E824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5" w:name="_Toc351203566"/>
      <w:bookmarkStart w:id="396" w:name="_Toc533863377"/>
      <w:r>
        <w:rPr>
          <w:rFonts w:ascii="宋体" w:hAnsi="宋体" w:eastAsia="宋体" w:cs="宋体"/>
          <w:bCs/>
          <w:color w:val="000000" w:themeColor="text1"/>
          <w:kern w:val="0"/>
          <w:szCs w:val="21"/>
          <w:highlight w:val="none"/>
          <w14:textFill>
            <w14:solidFill>
              <w14:schemeClr w14:val="tx1"/>
            </w14:solidFill>
          </w14:textFill>
        </w:rPr>
        <w:t>9</w:t>
      </w:r>
      <w:bookmarkStart w:id="397" w:name="_Toc337558786"/>
      <w:r>
        <w:rPr>
          <w:rFonts w:ascii="宋体" w:hAnsi="宋体" w:eastAsia="宋体" w:cs="宋体"/>
          <w:bCs/>
          <w:color w:val="000000" w:themeColor="text1"/>
          <w:kern w:val="0"/>
          <w:szCs w:val="21"/>
          <w:highlight w:val="none"/>
          <w14:textFill>
            <w14:solidFill>
              <w14:schemeClr w14:val="tx1"/>
            </w14:solidFill>
          </w14:textFill>
        </w:rPr>
        <w:t>.4现场工艺试验</w:t>
      </w:r>
      <w:bookmarkEnd w:id="395"/>
      <w:bookmarkEnd w:id="396"/>
    </w:p>
    <w:bookmarkEnd w:id="397"/>
    <w:p w14:paraId="738B27E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00CADB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98" w:name="_Toc351203567"/>
      <w:bookmarkStart w:id="399" w:name="_Toc533863378"/>
      <w:bookmarkStart w:id="400" w:name="_Toc17519"/>
      <w:r>
        <w:rPr>
          <w:rFonts w:hint="eastAsia" w:ascii="宋体" w:hAnsi="宋体" w:eastAsia="宋体" w:cs="宋体"/>
          <w:bCs/>
          <w:color w:val="000000" w:themeColor="text1"/>
          <w:szCs w:val="21"/>
          <w:highlight w:val="none"/>
          <w14:textFill>
            <w14:solidFill>
              <w14:schemeClr w14:val="tx1"/>
            </w14:solidFill>
          </w14:textFill>
        </w:rPr>
        <w:t>1</w:t>
      </w:r>
      <w:bookmarkStart w:id="401" w:name="_Toc337558787"/>
      <w:r>
        <w:rPr>
          <w:rFonts w:hint="eastAsia" w:ascii="宋体" w:hAnsi="宋体" w:eastAsia="宋体" w:cs="宋体"/>
          <w:bCs/>
          <w:color w:val="000000" w:themeColor="text1"/>
          <w:szCs w:val="21"/>
          <w:highlight w:val="none"/>
          <w14:textFill>
            <w14:solidFill>
              <w14:schemeClr w14:val="tx1"/>
            </w14:solidFill>
          </w14:textFill>
        </w:rPr>
        <w:t>0. 变更</w:t>
      </w:r>
      <w:bookmarkEnd w:id="384"/>
      <w:bookmarkEnd w:id="385"/>
      <w:bookmarkEnd w:id="398"/>
      <w:bookmarkEnd w:id="399"/>
      <w:bookmarkEnd w:id="400"/>
    </w:p>
    <w:bookmarkEnd w:id="401"/>
    <w:p w14:paraId="556EDAA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2" w:name="_Toc533863379"/>
      <w:bookmarkStart w:id="403" w:name="_Toc351203568"/>
      <w:r>
        <w:rPr>
          <w:rFonts w:ascii="宋体" w:hAnsi="宋体" w:eastAsia="宋体" w:cs="宋体"/>
          <w:bCs/>
          <w:color w:val="000000" w:themeColor="text1"/>
          <w:kern w:val="0"/>
          <w:szCs w:val="21"/>
          <w:highlight w:val="none"/>
          <w14:textFill>
            <w14:solidFill>
              <w14:schemeClr w14:val="tx1"/>
            </w14:solidFill>
          </w14:textFill>
        </w:rPr>
        <w:t>1</w:t>
      </w:r>
      <w:bookmarkStart w:id="404" w:name="_Toc296346585"/>
      <w:bookmarkStart w:id="405" w:name="_Toc337558788"/>
      <w:bookmarkStart w:id="406" w:name="_Toc296503084"/>
      <w:r>
        <w:rPr>
          <w:rFonts w:ascii="宋体" w:hAnsi="宋体" w:eastAsia="宋体" w:cs="宋体"/>
          <w:bCs/>
          <w:color w:val="000000" w:themeColor="text1"/>
          <w:kern w:val="0"/>
          <w:szCs w:val="21"/>
          <w:highlight w:val="none"/>
          <w14:textFill>
            <w14:solidFill>
              <w14:schemeClr w14:val="tx1"/>
            </w14:solidFill>
          </w14:textFill>
        </w:rPr>
        <w:t>0.1变更的范围</w:t>
      </w:r>
      <w:bookmarkEnd w:id="402"/>
      <w:bookmarkEnd w:id="403"/>
    </w:p>
    <w:bookmarkEnd w:id="404"/>
    <w:bookmarkEnd w:id="405"/>
    <w:bookmarkEnd w:id="406"/>
    <w:p w14:paraId="22314D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除专用合同条款另有约定外，合同履行过程中发生以下情形的，应按照本条约定进行变更：</w:t>
      </w:r>
    </w:p>
    <w:p w14:paraId="721001B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（1）增加或减少合同中任何工作，或追加额外的工作；</w:t>
      </w:r>
    </w:p>
    <w:p w14:paraId="5687FB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（2）取消合同中任何工作，但转由他人实施的工作除外；</w:t>
      </w:r>
    </w:p>
    <w:p w14:paraId="2B4301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（3）改变合同中任何工作的质量标准或其他特性；</w:t>
      </w:r>
    </w:p>
    <w:p w14:paraId="3243D8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（4）改变工程的基线、标高、位置和尺寸；</w:t>
      </w:r>
    </w:p>
    <w:p w14:paraId="70BD98A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（5）改变工程的时间安排或实施顺序。</w:t>
      </w:r>
    </w:p>
    <w:p w14:paraId="031164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7" w:name="_Toc351203569"/>
      <w:bookmarkStart w:id="408" w:name="_Toc533863380"/>
      <w:r>
        <w:rPr>
          <w:rFonts w:ascii="宋体" w:hAnsi="宋体" w:eastAsia="宋体" w:cs="宋体"/>
          <w:bCs/>
          <w:color w:val="000000" w:themeColor="text1"/>
          <w:kern w:val="0"/>
          <w:szCs w:val="21"/>
          <w:highlight w:val="none"/>
          <w14:textFill>
            <w14:solidFill>
              <w14:schemeClr w14:val="tx1"/>
            </w14:solidFill>
          </w14:textFill>
        </w:rPr>
        <w:t>1</w:t>
      </w:r>
      <w:bookmarkStart w:id="409" w:name="_Toc296346586"/>
      <w:bookmarkStart w:id="410" w:name="_Toc337558789"/>
      <w:bookmarkStart w:id="411" w:name="_Toc296503085"/>
      <w:r>
        <w:rPr>
          <w:rFonts w:ascii="宋体" w:hAnsi="宋体" w:eastAsia="宋体" w:cs="宋体"/>
          <w:bCs/>
          <w:color w:val="000000" w:themeColor="text1"/>
          <w:kern w:val="0"/>
          <w:szCs w:val="21"/>
          <w:highlight w:val="none"/>
          <w14:textFill>
            <w14:solidFill>
              <w14:schemeClr w14:val="tx1"/>
            </w14:solidFill>
          </w14:textFill>
        </w:rPr>
        <w:t>0.2变更权</w:t>
      </w:r>
      <w:bookmarkEnd w:id="407"/>
      <w:bookmarkEnd w:id="408"/>
    </w:p>
    <w:bookmarkEnd w:id="409"/>
    <w:bookmarkEnd w:id="410"/>
    <w:bookmarkEnd w:id="411"/>
    <w:p w14:paraId="2E70CF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D13B70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06067C4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2" w:name="_Toc533863381"/>
      <w:bookmarkStart w:id="413" w:name="_Toc351203570"/>
      <w:r>
        <w:rPr>
          <w:rFonts w:ascii="宋体" w:hAnsi="宋体" w:eastAsia="宋体" w:cs="宋体"/>
          <w:bCs/>
          <w:color w:val="000000" w:themeColor="text1"/>
          <w:kern w:val="0"/>
          <w:szCs w:val="21"/>
          <w:highlight w:val="none"/>
          <w14:textFill>
            <w14:solidFill>
              <w14:schemeClr w14:val="tx1"/>
            </w14:solidFill>
          </w14:textFill>
        </w:rPr>
        <w:t>1</w:t>
      </w:r>
      <w:bookmarkStart w:id="414" w:name="_Toc337558790"/>
      <w:bookmarkStart w:id="415" w:name="_Toc296346587"/>
      <w:bookmarkStart w:id="416" w:name="_Toc296503086"/>
      <w:r>
        <w:rPr>
          <w:rFonts w:ascii="宋体" w:hAnsi="宋体" w:eastAsia="宋体" w:cs="宋体"/>
          <w:bCs/>
          <w:color w:val="000000" w:themeColor="text1"/>
          <w:kern w:val="0"/>
          <w:szCs w:val="21"/>
          <w:highlight w:val="none"/>
          <w14:textFill>
            <w14:solidFill>
              <w14:schemeClr w14:val="tx1"/>
            </w14:solidFill>
          </w14:textFill>
        </w:rPr>
        <w:t>0.3变更程序</w:t>
      </w:r>
      <w:bookmarkEnd w:id="412"/>
      <w:bookmarkEnd w:id="413"/>
    </w:p>
    <w:bookmarkEnd w:id="414"/>
    <w:bookmarkEnd w:id="415"/>
    <w:bookmarkEnd w:id="416"/>
    <w:p w14:paraId="6D73D4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.3.1 发包人提出变更</w:t>
      </w:r>
    </w:p>
    <w:p w14:paraId="748C982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发包人提出变更的，应通过监理人向承包人发出变更指示，变更指示应说明计划变更的工程范围和变更的内容。</w:t>
      </w:r>
    </w:p>
    <w:p w14:paraId="726781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.3.2 监理人提出变更建议</w:t>
      </w:r>
    </w:p>
    <w:p w14:paraId="798622B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F826C5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10.3.3 变更执行</w:t>
      </w:r>
    </w:p>
    <w:p w14:paraId="0FE2D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659E43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7" w:name="_Toc351203571"/>
      <w:bookmarkStart w:id="418" w:name="_Toc533863382"/>
      <w:r>
        <w:rPr>
          <w:rFonts w:ascii="宋体" w:hAnsi="宋体" w:eastAsia="宋体" w:cs="宋体"/>
          <w:bCs/>
          <w:color w:val="000000" w:themeColor="text1"/>
          <w:kern w:val="0"/>
          <w:szCs w:val="21"/>
          <w:highlight w:val="none"/>
          <w14:textFill>
            <w14:solidFill>
              <w14:schemeClr w14:val="tx1"/>
            </w14:solidFill>
          </w14:textFill>
        </w:rPr>
        <w:t>1</w:t>
      </w:r>
      <w:bookmarkStart w:id="419" w:name="_Toc296503087"/>
      <w:bookmarkStart w:id="420" w:name="_Toc337558791"/>
      <w:bookmarkStart w:id="421" w:name="_Toc296346588"/>
      <w:r>
        <w:rPr>
          <w:rFonts w:ascii="宋体" w:hAnsi="宋体" w:eastAsia="宋体" w:cs="宋体"/>
          <w:bCs/>
          <w:color w:val="000000" w:themeColor="text1"/>
          <w:kern w:val="0"/>
          <w:szCs w:val="21"/>
          <w:highlight w:val="none"/>
          <w14:textFill>
            <w14:solidFill>
              <w14:schemeClr w14:val="tx1"/>
            </w14:solidFill>
          </w14:textFill>
        </w:rPr>
        <w:t>0.4变更估价</w:t>
      </w:r>
      <w:bookmarkEnd w:id="417"/>
      <w:bookmarkEnd w:id="418"/>
    </w:p>
    <w:bookmarkEnd w:id="419"/>
    <w:bookmarkEnd w:id="420"/>
    <w:bookmarkEnd w:id="421"/>
    <w:p w14:paraId="5AED440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10.4.1 变更估价原则</w:t>
      </w:r>
    </w:p>
    <w:p w14:paraId="7AB68C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除专用合同条款另有约定外，变更估价按照本款约定处理：</w:t>
      </w:r>
    </w:p>
    <w:p w14:paraId="7AA0CC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（1）已标价工程量清单或预算书有相同项目的，按照相同项目单价认定；</w:t>
      </w:r>
    </w:p>
    <w:p w14:paraId="6AF33C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（2）已标价工程量清单或预算书中无相同项目，但有类似项目的，参照类似项目的单价认定；</w:t>
      </w:r>
    </w:p>
    <w:p w14:paraId="6A011D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3A5F3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10.4.2 变更估价程序</w:t>
      </w:r>
    </w:p>
    <w:p w14:paraId="1B15B5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016D0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因变更引起的价格调整应计入最近一期的进度款中支付。</w:t>
      </w:r>
    </w:p>
    <w:p w14:paraId="3AE22F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22" w:name="_Toc533863383"/>
      <w:bookmarkStart w:id="423" w:name="_Toc351203572"/>
      <w:r>
        <w:rPr>
          <w:rFonts w:ascii="宋体" w:hAnsi="宋体" w:eastAsia="宋体" w:cs="宋体"/>
          <w:bCs/>
          <w:color w:val="000000" w:themeColor="text1"/>
          <w:kern w:val="0"/>
          <w:szCs w:val="21"/>
          <w:highlight w:val="none"/>
          <w14:textFill>
            <w14:solidFill>
              <w14:schemeClr w14:val="tx1"/>
            </w14:solidFill>
          </w14:textFill>
        </w:rPr>
        <w:t>1</w:t>
      </w:r>
      <w:bookmarkStart w:id="424" w:name="_Toc296503094"/>
      <w:bookmarkStart w:id="425" w:name="_Toc337558792"/>
      <w:bookmarkStart w:id="426" w:name="_Toc296346595"/>
      <w:r>
        <w:rPr>
          <w:rFonts w:ascii="宋体" w:hAnsi="宋体" w:eastAsia="宋体" w:cs="宋体"/>
          <w:bCs/>
          <w:color w:val="000000" w:themeColor="text1"/>
          <w:kern w:val="0"/>
          <w:szCs w:val="21"/>
          <w:highlight w:val="none"/>
          <w14:textFill>
            <w14:solidFill>
              <w14:schemeClr w14:val="tx1"/>
            </w14:solidFill>
          </w14:textFill>
        </w:rPr>
        <w:t>0.5承包人的合理化建议</w:t>
      </w:r>
      <w:bookmarkEnd w:id="422"/>
      <w:bookmarkEnd w:id="423"/>
    </w:p>
    <w:bookmarkEnd w:id="424"/>
    <w:bookmarkEnd w:id="425"/>
    <w:bookmarkEnd w:id="426"/>
    <w:p w14:paraId="6DA396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承包人提出合理化建议的，应向监理人提交合理化建议说明，说明建议的内容和理由，以及实施该建议对合同价格和工期的影响。</w:t>
      </w:r>
    </w:p>
    <w:p w14:paraId="53C923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739B2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合理化建议降低了合同价格或者提高了工程经济效益的，发包人可对承包人给予奖励，奖励的方法和金额在专用合同条款中约定。</w:t>
      </w:r>
    </w:p>
    <w:p w14:paraId="058820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427" w:name="_Toc533863384"/>
      <w:bookmarkStart w:id="428" w:name="_Toc351203573"/>
      <w:r>
        <w:rPr>
          <w:rFonts w:ascii="宋体" w:hAnsi="宋体" w:eastAsia="宋体" w:cs="宋体"/>
          <w:bCs/>
          <w:color w:val="000000" w:themeColor="text1"/>
          <w:kern w:val="0"/>
          <w:szCs w:val="21"/>
          <w:highlight w:val="none"/>
          <w14:textFill>
            <w14:solidFill>
              <w14:schemeClr w14:val="tx1"/>
            </w14:solidFill>
          </w14:textFill>
        </w:rPr>
        <w:t>1</w:t>
      </w:r>
      <w:bookmarkStart w:id="429" w:name="_Toc337558793"/>
      <w:r>
        <w:rPr>
          <w:rFonts w:ascii="宋体" w:hAnsi="宋体" w:eastAsia="宋体" w:cs="宋体"/>
          <w:bCs/>
          <w:color w:val="000000" w:themeColor="text1"/>
          <w:kern w:val="0"/>
          <w:szCs w:val="21"/>
          <w:highlight w:val="none"/>
          <w14:textFill>
            <w14:solidFill>
              <w14:schemeClr w14:val="tx1"/>
            </w14:solidFill>
          </w14:textFill>
        </w:rPr>
        <w:t>0.6变更引起的工期调整</w:t>
      </w:r>
      <w:bookmarkEnd w:id="427"/>
      <w:bookmarkEnd w:id="428"/>
      <w:r>
        <w:rPr>
          <w:rFonts w:ascii="宋体" w:hAnsi="宋体" w:eastAsia="宋体" w:cs="宋体"/>
          <w:bCs/>
          <w:color w:val="000000" w:themeColor="text1"/>
          <w:kern w:val="0"/>
          <w:szCs w:val="21"/>
          <w:highlight w:val="none"/>
          <w14:textFill>
            <w14:solidFill>
              <w14:schemeClr w14:val="tx1"/>
            </w14:solidFill>
          </w14:textFill>
        </w:rPr>
        <w:t xml:space="preserve"> </w:t>
      </w:r>
      <w:bookmarkEnd w:id="429"/>
      <w:r>
        <w:rPr>
          <w:rFonts w:ascii="宋体" w:hAnsi="宋体" w:eastAsia="宋体" w:cs="宋体"/>
          <w:bCs/>
          <w:color w:val="000000" w:themeColor="text1"/>
          <w:kern w:val="0"/>
          <w:szCs w:val="21"/>
          <w:highlight w:val="none"/>
          <w14:textFill>
            <w14:solidFill>
              <w14:schemeClr w14:val="tx1"/>
            </w14:solidFill>
          </w14:textFill>
        </w:rPr>
        <w:t xml:space="preserve"> </w:t>
      </w:r>
      <w:r>
        <w:rPr>
          <w:rFonts w:ascii="宋体" w:hAnsi="宋体" w:eastAsia="宋体" w:cs="宋体"/>
          <w:b/>
          <w:bCs/>
          <w:color w:val="000000" w:themeColor="text1"/>
          <w:kern w:val="0"/>
          <w:szCs w:val="21"/>
          <w:highlight w:val="none"/>
          <w14:textFill>
            <w14:solidFill>
              <w14:schemeClr w14:val="tx1"/>
            </w14:solidFill>
          </w14:textFill>
        </w:rPr>
        <w:t xml:space="preserve"> </w:t>
      </w:r>
    </w:p>
    <w:p w14:paraId="14C627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26FE29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0" w:name="_Toc533863385"/>
      <w:bookmarkStart w:id="431" w:name="_Toc351203574"/>
      <w:r>
        <w:rPr>
          <w:rFonts w:ascii="宋体" w:hAnsi="宋体" w:eastAsia="宋体" w:cs="宋体"/>
          <w:bCs/>
          <w:color w:val="000000" w:themeColor="text1"/>
          <w:kern w:val="0"/>
          <w:szCs w:val="21"/>
          <w:highlight w:val="none"/>
          <w14:textFill>
            <w14:solidFill>
              <w14:schemeClr w14:val="tx1"/>
            </w14:solidFill>
          </w14:textFill>
        </w:rPr>
        <w:t>10.7暂估价</w:t>
      </w:r>
      <w:bookmarkEnd w:id="430"/>
      <w:bookmarkEnd w:id="431"/>
    </w:p>
    <w:p w14:paraId="28814B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暂估价专业分包工程、服务、材料和工程设备的明细由合同当事人在专用合同条款中约定。</w:t>
      </w:r>
    </w:p>
    <w:p w14:paraId="526293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10.7.1</w:t>
      </w:r>
      <w:r>
        <w:rPr>
          <w:rFonts w:hint="eastAsia" w:ascii="宋体" w:hAnsi="宋体" w:eastAsia="宋体" w:cs="宋体"/>
          <w:color w:val="000000" w:themeColor="text1"/>
          <w:kern w:val="0"/>
          <w:szCs w:val="21"/>
          <w:highlight w:val="none"/>
          <w14:textFill>
            <w14:solidFill>
              <w14:schemeClr w14:val="tx1"/>
            </w14:solidFill>
          </w14:textFill>
        </w:rPr>
        <w:t xml:space="preserve"> 依法必须招标的暂估价项目</w:t>
      </w:r>
    </w:p>
    <w:p w14:paraId="3F575E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对于依法必须招标的暂估价项目，采取以下第1种方式确定。合同当事人也可以在专用合同条款中选择其他招标方式。</w:t>
      </w:r>
    </w:p>
    <w:p w14:paraId="3CAD32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3BB9DB6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A3483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864F485">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6117A6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B7DE8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10.7.2</w:t>
      </w:r>
      <w:r>
        <w:rPr>
          <w:rFonts w:hint="eastAsia" w:ascii="宋体" w:hAnsi="宋体" w:eastAsia="宋体" w:cs="宋体"/>
          <w:color w:val="000000" w:themeColor="text1"/>
          <w:kern w:val="0"/>
          <w:szCs w:val="21"/>
          <w:highlight w:val="none"/>
          <w14:textFill>
            <w14:solidFill>
              <w14:schemeClr w14:val="tx1"/>
            </w14:solidFill>
          </w14:textFill>
        </w:rPr>
        <w:t>不属于依法必须招标的暂估价项目</w:t>
      </w:r>
    </w:p>
    <w:p w14:paraId="5C8692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除专用合同条款另有约定外，对于不属于依法必须招标的暂估价项目，采取以下第1种方式确定： </w:t>
      </w:r>
    </w:p>
    <w:p w14:paraId="149BE4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第1种方式：对于不属于依法必须招标的暂估价项目，按本项约定确认和批准：</w:t>
      </w:r>
    </w:p>
    <w:p w14:paraId="46244F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3BF5A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38B316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（3）承包人应当在签订暂估价合同后7天内，将暂估价合同副本报送发包人留存。</w:t>
      </w:r>
    </w:p>
    <w:p w14:paraId="3B7F5F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第2种方式：承包人按照第10.7.1项〔依法必须招标的暂估价项目〕约定的第1种方式确定暂估价项目。</w:t>
      </w:r>
    </w:p>
    <w:p w14:paraId="708D073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w:t>
      </w:r>
      <w:r>
        <w:rPr>
          <w:rFonts w:hint="eastAsia" w:ascii="宋体" w:hAnsi="宋体" w:eastAsia="宋体" w:cs="宋体"/>
          <w:color w:val="000000" w:themeColor="text1"/>
          <w:kern w:val="0"/>
          <w:szCs w:val="21"/>
          <w:highlight w:val="none"/>
          <w14:textFill>
            <w14:solidFill>
              <w14:schemeClr w14:val="tx1"/>
            </w14:solidFill>
          </w14:textFill>
        </w:rPr>
        <w:t>承包人直接实施的暂估价项目</w:t>
      </w:r>
    </w:p>
    <w:p w14:paraId="1BCD837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10C3D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A46C10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2" w:name="_Toc533863386"/>
      <w:bookmarkStart w:id="433" w:name="_Toc351203575"/>
      <w:r>
        <w:rPr>
          <w:rFonts w:ascii="宋体" w:hAnsi="宋体" w:eastAsia="宋体" w:cs="宋体"/>
          <w:bCs/>
          <w:color w:val="000000" w:themeColor="text1"/>
          <w:kern w:val="0"/>
          <w:szCs w:val="21"/>
          <w:highlight w:val="none"/>
          <w14:textFill>
            <w14:solidFill>
              <w14:schemeClr w14:val="tx1"/>
            </w14:solidFill>
          </w14:textFill>
        </w:rPr>
        <w:t>1</w:t>
      </w:r>
      <w:bookmarkStart w:id="434" w:name="_Toc337558794"/>
      <w:bookmarkStart w:id="435" w:name="_Toc322522561"/>
      <w:bookmarkStart w:id="436" w:name="_Toc296503090"/>
      <w:bookmarkStart w:id="437" w:name="_Toc296346591"/>
      <w:r>
        <w:rPr>
          <w:rFonts w:ascii="宋体" w:hAnsi="宋体" w:eastAsia="宋体" w:cs="宋体"/>
          <w:bCs/>
          <w:color w:val="000000" w:themeColor="text1"/>
          <w:kern w:val="0"/>
          <w:szCs w:val="21"/>
          <w:highlight w:val="none"/>
          <w14:textFill>
            <w14:solidFill>
              <w14:schemeClr w14:val="tx1"/>
            </w14:solidFill>
          </w14:textFill>
        </w:rPr>
        <w:t>0.8暂列金额</w:t>
      </w:r>
      <w:bookmarkEnd w:id="432"/>
      <w:bookmarkEnd w:id="433"/>
    </w:p>
    <w:bookmarkEnd w:id="434"/>
    <w:p w14:paraId="6A3580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暂列金额应按照发包人的要求使用，发包人的要求应通过监理人发出。合同当事人可以在专用合同条款中协商确定有关事项。</w:t>
      </w:r>
    </w:p>
    <w:bookmarkEnd w:id="435"/>
    <w:bookmarkEnd w:id="436"/>
    <w:bookmarkEnd w:id="437"/>
    <w:p w14:paraId="3E17C4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8" w:name="_Toc351203576"/>
      <w:bookmarkStart w:id="439" w:name="_Toc533863387"/>
      <w:r>
        <w:rPr>
          <w:rFonts w:ascii="宋体" w:hAnsi="宋体" w:eastAsia="宋体" w:cs="宋体"/>
          <w:bCs/>
          <w:color w:val="000000" w:themeColor="text1"/>
          <w:kern w:val="0"/>
          <w:szCs w:val="21"/>
          <w:highlight w:val="none"/>
          <w14:textFill>
            <w14:solidFill>
              <w14:schemeClr w14:val="tx1"/>
            </w14:solidFill>
          </w14:textFill>
        </w:rPr>
        <w:t>1</w:t>
      </w:r>
      <w:bookmarkStart w:id="440" w:name="_Toc296503091"/>
      <w:bookmarkStart w:id="441" w:name="_Toc337558796"/>
      <w:bookmarkStart w:id="442" w:name="_Toc296346592"/>
      <w:r>
        <w:rPr>
          <w:rFonts w:ascii="宋体" w:hAnsi="宋体" w:eastAsia="宋体" w:cs="宋体"/>
          <w:bCs/>
          <w:color w:val="000000" w:themeColor="text1"/>
          <w:kern w:val="0"/>
          <w:szCs w:val="21"/>
          <w:highlight w:val="none"/>
          <w14:textFill>
            <w14:solidFill>
              <w14:schemeClr w14:val="tx1"/>
            </w14:solidFill>
          </w14:textFill>
        </w:rPr>
        <w:t>0.9计日工</w:t>
      </w:r>
      <w:bookmarkEnd w:id="438"/>
      <w:bookmarkEnd w:id="439"/>
      <w:r>
        <w:rPr>
          <w:rFonts w:ascii="宋体" w:hAnsi="宋体" w:eastAsia="宋体" w:cs="宋体"/>
          <w:bCs/>
          <w:color w:val="000000" w:themeColor="text1"/>
          <w:kern w:val="0"/>
          <w:szCs w:val="21"/>
          <w:highlight w:val="none"/>
          <w14:textFill>
            <w14:solidFill>
              <w14:schemeClr w14:val="tx1"/>
            </w14:solidFill>
          </w14:textFill>
        </w:rPr>
        <w:t xml:space="preserve"> </w:t>
      </w:r>
      <w:bookmarkEnd w:id="440"/>
      <w:bookmarkEnd w:id="441"/>
      <w:bookmarkEnd w:id="442"/>
    </w:p>
    <w:p w14:paraId="47FAD4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0B32D2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采用计日工计价的任何一项工作，承包人应在该项工作实施过程中，每天提交以下报表和有关凭证报送监理人审查：</w:t>
      </w:r>
    </w:p>
    <w:p w14:paraId="0105FE12">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（1）工作名称、内容和数量；</w:t>
      </w:r>
    </w:p>
    <w:p w14:paraId="37453FD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（2）投入该工作的所有人员的姓名、专业、工种、级别和耗用工时；</w:t>
      </w:r>
    </w:p>
    <w:p w14:paraId="777D75CD">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（3）投入该工作的材料类别和数量；</w:t>
      </w:r>
    </w:p>
    <w:p w14:paraId="0D3EAFD1">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（4）投入该工作的施工设备型号、台数和耗用台时；</w:t>
      </w:r>
    </w:p>
    <w:p w14:paraId="0149AE38">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（5）其他有关资料和凭证。</w:t>
      </w:r>
    </w:p>
    <w:p w14:paraId="4C672F5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计日工由承包人汇总后，列入最近一期进度付款申请单，由监理人审查并经发包人批准后列入进度付款。</w:t>
      </w:r>
    </w:p>
    <w:p w14:paraId="4234264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43" w:name="_Toc15353"/>
      <w:bookmarkStart w:id="444" w:name="_Toc351203577"/>
      <w:bookmarkStart w:id="445" w:name="_Toc533863388"/>
      <w:r>
        <w:rPr>
          <w:rFonts w:hint="eastAsia" w:ascii="宋体" w:hAnsi="宋体" w:eastAsia="宋体" w:cs="宋体"/>
          <w:bCs/>
          <w:color w:val="000000" w:themeColor="text1"/>
          <w:szCs w:val="21"/>
          <w:highlight w:val="none"/>
          <w14:textFill>
            <w14:solidFill>
              <w14:schemeClr w14:val="tx1"/>
            </w14:solidFill>
          </w14:textFill>
        </w:rPr>
        <w:t>11. 价格调整</w:t>
      </w:r>
      <w:bookmarkEnd w:id="443"/>
      <w:bookmarkEnd w:id="444"/>
      <w:bookmarkEnd w:id="445"/>
    </w:p>
    <w:p w14:paraId="66D8965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46" w:name="_Toc533863389"/>
      <w:bookmarkStart w:id="447" w:name="_Toc351203578"/>
      <w:bookmarkStart w:id="448" w:name="_Toc337558797"/>
      <w:bookmarkStart w:id="449" w:name="_Toc296503092"/>
      <w:bookmarkStart w:id="450" w:name="_Toc296346593"/>
      <w:r>
        <w:rPr>
          <w:rFonts w:ascii="宋体" w:hAnsi="宋体" w:eastAsia="宋体" w:cs="宋体"/>
          <w:bCs/>
          <w:color w:val="000000" w:themeColor="text1"/>
          <w:kern w:val="0"/>
          <w:szCs w:val="21"/>
          <w:highlight w:val="none"/>
          <w14:textFill>
            <w14:solidFill>
              <w14:schemeClr w14:val="tx1"/>
            </w14:solidFill>
          </w14:textFill>
        </w:rPr>
        <w:t>11.1市场价格波动引起的调整</w:t>
      </w:r>
      <w:bookmarkEnd w:id="446"/>
      <w:bookmarkEnd w:id="447"/>
    </w:p>
    <w:bookmarkEnd w:id="448"/>
    <w:bookmarkEnd w:id="449"/>
    <w:bookmarkEnd w:id="450"/>
    <w:p w14:paraId="16DF31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0CA1E5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第1种方式：采用价格指数进行价格调整。</w:t>
      </w:r>
    </w:p>
    <w:p w14:paraId="086872B8">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（1）价格调整公式</w:t>
      </w:r>
    </w:p>
    <w:p w14:paraId="6D0C067B">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因人工、材料和设备等价格波动影响合同价格时，根据专用合同条款中约定的数据，按以下公式计算差额并调整合同价格：</w:t>
      </w:r>
    </w:p>
    <w:p w14:paraId="44DC3F7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30"/>
          <w:szCs w:val="21"/>
          <w:highlight w:val="none"/>
          <w14:textFill>
            <w14:solidFill>
              <w14:schemeClr w14:val="tx1"/>
            </w14:solidFill>
          </w14:textFill>
        </w:rPr>
        <w:object>
          <v:shape id="_x0000_i1025" o:spt="75" type="#_x0000_t75" style="height:44.3pt;width:360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482D10EA">
      <w:pPr>
        <w:tabs>
          <w:tab w:val="left" w:pos="0"/>
          <w:tab w:val="left" w:pos="360"/>
          <w:tab w:val="left" w:pos="540"/>
        </w:tabs>
        <w:spacing w:line="360" w:lineRule="auto"/>
        <w:ind w:firstLine="64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公式中：ΔP——需调整的价格差额；</w:t>
      </w:r>
    </w:p>
    <w:p w14:paraId="2215015C">
      <w:pPr>
        <w:tabs>
          <w:tab w:val="left" w:pos="0"/>
          <w:tab w:val="left" w:pos="360"/>
          <w:tab w:val="left" w:pos="540"/>
        </w:tabs>
        <w:spacing w:line="360" w:lineRule="auto"/>
        <w:ind w:firstLine="1260" w:firstLineChars="6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6"/>
          <w:szCs w:val="21"/>
          <w:highlight w:val="none"/>
          <w14:textFill>
            <w14:solidFill>
              <w14:schemeClr w14:val="tx1"/>
            </w14:solidFill>
          </w14:textFill>
        </w:rPr>
        <w:object>
          <v:shape id="_x0000_i1026" o:spt="75" type="#_x0000_t75" style="height:18pt;width:18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05E096E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A——定值权重（即不调部分的权重）；</w:t>
      </w:r>
    </w:p>
    <w:p w14:paraId="26B5DD7D">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7" o:spt="75" type="#_x0000_t75" style="height:21pt;width:101.25pt;" o:ole="t" filled="f" o:preferrelative="t" stroked="f" coordsize="21600,21600">
            <v:path/>
            <v:fill on="f" focussize="0,0"/>
            <v:stroke on="f" joinstyle="miter"/>
            <v:imagedata r:id="rId18" o:title=""/>
            <o:lock v:ext="edit" aspectratio="t"/>
            <w10:wrap type="none"/>
            <w10:anchorlock/>
          </v:shape>
          <o:OLEObject Type="Embed" ProgID="Equation.3" ShapeID="_x0000_i1027" DrawAspect="Content" ObjectID="_1468075727" r:id="rId17">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——各可调因子的变值权重（即可调部分的权重），为各可调因子在签约合同价中所占的比例；</w:t>
      </w:r>
    </w:p>
    <w:p w14:paraId="67A93DD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8" o:spt="75" type="#_x0000_t75" style="height:20.25pt;width:102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19">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——各可调因子的现行价格指数，指约定的付款证书相关周期最后一天的前42天的各可调因子的价格指数；</w:t>
      </w:r>
    </w:p>
    <w:p w14:paraId="12733515">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9" o:spt="75" type="#_x0000_t75" style="height:20.25pt;width:108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1">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——各可调因子的基本价格指数，指基准日期的各可调因子的价格指数。</w:t>
      </w:r>
    </w:p>
    <w:p w14:paraId="5518089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D0C86C2">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（2）暂时确定调整差额</w:t>
      </w:r>
    </w:p>
    <w:p w14:paraId="0D84482C">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在计算调整差额时无现行价格指数的，合同当事人同意暂用前次价格指数计算。实际价格指数有调整的，合同当事人进行相应调整。</w:t>
      </w:r>
    </w:p>
    <w:p w14:paraId="5FE3F7BA">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（3）权重的调整</w:t>
      </w:r>
    </w:p>
    <w:p w14:paraId="31A40A8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因变更导致合同约定的权重不合理时，按照第4.4款〔商定或确定〕执行。</w:t>
      </w:r>
    </w:p>
    <w:p w14:paraId="360CAD8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（4）因承包人原因工期延误后的价格调整</w:t>
      </w:r>
    </w:p>
    <w:p w14:paraId="544083D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6B939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第2种方式：采用造价信息进行价格调整。</w:t>
      </w:r>
    </w:p>
    <w:p w14:paraId="754820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DF2BF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46F1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（2）材料、工程设备价格变化的价款调整按照发包人提供的基准价格，按以下风险范围规定执行:</w:t>
      </w:r>
    </w:p>
    <w:p w14:paraId="015DA7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53CF1D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D1E39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0E44176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B878D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451" w:name="OLE_LINK3"/>
      <w:r>
        <w:rPr>
          <w:rFonts w:hint="eastAsia" w:ascii="宋体" w:hAnsi="宋体" w:eastAsia="宋体" w:cs="宋体"/>
          <w:color w:val="000000" w:themeColor="text1"/>
          <w:szCs w:val="21"/>
          <w:highlight w:val="none"/>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483E698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6745EDE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第3种方式：专用合同条款约定的其他方式。</w:t>
      </w:r>
    </w:p>
    <w:p w14:paraId="2638930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52" w:name="_Toc533863390"/>
      <w:bookmarkStart w:id="453" w:name="_Toc351203579"/>
      <w:bookmarkStart w:id="454" w:name="_Toc296346594"/>
      <w:bookmarkStart w:id="455" w:name="_Toc296503093"/>
      <w:bookmarkStart w:id="456" w:name="_Toc337558798"/>
      <w:r>
        <w:rPr>
          <w:rFonts w:ascii="宋体" w:hAnsi="宋体" w:eastAsia="宋体" w:cs="宋体"/>
          <w:bCs/>
          <w:color w:val="000000" w:themeColor="text1"/>
          <w:kern w:val="0"/>
          <w:szCs w:val="21"/>
          <w:highlight w:val="none"/>
          <w14:textFill>
            <w14:solidFill>
              <w14:schemeClr w14:val="tx1"/>
            </w14:solidFill>
          </w14:textFill>
        </w:rPr>
        <w:t>11.2法律变化引起的调整</w:t>
      </w:r>
      <w:bookmarkEnd w:id="452"/>
      <w:bookmarkEnd w:id="453"/>
    </w:p>
    <w:bookmarkEnd w:id="454"/>
    <w:bookmarkEnd w:id="455"/>
    <w:bookmarkEnd w:id="456"/>
    <w:p w14:paraId="708866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E3EA8A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因法律变化引起的合同价格和工期调整，合同当事人无法达成一致的，由总监理工程师按第4.4款〔商定或确定〕的约定处理。</w:t>
      </w:r>
    </w:p>
    <w:p w14:paraId="079EE06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因承包人原因造成工期延误，在工期延误期间出现法律变化的，由此增加的费用和（或）延误的工期由承包人承担。</w:t>
      </w:r>
    </w:p>
    <w:p w14:paraId="55FE78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57" w:name="_Toc533863391"/>
      <w:bookmarkStart w:id="458" w:name="_Toc351203580"/>
      <w:bookmarkStart w:id="459" w:name="_Toc266"/>
      <w:bookmarkStart w:id="460" w:name="_Toc337558799"/>
      <w:bookmarkStart w:id="461" w:name="_Toc296503096"/>
      <w:bookmarkStart w:id="462" w:name="_Toc296346597"/>
      <w:r>
        <w:rPr>
          <w:rFonts w:hint="eastAsia" w:ascii="宋体" w:hAnsi="宋体" w:eastAsia="宋体" w:cs="宋体"/>
          <w:bCs/>
          <w:color w:val="000000" w:themeColor="text1"/>
          <w:szCs w:val="21"/>
          <w:highlight w:val="none"/>
          <w14:textFill>
            <w14:solidFill>
              <w14:schemeClr w14:val="tx1"/>
            </w14:solidFill>
          </w14:textFill>
        </w:rPr>
        <w:t>12. 合同价格、计量与支付</w:t>
      </w:r>
      <w:bookmarkEnd w:id="457"/>
      <w:bookmarkEnd w:id="458"/>
      <w:bookmarkEnd w:id="459"/>
    </w:p>
    <w:bookmarkEnd w:id="460"/>
    <w:p w14:paraId="3C765C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3" w:name="_Toc351203581"/>
      <w:bookmarkStart w:id="464" w:name="_Toc533863392"/>
      <w:bookmarkStart w:id="465" w:name="_Toc337558800"/>
      <w:r>
        <w:rPr>
          <w:rFonts w:ascii="宋体" w:hAnsi="宋体" w:eastAsia="宋体" w:cs="宋体"/>
          <w:bCs/>
          <w:color w:val="000000" w:themeColor="text1"/>
          <w:kern w:val="0"/>
          <w:szCs w:val="21"/>
          <w:highlight w:val="none"/>
          <w14:textFill>
            <w14:solidFill>
              <w14:schemeClr w14:val="tx1"/>
            </w14:solidFill>
          </w14:textFill>
        </w:rPr>
        <w:t>12.1 合同价</w:t>
      </w:r>
      <w:bookmarkEnd w:id="461"/>
      <w:bookmarkEnd w:id="462"/>
      <w:r>
        <w:rPr>
          <w:rFonts w:ascii="宋体" w:hAnsi="宋体" w:eastAsia="宋体" w:cs="宋体"/>
          <w:bCs/>
          <w:color w:val="000000" w:themeColor="text1"/>
          <w:kern w:val="0"/>
          <w:szCs w:val="21"/>
          <w:highlight w:val="none"/>
          <w14:textFill>
            <w14:solidFill>
              <w14:schemeClr w14:val="tx1"/>
            </w14:solidFill>
          </w14:textFill>
        </w:rPr>
        <w:t>格形式</w:t>
      </w:r>
      <w:bookmarkEnd w:id="463"/>
      <w:bookmarkEnd w:id="464"/>
    </w:p>
    <w:bookmarkEnd w:id="465"/>
    <w:p w14:paraId="4F446C1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发包人和承包人应在合同协议书中选择下列一种合同价格形式： </w:t>
      </w:r>
    </w:p>
    <w:p w14:paraId="723D85F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w:t>
      </w:r>
    </w:p>
    <w:p w14:paraId="2097C5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单价合同是指合同当事人约定以工程量清单及其综合单价进行合同价格计算、调整和确认的建设工程施工合同，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在约定的范围内合同单价不作调整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。合同当事人应在专用合同条款中约定综合单价包含的风险范围和风险费用的计算方法</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并约定风险范围以外的合同价格的调整方法，其中因市场价格波动引起的调整按第11.1款〔市场价格波动引起的调整〕约定执行。</w:t>
      </w:r>
    </w:p>
    <w:p w14:paraId="13351F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w:t>
      </w:r>
    </w:p>
    <w:p w14:paraId="3A4299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总价合同是指合同当事人约定以施工图、已标价工程量清单或预算书及有关条件进行合同价格计算、调整和确认的建设工程施工合同，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在约定的范围内合同总价不作调整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8F4DD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3.其它价格形式</w:t>
      </w:r>
    </w:p>
    <w:p w14:paraId="1985B9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合同当事人可在专用合同条款中约定其他合同价格形式。</w:t>
      </w:r>
    </w:p>
    <w:p w14:paraId="48FE35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6" w:name="_Toc296503097"/>
      <w:bookmarkStart w:id="467" w:name="_Toc296346598"/>
      <w:bookmarkStart w:id="468" w:name="_Toc351203582"/>
      <w:bookmarkStart w:id="469" w:name="_Toc533863393"/>
      <w:bookmarkStart w:id="470" w:name="_Toc337558801"/>
      <w:r>
        <w:rPr>
          <w:rFonts w:ascii="宋体" w:hAnsi="宋体" w:eastAsia="宋体" w:cs="宋体"/>
          <w:bCs/>
          <w:color w:val="000000" w:themeColor="text1"/>
          <w:kern w:val="0"/>
          <w:szCs w:val="21"/>
          <w:highlight w:val="none"/>
          <w14:textFill>
            <w14:solidFill>
              <w14:schemeClr w14:val="tx1"/>
            </w14:solidFill>
          </w14:textFill>
        </w:rPr>
        <w:t>12.2预</w:t>
      </w:r>
      <w:bookmarkEnd w:id="466"/>
      <w:bookmarkEnd w:id="467"/>
      <w:bookmarkStart w:id="471" w:name="_Toc296346601"/>
      <w:bookmarkStart w:id="472" w:name="_Toc296503100"/>
      <w:r>
        <w:rPr>
          <w:rFonts w:ascii="宋体" w:hAnsi="宋体" w:eastAsia="宋体" w:cs="宋体"/>
          <w:bCs/>
          <w:color w:val="000000" w:themeColor="text1"/>
          <w:kern w:val="0"/>
          <w:szCs w:val="21"/>
          <w:highlight w:val="none"/>
          <w14:textFill>
            <w14:solidFill>
              <w14:schemeClr w14:val="tx1"/>
            </w14:solidFill>
          </w14:textFill>
        </w:rPr>
        <w:t>付款</w:t>
      </w:r>
      <w:bookmarkEnd w:id="468"/>
      <w:bookmarkEnd w:id="469"/>
    </w:p>
    <w:bookmarkEnd w:id="470"/>
    <w:bookmarkEnd w:id="471"/>
    <w:bookmarkEnd w:id="472"/>
    <w:p w14:paraId="2148F7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w:t>
      </w:r>
      <w:r>
        <w:rPr>
          <w:rFonts w:hint="eastAsia" w:ascii="宋体" w:hAnsi="宋体" w:eastAsia="宋体" w:cs="宋体"/>
          <w:color w:val="000000" w:themeColor="text1"/>
          <w:kern w:val="0"/>
          <w:szCs w:val="21"/>
          <w:highlight w:val="none"/>
          <w14:textFill>
            <w14:solidFill>
              <w14:schemeClr w14:val="tx1"/>
            </w14:solidFill>
          </w14:textFill>
        </w:rPr>
        <w:t>1预付款的支付</w:t>
      </w:r>
    </w:p>
    <w:p w14:paraId="23FC88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344D73B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除专用合同条款另有约定外，预付款在进度付款中同比例扣回。</w:t>
      </w:r>
      <w:bookmarkEnd w:id="451"/>
      <w:r>
        <w:rPr>
          <w:rFonts w:hint="eastAsia" w:ascii="宋体" w:hAnsi="宋体" w:eastAsia="宋体" w:cs="宋体"/>
          <w:color w:val="000000" w:themeColor="text1"/>
          <w:kern w:val="0"/>
          <w:szCs w:val="21"/>
          <w:highlight w:val="none"/>
          <w14:textFill>
            <w14:solidFill>
              <w14:schemeClr w14:val="tx1"/>
            </w14:solidFill>
          </w14:textFill>
        </w:rPr>
        <w:t>在颁发工程接收证书前，提前解除合同的，尚未扣完的预付款应与合同价款一并结算。</w:t>
      </w:r>
    </w:p>
    <w:p w14:paraId="100E5CA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7628031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12.2.2 预付款担保</w:t>
      </w:r>
    </w:p>
    <w:p w14:paraId="3759DB5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0622A4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发包人在工程款中逐期扣回预付款后，预付款担保额度应相应减少，但剩余的预付款担保金额不得低于未被扣回的预付款金额。</w:t>
      </w:r>
    </w:p>
    <w:p w14:paraId="388638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3" w:name="_Toc351203583"/>
      <w:bookmarkStart w:id="474" w:name="_Toc533863394"/>
      <w:bookmarkStart w:id="475" w:name="_Toc337558802"/>
      <w:r>
        <w:rPr>
          <w:rFonts w:ascii="宋体" w:hAnsi="宋体" w:eastAsia="宋体" w:cs="宋体"/>
          <w:bCs/>
          <w:color w:val="000000" w:themeColor="text1"/>
          <w:kern w:val="0"/>
          <w:szCs w:val="21"/>
          <w:highlight w:val="none"/>
          <w14:textFill>
            <w14:solidFill>
              <w14:schemeClr w14:val="tx1"/>
            </w14:solidFill>
          </w14:textFill>
        </w:rPr>
        <w:t>12.3计量</w:t>
      </w:r>
      <w:bookmarkEnd w:id="473"/>
      <w:bookmarkEnd w:id="474"/>
    </w:p>
    <w:bookmarkEnd w:id="475"/>
    <w:p w14:paraId="25CB3C3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12.3.1 计量原则</w:t>
      </w:r>
    </w:p>
    <w:p w14:paraId="101781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052448D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12.3.2 计量周期</w:t>
      </w:r>
    </w:p>
    <w:p w14:paraId="134BB78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除专用合同条款另有约定外，工程量的计量按月进行。</w:t>
      </w:r>
    </w:p>
    <w:p w14:paraId="2CCD88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12.3.3 单价合同的计量</w:t>
      </w:r>
    </w:p>
    <w:p w14:paraId="678169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除专用合同条款另有约定外，单价合同的计量按照本项约定执行：</w:t>
      </w:r>
    </w:p>
    <w:p w14:paraId="6F87466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488F435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41B74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0AB598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12.3.4 总价合同的计量</w:t>
      </w:r>
    </w:p>
    <w:p w14:paraId="552D7D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除专用合同条款另有约定外，按月计量支付的总价合同，按照本项约定执行：</w:t>
      </w:r>
    </w:p>
    <w:p w14:paraId="3D2377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5B1AEC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DDA911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（3）监理人未在收到承包人提交的工程量报表后的7天内完成复核的，承包人提交的工程量报告中的工程量视为承包人实际完成的工程量。</w:t>
      </w:r>
    </w:p>
    <w:p w14:paraId="1F206C9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12.3.5 总价合同采用支付分解表计量支付的，可以按照第12.3.4项〔总价合同的计量〕约定进行计量，但合同价款按照支付分解表进行支付。</w:t>
      </w:r>
    </w:p>
    <w:p w14:paraId="09069E1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12.3.6 其他价格形式合同的计量</w:t>
      </w:r>
    </w:p>
    <w:p w14:paraId="2155EA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合同当事人可在专用合同条款中约定其他价格形式合同的计量方式和程序。</w:t>
      </w:r>
    </w:p>
    <w:p w14:paraId="66FF2D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6" w:name="_Toc296503101"/>
      <w:bookmarkStart w:id="477" w:name="_Toc296346602"/>
      <w:bookmarkStart w:id="478" w:name="_Toc533863395"/>
      <w:bookmarkStart w:id="479" w:name="_Toc351203584"/>
      <w:bookmarkStart w:id="480" w:name="_Toc337558803"/>
      <w:r>
        <w:rPr>
          <w:rFonts w:ascii="宋体" w:hAnsi="宋体" w:eastAsia="宋体" w:cs="宋体"/>
          <w:bCs/>
          <w:color w:val="000000" w:themeColor="text1"/>
          <w:kern w:val="0"/>
          <w:szCs w:val="21"/>
          <w:highlight w:val="none"/>
          <w14:textFill>
            <w14:solidFill>
              <w14:schemeClr w14:val="tx1"/>
            </w14:solidFill>
          </w14:textFill>
        </w:rPr>
        <w:t>12.4工程进度款支</w:t>
      </w:r>
      <w:bookmarkEnd w:id="476"/>
      <w:bookmarkEnd w:id="477"/>
      <w:r>
        <w:rPr>
          <w:rFonts w:ascii="宋体" w:hAnsi="宋体" w:eastAsia="宋体" w:cs="宋体"/>
          <w:bCs/>
          <w:color w:val="000000" w:themeColor="text1"/>
          <w:kern w:val="0"/>
          <w:szCs w:val="21"/>
          <w:highlight w:val="none"/>
          <w14:textFill>
            <w14:solidFill>
              <w14:schemeClr w14:val="tx1"/>
            </w14:solidFill>
          </w14:textFill>
        </w:rPr>
        <w:t>付</w:t>
      </w:r>
      <w:bookmarkEnd w:id="478"/>
      <w:bookmarkEnd w:id="479"/>
    </w:p>
    <w:bookmarkEnd w:id="480"/>
    <w:p w14:paraId="3CE7A4A4">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12.4.1 付款周期</w:t>
      </w:r>
    </w:p>
    <w:p w14:paraId="5244D7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除专用合同条款另有约定外，付款周期应按照第12.3.2项〔计量周期〕的约定与计量周期保持一致。</w:t>
      </w:r>
    </w:p>
    <w:p w14:paraId="2A2C8762">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12.4.2 进度付款申请单的编制</w:t>
      </w:r>
    </w:p>
    <w:p w14:paraId="50720C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除专用合同条款另有约定外，进度付款申请单应包括下列内容：</w:t>
      </w:r>
    </w:p>
    <w:p w14:paraId="1B9A664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（1）截至本次付款周期已完成工作对应的金额；</w:t>
      </w:r>
    </w:p>
    <w:p w14:paraId="318BB4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（2）根据第10条〔变更〕应增加和扣减的变更金额；</w:t>
      </w:r>
    </w:p>
    <w:p w14:paraId="6461A0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（3）根据第12.2款〔预付款〕约定应支付的预付款和扣减的返还预付款；</w:t>
      </w:r>
    </w:p>
    <w:p w14:paraId="6AA7AC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（4）根据第15.3款〔质量保证金〕约定应扣减的质量保证金；</w:t>
      </w:r>
    </w:p>
    <w:p w14:paraId="0C0F10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（5）根据第19条〔索赔〕应增加和扣减的索赔金额；</w:t>
      </w:r>
    </w:p>
    <w:p w14:paraId="654DF4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（6）对已签发的进度款支付证书中出现错误的修正，应在本次进度付款中支付或扣除的金额；</w:t>
      </w:r>
    </w:p>
    <w:p w14:paraId="51E61B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（7）根据合同约定应增加和扣减的其他金额。</w:t>
      </w:r>
    </w:p>
    <w:p w14:paraId="4253DAA9">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12.4.3 进度付款申请单的提交</w:t>
      </w:r>
    </w:p>
    <w:p w14:paraId="5539AC1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（1）单价合同进度付款申请单的提交</w:t>
      </w:r>
    </w:p>
    <w:p w14:paraId="40A1FA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012BE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（2）总价合同进度付款申请单的提交</w:t>
      </w:r>
    </w:p>
    <w:p w14:paraId="494196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52608A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总价合同按支付分解表支付的，承包人应按照第12.4.6项〔支付分解表〕及第12.4.2项〔进度付款申请单的编制〕的约定向监理人提交进度付款申请单。</w:t>
      </w:r>
    </w:p>
    <w:p w14:paraId="4555CB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（3）其他价格形式合同的进度付款申请单的提交</w:t>
      </w:r>
    </w:p>
    <w:p w14:paraId="6695ED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合同当事人可在专用合同条款中约定其他价格形式合同的进度付款申请单的编制和提交程序。</w:t>
      </w:r>
    </w:p>
    <w:p w14:paraId="51852C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12.4</w:t>
      </w:r>
      <w:r>
        <w:rPr>
          <w:rFonts w:hint="eastAsia" w:ascii="宋体" w:hAnsi="宋体" w:eastAsia="宋体" w:cs="宋体"/>
          <w:color w:val="000000" w:themeColor="text1"/>
          <w:kern w:val="0"/>
          <w:szCs w:val="21"/>
          <w:highlight w:val="none"/>
          <w14:textFill>
            <w14:solidFill>
              <w14:schemeClr w14:val="tx1"/>
            </w14:solidFill>
          </w14:textFill>
        </w:rPr>
        <w:t>.4 进度款审核和支付</w:t>
      </w:r>
    </w:p>
    <w:p w14:paraId="01952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1D710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C9BD35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5C69B0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（3）发包人签发进度款支付证书或临时进度款支付证书，不表明发包人已同意、批准或接受了承包人完成的相应部分的工作。</w:t>
      </w:r>
    </w:p>
    <w:p w14:paraId="2E5870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12.4.5 进度付款的修正</w:t>
      </w:r>
    </w:p>
    <w:p w14:paraId="3241BE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18325D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12.4.6 支付分解表</w:t>
      </w:r>
    </w:p>
    <w:p w14:paraId="114779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1.支付分解表的编制要求</w:t>
      </w:r>
    </w:p>
    <w:p w14:paraId="026FED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（1）支付分解表中所列的每期付款金额，应为第12.4.2项〔进度付款申请单的编制〕第（1）目的估算金额；</w:t>
      </w:r>
    </w:p>
    <w:p w14:paraId="6A7F0B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（2）实际进度与施工进度计划不一致的，合同当事人可按照第4.4款〔商定或确定〕修改支付分解表；</w:t>
      </w:r>
    </w:p>
    <w:p w14:paraId="2D0A1F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（3）不采用支付分解表的，承包人应向发包人和监理人提交按季度编制的支付估算分解表，用于支付参考。</w:t>
      </w:r>
    </w:p>
    <w:p w14:paraId="7A5671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2.总价合同支付分解表的编制与审批</w:t>
      </w:r>
    </w:p>
    <w:p w14:paraId="39A2FD2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245E5F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3786F7DF">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（3）发包人逾期未完成支付分解表审批的，也未及时要求承包人进行修正和提供补充资料的，则承包人提交的支付分解表视为已经获得发包人批准。</w:t>
      </w:r>
    </w:p>
    <w:p w14:paraId="24A41AC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3.单价合同的总价项目支付分解表的编制与审批</w:t>
      </w:r>
    </w:p>
    <w:p w14:paraId="38143B6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2680C30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81" w:name="_Toc533863396"/>
      <w:bookmarkStart w:id="482" w:name="_Toc351203585"/>
      <w:r>
        <w:rPr>
          <w:rFonts w:ascii="宋体" w:hAnsi="宋体" w:eastAsia="宋体" w:cs="宋体"/>
          <w:bCs/>
          <w:color w:val="000000" w:themeColor="text1"/>
          <w:kern w:val="0"/>
          <w:szCs w:val="21"/>
          <w:highlight w:val="none"/>
          <w14:textFill>
            <w14:solidFill>
              <w14:schemeClr w14:val="tx1"/>
            </w14:solidFill>
          </w14:textFill>
        </w:rPr>
        <w:t>12.5支付账户</w:t>
      </w:r>
      <w:bookmarkEnd w:id="481"/>
      <w:bookmarkEnd w:id="482"/>
    </w:p>
    <w:p w14:paraId="0668510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发包人应将合同价款支付至合同协议书中约定的承包人账户。</w:t>
      </w:r>
    </w:p>
    <w:p w14:paraId="20E8475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83" w:name="_Toc533863397"/>
      <w:bookmarkStart w:id="484" w:name="_Toc351203586"/>
      <w:bookmarkStart w:id="485" w:name="_Toc20987"/>
      <w:bookmarkStart w:id="486" w:name="_Toc337558804"/>
      <w:bookmarkStart w:id="487" w:name="_Toc322522574"/>
      <w:bookmarkStart w:id="488" w:name="_Toc296346607"/>
      <w:bookmarkStart w:id="489" w:name="_Toc296503106"/>
      <w:r>
        <w:rPr>
          <w:rFonts w:hint="eastAsia" w:ascii="宋体" w:hAnsi="宋体" w:eastAsia="宋体" w:cs="宋体"/>
          <w:bCs/>
          <w:color w:val="000000" w:themeColor="text1"/>
          <w:szCs w:val="21"/>
          <w:highlight w:val="none"/>
          <w14:textFill>
            <w14:solidFill>
              <w14:schemeClr w14:val="tx1"/>
            </w14:solidFill>
          </w14:textFill>
        </w:rPr>
        <w:t>13. 验收和工程试车</w:t>
      </w:r>
      <w:bookmarkEnd w:id="483"/>
      <w:bookmarkEnd w:id="484"/>
      <w:bookmarkEnd w:id="485"/>
    </w:p>
    <w:bookmarkEnd w:id="486"/>
    <w:bookmarkEnd w:id="487"/>
    <w:bookmarkEnd w:id="488"/>
    <w:bookmarkEnd w:id="489"/>
    <w:p w14:paraId="7EDF9FB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0" w:name="_Toc533863398"/>
      <w:bookmarkStart w:id="491" w:name="_Toc351203587"/>
      <w:bookmarkStart w:id="492" w:name="_Toc337558805"/>
      <w:bookmarkStart w:id="493" w:name="_Toc296346611"/>
      <w:bookmarkStart w:id="494" w:name="_Toc296503110"/>
      <w:r>
        <w:rPr>
          <w:rFonts w:ascii="宋体" w:hAnsi="宋体" w:eastAsia="宋体" w:cs="宋体"/>
          <w:bCs/>
          <w:color w:val="000000" w:themeColor="text1"/>
          <w:kern w:val="0"/>
          <w:szCs w:val="21"/>
          <w:highlight w:val="none"/>
          <w14:textFill>
            <w14:solidFill>
              <w14:schemeClr w14:val="tx1"/>
            </w14:solidFill>
          </w14:textFill>
        </w:rPr>
        <w:t>13.1分部分项工程验收</w:t>
      </w:r>
      <w:bookmarkEnd w:id="490"/>
      <w:bookmarkEnd w:id="491"/>
    </w:p>
    <w:bookmarkEnd w:id="492"/>
    <w:p w14:paraId="30004B2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13.1.1 分部分项工程质量应符合国家有关工程施工验收规范、标准及合同约定，承包人应按照施工组织设计的要求完成分部分项工程施工。</w:t>
      </w:r>
    </w:p>
    <w:p w14:paraId="610F21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13.1.2 除专用合同条款另有约定外，分部分项工程经承包人自检合格并具备验收条件的，承包人应提前48小时通知监理人进行验收。</w:t>
      </w:r>
      <w:r>
        <w:rPr>
          <w:rFonts w:hint="eastAsia" w:ascii="宋体" w:hAnsi="宋体" w:eastAsia="宋体" w:cs="宋体"/>
          <w:color w:val="000000" w:themeColor="text1"/>
          <w:kern w:val="0"/>
          <w:szCs w:val="21"/>
          <w:highlight w:val="none"/>
          <w14:textFill>
            <w14:solidFill>
              <w14:schemeClr w14:val="tx1"/>
            </w14:solidFill>
          </w14:textFill>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000000" w:themeColor="text1"/>
          <w:szCs w:val="21"/>
          <w:highlight w:val="none"/>
          <w14:textFill>
            <w14:solidFill>
              <w14:schemeClr w14:val="tx1"/>
            </w14:solidFill>
          </w14:textFill>
        </w:rPr>
        <w:t>分部分项工程未经验收的，不得进入下一道工序施工。</w:t>
      </w:r>
    </w:p>
    <w:p w14:paraId="2B58FD6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分部分项工程的验收资料应当作为竣工资料的组成部分。</w:t>
      </w:r>
    </w:p>
    <w:p w14:paraId="3CB85AB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5" w:name="_Toc533863399"/>
      <w:bookmarkStart w:id="496" w:name="_Toc351203588"/>
      <w:bookmarkStart w:id="497" w:name="_Toc337558806"/>
      <w:r>
        <w:rPr>
          <w:rFonts w:ascii="宋体" w:hAnsi="宋体" w:eastAsia="宋体" w:cs="宋体"/>
          <w:bCs/>
          <w:color w:val="000000" w:themeColor="text1"/>
          <w:kern w:val="0"/>
          <w:szCs w:val="21"/>
          <w:highlight w:val="none"/>
          <w14:textFill>
            <w14:solidFill>
              <w14:schemeClr w14:val="tx1"/>
            </w14:solidFill>
          </w14:textFill>
        </w:rPr>
        <w:t>13.2竣工验收</w:t>
      </w:r>
      <w:bookmarkEnd w:id="495"/>
      <w:bookmarkEnd w:id="496"/>
    </w:p>
    <w:bookmarkEnd w:id="493"/>
    <w:bookmarkEnd w:id="494"/>
    <w:bookmarkEnd w:id="497"/>
    <w:p w14:paraId="162D1AD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13.2.1竣工验收条件</w:t>
      </w:r>
    </w:p>
    <w:p w14:paraId="40CB7EB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工程具备以下条件的，承包人可以申请竣工验收：</w:t>
      </w:r>
    </w:p>
    <w:p w14:paraId="11A051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3540D06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（2）已按合同约定编制了甩项工作和缺陷修补工作清单以及相应的施工计划；</w:t>
      </w:r>
    </w:p>
    <w:p w14:paraId="1CC3B1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（3）已按合同约定的内容和份数备齐竣工资料。</w:t>
      </w:r>
    </w:p>
    <w:p w14:paraId="019F7B6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13.2.2竣工验收程序</w:t>
      </w:r>
    </w:p>
    <w:p w14:paraId="190592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除专用合同条款另有约定外，承包人申请竣工验收的，应当按照以下程序进行：</w:t>
      </w:r>
    </w:p>
    <w:p w14:paraId="4B015B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19D23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726A54F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2871E1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C954A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54C29A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40A5B20E">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13.2.3竣工日期</w:t>
      </w:r>
    </w:p>
    <w:p w14:paraId="3C921B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98" w:name="#go14"/>
      <w:bookmarkEnd w:id="498"/>
      <w:r>
        <w:rPr>
          <w:rFonts w:hint="eastAsia" w:ascii="宋体" w:hAnsi="宋体" w:eastAsia="宋体" w:cs="宋体"/>
          <w:color w:val="000000" w:themeColor="text1"/>
          <w:kern w:val="0"/>
          <w:szCs w:val="21"/>
          <w:highlight w:val="none"/>
          <w14:textFill>
            <w14:solidFill>
              <w14:schemeClr w14:val="tx1"/>
            </w14:solidFill>
          </w14:textFill>
        </w:rPr>
        <w:t>收申请报告的日期为实际竣工日期；工程未经竣工验收，发包人擅自使用的，以转移占有工程之日为实际竣工日期。</w:t>
      </w:r>
    </w:p>
    <w:p w14:paraId="59B8645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13.2.4 拒绝接收全部或部分工程</w:t>
      </w:r>
    </w:p>
    <w:p w14:paraId="1917D84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7D6F6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13.2.5 移交、接收全部与部分工程</w:t>
      </w:r>
    </w:p>
    <w:p w14:paraId="35FB93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除专用合同条款另有约定外，合同当事人应当在颁发工程接收证书后7天内完成工程的移交。</w:t>
      </w:r>
    </w:p>
    <w:p w14:paraId="69D6B57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22597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5AA1707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9" w:name="_Toc533863400"/>
      <w:bookmarkStart w:id="500" w:name="_Toc351203589"/>
      <w:bookmarkStart w:id="501" w:name="_Toc296503111"/>
      <w:bookmarkStart w:id="502" w:name="_Toc296346612"/>
      <w:bookmarkStart w:id="503" w:name="_Toc337558807"/>
      <w:r>
        <w:rPr>
          <w:rFonts w:ascii="宋体" w:hAnsi="宋体" w:eastAsia="宋体" w:cs="宋体"/>
          <w:bCs/>
          <w:color w:val="000000" w:themeColor="text1"/>
          <w:kern w:val="0"/>
          <w:szCs w:val="21"/>
          <w:highlight w:val="none"/>
          <w14:textFill>
            <w14:solidFill>
              <w14:schemeClr w14:val="tx1"/>
            </w14:solidFill>
          </w14:textFill>
        </w:rPr>
        <w:t>13.3工程试车</w:t>
      </w:r>
      <w:bookmarkEnd w:id="499"/>
      <w:bookmarkEnd w:id="500"/>
    </w:p>
    <w:bookmarkEnd w:id="501"/>
    <w:bookmarkEnd w:id="502"/>
    <w:bookmarkEnd w:id="503"/>
    <w:p w14:paraId="50080B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13.3.1试车程序</w:t>
      </w:r>
    </w:p>
    <w:p w14:paraId="7765518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工程需要试车的，除专用合同条款另有约定外，试车内容应与承包人承包范围相一致，试车费用由承包人承担。工程试车应按如下程序进行：</w:t>
      </w:r>
    </w:p>
    <w:p w14:paraId="7C1E87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163D55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262CF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779EB8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13.3.2 试车中的责任</w:t>
      </w:r>
    </w:p>
    <w:p w14:paraId="129C42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5BB470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4D02B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13.3.3 投料试车</w:t>
      </w:r>
    </w:p>
    <w:p w14:paraId="040E2C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7685FC3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557638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4" w:name="_Toc351203590"/>
      <w:bookmarkStart w:id="505" w:name="_Toc533863401"/>
      <w:bookmarkStart w:id="506" w:name="_Toc337558808"/>
      <w:r>
        <w:rPr>
          <w:rFonts w:ascii="宋体" w:hAnsi="宋体" w:eastAsia="宋体" w:cs="宋体"/>
          <w:bCs/>
          <w:color w:val="000000" w:themeColor="text1"/>
          <w:kern w:val="0"/>
          <w:szCs w:val="21"/>
          <w:highlight w:val="none"/>
          <w14:textFill>
            <w14:solidFill>
              <w14:schemeClr w14:val="tx1"/>
            </w14:solidFill>
          </w14:textFill>
        </w:rPr>
        <w:t>13.4提前交付单位工程的验收</w:t>
      </w:r>
      <w:bookmarkEnd w:id="504"/>
      <w:bookmarkEnd w:id="505"/>
    </w:p>
    <w:bookmarkEnd w:id="506"/>
    <w:p w14:paraId="03E600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13.4.1 发包人需要在工程竣工前使用单位工程的，或承包人提出提前交付已经竣工的单位工程且经发包人同意的，可进行单位工程验收，验收的程序按照第13.2款〔竣工验收〕的约定进行。</w:t>
      </w:r>
    </w:p>
    <w:p w14:paraId="564956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27A7317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13.4.2 发包人要求在工程竣工前交付单位工程，由此导致承包人费用增加和（或）工期延误的，由发包人承担由此增加的费用和（或）延误的工期，并支付承包人合理的利润。</w:t>
      </w:r>
    </w:p>
    <w:p w14:paraId="2D65617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7" w:name="_Toc533863402"/>
      <w:bookmarkStart w:id="508" w:name="_Toc351203591"/>
      <w:r>
        <w:rPr>
          <w:rFonts w:ascii="宋体" w:hAnsi="宋体" w:eastAsia="宋体" w:cs="宋体"/>
          <w:bCs/>
          <w:color w:val="000000" w:themeColor="text1"/>
          <w:kern w:val="0"/>
          <w:szCs w:val="21"/>
          <w:highlight w:val="none"/>
          <w14:textFill>
            <w14:solidFill>
              <w14:schemeClr w14:val="tx1"/>
            </w14:solidFill>
          </w14:textFill>
        </w:rPr>
        <w:t>13.5 施工期运行</w:t>
      </w:r>
      <w:bookmarkEnd w:id="507"/>
      <w:bookmarkEnd w:id="508"/>
    </w:p>
    <w:p w14:paraId="478E198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BE204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13.5.2 在施工期运行中发现工程或工程设备损坏或存在缺陷的，由承包人按第15.2款〔缺陷责任期〕约定进行修复。</w:t>
      </w:r>
    </w:p>
    <w:p w14:paraId="759F62C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9" w:name="_Toc296346613"/>
      <w:bookmarkStart w:id="510" w:name="_Toc296503112"/>
      <w:bookmarkStart w:id="511" w:name="_Toc351203592"/>
      <w:bookmarkStart w:id="512" w:name="_Toc533863403"/>
      <w:bookmarkStart w:id="513" w:name="_Toc337558809"/>
      <w:r>
        <w:rPr>
          <w:rFonts w:ascii="宋体" w:hAnsi="宋体" w:eastAsia="宋体" w:cs="宋体"/>
          <w:bCs/>
          <w:color w:val="000000" w:themeColor="text1"/>
          <w:kern w:val="0"/>
          <w:szCs w:val="21"/>
          <w:highlight w:val="none"/>
          <w14:textFill>
            <w14:solidFill>
              <w14:schemeClr w14:val="tx1"/>
            </w14:solidFill>
          </w14:textFill>
        </w:rPr>
        <w:t>13.6 竣工退</w:t>
      </w:r>
      <w:bookmarkEnd w:id="509"/>
      <w:bookmarkEnd w:id="510"/>
      <w:r>
        <w:rPr>
          <w:rFonts w:ascii="宋体" w:hAnsi="宋体" w:eastAsia="宋体" w:cs="宋体"/>
          <w:bCs/>
          <w:color w:val="000000" w:themeColor="text1"/>
          <w:kern w:val="0"/>
          <w:szCs w:val="21"/>
          <w:highlight w:val="none"/>
          <w14:textFill>
            <w14:solidFill>
              <w14:schemeClr w14:val="tx1"/>
            </w14:solidFill>
          </w14:textFill>
        </w:rPr>
        <w:t>场</w:t>
      </w:r>
      <w:bookmarkEnd w:id="511"/>
      <w:bookmarkEnd w:id="512"/>
    </w:p>
    <w:bookmarkEnd w:id="513"/>
    <w:p w14:paraId="5A24A4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13.6.1 竣工退场</w:t>
      </w:r>
    </w:p>
    <w:p w14:paraId="046F5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颁发工程接收证书后，承包人应按以下要求对施工现场进行清理：</w:t>
      </w:r>
    </w:p>
    <w:p w14:paraId="4B3D9A2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（1）施工现场内残留的垃圾已全部清除出场；</w:t>
      </w:r>
    </w:p>
    <w:p w14:paraId="6A6295B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（2）临时工程已拆除，场地已进行清理、平整或复原；</w:t>
      </w:r>
    </w:p>
    <w:p w14:paraId="348EFD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（3）按合同约定应撤离的人员、承包人施工设备和剩余的材料，包括废弃的施工设备和材料，已按计划撤离施工现场；</w:t>
      </w:r>
    </w:p>
    <w:p w14:paraId="3B2C0CB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（4）施工现场周边及其附近道路、河道的施工堆积物，已全部清理；</w:t>
      </w:r>
    </w:p>
    <w:p w14:paraId="3B097F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（5）施工现场其他场地清理工作已全部完成。</w:t>
      </w:r>
    </w:p>
    <w:p w14:paraId="34A58D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21EAAEF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13.6.2 地表还原</w:t>
      </w:r>
    </w:p>
    <w:p w14:paraId="5C6CED2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3DBB7285">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14" w:name="_Toc351203593"/>
      <w:bookmarkStart w:id="515" w:name="_Toc21807"/>
      <w:bookmarkStart w:id="516" w:name="_Toc533863404"/>
      <w:bookmarkStart w:id="517" w:name="_Toc337558810"/>
      <w:bookmarkStart w:id="518" w:name="_Toc296503113"/>
      <w:bookmarkStart w:id="519" w:name="_Toc296346614"/>
      <w:r>
        <w:rPr>
          <w:rFonts w:hint="eastAsia" w:ascii="宋体" w:hAnsi="宋体" w:eastAsia="宋体" w:cs="宋体"/>
          <w:bCs/>
          <w:color w:val="000000" w:themeColor="text1"/>
          <w:szCs w:val="21"/>
          <w:highlight w:val="none"/>
          <w14:textFill>
            <w14:solidFill>
              <w14:schemeClr w14:val="tx1"/>
            </w14:solidFill>
          </w14:textFill>
        </w:rPr>
        <w:t>14. 竣工结算</w:t>
      </w:r>
      <w:bookmarkEnd w:id="514"/>
      <w:bookmarkEnd w:id="515"/>
      <w:bookmarkEnd w:id="516"/>
    </w:p>
    <w:bookmarkEnd w:id="517"/>
    <w:p w14:paraId="356D88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0" w:name="_Toc351203594"/>
      <w:bookmarkStart w:id="521" w:name="_Toc533863405"/>
      <w:bookmarkStart w:id="522" w:name="_Toc337558811"/>
      <w:r>
        <w:rPr>
          <w:rFonts w:ascii="宋体" w:hAnsi="宋体" w:eastAsia="宋体" w:cs="宋体"/>
          <w:bCs/>
          <w:color w:val="000000" w:themeColor="text1"/>
          <w:kern w:val="0"/>
          <w:szCs w:val="21"/>
          <w:highlight w:val="none"/>
          <w14:textFill>
            <w14:solidFill>
              <w14:schemeClr w14:val="tx1"/>
            </w14:solidFill>
          </w14:textFill>
        </w:rPr>
        <w:t>14.1 竣工结算申请</w:t>
      </w:r>
      <w:bookmarkEnd w:id="520"/>
      <w:bookmarkEnd w:id="521"/>
    </w:p>
    <w:bookmarkEnd w:id="522"/>
    <w:p w14:paraId="269D48A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w:t>
      </w:r>
      <w:r>
        <w:rPr>
          <w:rFonts w:hint="eastAsia" w:ascii="宋体" w:hAnsi="宋体" w:eastAsia="宋体" w:cs="宋体"/>
          <w:color w:val="000000" w:themeColor="text1"/>
          <w:szCs w:val="21"/>
          <w:highlight w:val="none"/>
          <w14:textFill>
            <w14:solidFill>
              <w14:schemeClr w14:val="tx1"/>
            </w14:solidFill>
          </w14:textFill>
        </w:rPr>
        <w:t>承包人应在工程竣工验收合格后28天内向发包人和监理人提交竣工结算申请单，并提交完整的结算资料，有关竣工结算申请单的资料清单和份数等要求由合同当事人在专用合同条款中约定。</w:t>
      </w:r>
    </w:p>
    <w:p w14:paraId="1002A36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除专用合同条款另有约定外，竣工结算申请单应包括以下内容：</w:t>
      </w:r>
    </w:p>
    <w:p w14:paraId="0C87E95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（1）竣工结算合同价格；</w:t>
      </w:r>
    </w:p>
    <w:p w14:paraId="21597E5D">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（2）发包人已支付承包人的款项；</w:t>
      </w:r>
    </w:p>
    <w:p w14:paraId="0FF7833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（3）应扣留的质量保证金。已缴纳履约保证金的或提供其他工程质量担保方式的除外； </w:t>
      </w:r>
    </w:p>
    <w:p w14:paraId="7466044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（4）发包人应支付承包人的合同价款。</w:t>
      </w:r>
    </w:p>
    <w:p w14:paraId="3E44D56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3" w:name="_Toc533863406"/>
      <w:bookmarkStart w:id="524" w:name="_Toc351203595"/>
      <w:bookmarkStart w:id="525" w:name="_Toc337558812"/>
      <w:r>
        <w:rPr>
          <w:rFonts w:ascii="宋体" w:hAnsi="宋体" w:eastAsia="宋体" w:cs="宋体"/>
          <w:bCs/>
          <w:color w:val="000000" w:themeColor="text1"/>
          <w:kern w:val="0"/>
          <w:szCs w:val="21"/>
          <w:highlight w:val="none"/>
          <w14:textFill>
            <w14:solidFill>
              <w14:schemeClr w14:val="tx1"/>
            </w14:solidFill>
          </w14:textFill>
        </w:rPr>
        <w:t>14.2 竣工结算审核</w:t>
      </w:r>
      <w:bookmarkEnd w:id="523"/>
      <w:bookmarkEnd w:id="524"/>
    </w:p>
    <w:bookmarkEnd w:id="525"/>
    <w:p w14:paraId="5241BF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000000" w:themeColor="text1"/>
          <w:szCs w:val="21"/>
          <w:highlight w:val="none"/>
          <w14:textFill>
            <w14:solidFill>
              <w14:schemeClr w14:val="tx1"/>
            </w14:solidFill>
          </w14:textFill>
        </w:rPr>
        <w:t>发包人对竣工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申请单有异议的，有权要求承包人进行修正和提供补充资料，承包人应提交修正后的竣工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w:t>
      </w:r>
    </w:p>
    <w:p w14:paraId="107793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E137AA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5B9B82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6D1319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6" w:name="_Toc351203596"/>
      <w:bookmarkStart w:id="527" w:name="_Toc533863407"/>
      <w:bookmarkStart w:id="528" w:name="_Toc337558813"/>
      <w:r>
        <w:rPr>
          <w:rFonts w:ascii="宋体" w:hAnsi="宋体" w:eastAsia="宋体" w:cs="宋体"/>
          <w:bCs/>
          <w:color w:val="000000" w:themeColor="text1"/>
          <w:kern w:val="0"/>
          <w:szCs w:val="21"/>
          <w:highlight w:val="none"/>
          <w14:textFill>
            <w14:solidFill>
              <w14:schemeClr w14:val="tx1"/>
            </w14:solidFill>
          </w14:textFill>
        </w:rPr>
        <w:t>14.3 甩项竣工协议</w:t>
      </w:r>
      <w:bookmarkEnd w:id="526"/>
      <w:bookmarkEnd w:id="527"/>
    </w:p>
    <w:bookmarkEnd w:id="528"/>
    <w:p w14:paraId="6F4174AD">
      <w:pPr>
        <w:autoSpaceDE w:val="0"/>
        <w:autoSpaceDN w:val="0"/>
        <w:adjustRightInd w:val="0"/>
        <w:spacing w:line="360" w:lineRule="auto"/>
        <w:ind w:firstLine="411" w:firstLineChars="196"/>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6DF382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9" w:name="_Toc533863408"/>
      <w:bookmarkStart w:id="530" w:name="_Toc351203597"/>
      <w:bookmarkStart w:id="531" w:name="_Toc337558814"/>
      <w:r>
        <w:rPr>
          <w:rFonts w:ascii="宋体" w:hAnsi="宋体" w:eastAsia="宋体" w:cs="宋体"/>
          <w:bCs/>
          <w:color w:val="000000" w:themeColor="text1"/>
          <w:kern w:val="0"/>
          <w:szCs w:val="21"/>
          <w:highlight w:val="none"/>
          <w14:textFill>
            <w14:solidFill>
              <w14:schemeClr w14:val="tx1"/>
            </w14:solidFill>
          </w14:textFill>
        </w:rPr>
        <w:t>14.4 最终结清</w:t>
      </w:r>
      <w:bookmarkEnd w:id="529"/>
      <w:bookmarkEnd w:id="530"/>
    </w:p>
    <w:bookmarkEnd w:id="531"/>
    <w:p w14:paraId="404E5B6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14.4.1 最终结清申请单</w:t>
      </w:r>
    </w:p>
    <w:p w14:paraId="5D2DDF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64A12490">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w:t>
      </w:r>
      <w:r>
        <w:rPr>
          <w:rFonts w:hint="eastAsia" w:ascii="宋体" w:hAnsi="宋体" w:eastAsia="宋体" w:cs="宋体"/>
          <w:color w:val="000000" w:themeColor="text1"/>
          <w:kern w:val="0"/>
          <w:szCs w:val="21"/>
          <w:highlight w:val="none"/>
          <w14:textFill>
            <w14:solidFill>
              <w14:schemeClr w14:val="tx1"/>
            </w14:solidFill>
          </w14:textFill>
        </w:rPr>
        <w:t>最终结清申请单</w:t>
      </w:r>
      <w:r>
        <w:rPr>
          <w:rFonts w:hint="eastAsia" w:ascii="宋体" w:hAnsi="宋体" w:eastAsia="宋体" w:cs="宋体"/>
          <w:color w:val="000000" w:themeColor="text1"/>
          <w:szCs w:val="21"/>
          <w:highlight w:val="none"/>
          <w14:textFill>
            <w14:solidFill>
              <w14:schemeClr w14:val="tx1"/>
            </w14:solidFill>
          </w14:textFill>
        </w:rPr>
        <w:t>应列明质量保证金、应扣除的质量保证金、缺陷责任期内发生的增减费用。</w:t>
      </w:r>
    </w:p>
    <w:p w14:paraId="297B4F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（2）发包人对最终结清申请单内容有异议的，有权要求承包人进行修正和提供补充资料，承包人应向发包人提交修正后的最终结清申请单。</w:t>
      </w:r>
    </w:p>
    <w:p w14:paraId="07AF037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14.4.2 最终结清证书和支付</w:t>
      </w:r>
    </w:p>
    <w:p w14:paraId="25A2AE2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FE495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93221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（3）承包人对发包人颁发的最终结清证书有异议的，按第20条〔争议解决〕的约定办理。</w:t>
      </w:r>
    </w:p>
    <w:p w14:paraId="0A2AAA1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32" w:name="_Toc351203598"/>
      <w:bookmarkStart w:id="533" w:name="_Toc533863409"/>
      <w:bookmarkStart w:id="534" w:name="_Toc9773"/>
      <w:bookmarkStart w:id="535" w:name="_Toc337558815"/>
      <w:r>
        <w:rPr>
          <w:rFonts w:hint="eastAsia" w:ascii="宋体" w:hAnsi="宋体" w:eastAsia="宋体" w:cs="宋体"/>
          <w:bCs/>
          <w:color w:val="000000" w:themeColor="text1"/>
          <w:szCs w:val="21"/>
          <w:highlight w:val="none"/>
          <w14:textFill>
            <w14:solidFill>
              <w14:schemeClr w14:val="tx1"/>
            </w14:solidFill>
          </w14:textFill>
        </w:rPr>
        <w:t>15. 缺陷责任与保修</w:t>
      </w:r>
      <w:bookmarkEnd w:id="532"/>
      <w:bookmarkEnd w:id="533"/>
      <w:bookmarkEnd w:id="534"/>
    </w:p>
    <w:bookmarkEnd w:id="518"/>
    <w:bookmarkEnd w:id="519"/>
    <w:bookmarkEnd w:id="535"/>
    <w:p w14:paraId="1401BFB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36" w:name="_Toc533863410"/>
      <w:bookmarkStart w:id="537" w:name="_Toc351203599"/>
      <w:bookmarkStart w:id="538" w:name="_Toc337558816"/>
      <w:bookmarkStart w:id="539" w:name="_Toc296503114"/>
      <w:bookmarkStart w:id="540" w:name="_Toc296346615"/>
      <w:r>
        <w:rPr>
          <w:rFonts w:ascii="宋体" w:hAnsi="宋体" w:eastAsia="宋体" w:cs="宋体"/>
          <w:bCs/>
          <w:color w:val="000000" w:themeColor="text1"/>
          <w:kern w:val="0"/>
          <w:szCs w:val="21"/>
          <w:highlight w:val="none"/>
          <w14:textFill>
            <w14:solidFill>
              <w14:schemeClr w14:val="tx1"/>
            </w14:solidFill>
          </w14:textFill>
        </w:rPr>
        <w:t>15.1 工程保修的原则</w:t>
      </w:r>
      <w:bookmarkEnd w:id="536"/>
      <w:bookmarkEnd w:id="537"/>
    </w:p>
    <w:bookmarkEnd w:id="538"/>
    <w:p w14:paraId="0C86A6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3981C80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1" w:name="_Toc533863411"/>
      <w:bookmarkStart w:id="542" w:name="_Toc351203600"/>
      <w:bookmarkStart w:id="543" w:name="_Toc337558817"/>
      <w:r>
        <w:rPr>
          <w:rFonts w:ascii="宋体" w:hAnsi="宋体" w:eastAsia="宋体" w:cs="宋体"/>
          <w:bCs/>
          <w:color w:val="000000" w:themeColor="text1"/>
          <w:kern w:val="0"/>
          <w:szCs w:val="21"/>
          <w:highlight w:val="none"/>
          <w14:textFill>
            <w14:solidFill>
              <w14:schemeClr w14:val="tx1"/>
            </w14:solidFill>
          </w14:textFill>
        </w:rPr>
        <w:t>15.2 缺陷责任期</w:t>
      </w:r>
      <w:bookmarkEnd w:id="539"/>
      <w:bookmarkEnd w:id="540"/>
      <w:bookmarkEnd w:id="541"/>
      <w:bookmarkEnd w:id="542"/>
    </w:p>
    <w:bookmarkEnd w:id="543"/>
    <w:p w14:paraId="2D528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15.2.1 缺陷责任期从工程通过竣工验收之日起计算，合同当事人应在专用合同条款约定缺陷责任期的具体期限，但该期限最长不超过24个月。</w:t>
      </w:r>
    </w:p>
    <w:p w14:paraId="76382E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E7012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color w:val="000000" w:themeColor="text1"/>
          <w:szCs w:val="21"/>
          <w:highlight w:val="none"/>
          <w14:textFill>
            <w14:solidFill>
              <w14:schemeClr w14:val="tx1"/>
            </w14:solidFill>
          </w14:textFill>
        </w:rPr>
        <w:t>包人延长缺陷责任期，</w:t>
      </w:r>
      <w:r>
        <w:rPr>
          <w:rFonts w:hint="eastAsia" w:ascii="宋体" w:hAnsi="宋体" w:eastAsia="宋体" w:cs="宋体"/>
          <w:color w:val="000000" w:themeColor="text1"/>
          <w:kern w:val="0"/>
          <w:szCs w:val="21"/>
          <w:highlight w:val="none"/>
          <w14:textFill>
            <w14:solidFill>
              <w14:schemeClr w14:val="tx1"/>
            </w14:solidFill>
          </w14:textFill>
        </w:rPr>
        <w:t>并应在原缺陷责任期届满前发出延长通知。</w:t>
      </w:r>
      <w:r>
        <w:rPr>
          <w:rFonts w:hint="eastAsia" w:ascii="宋体" w:hAnsi="宋体" w:eastAsia="宋体" w:cs="宋体"/>
          <w:bCs/>
          <w:color w:val="000000" w:themeColor="text1"/>
          <w:szCs w:val="21"/>
          <w:highlight w:val="none"/>
          <w14:textFill>
            <w14:solidFill>
              <w14:schemeClr w14:val="tx1"/>
            </w14:solidFill>
          </w14:textFill>
        </w:rPr>
        <w:t>但缺陷责任期（含延长部分）最长</w:t>
      </w:r>
      <w:r>
        <w:rPr>
          <w:rFonts w:hint="eastAsia" w:ascii="宋体" w:hAnsi="宋体" w:eastAsia="宋体" w:cs="宋体"/>
          <w:color w:val="000000" w:themeColor="text1"/>
          <w:kern w:val="0"/>
          <w:szCs w:val="21"/>
          <w:highlight w:val="none"/>
          <w14:textFill>
            <w14:solidFill>
              <w14:schemeClr w14:val="tx1"/>
            </w14:solidFill>
          </w14:textFill>
        </w:rPr>
        <w:t>不能超过24个月。</w:t>
      </w:r>
    </w:p>
    <w:p w14:paraId="77BAE8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由他人原因造成的缺陷，发包人负责组织维修，承包人不承担费用，且发包人不得从保证金中扣除费用。</w:t>
      </w:r>
    </w:p>
    <w:p w14:paraId="1DDF8D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15.2.3 任何一项缺陷或损坏修复后，经检查证明其影响了工程或工程设备的使用性能，承包人应重新进行合同约定的试验和试运行，试验和试运行的全部费用应由责任方承担。</w:t>
      </w:r>
    </w:p>
    <w:p w14:paraId="67C3B3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483435C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4" w:name="_Toc351203601"/>
      <w:bookmarkStart w:id="545" w:name="_Toc533863412"/>
      <w:bookmarkStart w:id="546" w:name="_Toc337558818"/>
      <w:bookmarkStart w:id="547" w:name="_Toc296503115"/>
      <w:bookmarkStart w:id="548" w:name="_Toc296346616"/>
      <w:r>
        <w:rPr>
          <w:rFonts w:ascii="宋体" w:hAnsi="宋体" w:eastAsia="宋体" w:cs="宋体"/>
          <w:bCs/>
          <w:color w:val="000000" w:themeColor="text1"/>
          <w:kern w:val="0"/>
          <w:szCs w:val="21"/>
          <w:highlight w:val="none"/>
          <w14:textFill>
            <w14:solidFill>
              <w14:schemeClr w14:val="tx1"/>
            </w14:solidFill>
          </w14:textFill>
        </w:rPr>
        <w:t>15.3 质量保证金</w:t>
      </w:r>
      <w:bookmarkEnd w:id="544"/>
      <w:bookmarkEnd w:id="545"/>
    </w:p>
    <w:bookmarkEnd w:id="546"/>
    <w:p w14:paraId="05DB3D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经合同当事人协商一致扣留质量保证金的，应在专用合同条款中予以明确。</w:t>
      </w:r>
    </w:p>
    <w:p w14:paraId="61F9C73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在工程项目竣工前，承包人已经提供履约担保的，发包人不得同时预留工程质量保证金。</w:t>
      </w:r>
    </w:p>
    <w:p w14:paraId="54134A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15.3.1 承包人提供质量保证金的方式</w:t>
      </w:r>
    </w:p>
    <w:p w14:paraId="5F6AC6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承包人提供质量保证金有以下三种方式：</w:t>
      </w:r>
    </w:p>
    <w:p w14:paraId="2DD279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（1）质量保证金保函； </w:t>
      </w:r>
    </w:p>
    <w:p w14:paraId="56EA2E1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（2）相应比例的工程款；</w:t>
      </w:r>
    </w:p>
    <w:p w14:paraId="6F85021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（3）双方约定的其他方式。</w:t>
      </w:r>
    </w:p>
    <w:p w14:paraId="697864A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竣工结算经有关部门结算审定后，承包人向发包人提供经发包人认可的银行出具的、金额为审计结算价3%的质量保证金保函后。缺陷责任期(12个月)满后，无工程缺陷的，保函自行失效</w:t>
      </w:r>
      <w:r>
        <w:rPr>
          <w:rFonts w:hint="eastAsia" w:ascii="宋体" w:hAnsi="宋体" w:eastAsia="宋体" w:cs="宋体"/>
          <w:color w:val="000000" w:themeColor="text1"/>
          <w:kern w:val="0"/>
          <w:szCs w:val="21"/>
          <w:highlight w:val="none"/>
          <w14:textFill>
            <w14:solidFill>
              <w14:schemeClr w14:val="tx1"/>
            </w14:solidFill>
          </w14:textFill>
        </w:rPr>
        <w:t>。</w:t>
      </w:r>
    </w:p>
    <w:p w14:paraId="573345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）种方式。</w:t>
      </w:r>
    </w:p>
    <w:p w14:paraId="522DDF7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15.3.2 质量保证金的扣留</w:t>
      </w:r>
    </w:p>
    <w:p w14:paraId="63832A5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质量保证金的扣留有以下三种方式：</w:t>
      </w:r>
    </w:p>
    <w:p w14:paraId="3C6667F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757D36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w:t>
      </w:r>
      <w:bookmarkStart w:id="549" w:name="#go6"/>
      <w:bookmarkEnd w:id="549"/>
      <w:r>
        <w:rPr>
          <w:rFonts w:hint="eastAsia" w:ascii="宋体" w:hAnsi="宋体" w:eastAsia="宋体" w:cs="宋体"/>
          <w:color w:val="000000" w:themeColor="text1"/>
          <w:kern w:val="0"/>
          <w:szCs w:val="21"/>
          <w:highlight w:val="none"/>
          <w14:textFill>
            <w14:solidFill>
              <w14:schemeClr w14:val="tx1"/>
            </w14:solidFill>
          </w14:textFill>
        </w:rPr>
        <w:t>程竣工结算时一次性扣留质量保证金；</w:t>
      </w:r>
    </w:p>
    <w:p w14:paraId="3EEE4F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（3）双方约定的其他扣留方式</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p>
    <w:p w14:paraId="163A39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除专用合同条款另有约定外，质量保证金的扣留原则上采用上述第（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）种方式。</w:t>
      </w:r>
    </w:p>
    <w:p w14:paraId="17939A7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w:t>
      </w:r>
      <w:bookmarkStart w:id="550" w:name="#go4"/>
      <w:bookmarkEnd w:id="550"/>
      <w:r>
        <w:rPr>
          <w:rFonts w:hint="eastAsia" w:ascii="宋体" w:hAnsi="宋体" w:eastAsia="宋体" w:cs="宋体"/>
          <w:color w:val="000000" w:themeColor="text1"/>
          <w:kern w:val="0"/>
          <w:szCs w:val="21"/>
          <w:highlight w:val="none"/>
          <w14:textFill>
            <w14:solidFill>
              <w14:schemeClr w14:val="tx1"/>
            </w14:solidFill>
          </w14:textFill>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05E46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发包人在退还质量保证金的同时按照中国人民银行发布的同期同类贷款基准利率支付利息。</w:t>
      </w:r>
    </w:p>
    <w:p w14:paraId="50D8C5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15.3.3 </w:t>
      </w:r>
      <w:r>
        <w:rPr>
          <w:rFonts w:hint="eastAsia" w:ascii="宋体" w:hAnsi="宋体" w:eastAsia="宋体" w:cs="宋体"/>
          <w:color w:val="000000" w:themeColor="text1"/>
          <w:szCs w:val="21"/>
          <w:highlight w:val="none"/>
          <w14:textFill>
            <w14:solidFill>
              <w14:schemeClr w14:val="tx1"/>
            </w14:solidFill>
          </w14:textFill>
        </w:rPr>
        <w:t>质量保证金</w:t>
      </w:r>
      <w:r>
        <w:rPr>
          <w:rFonts w:hint="eastAsia" w:ascii="宋体" w:hAnsi="宋体" w:eastAsia="宋体" w:cs="宋体"/>
          <w:color w:val="000000" w:themeColor="text1"/>
          <w:kern w:val="0"/>
          <w:szCs w:val="21"/>
          <w:highlight w:val="none"/>
          <w14:textFill>
            <w14:solidFill>
              <w14:schemeClr w14:val="tx1"/>
            </w14:solidFill>
          </w14:textFill>
        </w:rPr>
        <w:t>的退还</w:t>
      </w:r>
    </w:p>
    <w:p w14:paraId="750BDB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缺陷责任期内，承包人认真履行合同约定的责任，到期后，承包人可向发包人申请返还保证金。</w:t>
      </w:r>
    </w:p>
    <w:p w14:paraId="05E11A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2878DD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发包人和承包人对保证金预留、返还以及工程维修质量、费用有争议的，按本合同第20条约定的争议和纠纷解决程序处理。</w:t>
      </w:r>
    </w:p>
    <w:p w14:paraId="034C38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1" w:name="_Toc351203602"/>
      <w:bookmarkStart w:id="552" w:name="_Toc533863413"/>
      <w:bookmarkStart w:id="553" w:name="_Toc337558819"/>
      <w:r>
        <w:rPr>
          <w:rFonts w:ascii="宋体" w:hAnsi="宋体" w:eastAsia="宋体" w:cs="宋体"/>
          <w:bCs/>
          <w:color w:val="000000" w:themeColor="text1"/>
          <w:kern w:val="0"/>
          <w:szCs w:val="21"/>
          <w:highlight w:val="none"/>
          <w14:textFill>
            <w14:solidFill>
              <w14:schemeClr w14:val="tx1"/>
            </w14:solidFill>
          </w14:textFill>
        </w:rPr>
        <w:t>15.4 保修</w:t>
      </w:r>
      <w:bookmarkEnd w:id="551"/>
      <w:bookmarkEnd w:id="552"/>
    </w:p>
    <w:bookmarkEnd w:id="547"/>
    <w:bookmarkEnd w:id="548"/>
    <w:bookmarkEnd w:id="553"/>
    <w:p w14:paraId="3638CE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15.4.1保修责任</w:t>
      </w:r>
    </w:p>
    <w:p w14:paraId="44C7271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56932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发包人未经竣工验收擅自使用工程的，保修期自</w:t>
      </w:r>
      <w:r>
        <w:rPr>
          <w:rFonts w:hint="eastAsia" w:ascii="宋体" w:hAnsi="宋体" w:eastAsia="宋体" w:cs="宋体"/>
          <w:color w:val="000000" w:themeColor="text1"/>
          <w:kern w:val="0"/>
          <w:szCs w:val="21"/>
          <w:highlight w:val="none"/>
          <w14:textFill>
            <w14:solidFill>
              <w14:schemeClr w14:val="tx1"/>
            </w14:solidFill>
          </w14:textFill>
        </w:rPr>
        <w:t>转移占有之日起算</w:t>
      </w:r>
      <w:r>
        <w:rPr>
          <w:rFonts w:hint="eastAsia" w:ascii="宋体" w:hAnsi="宋体" w:eastAsia="宋体" w:cs="宋体"/>
          <w:color w:val="000000" w:themeColor="text1"/>
          <w:szCs w:val="21"/>
          <w:highlight w:val="none"/>
          <w14:textFill>
            <w14:solidFill>
              <w14:schemeClr w14:val="tx1"/>
            </w14:solidFill>
          </w14:textFill>
        </w:rPr>
        <w:t>。</w:t>
      </w:r>
    </w:p>
    <w:p w14:paraId="64349A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15.4.2 修复费用</w:t>
      </w:r>
    </w:p>
    <w:p w14:paraId="615C29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保修期内，修复的费用按照以下约定处理：</w:t>
      </w:r>
    </w:p>
    <w:p w14:paraId="51685B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（1）保修期内，因承包人原因造成工程的缺陷、损坏，承包人应负责修复，并承担修复的费用以及因工程的缺陷、损坏造成的人身伤害和财产损失；</w:t>
      </w:r>
    </w:p>
    <w:p w14:paraId="356543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（2）保修期内，因发包人使用不当造成工程的缺陷、损坏，可以委托承包人修复，但发包人应承担修复的费用，并支付承包人合理利润；</w:t>
      </w:r>
    </w:p>
    <w:p w14:paraId="087F6C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0EB1A6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15.4.3 修复通知</w:t>
      </w:r>
    </w:p>
    <w:p w14:paraId="344F7D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27A69D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15.4.4 未能修复</w:t>
      </w:r>
    </w:p>
    <w:p w14:paraId="7056A8B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D34D95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15.4.5 承包人出入权</w:t>
      </w:r>
    </w:p>
    <w:p w14:paraId="19D294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bookmarkStart w:id="554" w:name="_Toc351203603"/>
      <w:bookmarkStart w:id="555" w:name="_Toc533863414"/>
      <w:bookmarkStart w:id="556" w:name="_Toc337558820"/>
    </w:p>
    <w:p w14:paraId="58CB6E57">
      <w:pPr>
        <w:spacing w:line="360" w:lineRule="auto"/>
        <w:ind w:firstLine="422" w:firstLineChars="200"/>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违约</w:t>
      </w:r>
      <w:bookmarkEnd w:id="554"/>
      <w:bookmarkEnd w:id="555"/>
    </w:p>
    <w:bookmarkEnd w:id="556"/>
    <w:p w14:paraId="0AFE50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7" w:name="_Toc296346630"/>
      <w:bookmarkStart w:id="558" w:name="_Toc296503129"/>
      <w:bookmarkStart w:id="559" w:name="_Toc533863415"/>
      <w:bookmarkStart w:id="560" w:name="_Toc351203604"/>
      <w:bookmarkStart w:id="561" w:name="_Toc337558821"/>
      <w:r>
        <w:rPr>
          <w:rFonts w:ascii="宋体" w:hAnsi="宋体" w:eastAsia="宋体" w:cs="宋体"/>
          <w:bCs/>
          <w:color w:val="000000" w:themeColor="text1"/>
          <w:kern w:val="0"/>
          <w:szCs w:val="21"/>
          <w:highlight w:val="none"/>
          <w14:textFill>
            <w14:solidFill>
              <w14:schemeClr w14:val="tx1"/>
            </w14:solidFill>
          </w14:textFill>
        </w:rPr>
        <w:t>16.1 发</w:t>
      </w:r>
      <w:bookmarkEnd w:id="557"/>
      <w:bookmarkEnd w:id="558"/>
      <w:r>
        <w:rPr>
          <w:rFonts w:ascii="宋体" w:hAnsi="宋体" w:eastAsia="宋体" w:cs="宋体"/>
          <w:bCs/>
          <w:color w:val="000000" w:themeColor="text1"/>
          <w:kern w:val="0"/>
          <w:szCs w:val="21"/>
          <w:highlight w:val="none"/>
          <w14:textFill>
            <w14:solidFill>
              <w14:schemeClr w14:val="tx1"/>
            </w14:solidFill>
          </w14:textFill>
        </w:rPr>
        <w:t>包人违约</w:t>
      </w:r>
      <w:bookmarkEnd w:id="559"/>
      <w:bookmarkEnd w:id="560"/>
    </w:p>
    <w:bookmarkEnd w:id="561"/>
    <w:p w14:paraId="05A8E26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16.1.1 发包人违约的情形</w:t>
      </w:r>
    </w:p>
    <w:p w14:paraId="21DDD0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在合同履行过程中发生的下列情形，属于发包人违约：</w:t>
      </w:r>
    </w:p>
    <w:p w14:paraId="38C00F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（1）因发包人原因未能在计划开工日期前7天内下达开工通知的；</w:t>
      </w:r>
    </w:p>
    <w:p w14:paraId="1FD013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（2）因发包人原因未能按合同约定支付合同价款的；</w:t>
      </w:r>
    </w:p>
    <w:p w14:paraId="42F9CA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（3）发包人违反第10.1款〔变更的范围〕第（2）项约定，自行实施被取消的工作或转由他人实施的；</w:t>
      </w:r>
    </w:p>
    <w:p w14:paraId="636A1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（4）发包人提供的材料、工程设备的规格、数量或质量不符合合同约定，或因发包人原因导致交货日期延误或交货地点变更等情况的；</w:t>
      </w:r>
    </w:p>
    <w:p w14:paraId="12C58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（5）因发包人违反合同约定造成暂停施工的；</w:t>
      </w:r>
    </w:p>
    <w:p w14:paraId="68A0DC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（6）发包人无正当理由没有在约定期限内发出复工指示，导致承包人无法复工的；</w:t>
      </w:r>
    </w:p>
    <w:p w14:paraId="7CDF59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（7）发包人明确表示或者以其行为表明不履行合同主要义务的；</w:t>
      </w:r>
    </w:p>
    <w:p w14:paraId="62A01B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（8）发包人未能按照合同约定履行其他义务的。</w:t>
      </w:r>
    </w:p>
    <w:p w14:paraId="6010C2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25AD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16.1.2 发包人违约的责任</w:t>
      </w:r>
    </w:p>
    <w:p w14:paraId="11D5A8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5662765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16.1.3 因发包人违约解除合同</w:t>
      </w:r>
    </w:p>
    <w:p w14:paraId="745449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513B061">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16.1.4 因发包人违约解除合同后的付款</w:t>
      </w:r>
    </w:p>
    <w:p w14:paraId="05979AE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承包人按照本款约定解除合同的，发包人应在解除合同后28天内支付下列款项，并解除履约担保：</w:t>
      </w:r>
    </w:p>
    <w:p w14:paraId="341EFFA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（1）合同解除前所完成工作的价款；</w:t>
      </w:r>
    </w:p>
    <w:p w14:paraId="0D69112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（2）承包人为工程施工订购并已付款的材料、工程设备和其他物品的价款；</w:t>
      </w:r>
    </w:p>
    <w:p w14:paraId="259ADA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（3）承包人撤离施工现场以及遣散承包人人员的款项；</w:t>
      </w:r>
    </w:p>
    <w:p w14:paraId="6B619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（4）按照合同约定在合同解除前应支付的违约金；</w:t>
      </w:r>
    </w:p>
    <w:p w14:paraId="530C71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（5）按照合同约定应当支付给承包人的其他款项；</w:t>
      </w:r>
    </w:p>
    <w:p w14:paraId="21F9654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（6）按照合同约定应退还的质量保证金；</w:t>
      </w:r>
    </w:p>
    <w:p w14:paraId="4144B52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（7）因解除合同给承包人造成的损失。</w:t>
      </w:r>
    </w:p>
    <w:p w14:paraId="6C19D7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合同当事人未能就解除合同后的结清达成一致的，按照第20条〔争议解决〕的约定处理。</w:t>
      </w:r>
    </w:p>
    <w:p w14:paraId="28462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03734E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2" w:name="_Toc351203605"/>
      <w:bookmarkStart w:id="563" w:name="_Toc533863416"/>
      <w:bookmarkStart w:id="564" w:name="_Toc296346632"/>
      <w:bookmarkStart w:id="565" w:name="_Toc296503131"/>
      <w:bookmarkStart w:id="566" w:name="_Toc337558822"/>
      <w:r>
        <w:rPr>
          <w:rFonts w:ascii="宋体" w:hAnsi="宋体" w:eastAsia="宋体" w:cs="宋体"/>
          <w:bCs/>
          <w:color w:val="000000" w:themeColor="text1"/>
          <w:kern w:val="0"/>
          <w:szCs w:val="21"/>
          <w:highlight w:val="none"/>
          <w14:textFill>
            <w14:solidFill>
              <w14:schemeClr w14:val="tx1"/>
            </w14:solidFill>
          </w14:textFill>
        </w:rPr>
        <w:t>16.2 承包人违约</w:t>
      </w:r>
      <w:bookmarkEnd w:id="562"/>
      <w:bookmarkEnd w:id="563"/>
    </w:p>
    <w:bookmarkEnd w:id="564"/>
    <w:bookmarkEnd w:id="565"/>
    <w:bookmarkEnd w:id="566"/>
    <w:p w14:paraId="68EB34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16.2.1 承包人违约的情形</w:t>
      </w:r>
    </w:p>
    <w:p w14:paraId="3D7DB3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在合同履行过程中发生的下列情形，属于承包人违约：</w:t>
      </w:r>
    </w:p>
    <w:p w14:paraId="0AC2528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（1）承包人违反合同约定进行转包或违法分包的；</w:t>
      </w:r>
    </w:p>
    <w:p w14:paraId="076DB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（2）承包人违反合同约定采购和使用不合格的材料和工程设备的；</w:t>
      </w:r>
    </w:p>
    <w:p w14:paraId="4EBFB3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（3）因承包人原因导致工程质量不符合合同要求的； </w:t>
      </w:r>
    </w:p>
    <w:p w14:paraId="3150EC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（4）承包人违反第8.9款〔材料与设备专用要求〕的约定，未经批准，私自将已按照合同约定进入施工现场的材料或设备撤离施工现场的；</w:t>
      </w:r>
    </w:p>
    <w:p w14:paraId="24098B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（5）承包人未能按施工进度计划及时完成合同约定的工作，造成工期延误的；</w:t>
      </w:r>
    </w:p>
    <w:p w14:paraId="3EAB96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（6）承包人在缺陷责任期及保修期内，未能在合理期限对工程缺陷进行修复，或拒绝按发包人要求进行修复的；</w:t>
      </w:r>
    </w:p>
    <w:p w14:paraId="4F26863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（7）承包人明确表示或者以其行为表明不履行合同主要义务的；</w:t>
      </w:r>
    </w:p>
    <w:p w14:paraId="1F9265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（8）承包人未能按照合同约定履行其他义务的。</w:t>
      </w:r>
    </w:p>
    <w:p w14:paraId="1BE8A7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承包人发生除本项第（7）目约定以外的其他违约情况时，监理人可向承包人发出整改通知，要求其在指定的期限内改正。</w:t>
      </w:r>
    </w:p>
    <w:p w14:paraId="2C6A5E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16.2.2 承包人违约的责任</w:t>
      </w:r>
    </w:p>
    <w:p w14:paraId="35B3AAC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24449A2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16.2.3 因承包人违约解除合同</w:t>
      </w:r>
    </w:p>
    <w:p w14:paraId="36DDE9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77B3E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16.2.4因承包人违约解除合同后的处理</w:t>
      </w:r>
    </w:p>
    <w:p w14:paraId="196B5C3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因承包人原因导致合同解除的，则合同当事人应在合同解除后28天内完成估价、付款和清算，并按以下约定执行：</w:t>
      </w:r>
    </w:p>
    <w:p w14:paraId="00502BC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3688B18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（2）合同解除后，承包人应支付的违约金；</w:t>
      </w:r>
    </w:p>
    <w:p w14:paraId="499800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（3）合同解除后，因解除合同给发包人造成的损失；</w:t>
      </w:r>
    </w:p>
    <w:p w14:paraId="72C40A8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（4）合同解除后，承包人应按照发包人要求和监理人的指示完成现场的清理和撤离；</w:t>
      </w:r>
    </w:p>
    <w:p w14:paraId="1A0D55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（5）发包人和承包人应在合同解除后进行清算，出具最终结清付款证书，结清全部款项。</w:t>
      </w:r>
    </w:p>
    <w:p w14:paraId="4414D26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3AA411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16.2.5采购合同权益转让</w:t>
      </w:r>
    </w:p>
    <w:p w14:paraId="6C8080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E6E3E1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7" w:name="_Toc533863417"/>
      <w:bookmarkStart w:id="568" w:name="_Toc351203606"/>
      <w:r>
        <w:rPr>
          <w:rFonts w:ascii="宋体" w:hAnsi="宋体" w:eastAsia="宋体" w:cs="宋体"/>
          <w:bCs/>
          <w:color w:val="000000" w:themeColor="text1"/>
          <w:kern w:val="0"/>
          <w:szCs w:val="21"/>
          <w:highlight w:val="none"/>
          <w14:textFill>
            <w14:solidFill>
              <w14:schemeClr w14:val="tx1"/>
            </w14:solidFill>
          </w14:textFill>
        </w:rPr>
        <w:t>16.3 第三人造成的违约</w:t>
      </w:r>
      <w:bookmarkEnd w:id="567"/>
      <w:bookmarkEnd w:id="568"/>
    </w:p>
    <w:p w14:paraId="4A7FE9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16CB051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69" w:name="_Toc351203607"/>
      <w:bookmarkStart w:id="570" w:name="_Toc533863418"/>
      <w:bookmarkStart w:id="571" w:name="_Toc11606"/>
      <w:bookmarkStart w:id="572" w:name="_Toc296503116"/>
      <w:bookmarkStart w:id="573" w:name="_Toc337558823"/>
      <w:bookmarkStart w:id="574" w:name="_Toc296346617"/>
      <w:r>
        <w:rPr>
          <w:rFonts w:hint="eastAsia" w:ascii="宋体" w:hAnsi="宋体" w:eastAsia="宋体" w:cs="宋体"/>
          <w:bCs/>
          <w:color w:val="000000" w:themeColor="text1"/>
          <w:szCs w:val="21"/>
          <w:highlight w:val="none"/>
          <w14:textFill>
            <w14:solidFill>
              <w14:schemeClr w14:val="tx1"/>
            </w14:solidFill>
          </w14:textFill>
        </w:rPr>
        <w:t>17. 不可抗力</w:t>
      </w:r>
      <w:bookmarkEnd w:id="569"/>
      <w:bookmarkEnd w:id="570"/>
      <w:bookmarkEnd w:id="571"/>
      <w:r>
        <w:rPr>
          <w:rFonts w:hint="eastAsia" w:ascii="宋体" w:hAnsi="宋体" w:eastAsia="宋体" w:cs="宋体"/>
          <w:bCs/>
          <w:color w:val="000000" w:themeColor="text1"/>
          <w:szCs w:val="21"/>
          <w:highlight w:val="none"/>
          <w14:textFill>
            <w14:solidFill>
              <w14:schemeClr w14:val="tx1"/>
            </w14:solidFill>
          </w14:textFill>
        </w:rPr>
        <w:t xml:space="preserve"> </w:t>
      </w:r>
      <w:bookmarkEnd w:id="572"/>
      <w:bookmarkEnd w:id="573"/>
      <w:bookmarkEnd w:id="574"/>
    </w:p>
    <w:p w14:paraId="24D6B56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75" w:name="_Toc351203608"/>
      <w:bookmarkStart w:id="576" w:name="_Toc533863419"/>
      <w:bookmarkStart w:id="577" w:name="_Toc296503117"/>
      <w:bookmarkStart w:id="578" w:name="_Toc337558824"/>
      <w:bookmarkStart w:id="579" w:name="_Toc296346618"/>
      <w:r>
        <w:rPr>
          <w:rFonts w:ascii="宋体" w:hAnsi="宋体" w:eastAsia="宋体" w:cs="宋体"/>
          <w:bCs/>
          <w:color w:val="000000" w:themeColor="text1"/>
          <w:kern w:val="0"/>
          <w:szCs w:val="21"/>
          <w:highlight w:val="none"/>
          <w14:textFill>
            <w14:solidFill>
              <w14:schemeClr w14:val="tx1"/>
            </w14:solidFill>
          </w14:textFill>
        </w:rPr>
        <w:t>17.1 不可抗力的确认</w:t>
      </w:r>
      <w:bookmarkEnd w:id="575"/>
      <w:bookmarkEnd w:id="576"/>
    </w:p>
    <w:bookmarkEnd w:id="577"/>
    <w:bookmarkEnd w:id="578"/>
    <w:bookmarkEnd w:id="579"/>
    <w:p w14:paraId="53A810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6BB147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80F8A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0" w:name="_Toc351203609"/>
      <w:bookmarkStart w:id="581" w:name="_Toc533863420"/>
      <w:bookmarkStart w:id="582" w:name="_Toc296503118"/>
      <w:bookmarkStart w:id="583" w:name="_Toc296346619"/>
      <w:bookmarkStart w:id="584" w:name="_Toc337558825"/>
      <w:r>
        <w:rPr>
          <w:rFonts w:ascii="宋体" w:hAnsi="宋体" w:eastAsia="宋体" w:cs="宋体"/>
          <w:bCs/>
          <w:color w:val="000000" w:themeColor="text1"/>
          <w:kern w:val="0"/>
          <w:szCs w:val="21"/>
          <w:highlight w:val="none"/>
          <w14:textFill>
            <w14:solidFill>
              <w14:schemeClr w14:val="tx1"/>
            </w14:solidFill>
          </w14:textFill>
        </w:rPr>
        <w:t>17.2 不可抗力的通知</w:t>
      </w:r>
      <w:bookmarkEnd w:id="580"/>
      <w:bookmarkEnd w:id="581"/>
    </w:p>
    <w:bookmarkEnd w:id="582"/>
    <w:bookmarkEnd w:id="583"/>
    <w:bookmarkEnd w:id="584"/>
    <w:p w14:paraId="4E965D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595CFB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5DB30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5" w:name="_Toc533863421"/>
      <w:bookmarkStart w:id="586" w:name="_Toc351203610"/>
      <w:bookmarkStart w:id="587" w:name="_Toc337558826"/>
      <w:bookmarkStart w:id="588" w:name="_Toc296346620"/>
      <w:bookmarkStart w:id="589" w:name="_Toc296503119"/>
      <w:r>
        <w:rPr>
          <w:rFonts w:ascii="宋体" w:hAnsi="宋体" w:eastAsia="宋体" w:cs="宋体"/>
          <w:bCs/>
          <w:color w:val="000000" w:themeColor="text1"/>
          <w:kern w:val="0"/>
          <w:szCs w:val="21"/>
          <w:highlight w:val="none"/>
          <w14:textFill>
            <w14:solidFill>
              <w14:schemeClr w14:val="tx1"/>
            </w14:solidFill>
          </w14:textFill>
        </w:rPr>
        <w:t>17.3 不可抗力后果的承担</w:t>
      </w:r>
      <w:bookmarkEnd w:id="585"/>
      <w:bookmarkEnd w:id="586"/>
    </w:p>
    <w:bookmarkEnd w:id="587"/>
    <w:bookmarkEnd w:id="588"/>
    <w:bookmarkEnd w:id="589"/>
    <w:p w14:paraId="2616A13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17.3.1 不可抗力引起的后果及造成的损失由合同当事人按照法律规定及合同约定各自承担。不可抗力发生前已完成的工程应当按照合同约定进行计量支付。</w:t>
      </w:r>
    </w:p>
    <w:p w14:paraId="5F6E20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17.3.2 不可抗力导致的人员伤亡、财产损失、费用增加和（或）工期延误等后果，由合同当事人按以下原则承担：</w:t>
      </w:r>
    </w:p>
    <w:p w14:paraId="360998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（1）永久工程、已运至施工现场的材料和工程设备的损坏，以及因工程损坏造成的第三人人员伤亡和财产损失由发包人承担；</w:t>
      </w:r>
    </w:p>
    <w:p w14:paraId="1F1845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（2）承包人施工设备的损坏由承包人承担；</w:t>
      </w:r>
    </w:p>
    <w:p w14:paraId="6821E6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（3）发包人和承包人承担各自人员伤亡和财产的损失；</w:t>
      </w:r>
    </w:p>
    <w:p w14:paraId="36EF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231871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（5）因不可抗力引起或将引起工期延误，发包人要求赶工的，由此增加的赶工费用由发包人承担；</w:t>
      </w:r>
    </w:p>
    <w:p w14:paraId="26746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（6）承包人在停工期间按照发包人要求照管、清理和修复工程的费用由发包人承担。</w:t>
      </w:r>
    </w:p>
    <w:p w14:paraId="2043F0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5905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因合同一方迟延履行合同义务，在迟延履行期间遭遇不可抗力的，不免除其违约责任。</w:t>
      </w:r>
    </w:p>
    <w:p w14:paraId="259D2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0" w:name="_Toc533863422"/>
      <w:bookmarkStart w:id="591" w:name="_Toc351203611"/>
      <w:bookmarkStart w:id="592" w:name="_Toc337558827"/>
      <w:r>
        <w:rPr>
          <w:rFonts w:ascii="宋体" w:hAnsi="宋体" w:eastAsia="宋体" w:cs="宋体"/>
          <w:bCs/>
          <w:color w:val="000000" w:themeColor="text1"/>
          <w:kern w:val="0"/>
          <w:szCs w:val="21"/>
          <w:highlight w:val="none"/>
          <w14:textFill>
            <w14:solidFill>
              <w14:schemeClr w14:val="tx1"/>
            </w14:solidFill>
          </w14:textFill>
        </w:rPr>
        <w:t>17.4 因不可抗力解除合同</w:t>
      </w:r>
      <w:bookmarkEnd w:id="590"/>
      <w:bookmarkEnd w:id="591"/>
    </w:p>
    <w:bookmarkEnd w:id="592"/>
    <w:p w14:paraId="3B88C0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7D61A22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（1）合同解除前承包人已完成工作的价款；</w:t>
      </w:r>
    </w:p>
    <w:p w14:paraId="1BAB6A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（2）承包人为工程订购的并已交付给承包人，或承包人有责任接受交付的材料、工程设备和其他物品的价款；</w:t>
      </w:r>
    </w:p>
    <w:p w14:paraId="6468718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（3）发包人要求承包人退货或解除订货合同而产生的费用，或因不能退货或解除合同而产生的损失；</w:t>
      </w:r>
    </w:p>
    <w:p w14:paraId="2C60B4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（4）承包人撤离施工现场以及遣散承包人人员的费用；</w:t>
      </w:r>
    </w:p>
    <w:p w14:paraId="2096956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（5）按照合同约定在合同解除前应支付给承包人的其他款项；</w:t>
      </w:r>
    </w:p>
    <w:p w14:paraId="38841A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（6）扣减承包人按照合同约定应向发包人支付的款项；</w:t>
      </w:r>
    </w:p>
    <w:p w14:paraId="6EEB394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（7）双方商定或确定的其他款项。</w:t>
      </w:r>
    </w:p>
    <w:p w14:paraId="665D2C3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除专用合同条款另有约定外，合同解除后，发包人应在商定或确定上述款项后28天内完成上述款项的支付。</w:t>
      </w:r>
    </w:p>
    <w:p w14:paraId="1B9D899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93" w:name="_Toc19361"/>
      <w:bookmarkStart w:id="594" w:name="_Toc351203612"/>
      <w:bookmarkStart w:id="595" w:name="_Toc533863423"/>
      <w:bookmarkStart w:id="596" w:name="_Toc296503120"/>
      <w:bookmarkStart w:id="597" w:name="_Toc296346621"/>
      <w:bookmarkStart w:id="598" w:name="_Toc337558828"/>
      <w:r>
        <w:rPr>
          <w:rFonts w:hint="eastAsia" w:ascii="宋体" w:hAnsi="宋体" w:eastAsia="宋体" w:cs="宋体"/>
          <w:bCs/>
          <w:color w:val="000000" w:themeColor="text1"/>
          <w:szCs w:val="21"/>
          <w:highlight w:val="none"/>
          <w14:textFill>
            <w14:solidFill>
              <w14:schemeClr w14:val="tx1"/>
            </w14:solidFill>
          </w14:textFill>
        </w:rPr>
        <w:t>18. 保险</w:t>
      </w:r>
      <w:bookmarkEnd w:id="593"/>
      <w:bookmarkEnd w:id="594"/>
      <w:bookmarkEnd w:id="595"/>
    </w:p>
    <w:bookmarkEnd w:id="596"/>
    <w:bookmarkEnd w:id="597"/>
    <w:bookmarkEnd w:id="598"/>
    <w:p w14:paraId="61CF11C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9" w:name="_Toc351203613"/>
      <w:bookmarkStart w:id="600" w:name="_Toc533863424"/>
      <w:bookmarkStart w:id="601" w:name="_Toc337558829"/>
      <w:bookmarkStart w:id="602" w:name="_Toc296346622"/>
      <w:bookmarkStart w:id="603" w:name="_Toc296503121"/>
      <w:r>
        <w:rPr>
          <w:rFonts w:ascii="宋体" w:hAnsi="宋体" w:eastAsia="宋体" w:cs="宋体"/>
          <w:bCs/>
          <w:color w:val="000000" w:themeColor="text1"/>
          <w:kern w:val="0"/>
          <w:szCs w:val="21"/>
          <w:highlight w:val="none"/>
          <w14:textFill>
            <w14:solidFill>
              <w14:schemeClr w14:val="tx1"/>
            </w14:solidFill>
          </w14:textFill>
        </w:rPr>
        <w:t>18.1 工程保险</w:t>
      </w:r>
      <w:bookmarkEnd w:id="599"/>
      <w:bookmarkEnd w:id="600"/>
    </w:p>
    <w:bookmarkEnd w:id="601"/>
    <w:bookmarkEnd w:id="602"/>
    <w:bookmarkEnd w:id="603"/>
    <w:p w14:paraId="591CAD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除专用合同条款另有约定外，发包人应投保建筑工程一切险或安装工程一切险；发包人委托承包人投保的，因投保产生的保险费和其他相关费用由发包人承担。</w:t>
      </w:r>
    </w:p>
    <w:p w14:paraId="640BFA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4" w:name="_Toc533863425"/>
      <w:bookmarkStart w:id="605" w:name="_Toc351203614"/>
      <w:bookmarkStart w:id="606" w:name="_Toc337558830"/>
      <w:bookmarkStart w:id="607" w:name="_Toc296503122"/>
      <w:bookmarkStart w:id="608" w:name="_Toc296346623"/>
      <w:r>
        <w:rPr>
          <w:rFonts w:ascii="宋体" w:hAnsi="宋体" w:eastAsia="宋体" w:cs="宋体"/>
          <w:bCs/>
          <w:color w:val="000000" w:themeColor="text1"/>
          <w:kern w:val="0"/>
          <w:szCs w:val="21"/>
          <w:highlight w:val="none"/>
          <w14:textFill>
            <w14:solidFill>
              <w14:schemeClr w14:val="tx1"/>
            </w14:solidFill>
          </w14:textFill>
        </w:rPr>
        <w:t>18.2 工伤保险</w:t>
      </w:r>
      <w:bookmarkEnd w:id="604"/>
      <w:bookmarkEnd w:id="605"/>
    </w:p>
    <w:bookmarkEnd w:id="606"/>
    <w:bookmarkEnd w:id="607"/>
    <w:bookmarkEnd w:id="608"/>
    <w:p w14:paraId="1690951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18.2.1 发包人应依照法律规定参加工伤保险，并为在施工现场的全部员工办理工伤保险，缴纳工伤保险费，并要求监理人及由发包人为履行合同聘请的第三方依法参加工伤保险。</w:t>
      </w:r>
    </w:p>
    <w:p w14:paraId="1BA1697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18.2.2 承包人应依照法律规定参加工伤保险，并为其履行合同的全部员工办理工伤保险，缴纳工伤保险费，并要求分包人及由承包人为履行合同聘请的第三方依法参加工伤保险。</w:t>
      </w:r>
    </w:p>
    <w:p w14:paraId="30B3778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9" w:name="_Toc351203615"/>
      <w:bookmarkStart w:id="610" w:name="_Toc533863426"/>
      <w:bookmarkStart w:id="611" w:name="_Toc296346626"/>
      <w:bookmarkStart w:id="612" w:name="_Toc337558831"/>
      <w:bookmarkStart w:id="613" w:name="_Toc296503125"/>
      <w:r>
        <w:rPr>
          <w:rFonts w:ascii="宋体" w:hAnsi="宋体" w:eastAsia="宋体" w:cs="宋体"/>
          <w:bCs/>
          <w:color w:val="000000" w:themeColor="text1"/>
          <w:kern w:val="0"/>
          <w:szCs w:val="21"/>
          <w:highlight w:val="none"/>
          <w14:textFill>
            <w14:solidFill>
              <w14:schemeClr w14:val="tx1"/>
            </w14:solidFill>
          </w14:textFill>
        </w:rPr>
        <w:t>18.3其他保险</w:t>
      </w:r>
      <w:bookmarkEnd w:id="609"/>
      <w:bookmarkEnd w:id="610"/>
    </w:p>
    <w:bookmarkEnd w:id="611"/>
    <w:bookmarkEnd w:id="612"/>
    <w:bookmarkEnd w:id="613"/>
    <w:p w14:paraId="2585B5C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0208C1C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除专用合同条款另有约定外，承包人应为其施工设备等办理财产保险。</w:t>
      </w:r>
    </w:p>
    <w:p w14:paraId="5A8AC69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4" w:name="_Toc533863427"/>
      <w:bookmarkStart w:id="615" w:name="_Toc351203616"/>
      <w:r>
        <w:rPr>
          <w:rFonts w:ascii="宋体" w:hAnsi="宋体" w:eastAsia="宋体" w:cs="宋体"/>
          <w:bCs/>
          <w:color w:val="000000" w:themeColor="text1"/>
          <w:kern w:val="0"/>
          <w:szCs w:val="21"/>
          <w:highlight w:val="none"/>
          <w14:textFill>
            <w14:solidFill>
              <w14:schemeClr w14:val="tx1"/>
            </w14:solidFill>
          </w14:textFill>
        </w:rPr>
        <w:t>18.4持续保险</w:t>
      </w:r>
      <w:bookmarkEnd w:id="614"/>
      <w:bookmarkEnd w:id="615"/>
    </w:p>
    <w:p w14:paraId="2449239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合同当事人应与保险人保持联系，使保险人能够随时了解工程实施中的变动，并确保按保险合同条款要求持续保险。</w:t>
      </w:r>
    </w:p>
    <w:p w14:paraId="56DD9CA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6" w:name="_Toc351203617"/>
      <w:bookmarkStart w:id="617" w:name="_Toc533863428"/>
      <w:bookmarkStart w:id="618" w:name="_Toc296503126"/>
      <w:bookmarkStart w:id="619" w:name="_Toc337558832"/>
      <w:bookmarkStart w:id="620" w:name="_Toc296346627"/>
      <w:r>
        <w:rPr>
          <w:rFonts w:ascii="宋体" w:hAnsi="宋体" w:eastAsia="宋体" w:cs="宋体"/>
          <w:bCs/>
          <w:color w:val="000000" w:themeColor="text1"/>
          <w:kern w:val="0"/>
          <w:szCs w:val="21"/>
          <w:highlight w:val="none"/>
          <w14:textFill>
            <w14:solidFill>
              <w14:schemeClr w14:val="tx1"/>
            </w14:solidFill>
          </w14:textFill>
        </w:rPr>
        <w:t>18.5 保险凭证</w:t>
      </w:r>
      <w:bookmarkEnd w:id="616"/>
      <w:bookmarkEnd w:id="617"/>
    </w:p>
    <w:bookmarkEnd w:id="618"/>
    <w:bookmarkEnd w:id="619"/>
    <w:bookmarkEnd w:id="620"/>
    <w:p w14:paraId="4E31195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合同当事人应及时向另一方当事人提交其已投保的各项保险的凭证和保险单复印件。</w:t>
      </w:r>
    </w:p>
    <w:p w14:paraId="645C179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1" w:name="_Toc533863429"/>
      <w:bookmarkStart w:id="622" w:name="_Toc351203618"/>
      <w:bookmarkStart w:id="623" w:name="_Toc337558833"/>
      <w:bookmarkStart w:id="624" w:name="_Toc296503127"/>
      <w:bookmarkStart w:id="625" w:name="_Toc296346628"/>
      <w:r>
        <w:rPr>
          <w:rFonts w:ascii="宋体" w:hAnsi="宋体" w:eastAsia="宋体" w:cs="宋体"/>
          <w:bCs/>
          <w:color w:val="000000" w:themeColor="text1"/>
          <w:kern w:val="0"/>
          <w:szCs w:val="21"/>
          <w:highlight w:val="none"/>
          <w14:textFill>
            <w14:solidFill>
              <w14:schemeClr w14:val="tx1"/>
            </w14:solidFill>
          </w14:textFill>
        </w:rPr>
        <w:t>18.6 未按约定投保的补救</w:t>
      </w:r>
      <w:bookmarkEnd w:id="621"/>
      <w:bookmarkEnd w:id="622"/>
    </w:p>
    <w:bookmarkEnd w:id="623"/>
    <w:bookmarkEnd w:id="624"/>
    <w:bookmarkEnd w:id="625"/>
    <w:p w14:paraId="55BCD9D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74EF27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453E1FB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6" w:name="_Toc351203619"/>
      <w:bookmarkStart w:id="627" w:name="_Toc533863430"/>
      <w:bookmarkStart w:id="628" w:name="_Toc337558834"/>
      <w:r>
        <w:rPr>
          <w:rFonts w:ascii="宋体" w:hAnsi="宋体" w:eastAsia="宋体" w:cs="宋体"/>
          <w:bCs/>
          <w:color w:val="000000" w:themeColor="text1"/>
          <w:kern w:val="0"/>
          <w:szCs w:val="21"/>
          <w:highlight w:val="none"/>
          <w14:textFill>
            <w14:solidFill>
              <w14:schemeClr w14:val="tx1"/>
            </w14:solidFill>
          </w14:textFill>
        </w:rPr>
        <w:t>18.7 通知义务</w:t>
      </w:r>
      <w:bookmarkEnd w:id="626"/>
      <w:bookmarkEnd w:id="627"/>
    </w:p>
    <w:bookmarkEnd w:id="628"/>
    <w:p w14:paraId="52DBF2C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68E6A8F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保险事故发生时，投保人应按照保险合同规定的条件和期限及时向保险人报告。发包人和承包人应当在知道保险事故发生后及时通知对方。</w:t>
      </w:r>
    </w:p>
    <w:p w14:paraId="280F798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29" w:name="_Toc533863431"/>
      <w:bookmarkStart w:id="630" w:name="_Toc351203620"/>
      <w:bookmarkStart w:id="631" w:name="_Toc11994"/>
      <w:bookmarkStart w:id="632" w:name="_Toc296503140"/>
      <w:bookmarkStart w:id="633" w:name="_Toc337558835"/>
      <w:bookmarkStart w:id="634" w:name="_Toc296346641"/>
      <w:r>
        <w:rPr>
          <w:rFonts w:hint="eastAsia" w:ascii="宋体" w:hAnsi="宋体" w:eastAsia="宋体" w:cs="宋体"/>
          <w:bCs/>
          <w:color w:val="000000" w:themeColor="text1"/>
          <w:szCs w:val="21"/>
          <w:highlight w:val="none"/>
          <w14:textFill>
            <w14:solidFill>
              <w14:schemeClr w14:val="tx1"/>
            </w14:solidFill>
          </w14:textFill>
        </w:rPr>
        <w:t>19. 索赔</w:t>
      </w:r>
      <w:bookmarkEnd w:id="629"/>
      <w:bookmarkEnd w:id="630"/>
      <w:bookmarkEnd w:id="631"/>
    </w:p>
    <w:bookmarkEnd w:id="632"/>
    <w:bookmarkEnd w:id="633"/>
    <w:bookmarkEnd w:id="634"/>
    <w:p w14:paraId="2D0C1A9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35" w:name="_Toc351203621"/>
      <w:bookmarkStart w:id="636" w:name="_Toc533863432"/>
      <w:bookmarkStart w:id="637" w:name="_Toc296346642"/>
      <w:bookmarkStart w:id="638" w:name="_Toc337558836"/>
      <w:bookmarkStart w:id="639" w:name="_Toc296503141"/>
      <w:r>
        <w:rPr>
          <w:rFonts w:ascii="宋体" w:hAnsi="宋体" w:eastAsia="宋体" w:cs="宋体"/>
          <w:bCs/>
          <w:color w:val="000000" w:themeColor="text1"/>
          <w:kern w:val="0"/>
          <w:szCs w:val="21"/>
          <w:highlight w:val="none"/>
          <w14:textFill>
            <w14:solidFill>
              <w14:schemeClr w14:val="tx1"/>
            </w14:solidFill>
          </w14:textFill>
        </w:rPr>
        <w:t>19.1承包人的索赔</w:t>
      </w:r>
      <w:bookmarkEnd w:id="635"/>
      <w:bookmarkEnd w:id="636"/>
    </w:p>
    <w:bookmarkEnd w:id="637"/>
    <w:bookmarkEnd w:id="638"/>
    <w:bookmarkEnd w:id="639"/>
    <w:p w14:paraId="6AB9DE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根据合同约定，承包人认为有权得到追加付款和（或）延长工期的，应按以下程序向发包人提出索赔：</w:t>
      </w:r>
    </w:p>
    <w:p w14:paraId="63D26F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2479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1595026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47C8E2D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7B07F01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0" w:name="_Toc533863433"/>
      <w:bookmarkStart w:id="641" w:name="_Toc351203622"/>
      <w:bookmarkStart w:id="642" w:name="_Toc337558837"/>
      <w:bookmarkStart w:id="643" w:name="_Toc296346643"/>
      <w:bookmarkStart w:id="644" w:name="_Toc296503142"/>
      <w:r>
        <w:rPr>
          <w:rFonts w:ascii="宋体" w:hAnsi="宋体" w:eastAsia="宋体" w:cs="宋体"/>
          <w:bCs/>
          <w:color w:val="000000" w:themeColor="text1"/>
          <w:kern w:val="0"/>
          <w:szCs w:val="21"/>
          <w:highlight w:val="none"/>
          <w14:textFill>
            <w14:solidFill>
              <w14:schemeClr w14:val="tx1"/>
            </w14:solidFill>
          </w14:textFill>
        </w:rPr>
        <w:t>19.2 对承包人索赔的处理</w:t>
      </w:r>
      <w:bookmarkEnd w:id="640"/>
      <w:bookmarkEnd w:id="641"/>
    </w:p>
    <w:bookmarkEnd w:id="642"/>
    <w:bookmarkEnd w:id="643"/>
    <w:bookmarkEnd w:id="644"/>
    <w:p w14:paraId="1AC1E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对承包人索赔的处理如下：</w:t>
      </w:r>
    </w:p>
    <w:p w14:paraId="763411F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（1）监理人应在收到索赔报告后14天内完成审查并报送发包人。监理人对索赔报告存在异议的，有权要求承包人提交全部原始记录副本；</w:t>
      </w:r>
    </w:p>
    <w:p w14:paraId="0413B6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1F7C8D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（3）承包人接受索赔处理结果的，索赔款项在当期进度款中进行支付；承包人不接受索赔处理结果的，按照第20条〔争议解决〕约定处理。</w:t>
      </w:r>
    </w:p>
    <w:p w14:paraId="2E200FB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5" w:name="_Toc533863434"/>
      <w:bookmarkStart w:id="646" w:name="_Toc351203623"/>
      <w:bookmarkStart w:id="647" w:name="_Toc337558838"/>
      <w:bookmarkStart w:id="648" w:name="_Toc296346644"/>
      <w:bookmarkStart w:id="649" w:name="_Toc296503143"/>
      <w:r>
        <w:rPr>
          <w:rFonts w:ascii="宋体" w:hAnsi="宋体" w:eastAsia="宋体" w:cs="宋体"/>
          <w:bCs/>
          <w:color w:val="000000" w:themeColor="text1"/>
          <w:kern w:val="0"/>
          <w:szCs w:val="21"/>
          <w:highlight w:val="none"/>
          <w14:textFill>
            <w14:solidFill>
              <w14:schemeClr w14:val="tx1"/>
            </w14:solidFill>
          </w14:textFill>
        </w:rPr>
        <w:t>19.3发包人的索赔</w:t>
      </w:r>
      <w:bookmarkEnd w:id="645"/>
      <w:bookmarkEnd w:id="646"/>
    </w:p>
    <w:bookmarkEnd w:id="647"/>
    <w:bookmarkEnd w:id="648"/>
    <w:bookmarkEnd w:id="649"/>
    <w:p w14:paraId="2699D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根据合同约定，发包人认为有权得到赔付金额和（或）延长缺陷责任期的，监理人应向承包人发出通知并附有详细的证明。</w:t>
      </w:r>
    </w:p>
    <w:p w14:paraId="317E47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416065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0" w:name="_Toc533863435"/>
      <w:bookmarkStart w:id="651" w:name="_Toc351203624"/>
      <w:bookmarkStart w:id="652" w:name="_Toc296503144"/>
      <w:bookmarkStart w:id="653" w:name="_Toc296346645"/>
      <w:bookmarkStart w:id="654" w:name="_Toc337558839"/>
      <w:r>
        <w:rPr>
          <w:rFonts w:ascii="宋体" w:hAnsi="宋体" w:eastAsia="宋体" w:cs="宋体"/>
          <w:bCs/>
          <w:color w:val="000000" w:themeColor="text1"/>
          <w:kern w:val="0"/>
          <w:szCs w:val="21"/>
          <w:highlight w:val="none"/>
          <w14:textFill>
            <w14:solidFill>
              <w14:schemeClr w14:val="tx1"/>
            </w14:solidFill>
          </w14:textFill>
        </w:rPr>
        <w:t>19.4 对发包人索赔的处理</w:t>
      </w:r>
      <w:bookmarkEnd w:id="650"/>
      <w:bookmarkEnd w:id="651"/>
    </w:p>
    <w:bookmarkEnd w:id="652"/>
    <w:bookmarkEnd w:id="653"/>
    <w:bookmarkEnd w:id="654"/>
    <w:p w14:paraId="501418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对发包人索赔的处理如下：</w:t>
      </w:r>
    </w:p>
    <w:p w14:paraId="30EE3F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（1）承包人收到发包人提交的索赔报告后，应及时审查索赔报告的内容、查验发包人证明材料；</w:t>
      </w:r>
    </w:p>
    <w:p w14:paraId="020F0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04420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4D216AD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5" w:name="_Toc351203625"/>
      <w:bookmarkStart w:id="656" w:name="_Toc533863436"/>
      <w:r>
        <w:rPr>
          <w:rFonts w:ascii="宋体" w:hAnsi="宋体" w:eastAsia="宋体" w:cs="宋体"/>
          <w:bCs/>
          <w:color w:val="000000" w:themeColor="text1"/>
          <w:kern w:val="0"/>
          <w:szCs w:val="21"/>
          <w:highlight w:val="none"/>
          <w14:textFill>
            <w14:solidFill>
              <w14:schemeClr w14:val="tx1"/>
            </w14:solidFill>
          </w14:textFill>
        </w:rPr>
        <w:t>19.5 提出索赔的期限</w:t>
      </w:r>
      <w:bookmarkEnd w:id="655"/>
      <w:bookmarkEnd w:id="656"/>
    </w:p>
    <w:p w14:paraId="44815E9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（1）承包人按第14.2款〔竣工结算审核〕约定接收竣工付款证书后，应被视为已无权再提出在工程接收证书颁发前所发生的任何索赔。</w:t>
      </w:r>
    </w:p>
    <w:p w14:paraId="273F92E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413A2CF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57" w:name="_Toc533863437"/>
      <w:bookmarkStart w:id="658" w:name="_Toc351203626"/>
      <w:bookmarkStart w:id="659" w:name="_Toc32402"/>
      <w:r>
        <w:rPr>
          <w:rFonts w:hint="eastAsia" w:ascii="宋体" w:hAnsi="宋体" w:eastAsia="宋体" w:cs="宋体"/>
          <w:bCs/>
          <w:color w:val="000000" w:themeColor="text1"/>
          <w:szCs w:val="21"/>
          <w:highlight w:val="none"/>
          <w14:textFill>
            <w14:solidFill>
              <w14:schemeClr w14:val="tx1"/>
            </w14:solidFill>
          </w14:textFill>
        </w:rPr>
        <w:t>20</w:t>
      </w:r>
      <w:bookmarkStart w:id="660" w:name="_Toc296503146"/>
      <w:bookmarkStart w:id="661" w:name="_Toc296346647"/>
      <w:bookmarkStart w:id="662" w:name="_Toc337558840"/>
      <w:r>
        <w:rPr>
          <w:rFonts w:hint="eastAsia" w:ascii="宋体" w:hAnsi="宋体" w:eastAsia="宋体" w:cs="宋体"/>
          <w:bCs/>
          <w:color w:val="000000" w:themeColor="text1"/>
          <w:szCs w:val="21"/>
          <w:highlight w:val="none"/>
          <w14:textFill>
            <w14:solidFill>
              <w14:schemeClr w14:val="tx1"/>
            </w14:solidFill>
          </w14:textFill>
        </w:rPr>
        <w:t>. 争议解决</w:t>
      </w:r>
      <w:bookmarkEnd w:id="657"/>
      <w:bookmarkEnd w:id="658"/>
      <w:bookmarkEnd w:id="659"/>
      <w:bookmarkEnd w:id="660"/>
      <w:bookmarkEnd w:id="661"/>
      <w:bookmarkEnd w:id="662"/>
      <w:bookmarkStart w:id="663" w:name="_Toc351203627"/>
      <w:bookmarkStart w:id="664" w:name="_Toc533863438"/>
      <w:bookmarkStart w:id="665" w:name="_Toc296503147"/>
      <w:bookmarkStart w:id="666" w:name="_Toc337558841"/>
      <w:bookmarkStart w:id="667" w:name="_Toc296346648"/>
    </w:p>
    <w:p w14:paraId="64E5AB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68" w:name="_Toc18478"/>
      <w:r>
        <w:rPr>
          <w:rFonts w:hint="eastAsia" w:ascii="宋体" w:hAnsi="宋体" w:eastAsia="宋体" w:cs="宋体"/>
          <w:bCs/>
          <w:color w:val="000000" w:themeColor="text1"/>
          <w:szCs w:val="21"/>
          <w:highlight w:val="none"/>
          <w14:textFill>
            <w14:solidFill>
              <w14:schemeClr w14:val="tx1"/>
            </w14:solidFill>
          </w14:textFill>
        </w:rPr>
        <w:t>20.1和解</w:t>
      </w:r>
      <w:bookmarkEnd w:id="663"/>
      <w:bookmarkEnd w:id="664"/>
      <w:bookmarkEnd w:id="668"/>
    </w:p>
    <w:bookmarkEnd w:id="665"/>
    <w:bookmarkEnd w:id="666"/>
    <w:bookmarkEnd w:id="667"/>
    <w:p w14:paraId="1006014C">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合同当事人可以就争议自行和解，自行和解达成协议的经双方签字并盖章后作为合同补充文件，双方均应遵照执行。</w:t>
      </w:r>
    </w:p>
    <w:p w14:paraId="481F089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69" w:name="_Toc533863439"/>
      <w:bookmarkStart w:id="670" w:name="_Toc351203628"/>
      <w:r>
        <w:rPr>
          <w:rFonts w:ascii="宋体" w:hAnsi="宋体" w:eastAsia="宋体" w:cs="宋体"/>
          <w:bCs/>
          <w:color w:val="000000" w:themeColor="text1"/>
          <w:kern w:val="0"/>
          <w:szCs w:val="21"/>
          <w:highlight w:val="none"/>
          <w14:textFill>
            <w14:solidFill>
              <w14:schemeClr w14:val="tx1"/>
            </w14:solidFill>
          </w14:textFill>
        </w:rPr>
        <w:t>20</w:t>
      </w:r>
      <w:bookmarkStart w:id="671" w:name="_Toc296503148"/>
      <w:bookmarkStart w:id="672" w:name="_Toc337558842"/>
      <w:bookmarkStart w:id="673" w:name="_Toc296346649"/>
      <w:r>
        <w:rPr>
          <w:rFonts w:ascii="宋体" w:hAnsi="宋体" w:eastAsia="宋体" w:cs="宋体"/>
          <w:bCs/>
          <w:color w:val="000000" w:themeColor="text1"/>
          <w:kern w:val="0"/>
          <w:szCs w:val="21"/>
          <w:highlight w:val="none"/>
          <w14:textFill>
            <w14:solidFill>
              <w14:schemeClr w14:val="tx1"/>
            </w14:solidFill>
          </w14:textFill>
        </w:rPr>
        <w:t>.2调解</w:t>
      </w:r>
      <w:bookmarkEnd w:id="669"/>
      <w:bookmarkEnd w:id="670"/>
    </w:p>
    <w:bookmarkEnd w:id="671"/>
    <w:bookmarkEnd w:id="672"/>
    <w:bookmarkEnd w:id="673"/>
    <w:p w14:paraId="2061F5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0C60AA1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4" w:name="_Toc533863440"/>
      <w:bookmarkStart w:id="675" w:name="_Toc351203629"/>
      <w:bookmarkStart w:id="676" w:name="_Toc296346650"/>
      <w:bookmarkStart w:id="677" w:name="_Toc337558843"/>
      <w:bookmarkStart w:id="678" w:name="_Toc296503149"/>
      <w:r>
        <w:rPr>
          <w:rFonts w:ascii="宋体" w:hAnsi="宋体" w:eastAsia="宋体" w:cs="宋体"/>
          <w:bCs/>
          <w:color w:val="000000" w:themeColor="text1"/>
          <w:kern w:val="0"/>
          <w:szCs w:val="21"/>
          <w:highlight w:val="none"/>
          <w14:textFill>
            <w14:solidFill>
              <w14:schemeClr w14:val="tx1"/>
            </w14:solidFill>
          </w14:textFill>
        </w:rPr>
        <w:t>20.3争议评审</w:t>
      </w:r>
      <w:bookmarkEnd w:id="674"/>
      <w:bookmarkEnd w:id="675"/>
    </w:p>
    <w:bookmarkEnd w:id="676"/>
    <w:bookmarkEnd w:id="677"/>
    <w:bookmarkEnd w:id="678"/>
    <w:p w14:paraId="63F0B2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合同当事人在专用合同条款中约定采取争议评审方式解决争议以及评审规则，并按下列约定执行： </w:t>
      </w:r>
    </w:p>
    <w:p w14:paraId="702056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20.3.1 争议评审小组的确定</w:t>
      </w:r>
    </w:p>
    <w:p w14:paraId="03CA729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7566E6A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A627A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除专用合同条款另有约定外，评审员报酬由发包人和承包人各承担一半。</w:t>
      </w:r>
    </w:p>
    <w:p w14:paraId="161BD4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20.3.2 争议评审小组的决定</w:t>
      </w:r>
    </w:p>
    <w:p w14:paraId="7FBB92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2712E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20.3.3 争议评审小组决定的效力</w:t>
      </w:r>
    </w:p>
    <w:p w14:paraId="26DA64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争议评审小组作出的书面决定经合同当事人签字确认后，对双方具有约束力，双方应遵照执行。</w:t>
      </w:r>
    </w:p>
    <w:p w14:paraId="7FB2EB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任何一方当事人不接受争议评审小组决定或不履行争议评审小组决定的，双方可选择采用其他争议解决方式。</w:t>
      </w:r>
    </w:p>
    <w:p w14:paraId="6B8667C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9" w:name="_Toc351203630"/>
      <w:bookmarkStart w:id="680" w:name="_Toc533863441"/>
      <w:bookmarkStart w:id="681" w:name="_Toc296346651"/>
      <w:bookmarkStart w:id="682" w:name="_Toc296503150"/>
      <w:bookmarkStart w:id="683" w:name="_Toc337558844"/>
      <w:r>
        <w:rPr>
          <w:rFonts w:ascii="宋体" w:hAnsi="宋体" w:eastAsia="宋体" w:cs="宋体"/>
          <w:bCs/>
          <w:color w:val="000000" w:themeColor="text1"/>
          <w:kern w:val="0"/>
          <w:szCs w:val="21"/>
          <w:highlight w:val="none"/>
          <w14:textFill>
            <w14:solidFill>
              <w14:schemeClr w14:val="tx1"/>
            </w14:solidFill>
          </w14:textFill>
        </w:rPr>
        <w:t>20.4仲裁或诉讼</w:t>
      </w:r>
      <w:bookmarkEnd w:id="679"/>
      <w:bookmarkEnd w:id="680"/>
    </w:p>
    <w:bookmarkEnd w:id="681"/>
    <w:bookmarkEnd w:id="682"/>
    <w:bookmarkEnd w:id="683"/>
    <w:p w14:paraId="666F66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因合同及合同有关事项产生的争议，合同当事人可以在专用合同条款中约定以下一种方式解决争议：</w:t>
      </w:r>
    </w:p>
    <w:p w14:paraId="764480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（1）向约定的仲裁委员会申请仲裁；</w:t>
      </w:r>
    </w:p>
    <w:p w14:paraId="408920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（2）向有管辖权的人民法院起诉。</w:t>
      </w:r>
    </w:p>
    <w:p w14:paraId="1B3702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84" w:name="_Toc351203631"/>
      <w:bookmarkStart w:id="685" w:name="_Toc533863442"/>
      <w:bookmarkStart w:id="686" w:name="_Toc296503152"/>
      <w:bookmarkStart w:id="687" w:name="_Toc337558845"/>
      <w:bookmarkStart w:id="688" w:name="_Toc296346653"/>
      <w:r>
        <w:rPr>
          <w:rFonts w:ascii="宋体" w:hAnsi="宋体" w:eastAsia="宋体" w:cs="宋体"/>
          <w:bCs/>
          <w:color w:val="000000" w:themeColor="text1"/>
          <w:kern w:val="0"/>
          <w:szCs w:val="21"/>
          <w:highlight w:val="none"/>
          <w14:textFill>
            <w14:solidFill>
              <w14:schemeClr w14:val="tx1"/>
            </w14:solidFill>
          </w14:textFill>
        </w:rPr>
        <w:t>20.5争议解决条款效力</w:t>
      </w:r>
      <w:bookmarkEnd w:id="684"/>
      <w:bookmarkEnd w:id="685"/>
    </w:p>
    <w:bookmarkEnd w:id="686"/>
    <w:bookmarkEnd w:id="687"/>
    <w:bookmarkEnd w:id="688"/>
    <w:p w14:paraId="7A3CD99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合同有关争议解决的条款独立存在，合同的变更、解除、终止、无效或者被撤销均不影响其效力。 </w:t>
      </w:r>
    </w:p>
    <w:p w14:paraId="769C1255">
      <w:pPr>
        <w:rPr>
          <w:rFonts w:ascii="宋体" w:hAnsi="宋体" w:eastAsia="宋体" w:cs="宋体"/>
          <w:color w:val="000000" w:themeColor="text1"/>
          <w:highlight w:val="none"/>
          <w14:textFill>
            <w14:solidFill>
              <w14:schemeClr w14:val="tx1"/>
            </w14:solidFill>
          </w14:textFill>
        </w:rPr>
      </w:pPr>
    </w:p>
    <w:p w14:paraId="10AEB81F">
      <w:pPr>
        <w:rPr>
          <w:rFonts w:ascii="宋体" w:hAnsi="宋体" w:eastAsia="宋体" w:cs="宋体"/>
          <w:color w:val="000000" w:themeColor="text1"/>
          <w:szCs w:val="32"/>
          <w:highlight w:val="none"/>
          <w14:textFill>
            <w14:solidFill>
              <w14:schemeClr w14:val="tx1"/>
            </w14:solidFill>
          </w14:textFill>
        </w:rPr>
      </w:pPr>
      <w:bookmarkStart w:id="689" w:name="_Toc533863443"/>
    </w:p>
    <w:p w14:paraId="432DDAFE">
      <w:pPr>
        <w:rPr>
          <w:color w:val="000000" w:themeColor="text1"/>
          <w:highlight w:val="none"/>
          <w14:textFill>
            <w14:solidFill>
              <w14:schemeClr w14:val="tx1"/>
            </w14:solidFill>
          </w14:textFill>
        </w:rPr>
      </w:pPr>
    </w:p>
    <w:p w14:paraId="3C8339B7">
      <w:pPr>
        <w:rPr>
          <w:rFonts w:ascii="宋体" w:hAnsi="宋体" w:eastAsia="宋体" w:cs="宋体"/>
          <w:color w:val="000000" w:themeColor="text1"/>
          <w:szCs w:val="32"/>
          <w:highlight w:val="none"/>
          <w14:textFill>
            <w14:solidFill>
              <w14:schemeClr w14:val="tx1"/>
            </w14:solidFill>
          </w14:textFill>
        </w:rPr>
      </w:pPr>
    </w:p>
    <w:p w14:paraId="0A09EA9A">
      <w:pPr>
        <w:rPr>
          <w:rFonts w:ascii="宋体" w:hAnsi="宋体" w:eastAsia="宋体" w:cs="宋体"/>
          <w:color w:val="000000" w:themeColor="text1"/>
          <w:szCs w:val="32"/>
          <w:highlight w:val="none"/>
          <w14:textFill>
            <w14:solidFill>
              <w14:schemeClr w14:val="tx1"/>
            </w14:solidFill>
          </w14:textFill>
        </w:rPr>
      </w:pPr>
    </w:p>
    <w:p w14:paraId="4969D85B">
      <w:pPr>
        <w:rPr>
          <w:rFonts w:ascii="宋体" w:hAnsi="宋体" w:eastAsia="宋体" w:cs="宋体"/>
          <w:color w:val="000000" w:themeColor="text1"/>
          <w:szCs w:val="32"/>
          <w:highlight w:val="none"/>
          <w14:textFill>
            <w14:solidFill>
              <w14:schemeClr w14:val="tx1"/>
            </w14:solidFill>
          </w14:textFill>
        </w:rPr>
      </w:pPr>
    </w:p>
    <w:p w14:paraId="48538DCA">
      <w:pPr>
        <w:widowControl/>
        <w:jc w:val="left"/>
        <w:rPr>
          <w:rFonts w:ascii="宋体" w:hAnsi="宋体" w:eastAsia="宋体" w:cs="宋体"/>
          <w:b/>
          <w:bCs/>
          <w:color w:val="000000" w:themeColor="text1"/>
          <w:kern w:val="44"/>
          <w:sz w:val="32"/>
          <w:szCs w:val="32"/>
          <w:highlight w:val="none"/>
          <w14:textFill>
            <w14:solidFill>
              <w14:schemeClr w14:val="tx1"/>
            </w14:solidFill>
          </w14:textFill>
        </w:rPr>
      </w:pPr>
      <w:r>
        <w:rPr>
          <w:rFonts w:ascii="宋体" w:hAnsi="宋体" w:eastAsia="宋体" w:cs="宋体"/>
          <w:b/>
          <w:bCs/>
          <w:color w:val="000000" w:themeColor="text1"/>
          <w:kern w:val="44"/>
          <w:sz w:val="32"/>
          <w:szCs w:val="32"/>
          <w:highlight w:val="none"/>
          <w14:textFill>
            <w14:solidFill>
              <w14:schemeClr w14:val="tx1"/>
            </w14:solidFill>
          </w14:textFill>
        </w:rPr>
        <w:br w:type="page"/>
      </w:r>
    </w:p>
    <w:p w14:paraId="2CC34312">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690" w:name="_Toc8137"/>
      <w:bookmarkStart w:id="691" w:name="_Toc4673"/>
      <w:bookmarkStart w:id="692" w:name="_Toc9161"/>
      <w:bookmarkStart w:id="693" w:name="_Toc32372"/>
      <w:bookmarkStart w:id="694" w:name="_Toc3509"/>
      <w:r>
        <w:rPr>
          <w:rFonts w:hint="eastAsia" w:ascii="宋体" w:hAnsi="宋体" w:eastAsia="宋体" w:cs="宋体"/>
          <w:b/>
          <w:bCs/>
          <w:color w:val="000000" w:themeColor="text1"/>
          <w:kern w:val="44"/>
          <w:sz w:val="32"/>
          <w:szCs w:val="32"/>
          <w:highlight w:val="none"/>
          <w14:textFill>
            <w14:solidFill>
              <w14:schemeClr w14:val="tx1"/>
            </w14:solidFill>
          </w14:textFill>
        </w:rPr>
        <w:t>第三部分 专用合同条款</w:t>
      </w:r>
      <w:bookmarkEnd w:id="689"/>
      <w:bookmarkEnd w:id="690"/>
      <w:bookmarkEnd w:id="691"/>
      <w:bookmarkEnd w:id="692"/>
      <w:bookmarkEnd w:id="693"/>
      <w:bookmarkEnd w:id="694"/>
    </w:p>
    <w:p w14:paraId="66BE71E3">
      <w:pPr>
        <w:keepNext/>
        <w:keepLines/>
        <w:spacing w:before="260" w:after="260" w:line="360" w:lineRule="auto"/>
        <w:outlineLvl w:val="1"/>
        <w:rPr>
          <w:rFonts w:ascii="宋体" w:hAnsi="宋体" w:eastAsia="宋体" w:cs="宋体"/>
          <w:b/>
          <w:bCs/>
          <w:color w:val="000000" w:themeColor="text1"/>
          <w:szCs w:val="21"/>
          <w:highlight w:val="none"/>
          <w14:textFill>
            <w14:solidFill>
              <w14:schemeClr w14:val="tx1"/>
            </w14:solidFill>
          </w14:textFill>
        </w:rPr>
      </w:pPr>
      <w:bookmarkStart w:id="695" w:name="_Toc351203633"/>
      <w:bookmarkStart w:id="696" w:name="_Toc533863444"/>
      <w:bookmarkStart w:id="697" w:name="_Toc3008"/>
      <w:r>
        <w:rPr>
          <w:rFonts w:hint="eastAsia" w:ascii="宋体" w:hAnsi="宋体" w:eastAsia="宋体" w:cs="宋体"/>
          <w:b/>
          <w:bCs/>
          <w:color w:val="000000" w:themeColor="text1"/>
          <w:szCs w:val="21"/>
          <w:highlight w:val="none"/>
          <w14:textFill>
            <w14:solidFill>
              <w14:schemeClr w14:val="tx1"/>
            </w14:solidFill>
          </w14:textFill>
        </w:rPr>
        <w:t>1</w:t>
      </w:r>
      <w:bookmarkStart w:id="698" w:name="_Toc297120456"/>
      <w:bookmarkStart w:id="699" w:name="_Toc296944495"/>
      <w:bookmarkStart w:id="700" w:name="_Toc292559866"/>
      <w:bookmarkStart w:id="701" w:name="_Toc296503156"/>
      <w:bookmarkStart w:id="702" w:name="_Toc297048342"/>
      <w:bookmarkStart w:id="703" w:name="_Toc296891196"/>
      <w:bookmarkStart w:id="704" w:name="_Toc296890984"/>
      <w:bookmarkStart w:id="705" w:name="_Toc296346657"/>
      <w:bookmarkStart w:id="706" w:name="_Toc296347155"/>
      <w:bookmarkStart w:id="707" w:name="_Toc292559361"/>
      <w:r>
        <w:rPr>
          <w:rFonts w:hint="eastAsia" w:ascii="宋体" w:hAnsi="宋体" w:eastAsia="宋体" w:cs="宋体"/>
          <w:b/>
          <w:bCs/>
          <w:color w:val="000000" w:themeColor="text1"/>
          <w:szCs w:val="21"/>
          <w:highlight w:val="none"/>
          <w14:textFill>
            <w14:solidFill>
              <w14:schemeClr w14:val="tx1"/>
            </w14:solidFill>
          </w14:textFill>
        </w:rPr>
        <w:t>. 一般约定</w:t>
      </w:r>
      <w:bookmarkEnd w:id="695"/>
      <w:bookmarkEnd w:id="696"/>
      <w:bookmarkEnd w:id="697"/>
    </w:p>
    <w:bookmarkEnd w:id="698"/>
    <w:bookmarkEnd w:id="699"/>
    <w:bookmarkEnd w:id="700"/>
    <w:bookmarkEnd w:id="701"/>
    <w:bookmarkEnd w:id="702"/>
    <w:bookmarkEnd w:id="703"/>
    <w:bookmarkEnd w:id="704"/>
    <w:bookmarkEnd w:id="705"/>
    <w:bookmarkEnd w:id="706"/>
    <w:bookmarkEnd w:id="707"/>
    <w:p w14:paraId="1F1907B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8" w:name="_Toc533863445"/>
      <w:r>
        <w:rPr>
          <w:rFonts w:hint="eastAsia" w:ascii="宋体" w:hAnsi="宋体" w:eastAsia="宋体" w:cs="宋体"/>
          <w:b/>
          <w:bCs/>
          <w:color w:val="000000" w:themeColor="text1"/>
          <w:szCs w:val="21"/>
          <w:highlight w:val="none"/>
          <w14:textFill>
            <w14:solidFill>
              <w14:schemeClr w14:val="tx1"/>
            </w14:solidFill>
          </w14:textFill>
        </w:rPr>
        <w:t>1.1 词语定义</w:t>
      </w:r>
      <w:bookmarkEnd w:id="708"/>
    </w:p>
    <w:p w14:paraId="33FAF94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1.1.1合同</w:t>
      </w:r>
    </w:p>
    <w:p w14:paraId="4DF1697B">
      <w:pPr>
        <w:spacing w:line="360" w:lineRule="auto"/>
        <w:ind w:left="1155" w:hanging="1155" w:hangingChars="55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1.1.1.10其他合同文件包括：</w:t>
      </w:r>
      <w:r>
        <w:rPr>
          <w:rFonts w:hint="eastAsia" w:ascii="宋体" w:hAnsi="宋体" w:eastAsia="宋体" w:cs="宋体"/>
          <w:color w:val="000000" w:themeColor="text1"/>
          <w:szCs w:val="21"/>
          <w:highlight w:val="none"/>
          <w:u w:val="single"/>
          <w14:textFill>
            <w14:solidFill>
              <w14:schemeClr w14:val="tx1"/>
            </w14:solidFill>
          </w14:textFill>
        </w:rPr>
        <w:t>履行合同过程中双方总经理以上管理者（或双方工地代表人）书面确认的对合同内容有实质性影响的会议纪要、签证、设计变更等资料</w:t>
      </w:r>
      <w:r>
        <w:rPr>
          <w:rFonts w:hint="eastAsia" w:ascii="宋体" w:hAnsi="宋体" w:eastAsia="宋体" w:cs="宋体"/>
          <w:color w:val="000000" w:themeColor="text1"/>
          <w:szCs w:val="21"/>
          <w:highlight w:val="none"/>
          <w14:textFill>
            <w14:solidFill>
              <w14:schemeClr w14:val="tx1"/>
            </w14:solidFill>
          </w14:textFill>
        </w:rPr>
        <w:t>。</w:t>
      </w:r>
    </w:p>
    <w:p w14:paraId="34493B8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 合同当事人及其他相关方</w:t>
      </w:r>
    </w:p>
    <w:p w14:paraId="2009C3C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1.1.2.4监理人：</w:t>
      </w:r>
    </w:p>
    <w:p w14:paraId="66850ED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51E02B6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55A51C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387E9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w:t>
      </w:r>
    </w:p>
    <w:p w14:paraId="73836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613EE51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1.1.2.5 设计人：</w:t>
      </w:r>
    </w:p>
    <w:p w14:paraId="20D9C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05D13E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821781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0CA96A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69B02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2F7906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 工程和设备</w:t>
      </w:r>
    </w:p>
    <w:p w14:paraId="4B49860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1.1.3.7 作为施工现场组成部分的其他场所包括：</w:t>
      </w:r>
      <w:r>
        <w:rPr>
          <w:rFonts w:hint="eastAsia" w:ascii="宋体" w:hAnsi="宋体" w:eastAsia="宋体" w:cs="宋体"/>
          <w:color w:val="000000" w:themeColor="text1"/>
          <w:szCs w:val="21"/>
          <w:highlight w:val="none"/>
          <w:u w:val="single"/>
          <w14:textFill>
            <w14:solidFill>
              <w14:schemeClr w14:val="tx1"/>
            </w14:solidFill>
          </w14:textFill>
        </w:rPr>
        <w:t>符合通用条款规定的发包方提供的施工场地</w:t>
      </w:r>
      <w:r>
        <w:rPr>
          <w:rFonts w:hint="eastAsia" w:ascii="宋体" w:hAnsi="宋体" w:eastAsia="宋体" w:cs="宋体"/>
          <w:color w:val="000000" w:themeColor="text1"/>
          <w:szCs w:val="21"/>
          <w:highlight w:val="none"/>
          <w14:textFill>
            <w14:solidFill>
              <w14:schemeClr w14:val="tx1"/>
            </w14:solidFill>
          </w14:textFill>
        </w:rPr>
        <w:t>。</w:t>
      </w:r>
    </w:p>
    <w:p w14:paraId="071A582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1.1.3.9 永久占地包括：</w:t>
      </w:r>
      <w:r>
        <w:rPr>
          <w:rFonts w:hint="eastAsia" w:ascii="宋体" w:hAnsi="宋体" w:eastAsia="宋体" w:cs="宋体"/>
          <w:color w:val="000000" w:themeColor="text1"/>
          <w:szCs w:val="21"/>
          <w:highlight w:val="none"/>
          <w:u w:val="single"/>
          <w14:textFill>
            <w14:solidFill>
              <w14:schemeClr w14:val="tx1"/>
            </w14:solidFill>
          </w14:textFill>
        </w:rPr>
        <w:t>建筑占地、道路用地、绿化用地</w:t>
      </w:r>
    </w:p>
    <w:p w14:paraId="21C8E27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1.1.3.10 临时占地包括：</w:t>
      </w:r>
      <w:r>
        <w:rPr>
          <w:rFonts w:hint="eastAsia" w:ascii="宋体" w:hAnsi="宋体" w:eastAsia="宋体" w:cs="宋体"/>
          <w:color w:val="000000" w:themeColor="text1"/>
          <w:szCs w:val="21"/>
          <w:highlight w:val="none"/>
          <w:u w:val="single"/>
          <w14:textFill>
            <w14:solidFill>
              <w14:schemeClr w14:val="tx1"/>
            </w14:solidFill>
          </w14:textFill>
        </w:rPr>
        <w:t>临时工人宿舍、实验室、材料堆放场、材料加工场及施工便道用地等</w:t>
      </w:r>
      <w:r>
        <w:rPr>
          <w:rFonts w:hint="eastAsia" w:ascii="宋体" w:hAnsi="宋体" w:eastAsia="宋体" w:cs="宋体"/>
          <w:color w:val="000000" w:themeColor="text1"/>
          <w:kern w:val="0"/>
          <w:szCs w:val="21"/>
          <w:highlight w:val="none"/>
          <w14:textFill>
            <w14:solidFill>
              <w14:schemeClr w14:val="tx1"/>
            </w14:solidFill>
          </w14:textFill>
        </w:rPr>
        <w:t>。</w:t>
      </w:r>
    </w:p>
    <w:p w14:paraId="109F9F81">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9" w:name="_Toc533863446"/>
      <w:r>
        <w:rPr>
          <w:rFonts w:hint="eastAsia" w:ascii="宋体" w:hAnsi="宋体" w:eastAsia="宋体" w:cs="宋体"/>
          <w:b/>
          <w:bCs/>
          <w:color w:val="000000" w:themeColor="text1"/>
          <w:szCs w:val="21"/>
          <w:highlight w:val="none"/>
          <w14:textFill>
            <w14:solidFill>
              <w14:schemeClr w14:val="tx1"/>
            </w14:solidFill>
          </w14:textFill>
        </w:rPr>
        <w:t>1.3法律</w:t>
      </w:r>
      <w:bookmarkEnd w:id="709"/>
      <w:r>
        <w:rPr>
          <w:rFonts w:hint="eastAsia" w:ascii="宋体" w:hAnsi="宋体" w:eastAsia="宋体" w:cs="宋体"/>
          <w:b/>
          <w:bCs/>
          <w:color w:val="000000" w:themeColor="text1"/>
          <w:szCs w:val="21"/>
          <w:highlight w:val="none"/>
          <w14:textFill>
            <w14:solidFill>
              <w14:schemeClr w14:val="tx1"/>
            </w14:solidFill>
          </w14:textFill>
        </w:rPr>
        <w:t xml:space="preserve"> </w:t>
      </w:r>
    </w:p>
    <w:p w14:paraId="5E3ABE0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适用于合同的其他规范性文件：</w:t>
      </w:r>
      <w:r>
        <w:rPr>
          <w:rFonts w:hint="eastAsia" w:ascii="宋体" w:hAnsi="宋体" w:eastAsia="宋体" w:cs="宋体"/>
          <w:color w:val="000000" w:themeColor="text1"/>
          <w:szCs w:val="21"/>
          <w:highlight w:val="none"/>
          <w:u w:val="single"/>
          <w14:textFill>
            <w14:solidFill>
              <w14:schemeClr w14:val="tx1"/>
            </w14:solidFill>
          </w14:textFill>
        </w:rPr>
        <w:t>现行《中华人民共和国建筑法》、《中华人民共和国民法典》、《中华人民共和国招标投标法》、《建筑施工合同管理办法》及省市地方建设工程的法律、法规等。</w:t>
      </w:r>
    </w:p>
    <w:p w14:paraId="2E173C56">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0" w:name="_Toc533863447"/>
      <w:r>
        <w:rPr>
          <w:rFonts w:hint="eastAsia" w:ascii="宋体" w:hAnsi="宋体" w:eastAsia="宋体" w:cs="宋体"/>
          <w:b/>
          <w:bCs/>
          <w:color w:val="000000" w:themeColor="text1"/>
          <w:szCs w:val="21"/>
          <w:highlight w:val="none"/>
          <w14:textFill>
            <w14:solidFill>
              <w14:schemeClr w14:val="tx1"/>
            </w14:solidFill>
          </w14:textFill>
        </w:rPr>
        <w:t>1.4 标准和规范</w:t>
      </w:r>
      <w:bookmarkEnd w:id="710"/>
    </w:p>
    <w:p w14:paraId="5A1F1F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1.4.1适用于工程的标准规范包括：</w:t>
      </w:r>
      <w:r>
        <w:rPr>
          <w:rFonts w:hint="eastAsia" w:ascii="宋体" w:hAnsi="宋体" w:eastAsia="宋体" w:cs="宋体"/>
          <w:color w:val="000000" w:themeColor="text1"/>
          <w:szCs w:val="21"/>
          <w:highlight w:val="none"/>
          <w:u w:val="single"/>
          <w14:textFill>
            <w14:solidFill>
              <w14:schemeClr w14:val="tx1"/>
            </w14:solidFill>
          </w14:textFill>
        </w:rPr>
        <w:t>国家及省市现行施工验收规范及强制性条文和有关规定，现行颁布实施的建设工程标准规范。</w:t>
      </w:r>
    </w:p>
    <w:p w14:paraId="62DE46CB">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1.4.2 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无 </w:t>
      </w:r>
      <w:r>
        <w:rPr>
          <w:rFonts w:hint="eastAsia" w:ascii="宋体" w:hAnsi="宋体" w:eastAsia="宋体" w:cs="宋体"/>
          <w:color w:val="000000" w:themeColor="text1"/>
          <w:kern w:val="0"/>
          <w:szCs w:val="21"/>
          <w:highlight w:val="none"/>
          <w14:textFill>
            <w14:solidFill>
              <w14:schemeClr w14:val="tx1"/>
            </w14:solidFill>
          </w14:textFill>
        </w:rPr>
        <w:t>；</w:t>
      </w:r>
    </w:p>
    <w:p w14:paraId="185BFAF8">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发包人提供国外标准、规范的份数：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03117C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1682038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1.4.3发包人对工程的技术标准和功能要求的特殊要求：</w:t>
      </w:r>
      <w:r>
        <w:rPr>
          <w:rFonts w:hint="eastAsia" w:ascii="宋体" w:hAnsi="宋体" w:eastAsia="宋体" w:cs="宋体"/>
          <w:color w:val="000000" w:themeColor="text1"/>
          <w:szCs w:val="21"/>
          <w:highlight w:val="none"/>
          <w:u w:val="single"/>
          <w14:textFill>
            <w14:solidFill>
              <w14:schemeClr w14:val="tx1"/>
            </w14:solidFill>
          </w14:textFill>
        </w:rPr>
        <w:t>无</w:t>
      </w:r>
      <w:r>
        <w:rPr>
          <w:rFonts w:hint="eastAsia" w:ascii="宋体" w:hAnsi="宋体" w:eastAsia="宋体" w:cs="宋体"/>
          <w:color w:val="000000" w:themeColor="text1"/>
          <w:szCs w:val="21"/>
          <w:highlight w:val="none"/>
          <w14:textFill>
            <w14:solidFill>
              <w14:schemeClr w14:val="tx1"/>
            </w14:solidFill>
          </w14:textFill>
        </w:rPr>
        <w:t>。</w:t>
      </w:r>
    </w:p>
    <w:p w14:paraId="22800EB7">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1" w:name="_Toc533863448"/>
      <w:r>
        <w:rPr>
          <w:rFonts w:hint="eastAsia" w:ascii="宋体" w:hAnsi="宋体" w:eastAsia="宋体" w:cs="宋体"/>
          <w:b/>
          <w:bCs/>
          <w:color w:val="000000" w:themeColor="text1"/>
          <w:szCs w:val="21"/>
          <w:highlight w:val="none"/>
          <w14:textFill>
            <w14:solidFill>
              <w14:schemeClr w14:val="tx1"/>
            </w14:solidFill>
          </w14:textFill>
        </w:rPr>
        <w:t>1.5 合同文件的优先顺序</w:t>
      </w:r>
      <w:bookmarkEnd w:id="711"/>
    </w:p>
    <w:p w14:paraId="7252E942">
      <w:pPr>
        <w:spacing w:line="360" w:lineRule="auto"/>
        <w:ind w:firstLine="600" w:firstLineChars="200"/>
        <w:rPr>
          <w:rFonts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合同文件组成及优先顺序为：</w:t>
      </w:r>
    </w:p>
    <w:p w14:paraId="5D37A69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（1）合同协议书；</w:t>
      </w:r>
    </w:p>
    <w:p w14:paraId="1D3B1BA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（2）中标（成交）通知书（如果有）；</w:t>
      </w:r>
    </w:p>
    <w:p w14:paraId="5BF837B9">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（3）响应（投标）函及其附录（如果有）；</w:t>
      </w:r>
    </w:p>
    <w:p w14:paraId="0FD3A2F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（4）专用合同条款及其附件；</w:t>
      </w:r>
    </w:p>
    <w:p w14:paraId="530BE5C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（5）通用合同条款；</w:t>
      </w:r>
    </w:p>
    <w:p w14:paraId="249D2F1D">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u w:val="single"/>
          <w14:textFill>
            <w14:solidFill>
              <w14:schemeClr w14:val="tx1"/>
            </w14:solidFill>
          </w14:textFill>
        </w:rPr>
        <w:t>技术标准和要求</w:t>
      </w:r>
      <w:r>
        <w:rPr>
          <w:rFonts w:hint="eastAsia" w:ascii="宋体" w:hAnsi="宋体" w:eastAsia="宋体" w:cs="宋体"/>
          <w:color w:val="000000" w:themeColor="text1"/>
          <w:kern w:val="0"/>
          <w:szCs w:val="21"/>
          <w:highlight w:val="none"/>
          <w14:textFill>
            <w14:solidFill>
              <w14:schemeClr w14:val="tx1"/>
            </w14:solidFill>
          </w14:textFill>
        </w:rPr>
        <w:t>；</w:t>
      </w:r>
    </w:p>
    <w:p w14:paraId="483486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u w:val="single"/>
          <w14:textFill>
            <w14:solidFill>
              <w14:schemeClr w14:val="tx1"/>
            </w14:solidFill>
          </w14:textFill>
        </w:rPr>
        <w:t>图纸</w:t>
      </w:r>
      <w:r>
        <w:rPr>
          <w:rFonts w:hint="eastAsia" w:ascii="宋体" w:hAnsi="宋体" w:eastAsia="宋体" w:cs="宋体"/>
          <w:color w:val="000000" w:themeColor="text1"/>
          <w:kern w:val="0"/>
          <w:szCs w:val="21"/>
          <w:highlight w:val="none"/>
          <w14:textFill>
            <w14:solidFill>
              <w14:schemeClr w14:val="tx1"/>
            </w14:solidFill>
          </w14:textFill>
        </w:rPr>
        <w:t>；</w:t>
      </w:r>
    </w:p>
    <w:p w14:paraId="79767D5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u w:val="single"/>
          <w14:textFill>
            <w14:solidFill>
              <w14:schemeClr w14:val="tx1"/>
            </w14:solidFill>
          </w14:textFill>
        </w:rPr>
        <w:t>已标价工程量清单或预算书</w:t>
      </w:r>
      <w:r>
        <w:rPr>
          <w:rFonts w:hint="eastAsia" w:ascii="宋体" w:hAnsi="宋体" w:eastAsia="宋体" w:cs="宋体"/>
          <w:color w:val="000000" w:themeColor="text1"/>
          <w:kern w:val="0"/>
          <w:szCs w:val="21"/>
          <w:highlight w:val="none"/>
          <w14:textFill>
            <w14:solidFill>
              <w14:schemeClr w14:val="tx1"/>
            </w14:solidFill>
          </w14:textFill>
        </w:rPr>
        <w:t>；</w:t>
      </w:r>
    </w:p>
    <w:p w14:paraId="179D386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u w:val="single"/>
          <w14:textFill>
            <w14:solidFill>
              <w14:schemeClr w14:val="tx1"/>
            </w14:solidFill>
          </w14:textFill>
        </w:rPr>
        <w:t>其他合同文件</w:t>
      </w:r>
      <w:r>
        <w:rPr>
          <w:rFonts w:hint="eastAsia" w:ascii="宋体" w:hAnsi="宋体" w:eastAsia="宋体" w:cs="宋体"/>
          <w:color w:val="000000" w:themeColor="text1"/>
          <w:kern w:val="0"/>
          <w:szCs w:val="21"/>
          <w:highlight w:val="none"/>
          <w14:textFill>
            <w14:solidFill>
              <w14:schemeClr w14:val="tx1"/>
            </w14:solidFill>
          </w14:textFill>
        </w:rPr>
        <w:t>。</w:t>
      </w:r>
    </w:p>
    <w:p w14:paraId="59A94ED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（10）《建设工程工程量计算规范》广西壮族自治区实施细则（G B50854 ～50862-2013）、《自治区住房城乡建设关于调整建设工程定额人工费及有关费率的通知》（桂建标〔2023〕7号）、《自治区住房城乡建设厅关于调整建设工程计价增值税税率的通知》(桂建标［2019］12 号)等。</w:t>
      </w:r>
    </w:p>
    <w:p w14:paraId="39BD8569">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说明：（6）、（7）、（8）、（9）填空内容分别限于技术标准和要求、图纸、已标价工程量清单或预算书、其他合同文件四者之一，其优先顺序可根据采取的不同合同方式由双方约定。</w:t>
      </w:r>
    </w:p>
    <w:p w14:paraId="64E0DAB7">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图纸和承包人文件</w:t>
      </w:r>
      <w:r>
        <w:rPr>
          <w:rFonts w:hint="eastAsia" w:ascii="宋体" w:hAnsi="宋体" w:eastAsia="宋体" w:cs="宋体"/>
          <w:b/>
          <w:color w:val="000000" w:themeColor="text1"/>
          <w:szCs w:val="21"/>
          <w:highlight w:val="none"/>
          <w14:textFill>
            <w14:solidFill>
              <w14:schemeClr w14:val="tx1"/>
            </w14:solidFill>
          </w14:textFill>
        </w:rPr>
        <w:tab/>
      </w:r>
    </w:p>
    <w:p w14:paraId="6A9FF35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 图纸的提供</w:t>
      </w:r>
    </w:p>
    <w:p w14:paraId="7C49D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发包人向承包人提供图纸的期限：</w:t>
      </w:r>
      <w:r>
        <w:rPr>
          <w:rFonts w:hint="eastAsia" w:ascii="宋体" w:hAnsi="宋体" w:eastAsia="宋体" w:cs="宋体"/>
          <w:color w:val="000000" w:themeColor="text1"/>
          <w:szCs w:val="21"/>
          <w:highlight w:val="none"/>
          <w:u w:val="single"/>
          <w14:textFill>
            <w14:solidFill>
              <w14:schemeClr w14:val="tx1"/>
            </w14:solidFill>
          </w14:textFill>
        </w:rPr>
        <w:t>合同生效后15天内</w:t>
      </w:r>
      <w:r>
        <w:rPr>
          <w:rFonts w:hint="eastAsia" w:ascii="宋体" w:hAnsi="宋体" w:eastAsia="宋体" w:cs="宋体"/>
          <w:color w:val="000000" w:themeColor="text1"/>
          <w:szCs w:val="21"/>
          <w:highlight w:val="none"/>
          <w14:textFill>
            <w14:solidFill>
              <w14:schemeClr w14:val="tx1"/>
            </w14:solidFill>
          </w14:textFill>
        </w:rPr>
        <w:t>；</w:t>
      </w:r>
    </w:p>
    <w:p w14:paraId="133D158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发包人向承包人提供图纸的数量：</w:t>
      </w:r>
      <w:r>
        <w:rPr>
          <w:rFonts w:hint="eastAsia" w:ascii="宋体" w:hAnsi="宋体" w:eastAsia="宋体" w:cs="宋体"/>
          <w:color w:val="000000" w:themeColor="text1"/>
          <w:szCs w:val="21"/>
          <w:highlight w:val="none"/>
          <w:u w:val="single"/>
          <w14:textFill>
            <w14:solidFill>
              <w14:schemeClr w14:val="tx1"/>
            </w14:solidFill>
          </w14:textFill>
        </w:rPr>
        <w:t>一式肆份全套图纸，承包人需要增加图纸套数的，自行复制，复制费用由承包人承担</w:t>
      </w:r>
      <w:r>
        <w:rPr>
          <w:rFonts w:hint="eastAsia" w:ascii="宋体" w:hAnsi="宋体" w:eastAsia="宋体" w:cs="宋体"/>
          <w:color w:val="000000" w:themeColor="text1"/>
          <w:szCs w:val="21"/>
          <w:highlight w:val="none"/>
          <w14:textFill>
            <w14:solidFill>
              <w14:schemeClr w14:val="tx1"/>
            </w14:solidFill>
          </w14:textFill>
        </w:rPr>
        <w:t>；</w:t>
      </w:r>
    </w:p>
    <w:p w14:paraId="5E84C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发包人向承包人提供图纸的内容：</w:t>
      </w:r>
      <w:r>
        <w:rPr>
          <w:rFonts w:hint="eastAsia" w:ascii="宋体" w:hAnsi="宋体" w:eastAsia="宋体" w:cs="宋体"/>
          <w:color w:val="000000" w:themeColor="text1"/>
          <w:szCs w:val="21"/>
          <w:highlight w:val="none"/>
          <w:u w:val="single"/>
          <w14:textFill>
            <w14:solidFill>
              <w14:schemeClr w14:val="tx1"/>
            </w14:solidFill>
          </w14:textFill>
        </w:rPr>
        <w:t>按通条款执行</w:t>
      </w:r>
      <w:r>
        <w:rPr>
          <w:rFonts w:hint="eastAsia" w:ascii="宋体" w:hAnsi="宋体" w:eastAsia="宋体" w:cs="宋体"/>
          <w:color w:val="000000" w:themeColor="text1"/>
          <w:szCs w:val="21"/>
          <w:highlight w:val="none"/>
          <w14:textFill>
            <w14:solidFill>
              <w14:schemeClr w14:val="tx1"/>
            </w14:solidFill>
          </w14:textFill>
        </w:rPr>
        <w:t>。</w:t>
      </w:r>
    </w:p>
    <w:p w14:paraId="5A37CA7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1.6.4 承包人文件</w:t>
      </w:r>
    </w:p>
    <w:p w14:paraId="30674A5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需要由承包人提供的文件，包括：</w:t>
      </w:r>
      <w:r>
        <w:rPr>
          <w:rFonts w:hint="eastAsia" w:ascii="宋体" w:hAnsi="宋体" w:eastAsia="宋体" w:cs="宋体"/>
          <w:color w:val="000000" w:themeColor="text1"/>
          <w:szCs w:val="21"/>
          <w:highlight w:val="none"/>
          <w:u w:val="single"/>
          <w14:textFill>
            <w14:solidFill>
              <w14:schemeClr w14:val="tx1"/>
            </w14:solidFill>
          </w14:textFill>
        </w:rPr>
        <w:t>施工组织设计、进度计划书</w:t>
      </w:r>
      <w:r>
        <w:rPr>
          <w:rFonts w:hint="eastAsia" w:ascii="宋体" w:hAnsi="宋体" w:eastAsia="宋体" w:cs="宋体"/>
          <w:color w:val="000000" w:themeColor="text1"/>
          <w:szCs w:val="21"/>
          <w:highlight w:val="none"/>
          <w14:textFill>
            <w14:solidFill>
              <w14:schemeClr w14:val="tx1"/>
            </w14:solidFill>
          </w14:textFill>
        </w:rPr>
        <w:t>；</w:t>
      </w:r>
    </w:p>
    <w:p w14:paraId="34F2514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承包人提供的文件的期限为：</w:t>
      </w:r>
      <w:r>
        <w:rPr>
          <w:rFonts w:hint="eastAsia" w:ascii="宋体" w:hAnsi="宋体" w:eastAsia="宋体" w:cs="宋体"/>
          <w:color w:val="000000" w:themeColor="text1"/>
          <w:szCs w:val="21"/>
          <w:highlight w:val="none"/>
          <w:u w:val="single"/>
          <w14:textFill>
            <w14:solidFill>
              <w14:schemeClr w14:val="tx1"/>
            </w14:solidFill>
          </w14:textFill>
        </w:rPr>
        <w:t>构件开始施工前14天内</w:t>
      </w:r>
      <w:r>
        <w:rPr>
          <w:rFonts w:hint="eastAsia" w:ascii="宋体" w:hAnsi="宋体" w:eastAsia="宋体" w:cs="宋体"/>
          <w:color w:val="000000" w:themeColor="text1"/>
          <w:szCs w:val="21"/>
          <w:highlight w:val="none"/>
          <w14:textFill>
            <w14:solidFill>
              <w14:schemeClr w14:val="tx1"/>
            </w14:solidFill>
          </w14:textFill>
        </w:rPr>
        <w:t>；</w:t>
      </w:r>
    </w:p>
    <w:p w14:paraId="7A83D9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承包人提供的文件的数量为：</w:t>
      </w:r>
      <w:r>
        <w:rPr>
          <w:rFonts w:hint="eastAsia" w:ascii="宋体" w:hAnsi="宋体" w:eastAsia="宋体" w:cs="宋体"/>
          <w:color w:val="000000" w:themeColor="text1"/>
          <w:szCs w:val="21"/>
          <w:highlight w:val="none"/>
          <w:u w:val="single"/>
          <w14:textFill>
            <w14:solidFill>
              <w14:schemeClr w14:val="tx1"/>
            </w14:solidFill>
          </w14:textFill>
        </w:rPr>
        <w:t xml:space="preserve">  3份  </w:t>
      </w:r>
      <w:r>
        <w:rPr>
          <w:rFonts w:hint="eastAsia" w:ascii="宋体" w:hAnsi="宋体" w:eastAsia="宋体" w:cs="宋体"/>
          <w:color w:val="000000" w:themeColor="text1"/>
          <w:szCs w:val="21"/>
          <w:highlight w:val="none"/>
          <w14:textFill>
            <w14:solidFill>
              <w14:schemeClr w14:val="tx1"/>
            </w14:solidFill>
          </w14:textFill>
        </w:rPr>
        <w:t>；</w:t>
      </w:r>
    </w:p>
    <w:p w14:paraId="77EAD2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承包人提供的文件的形式为：</w:t>
      </w:r>
      <w:r>
        <w:rPr>
          <w:rFonts w:hint="eastAsia" w:ascii="宋体" w:hAnsi="宋体" w:eastAsia="宋体" w:cs="宋体"/>
          <w:color w:val="000000" w:themeColor="text1"/>
          <w:szCs w:val="21"/>
          <w:highlight w:val="none"/>
          <w:u w:val="single"/>
          <w14:textFill>
            <w14:solidFill>
              <w14:schemeClr w14:val="tx1"/>
            </w14:solidFill>
          </w14:textFill>
        </w:rPr>
        <w:t>书面形式</w:t>
      </w:r>
      <w:r>
        <w:rPr>
          <w:rFonts w:hint="eastAsia" w:ascii="宋体" w:hAnsi="宋体" w:eastAsia="宋体" w:cs="宋体"/>
          <w:color w:val="000000" w:themeColor="text1"/>
          <w:szCs w:val="21"/>
          <w:highlight w:val="none"/>
          <w14:textFill>
            <w14:solidFill>
              <w14:schemeClr w14:val="tx1"/>
            </w14:solidFill>
          </w14:textFill>
        </w:rPr>
        <w:t>；</w:t>
      </w:r>
    </w:p>
    <w:p w14:paraId="12E99D4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发包人审批承包人文件的期限：</w:t>
      </w:r>
      <w:r>
        <w:rPr>
          <w:rFonts w:hint="eastAsia" w:ascii="宋体" w:hAnsi="宋体" w:eastAsia="宋体" w:cs="宋体"/>
          <w:color w:val="000000" w:themeColor="text1"/>
          <w:szCs w:val="21"/>
          <w:highlight w:val="none"/>
          <w:u w:val="single"/>
          <w14:textFill>
            <w14:solidFill>
              <w14:schemeClr w14:val="tx1"/>
            </w14:solidFill>
          </w14:textFill>
        </w:rPr>
        <w:t>收到文件后7天内</w:t>
      </w:r>
      <w:r>
        <w:rPr>
          <w:rFonts w:hint="eastAsia" w:ascii="宋体" w:hAnsi="宋体" w:eastAsia="宋体" w:cs="宋体"/>
          <w:color w:val="000000" w:themeColor="text1"/>
          <w:szCs w:val="21"/>
          <w:highlight w:val="none"/>
          <w14:textFill>
            <w14:solidFill>
              <w14:schemeClr w14:val="tx1"/>
            </w14:solidFill>
          </w14:textFill>
        </w:rPr>
        <w:t>。</w:t>
      </w:r>
    </w:p>
    <w:p w14:paraId="423556C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1.6.5 现场图纸准备</w:t>
      </w:r>
    </w:p>
    <w:p w14:paraId="5FC81E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关于现场图纸准备的约定：</w:t>
      </w:r>
      <w:r>
        <w:rPr>
          <w:rFonts w:hint="eastAsia" w:ascii="宋体" w:hAnsi="宋体" w:eastAsia="宋体" w:cs="宋体"/>
          <w:color w:val="000000" w:themeColor="text1"/>
          <w:szCs w:val="21"/>
          <w:highlight w:val="none"/>
          <w:u w:val="single"/>
          <w14:textFill>
            <w14:solidFill>
              <w14:schemeClr w14:val="tx1"/>
            </w14:solidFill>
          </w14:textFill>
        </w:rPr>
        <w:t>承包人应在施工现场另外保存一套完整的图纸和承包人文件，供发包人、监理人及有关人员进行工程检查时使用。</w:t>
      </w:r>
    </w:p>
    <w:p w14:paraId="56A1B2C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 </w:t>
      </w:r>
      <w:bookmarkStart w:id="712" w:name="_Toc533863449"/>
      <w:r>
        <w:rPr>
          <w:rFonts w:hint="eastAsia" w:ascii="宋体" w:hAnsi="宋体" w:eastAsia="宋体" w:cs="宋体"/>
          <w:b/>
          <w:bCs/>
          <w:color w:val="000000" w:themeColor="text1"/>
          <w:szCs w:val="21"/>
          <w:highlight w:val="none"/>
          <w14:textFill>
            <w14:solidFill>
              <w14:schemeClr w14:val="tx1"/>
            </w14:solidFill>
          </w14:textFill>
        </w:rPr>
        <w:t>1.7 联络</w:t>
      </w:r>
      <w:bookmarkEnd w:id="712"/>
    </w:p>
    <w:p w14:paraId="657138F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1.7.1发包人和承包人应当在</w:t>
      </w:r>
      <w:r>
        <w:rPr>
          <w:rFonts w:hint="eastAsia" w:ascii="宋体" w:hAnsi="宋体" w:eastAsia="宋体" w:cs="宋体"/>
          <w:color w:val="000000" w:themeColor="text1"/>
          <w:szCs w:val="21"/>
          <w:highlight w:val="none"/>
          <w:u w:val="single"/>
          <w14:textFill>
            <w14:solidFill>
              <w14:schemeClr w14:val="tx1"/>
            </w14:solidFill>
          </w14:textFill>
        </w:rPr>
        <w:t xml:space="preserve">7  </w:t>
      </w:r>
      <w:r>
        <w:rPr>
          <w:rFonts w:hint="eastAsia" w:ascii="宋体" w:hAnsi="宋体" w:eastAsia="宋体" w:cs="宋体"/>
          <w:color w:val="000000" w:themeColor="text1"/>
          <w:kern w:val="0"/>
          <w:szCs w:val="21"/>
          <w:highlight w:val="none"/>
          <w14:textFill>
            <w14:solidFill>
              <w14:schemeClr w14:val="tx1"/>
            </w14:solidFill>
          </w14:textFill>
        </w:rPr>
        <w:t>天内将与合同有关的通知、批准、证明、证书、指示、指令、要求、请求、同意、意见、确定和决定等书面函件送达对方当事人。</w:t>
      </w:r>
    </w:p>
    <w:p w14:paraId="731F0182">
      <w:pPr>
        <w:widowControl/>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1.7.2 发包人接收文件的地点：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220AF64">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246A68F">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AD09A8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179490D5">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D596893">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w:t>
      </w:r>
    </w:p>
    <w:p w14:paraId="5D9CDF19">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3" w:name="_Toc533863450"/>
      <w:r>
        <w:rPr>
          <w:rFonts w:hint="eastAsia" w:ascii="宋体" w:hAnsi="宋体" w:eastAsia="宋体" w:cs="宋体"/>
          <w:b/>
          <w:bCs/>
          <w:color w:val="000000" w:themeColor="text1"/>
          <w:szCs w:val="21"/>
          <w:highlight w:val="none"/>
          <w14:textFill>
            <w14:solidFill>
              <w14:schemeClr w14:val="tx1"/>
            </w14:solidFill>
          </w14:textFill>
        </w:rPr>
        <w:t>1.10 交通运输</w:t>
      </w:r>
      <w:bookmarkEnd w:id="713"/>
    </w:p>
    <w:p w14:paraId="09D531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bookmarkStart w:id="714" w:name="_Toc304295521"/>
      <w:bookmarkStart w:id="715" w:name="_Toc303539100"/>
      <w:bookmarkStart w:id="716" w:name="_Toc312677986"/>
      <w:bookmarkStart w:id="717" w:name="_Toc300934943"/>
      <w:bookmarkStart w:id="718" w:name="_Toc318581155"/>
      <w:r>
        <w:rPr>
          <w:rFonts w:hint="eastAsia" w:ascii="宋体" w:hAnsi="宋体" w:eastAsia="宋体" w:cs="宋体"/>
          <w:color w:val="000000" w:themeColor="text1"/>
          <w:szCs w:val="21"/>
          <w:highlight w:val="none"/>
          <w14:textFill>
            <w14:solidFill>
              <w14:schemeClr w14:val="tx1"/>
            </w14:solidFill>
          </w14:textFill>
        </w:rPr>
        <w:t>.10.1 出入现场的权利</w:t>
      </w:r>
    </w:p>
    <w:p w14:paraId="66B9DF0D">
      <w:pPr>
        <w:widowControl/>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关于出入现场的权利的约定：</w:t>
      </w:r>
      <w:r>
        <w:rPr>
          <w:rFonts w:hint="eastAsia" w:ascii="宋体" w:hAnsi="宋体" w:eastAsia="宋体" w:cs="宋体"/>
          <w:color w:val="000000" w:themeColor="text1"/>
          <w:szCs w:val="21"/>
          <w:highlight w:val="none"/>
          <w:u w:val="single"/>
          <w14:textFill>
            <w14:solidFill>
              <w14:schemeClr w14:val="tx1"/>
            </w14:solidFill>
          </w14:textFill>
        </w:rPr>
        <w:t xml:space="preserve">按《通用合同条款》1.10.1条执行 </w:t>
      </w:r>
      <w:r>
        <w:rPr>
          <w:rFonts w:hint="eastAsia" w:ascii="宋体" w:hAnsi="宋体" w:eastAsia="宋体" w:cs="宋体"/>
          <w:color w:val="000000" w:themeColor="text1"/>
          <w:szCs w:val="21"/>
          <w:highlight w:val="none"/>
          <w14:textFill>
            <w14:solidFill>
              <w14:schemeClr w14:val="tx1"/>
            </w14:solidFill>
          </w14:textFill>
        </w:rPr>
        <w:t>。</w:t>
      </w:r>
    </w:p>
    <w:bookmarkEnd w:id="714"/>
    <w:bookmarkEnd w:id="715"/>
    <w:bookmarkEnd w:id="716"/>
    <w:bookmarkEnd w:id="717"/>
    <w:bookmarkEnd w:id="718"/>
    <w:p w14:paraId="4FB26C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bookmarkStart w:id="719" w:name="_Toc312677987"/>
      <w:bookmarkStart w:id="720" w:name="_Toc300934944"/>
      <w:bookmarkStart w:id="721" w:name="_Toc318581156"/>
      <w:bookmarkStart w:id="722" w:name="_Toc304295522"/>
      <w:bookmarkStart w:id="723" w:name="_Toc303539101"/>
      <w:r>
        <w:rPr>
          <w:rFonts w:hint="eastAsia" w:ascii="宋体" w:hAnsi="宋体" w:eastAsia="宋体" w:cs="宋体"/>
          <w:color w:val="000000" w:themeColor="text1"/>
          <w:kern w:val="0"/>
          <w:szCs w:val="21"/>
          <w:highlight w:val="none"/>
          <w14:textFill>
            <w14:solidFill>
              <w14:schemeClr w14:val="tx1"/>
            </w14:solidFill>
          </w14:textFill>
        </w:rPr>
        <w:t>.10.3 场内交通</w:t>
      </w:r>
    </w:p>
    <w:p w14:paraId="5A300691">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关于场外交通和场内交通的边界的约定：</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施工边界50米以外为场外 </w:t>
      </w:r>
      <w:r>
        <w:rPr>
          <w:rFonts w:hint="eastAsia" w:ascii="宋体" w:hAnsi="宋体" w:eastAsia="宋体" w:cs="宋体"/>
          <w:color w:val="000000" w:themeColor="text1"/>
          <w:szCs w:val="21"/>
          <w:highlight w:val="none"/>
          <w14:textFill>
            <w14:solidFill>
              <w14:schemeClr w14:val="tx1"/>
            </w14:solidFill>
          </w14:textFill>
        </w:rPr>
        <w:t>。</w:t>
      </w:r>
    </w:p>
    <w:p w14:paraId="7F428A4E">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关于发包人向承包人免费提供满足工程施工需要的场内道路和交通设施的约定：</w:t>
      </w:r>
      <w:bookmarkEnd w:id="719"/>
      <w:bookmarkEnd w:id="720"/>
      <w:bookmarkEnd w:id="721"/>
      <w:bookmarkEnd w:id="722"/>
      <w:bookmarkEnd w:id="723"/>
      <w:bookmarkStart w:id="724" w:name="_Toc318581157"/>
      <w:r>
        <w:rPr>
          <w:rFonts w:hint="eastAsia" w:ascii="宋体" w:hAnsi="宋体" w:eastAsia="宋体" w:cs="宋体"/>
          <w:color w:val="000000" w:themeColor="text1"/>
          <w:szCs w:val="21"/>
          <w:highlight w:val="none"/>
          <w:u w:val="single"/>
          <w14:textFill>
            <w14:solidFill>
              <w14:schemeClr w14:val="tx1"/>
            </w14:solidFill>
          </w14:textFill>
        </w:rPr>
        <w:t>由承包人负责并承担相应费用</w:t>
      </w:r>
      <w:r>
        <w:rPr>
          <w:rFonts w:hint="eastAsia" w:ascii="宋体" w:hAnsi="宋体" w:eastAsia="宋体" w:cs="宋体"/>
          <w:color w:val="000000" w:themeColor="text1"/>
          <w:szCs w:val="21"/>
          <w:highlight w:val="none"/>
          <w14:textFill>
            <w14:solidFill>
              <w14:schemeClr w14:val="tx1"/>
            </w14:solidFill>
          </w14:textFill>
        </w:rPr>
        <w:t>。</w:t>
      </w:r>
    </w:p>
    <w:p w14:paraId="6F6772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1.10.4超大件和超重件的运输</w:t>
      </w:r>
    </w:p>
    <w:p w14:paraId="1C42534F">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szCs w:val="21"/>
          <w:highlight w:val="none"/>
          <w:u w:val="single"/>
          <w14:textFill>
            <w14:solidFill>
              <w14:schemeClr w14:val="tx1"/>
            </w14:solidFill>
          </w14:textFill>
        </w:rPr>
        <w:t xml:space="preserve">承包人 </w:t>
      </w:r>
      <w:r>
        <w:rPr>
          <w:rFonts w:hint="eastAsia" w:ascii="宋体" w:hAnsi="宋体" w:eastAsia="宋体" w:cs="宋体"/>
          <w:color w:val="000000" w:themeColor="text1"/>
          <w:szCs w:val="21"/>
          <w:highlight w:val="none"/>
          <w14:textFill>
            <w14:solidFill>
              <w14:schemeClr w14:val="tx1"/>
            </w14:solidFill>
          </w14:textFill>
        </w:rPr>
        <w:t>承担。</w:t>
      </w:r>
    </w:p>
    <w:bookmarkEnd w:id="724"/>
    <w:p w14:paraId="6158833B">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25" w:name="_Toc533863451"/>
      <w:r>
        <w:rPr>
          <w:rFonts w:hint="eastAsia" w:ascii="宋体" w:hAnsi="宋体" w:eastAsia="宋体" w:cs="宋体"/>
          <w:b/>
          <w:bCs/>
          <w:color w:val="000000" w:themeColor="text1"/>
          <w:szCs w:val="21"/>
          <w:highlight w:val="none"/>
          <w14:textFill>
            <w14:solidFill>
              <w14:schemeClr w14:val="tx1"/>
            </w14:solidFill>
          </w14:textFill>
        </w:rPr>
        <w:t>1.11 知识产权</w:t>
      </w:r>
      <w:bookmarkEnd w:id="725"/>
    </w:p>
    <w:p w14:paraId="54D8FF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79F38925">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12F1CB4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1.11.2 关于承包人为实施工程所编制文件的著作权的归属：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575ACC36">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关于承包人提供的上述文件的使用限制的要求：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77DD8FCA">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1.11.4 承包人在施工过程中所采用的专利、专有技术、技术秘密的使用费的承担方式：</w:t>
      </w:r>
      <w:r>
        <w:rPr>
          <w:rFonts w:hint="eastAsia" w:ascii="宋体" w:hAnsi="宋体" w:eastAsia="宋体" w:cs="宋体"/>
          <w:color w:val="000000" w:themeColor="text1"/>
          <w:szCs w:val="21"/>
          <w:highlight w:val="none"/>
          <w:u w:val="single"/>
          <w14:textFill>
            <w14:solidFill>
              <w14:schemeClr w14:val="tx1"/>
            </w14:solidFill>
          </w14:textFill>
        </w:rPr>
        <w:t>承包人在合同签订前和签订时已确定采用的专利、专有技术、技术秘密的使用费已包含在签约合同价中。</w:t>
      </w:r>
    </w:p>
    <w:p w14:paraId="0C18A61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1.13工程量清单错误的修正</w:t>
      </w:r>
    </w:p>
    <w:p w14:paraId="707A253E">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出现工程量清单工程量偏差时，是否调整合同价格：</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不调整。</w:t>
      </w:r>
    </w:p>
    <w:p w14:paraId="76D20A7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允许调整合同价格的工程量偏差范围及其调整办法：</w:t>
      </w:r>
    </w:p>
    <w:p w14:paraId="257C0EFA">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726" w:name="_Toc351203634"/>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本工程采用固定综合单价合同，除设计变更和国家政策法规变化引起变化外，其它不作调整。</w:t>
      </w:r>
    </w:p>
    <w:p w14:paraId="6D6B0B39">
      <w:pPr>
        <w:rPr>
          <w:color w:val="000000" w:themeColor="text1"/>
          <w:highlight w:val="none"/>
          <w14:textFill>
            <w14:solidFill>
              <w14:schemeClr w14:val="tx1"/>
            </w14:solidFill>
          </w14:textFill>
        </w:rPr>
      </w:pPr>
    </w:p>
    <w:p w14:paraId="0B59DAD0">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27" w:name="_Toc533863452"/>
      <w:bookmarkStart w:id="728" w:name="_Toc29391"/>
      <w:r>
        <w:rPr>
          <w:rFonts w:ascii="宋体" w:hAnsi="宋体" w:eastAsia="宋体" w:cs="Times New Roman"/>
          <w:b/>
          <w:bCs/>
          <w:color w:val="000000" w:themeColor="text1"/>
          <w:szCs w:val="21"/>
          <w:highlight w:val="none"/>
          <w14:textFill>
            <w14:solidFill>
              <w14:schemeClr w14:val="tx1"/>
            </w14:solidFill>
          </w14:textFill>
        </w:rPr>
        <w:t>2</w:t>
      </w:r>
      <w:bookmarkStart w:id="729" w:name="_Toc292559867"/>
      <w:bookmarkStart w:id="730" w:name="_Toc296347156"/>
      <w:bookmarkStart w:id="731" w:name="_Toc297048343"/>
      <w:bookmarkStart w:id="732" w:name="_Toc297120457"/>
      <w:bookmarkStart w:id="733" w:name="_Toc296890985"/>
      <w:bookmarkStart w:id="734" w:name="_Toc296891197"/>
      <w:bookmarkStart w:id="735" w:name="_Toc292559362"/>
      <w:bookmarkStart w:id="736" w:name="_Toc296944496"/>
      <w:bookmarkStart w:id="737" w:name="_Toc296503157"/>
      <w:bookmarkStart w:id="738" w:name="_Toc296346658"/>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发包人</w:t>
      </w:r>
      <w:bookmarkEnd w:id="726"/>
      <w:bookmarkEnd w:id="727"/>
      <w:bookmarkEnd w:id="728"/>
    </w:p>
    <w:bookmarkEnd w:id="729"/>
    <w:bookmarkEnd w:id="730"/>
    <w:bookmarkEnd w:id="731"/>
    <w:bookmarkEnd w:id="732"/>
    <w:bookmarkEnd w:id="733"/>
    <w:bookmarkEnd w:id="734"/>
    <w:bookmarkEnd w:id="735"/>
    <w:bookmarkEnd w:id="736"/>
    <w:bookmarkEnd w:id="737"/>
    <w:bookmarkEnd w:id="738"/>
    <w:p w14:paraId="73E75E2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39" w:name="_Toc533863453"/>
      <w:r>
        <w:rPr>
          <w:rFonts w:ascii="宋体" w:hAnsi="宋体" w:eastAsia="宋体" w:cs="Times New Roman"/>
          <w:b/>
          <w:bCs/>
          <w:color w:val="000000" w:themeColor="text1"/>
          <w:szCs w:val="21"/>
          <w:highlight w:val="none"/>
          <w14:textFill>
            <w14:solidFill>
              <w14:schemeClr w14:val="tx1"/>
            </w14:solidFill>
          </w14:textFill>
        </w:rPr>
        <w:t xml:space="preserve">2.2 </w:t>
      </w:r>
      <w:r>
        <w:rPr>
          <w:rFonts w:hint="eastAsia" w:ascii="宋体" w:hAnsi="宋体" w:eastAsia="宋体" w:cs="Times New Roman"/>
          <w:b/>
          <w:bCs/>
          <w:color w:val="000000" w:themeColor="text1"/>
          <w:szCs w:val="21"/>
          <w:highlight w:val="none"/>
          <w14:textFill>
            <w14:solidFill>
              <w14:schemeClr w14:val="tx1"/>
            </w14:solidFill>
          </w14:textFill>
        </w:rPr>
        <w:t>发包人代表</w:t>
      </w:r>
      <w:bookmarkEnd w:id="739"/>
    </w:p>
    <w:p w14:paraId="4741B0E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发包人代表：</w:t>
      </w:r>
    </w:p>
    <w:p w14:paraId="00D637D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姓</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名：</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175E6CC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0D484064">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职</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务：</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5F12B5DE">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联系电话：</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35E8A9D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电子信箱：</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46D109C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通信地址：</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42290B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发包人对发包人代表的授权范围如下：</w:t>
      </w:r>
      <w:r>
        <w:rPr>
          <w:rFonts w:hint="eastAsia" w:ascii="宋体" w:hAnsi="宋体" w:eastAsia="宋体" w:cs="Calibri"/>
          <w:color w:val="000000" w:themeColor="text1"/>
          <w:kern w:val="0"/>
          <w:szCs w:val="21"/>
          <w:highlight w:val="none"/>
          <w:u w:val="single"/>
          <w14:textFill>
            <w14:solidFill>
              <w14:schemeClr w14:val="tx1"/>
            </w14:solidFill>
          </w14:textFill>
        </w:rPr>
        <w:t>发包人代表在授权范围内的行为由发包人承担法律责任。发包人更换发包人代表的，应提前7天书面通知承包人。发包人代表不能按照合同约定履行其职责及义务，并导致合同无法继续正常履行的，承包人可以要求发包人撤换发包人代表。</w:t>
      </w:r>
    </w:p>
    <w:p w14:paraId="57ACF514">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2.4 </w:t>
      </w:r>
      <w:r>
        <w:rPr>
          <w:rFonts w:hint="eastAsia" w:ascii="宋体" w:hAnsi="宋体" w:eastAsia="宋体" w:cs="Times New Roman"/>
          <w:b/>
          <w:color w:val="000000" w:themeColor="text1"/>
          <w:szCs w:val="21"/>
          <w:highlight w:val="none"/>
          <w14:textFill>
            <w14:solidFill>
              <w14:schemeClr w14:val="tx1"/>
            </w14:solidFill>
          </w14:textFill>
        </w:rPr>
        <w:t>施工现场、施工条件和基础资料的提供</w:t>
      </w:r>
    </w:p>
    <w:p w14:paraId="2512D81F">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2.4.1 </w:t>
      </w:r>
      <w:r>
        <w:rPr>
          <w:rFonts w:hint="eastAsia" w:ascii="宋体" w:hAnsi="宋体" w:eastAsia="宋体" w:cs="Times New Roman"/>
          <w:color w:val="000000" w:themeColor="text1"/>
          <w:szCs w:val="21"/>
          <w:highlight w:val="none"/>
          <w14:textFill>
            <w14:solidFill>
              <w14:schemeClr w14:val="tx1"/>
            </w14:solidFill>
          </w14:textFill>
        </w:rPr>
        <w:t>提供施工现场</w:t>
      </w:r>
    </w:p>
    <w:p w14:paraId="1163297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关于发包人移交施工现场的期限要求：</w:t>
      </w:r>
      <w:r>
        <w:rPr>
          <w:rFonts w:hint="eastAsia" w:ascii="宋体" w:hAnsi="宋体" w:eastAsia="宋体" w:cs="Calibri"/>
          <w:color w:val="000000" w:themeColor="text1"/>
          <w:szCs w:val="21"/>
          <w:highlight w:val="none"/>
          <w:u w:val="single"/>
          <w14:textFill>
            <w14:solidFill>
              <w14:schemeClr w14:val="tx1"/>
            </w14:solidFill>
          </w14:textFill>
        </w:rPr>
        <w:t xml:space="preserve">开工日期7天前移交 </w:t>
      </w:r>
      <w:r>
        <w:rPr>
          <w:rFonts w:hint="eastAsia" w:ascii="宋体" w:hAnsi="宋体" w:eastAsia="宋体" w:cs="Calibri"/>
          <w:color w:val="000000" w:themeColor="text1"/>
          <w:szCs w:val="21"/>
          <w:highlight w:val="none"/>
          <w14:textFill>
            <w14:solidFill>
              <w14:schemeClr w14:val="tx1"/>
            </w14:solidFill>
          </w14:textFill>
        </w:rPr>
        <w:t>。</w:t>
      </w:r>
    </w:p>
    <w:p w14:paraId="3C703276">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2.4.2 </w:t>
      </w:r>
      <w:r>
        <w:rPr>
          <w:rFonts w:hint="eastAsia" w:ascii="宋体" w:hAnsi="宋体" w:eastAsia="宋体" w:cs="Times New Roman"/>
          <w:color w:val="000000" w:themeColor="text1"/>
          <w:szCs w:val="21"/>
          <w:highlight w:val="none"/>
          <w14:textFill>
            <w14:solidFill>
              <w14:schemeClr w14:val="tx1"/>
            </w14:solidFill>
          </w14:textFill>
        </w:rPr>
        <w:t>提供施工条件</w:t>
      </w:r>
    </w:p>
    <w:p w14:paraId="6142D798">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关于发包人应负责提供施工所需要的条件，包括：</w:t>
      </w:r>
      <w:r>
        <w:rPr>
          <w:rFonts w:hint="eastAsia" w:ascii="宋体" w:hAnsi="宋体" w:eastAsia="宋体" w:cs="Calibri"/>
          <w:color w:val="000000" w:themeColor="text1"/>
          <w:szCs w:val="21"/>
          <w:highlight w:val="none"/>
          <w:u w:val="single"/>
          <w14:textFill>
            <w14:solidFill>
              <w14:schemeClr w14:val="tx1"/>
            </w14:solidFill>
          </w14:textFill>
        </w:rPr>
        <w:t>发包人须完成土地征用、拆迁补偿；地下管线见现场地桩标志；水准点与坐标控制点现场交验；图纸会审和设计现场交底；现场处理邻近建筑物、构筑物、文物保护建筑、古树名木的保护工作；协调群众堵工事件。</w:t>
      </w:r>
    </w:p>
    <w:p w14:paraId="53F2338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2.5 </w:t>
      </w:r>
      <w:r>
        <w:rPr>
          <w:rFonts w:hint="eastAsia" w:ascii="宋体" w:hAnsi="宋体" w:eastAsia="宋体" w:cs="Times New Roman"/>
          <w:color w:val="000000" w:themeColor="text1"/>
          <w:szCs w:val="21"/>
          <w:highlight w:val="none"/>
          <w14:textFill>
            <w14:solidFill>
              <w14:schemeClr w14:val="tx1"/>
            </w14:solidFill>
          </w14:textFill>
        </w:rPr>
        <w:t>资金来源证明及支付担保</w:t>
      </w:r>
    </w:p>
    <w:p w14:paraId="1B813BAC">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发包人提供资金来源证明的期限要求：</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162910EB">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发包人是否提供支付担保：</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否</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756977B3">
      <w:pPr>
        <w:spacing w:line="360" w:lineRule="auto"/>
        <w:ind w:firstLine="420" w:firstLineChars="20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发包人提供支付担保的形式：</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w:t>
      </w:r>
    </w:p>
    <w:p w14:paraId="63910D3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740" w:name="_Toc351203635"/>
      <w:bookmarkStart w:id="741" w:name="_Toc29423"/>
      <w:bookmarkStart w:id="742" w:name="_Toc533863454"/>
      <w:r>
        <w:rPr>
          <w:rFonts w:ascii="宋体" w:hAnsi="宋体" w:eastAsia="宋体" w:cs="Times New Roman"/>
          <w:b/>
          <w:bCs/>
          <w:color w:val="000000" w:themeColor="text1"/>
          <w:szCs w:val="21"/>
          <w:highlight w:val="none"/>
          <w14:textFill>
            <w14:solidFill>
              <w14:schemeClr w14:val="tx1"/>
            </w14:solidFill>
          </w14:textFill>
        </w:rPr>
        <w:t>3</w:t>
      </w:r>
      <w:bookmarkStart w:id="743" w:name="_Toc296503158"/>
      <w:bookmarkStart w:id="744" w:name="_Toc297048344"/>
      <w:bookmarkStart w:id="745" w:name="_Toc292559363"/>
      <w:bookmarkStart w:id="746" w:name="_Toc297120458"/>
      <w:bookmarkStart w:id="747" w:name="_Toc296890986"/>
      <w:bookmarkStart w:id="748" w:name="_Toc296346659"/>
      <w:bookmarkStart w:id="749" w:name="_Toc292559868"/>
      <w:bookmarkStart w:id="750" w:name="_Toc296944497"/>
      <w:bookmarkStart w:id="751" w:name="_Toc296891198"/>
      <w:bookmarkStart w:id="752" w:name="_Toc296347157"/>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承包人</w:t>
      </w:r>
      <w:bookmarkEnd w:id="740"/>
      <w:bookmarkEnd w:id="741"/>
      <w:bookmarkEnd w:id="742"/>
    </w:p>
    <w:bookmarkEnd w:id="743"/>
    <w:bookmarkEnd w:id="744"/>
    <w:bookmarkEnd w:id="745"/>
    <w:bookmarkEnd w:id="746"/>
    <w:bookmarkEnd w:id="747"/>
    <w:bookmarkEnd w:id="748"/>
    <w:bookmarkEnd w:id="749"/>
    <w:bookmarkEnd w:id="750"/>
    <w:bookmarkEnd w:id="751"/>
    <w:bookmarkEnd w:id="752"/>
    <w:p w14:paraId="76DF0C0B">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53" w:name="_Toc533863455"/>
      <w:r>
        <w:rPr>
          <w:rFonts w:ascii="宋体" w:hAnsi="宋体" w:eastAsia="宋体" w:cs="Times New Roman"/>
          <w:b/>
          <w:bCs/>
          <w:color w:val="000000" w:themeColor="text1"/>
          <w:szCs w:val="21"/>
          <w:highlight w:val="none"/>
          <w14:textFill>
            <w14:solidFill>
              <w14:schemeClr w14:val="tx1"/>
            </w14:solidFill>
          </w14:textFill>
        </w:rPr>
        <w:t xml:space="preserve">3.1 </w:t>
      </w:r>
      <w:r>
        <w:rPr>
          <w:rFonts w:hint="eastAsia" w:ascii="宋体" w:hAnsi="宋体" w:eastAsia="宋体" w:cs="Times New Roman"/>
          <w:b/>
          <w:bCs/>
          <w:color w:val="000000" w:themeColor="text1"/>
          <w:szCs w:val="21"/>
          <w:highlight w:val="none"/>
          <w14:textFill>
            <w14:solidFill>
              <w14:schemeClr w14:val="tx1"/>
            </w14:solidFill>
          </w14:textFill>
        </w:rPr>
        <w:t>承包人的一般义务</w:t>
      </w:r>
      <w:bookmarkEnd w:id="753"/>
    </w:p>
    <w:p w14:paraId="4E15672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（9）</w:t>
      </w:r>
      <w:r>
        <w:rPr>
          <w:rFonts w:hint="eastAsia" w:ascii="宋体" w:hAnsi="宋体" w:eastAsia="宋体" w:cs="Calibri"/>
          <w:color w:val="000000" w:themeColor="text1"/>
          <w:szCs w:val="21"/>
          <w:highlight w:val="none"/>
          <w14:textFill>
            <w14:solidFill>
              <w14:schemeClr w14:val="tx1"/>
            </w14:solidFill>
          </w14:textFill>
        </w:rPr>
        <w:t>承包人提交的竣工资料的内容：</w:t>
      </w:r>
    </w:p>
    <w:p w14:paraId="774D6E58">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当全部工程完工，准备竣工验收前，承包人应提供全套竣工资料</w:t>
      </w:r>
      <w:r>
        <w:rPr>
          <w:rFonts w:hint="eastAsia" w:ascii="宋体" w:hAnsi="宋体" w:eastAsia="宋体" w:cs="Calibri"/>
          <w:color w:val="000000" w:themeColor="text1"/>
          <w:szCs w:val="21"/>
          <w:highlight w:val="none"/>
          <w14:textFill>
            <w14:solidFill>
              <w14:schemeClr w14:val="tx1"/>
            </w14:solidFill>
          </w14:textFill>
        </w:rPr>
        <w:t>。</w:t>
      </w:r>
    </w:p>
    <w:p w14:paraId="129695EF">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承包人需要提交的竣工资料套数：</w:t>
      </w:r>
      <w:r>
        <w:rPr>
          <w:rFonts w:hint="eastAsia" w:ascii="宋体" w:hAnsi="宋体" w:eastAsia="宋体" w:cs="Calibri"/>
          <w:color w:val="000000" w:themeColor="text1"/>
          <w:szCs w:val="21"/>
          <w:highlight w:val="none"/>
          <w:u w:val="single"/>
          <w14:textFill>
            <w14:solidFill>
              <w14:schemeClr w14:val="tx1"/>
            </w14:solidFill>
          </w14:textFill>
        </w:rPr>
        <w:t>3套竣工图、3套竣工资料</w:t>
      </w:r>
      <w:r>
        <w:rPr>
          <w:rFonts w:hint="eastAsia" w:ascii="宋体" w:hAnsi="宋体" w:eastAsia="宋体" w:cs="Calibri"/>
          <w:color w:val="000000" w:themeColor="text1"/>
          <w:szCs w:val="21"/>
          <w:highlight w:val="none"/>
          <w14:textFill>
            <w14:solidFill>
              <w14:schemeClr w14:val="tx1"/>
            </w14:solidFill>
          </w14:textFill>
        </w:rPr>
        <w:t>。</w:t>
      </w:r>
    </w:p>
    <w:p w14:paraId="2194FE66">
      <w:pPr>
        <w:spacing w:line="360" w:lineRule="auto"/>
        <w:ind w:left="424" w:leftChars="202"/>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承包人提交的竣工资料的费用承担：</w:t>
      </w:r>
      <w:r>
        <w:rPr>
          <w:rFonts w:hint="eastAsia" w:ascii="宋体" w:hAnsi="宋体" w:eastAsia="宋体" w:cs="Calibri"/>
          <w:color w:val="000000" w:themeColor="text1"/>
          <w:szCs w:val="21"/>
          <w:highlight w:val="none"/>
          <w:u w:val="single"/>
          <w14:textFill>
            <w14:solidFill>
              <w14:schemeClr w14:val="tx1"/>
            </w14:solidFill>
          </w14:textFill>
        </w:rPr>
        <w:t>由承包人承担。</w:t>
      </w:r>
    </w:p>
    <w:p w14:paraId="0FD270F7">
      <w:pPr>
        <w:spacing w:line="360" w:lineRule="auto"/>
        <w:ind w:left="424" w:leftChars="202"/>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承包人提交的竣工资料移交时间：</w:t>
      </w:r>
      <w:r>
        <w:rPr>
          <w:rFonts w:hint="eastAsia" w:ascii="宋体" w:hAnsi="宋体" w:eastAsia="宋体" w:cs="Calibri"/>
          <w:color w:val="000000" w:themeColor="text1"/>
          <w:szCs w:val="21"/>
          <w:highlight w:val="none"/>
          <w:u w:val="single"/>
          <w14:textFill>
            <w14:solidFill>
              <w14:schemeClr w14:val="tx1"/>
            </w14:solidFill>
          </w14:textFill>
        </w:rPr>
        <w:t>竣工验收合格后28天内</w:t>
      </w:r>
      <w:r>
        <w:rPr>
          <w:rFonts w:hint="eastAsia" w:ascii="宋体" w:hAnsi="宋体" w:eastAsia="宋体" w:cs="Calibri"/>
          <w:color w:val="000000" w:themeColor="text1"/>
          <w:szCs w:val="21"/>
          <w:highlight w:val="none"/>
          <w14:textFill>
            <w14:solidFill>
              <w14:schemeClr w14:val="tx1"/>
            </w14:solidFill>
          </w14:textFill>
        </w:rPr>
        <w:t>。</w:t>
      </w:r>
    </w:p>
    <w:p w14:paraId="66AA5AF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承包人提交的竣工资料形式要求：</w:t>
      </w:r>
      <w:r>
        <w:rPr>
          <w:rFonts w:hint="eastAsia" w:ascii="宋体" w:hAnsi="宋体" w:eastAsia="宋体" w:cs="Calibri"/>
          <w:color w:val="000000" w:themeColor="text1"/>
          <w:szCs w:val="21"/>
          <w:highlight w:val="none"/>
          <w:u w:val="single"/>
          <w14:textFill>
            <w14:solidFill>
              <w14:schemeClr w14:val="tx1"/>
            </w14:solidFill>
          </w14:textFill>
        </w:rPr>
        <w:t>书面形式</w:t>
      </w:r>
      <w:r>
        <w:rPr>
          <w:rFonts w:hint="eastAsia" w:ascii="宋体" w:hAnsi="宋体" w:eastAsia="宋体" w:cs="Calibri"/>
          <w:color w:val="000000" w:themeColor="text1"/>
          <w:szCs w:val="21"/>
          <w:highlight w:val="none"/>
          <w14:textFill>
            <w14:solidFill>
              <w14:schemeClr w14:val="tx1"/>
            </w14:solidFill>
          </w14:textFill>
        </w:rPr>
        <w:t>。</w:t>
      </w:r>
    </w:p>
    <w:p w14:paraId="787B403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（10）承包人应履行的其他义务：</w:t>
      </w:r>
    </w:p>
    <w:p w14:paraId="56CF39A8">
      <w:pPr>
        <w:spacing w:line="360" w:lineRule="auto"/>
        <w:ind w:firstLine="420" w:firstLineChars="200"/>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lang w:val="en-US" w:eastAsia="zh-CN"/>
          <w14:textFill>
            <w14:solidFill>
              <w14:schemeClr w14:val="tx1"/>
            </w14:solidFill>
          </w14:textFill>
        </w:rPr>
        <w:t>1.</w:t>
      </w:r>
      <w:r>
        <w:rPr>
          <w:rFonts w:hint="eastAsia" w:ascii="宋体" w:hAnsi="宋体" w:eastAsia="宋体" w:cs="Calibri"/>
          <w:color w:val="000000" w:themeColor="text1"/>
          <w:szCs w:val="21"/>
          <w:highlight w:val="none"/>
          <w:u w:val="single"/>
          <w14:textFill>
            <w14:solidFill>
              <w14:schemeClr w14:val="tx1"/>
            </w14:solidFill>
          </w14:textFill>
        </w:rPr>
        <w:t>发包人委托办理施工许可证等开工前的各项手续，其余事项按《通用合同条款》3.1条执行</w:t>
      </w:r>
      <w:r>
        <w:rPr>
          <w:rFonts w:hint="eastAsia" w:ascii="宋体" w:hAnsi="宋体" w:eastAsia="宋体" w:cs="Calibri"/>
          <w:color w:val="000000" w:themeColor="text1"/>
          <w:kern w:val="0"/>
          <w:szCs w:val="21"/>
          <w:highlight w:val="none"/>
          <w:u w:val="single"/>
          <w14:textFill>
            <w14:solidFill>
              <w14:schemeClr w14:val="tx1"/>
            </w14:solidFill>
          </w14:textFill>
        </w:rPr>
        <w:t>。</w:t>
      </w:r>
    </w:p>
    <w:p w14:paraId="6EC45D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2477486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118.41万元（不少于中央资金的43.86%），带动当地群众务工人数不少于108人，开展技能培训108人。</w:t>
      </w:r>
    </w:p>
    <w:p w14:paraId="23F119C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4AFB35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003EAE0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4.承包人应严格遵守“能用人工的尽量不用机械”的原则组织施工，严禁将租用务工群众车辆或机械设备等费用计入劳务报酬。</w:t>
      </w:r>
    </w:p>
    <w:p w14:paraId="3D4CA4F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7D1DE68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Times New Roman"/>
          <w:b/>
          <w:bCs/>
          <w:color w:val="FF0000"/>
          <w:szCs w:val="21"/>
          <w:highlight w:val="none"/>
          <w:lang w:val="en-US" w:eastAsia="zh-CN"/>
        </w:rPr>
        <w:t>6.因承包人原因导致拖欠克扣劳务报酬、弄虚作假等行为的，由此产生的一切法律责任、经济损失及行政处罚后果，均由承包人承担全部责任。</w:t>
      </w:r>
    </w:p>
    <w:p w14:paraId="1083151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54" w:name="_Toc533863456"/>
      <w:r>
        <w:rPr>
          <w:rFonts w:ascii="宋体" w:hAnsi="宋体" w:eastAsia="宋体" w:cs="Times New Roman"/>
          <w:b/>
          <w:bCs/>
          <w:color w:val="000000" w:themeColor="text1"/>
          <w:szCs w:val="21"/>
          <w:highlight w:val="none"/>
          <w14:textFill>
            <w14:solidFill>
              <w14:schemeClr w14:val="tx1"/>
            </w14:solidFill>
          </w14:textFill>
        </w:rPr>
        <w:t xml:space="preserve">3.2 </w:t>
      </w:r>
      <w:r>
        <w:rPr>
          <w:rFonts w:hint="eastAsia" w:ascii="宋体" w:hAnsi="宋体" w:eastAsia="宋体" w:cs="Times New Roman"/>
          <w:b/>
          <w:bCs/>
          <w:color w:val="000000" w:themeColor="text1"/>
          <w:szCs w:val="21"/>
          <w:highlight w:val="none"/>
          <w14:textFill>
            <w14:solidFill>
              <w14:schemeClr w14:val="tx1"/>
            </w14:solidFill>
          </w14:textFill>
        </w:rPr>
        <w:t>项目经理</w:t>
      </w:r>
      <w:bookmarkEnd w:id="754"/>
    </w:p>
    <w:p w14:paraId="78360A2D">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55" w:name="_Toc21949"/>
      <w:bookmarkStart w:id="756" w:name="_Toc29174"/>
      <w:bookmarkStart w:id="757" w:name="_Toc533863457"/>
      <w:bookmarkStart w:id="758" w:name="_Toc725"/>
      <w:bookmarkStart w:id="759" w:name="_Toc24710"/>
      <w:bookmarkStart w:id="760" w:name="_Toc4225"/>
      <w:r>
        <w:rPr>
          <w:rFonts w:ascii="宋体" w:hAnsi="宋体" w:eastAsia="宋体" w:cs="宋体"/>
          <w:color w:val="000000" w:themeColor="text1"/>
          <w:kern w:val="0"/>
          <w:szCs w:val="21"/>
          <w:highlight w:val="none"/>
          <w14:textFill>
            <w14:solidFill>
              <w14:schemeClr w14:val="tx1"/>
            </w14:solidFill>
          </w14:textFill>
        </w:rPr>
        <w:t xml:space="preserve">3.2.1 </w:t>
      </w:r>
      <w:r>
        <w:rPr>
          <w:rFonts w:hint="eastAsia" w:ascii="宋体" w:hAnsi="宋体" w:eastAsia="宋体" w:cs="Calibri"/>
          <w:color w:val="000000" w:themeColor="text1"/>
          <w:szCs w:val="21"/>
          <w:highlight w:val="none"/>
          <w14:textFill>
            <w14:solidFill>
              <w14:schemeClr w14:val="tx1"/>
            </w14:solidFill>
          </w14:textFill>
        </w:rPr>
        <w:t>项目经理：</w:t>
      </w:r>
      <w:bookmarkEnd w:id="755"/>
      <w:bookmarkEnd w:id="756"/>
      <w:bookmarkEnd w:id="757"/>
      <w:bookmarkEnd w:id="758"/>
      <w:bookmarkEnd w:id="759"/>
      <w:bookmarkEnd w:id="760"/>
    </w:p>
    <w:p w14:paraId="5B393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MingLiU_HKSCS"/>
          <w:color w:val="000000" w:themeColor="text1"/>
          <w:szCs w:val="21"/>
          <w:highlight w:val="none"/>
          <w:u w:val="single"/>
          <w14:textFill>
            <w14:solidFill>
              <w14:schemeClr w14:val="tx1"/>
            </w14:solidFill>
          </w14:textFill>
        </w:rPr>
        <w:t>（成交人在本项目拟采用的项目经理，必须与响应文件一致）</w:t>
      </w:r>
      <w:r>
        <w:rPr>
          <w:rFonts w:hint="eastAsia" w:ascii="宋体" w:hAnsi="宋体" w:eastAsia="宋体" w:cs="Calibri"/>
          <w:color w:val="000000" w:themeColor="text1"/>
          <w:szCs w:val="21"/>
          <w:highlight w:val="none"/>
          <w14:textFill>
            <w14:solidFill>
              <w14:schemeClr w14:val="tx1"/>
            </w14:solidFill>
          </w14:textFill>
        </w:rPr>
        <w:t>；</w:t>
      </w:r>
    </w:p>
    <w:p w14:paraId="49C338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身份证号：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E8625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建造师执业资格等级：</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71C7896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建造师注册证书号：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22882C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建造师执业印章号：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1185E5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安全生产考核合格证书号：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7327C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广西建筑市场诚信卡卡号：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2D97DC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Calibri"/>
          <w:color w:val="000000" w:themeColor="text1"/>
          <w:szCs w:val="21"/>
          <w:highlight w:val="none"/>
          <w14:textFill>
            <w14:solidFill>
              <w14:schemeClr w14:val="tx1"/>
            </w14:solidFill>
          </w14:textFill>
        </w:rPr>
        <w:t>；</w:t>
      </w:r>
    </w:p>
    <w:p w14:paraId="061D178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64E75E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7D3B7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承包人对项目经理的授权范围如下：</w:t>
      </w:r>
      <w:r>
        <w:rPr>
          <w:rFonts w:hint="eastAsia" w:ascii="宋体" w:hAnsi="宋体" w:eastAsia="宋体" w:cs="Calibri"/>
          <w:color w:val="000000" w:themeColor="text1"/>
          <w:szCs w:val="21"/>
          <w:highlight w:val="none"/>
          <w:u w:val="single"/>
          <w14:textFill>
            <w14:solidFill>
              <w14:schemeClr w14:val="tx1"/>
            </w14:solidFill>
          </w14:textFill>
        </w:rPr>
        <w:t>项目经理为承包人法定代表人在该项目上的代表人，负责本工程施工过程的一切事务</w:t>
      </w:r>
      <w:r>
        <w:rPr>
          <w:rFonts w:hint="eastAsia" w:ascii="宋体" w:hAnsi="宋体" w:eastAsia="宋体" w:cs="Calibri"/>
          <w:color w:val="000000" w:themeColor="text1"/>
          <w:szCs w:val="21"/>
          <w:highlight w:val="none"/>
          <w14:textFill>
            <w14:solidFill>
              <w14:schemeClr w14:val="tx1"/>
            </w14:solidFill>
          </w14:textFill>
        </w:rPr>
        <w:t>。</w:t>
      </w:r>
    </w:p>
    <w:p w14:paraId="371FD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关于项目经理每月在施工现场的时间要求：</w:t>
      </w:r>
      <w:r>
        <w:rPr>
          <w:rFonts w:hint="eastAsia" w:ascii="宋体" w:hAnsi="宋体" w:eastAsia="宋体" w:cs="Calibri"/>
          <w:color w:val="000000" w:themeColor="text1"/>
          <w:szCs w:val="21"/>
          <w:highlight w:val="none"/>
          <w:u w:val="single"/>
          <w14:textFill>
            <w14:solidFill>
              <w14:schemeClr w14:val="tx1"/>
            </w14:solidFill>
          </w14:textFill>
        </w:rPr>
        <w:t>项目经理不少于24日历天，未达到的每少一天罚100元，按月考核，项目经理不到位累计达5天的，发包人及监理人给予警告，累计达10天及以上的，发包人有权终止合同，由此引起的损失由承包人承担</w:t>
      </w:r>
      <w:r>
        <w:rPr>
          <w:rFonts w:hint="eastAsia" w:ascii="宋体" w:hAnsi="宋体" w:eastAsia="宋体" w:cs="Calibri"/>
          <w:color w:val="000000" w:themeColor="text1"/>
          <w:szCs w:val="21"/>
          <w:highlight w:val="none"/>
          <w14:textFill>
            <w14:solidFill>
              <w14:schemeClr w14:val="tx1"/>
            </w14:solidFill>
          </w14:textFill>
        </w:rPr>
        <w:t>。</w:t>
      </w:r>
    </w:p>
    <w:p w14:paraId="5F47E695">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承包人未提交劳动合同，以及没有为项目经理缴纳社会保险证明的违约责任：</w:t>
      </w:r>
    </w:p>
    <w:p w14:paraId="1CEC164F">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由承包人自行承担相关责任</w:t>
      </w:r>
      <w:r>
        <w:rPr>
          <w:rFonts w:hint="eastAsia" w:ascii="宋体" w:hAnsi="宋体" w:eastAsia="宋体" w:cs="Calibri"/>
          <w:color w:val="000000" w:themeColor="text1"/>
          <w:szCs w:val="21"/>
          <w:highlight w:val="none"/>
          <w14:textFill>
            <w14:solidFill>
              <w14:schemeClr w14:val="tx1"/>
            </w14:solidFill>
          </w14:textFill>
        </w:rPr>
        <w:t>。</w:t>
      </w:r>
    </w:p>
    <w:p w14:paraId="0E7E16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项目经理未经批准，擅自离开施工现场的违约责任：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700E6E46">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1" w:name="_Toc12990"/>
      <w:bookmarkStart w:id="762" w:name="_Toc15137"/>
      <w:bookmarkStart w:id="763" w:name="_Toc30742"/>
      <w:bookmarkStart w:id="764" w:name="_Toc5542"/>
      <w:bookmarkStart w:id="765" w:name="_Toc20932"/>
      <w:bookmarkStart w:id="766" w:name="_Toc533863458"/>
      <w:r>
        <w:rPr>
          <w:rFonts w:ascii="宋体" w:hAnsi="宋体" w:eastAsia="宋体" w:cs="宋体"/>
          <w:color w:val="000000" w:themeColor="text1"/>
          <w:szCs w:val="21"/>
          <w:highlight w:val="none"/>
          <w14:textFill>
            <w14:solidFill>
              <w14:schemeClr w14:val="tx1"/>
            </w14:solidFill>
          </w14:textFill>
        </w:rPr>
        <w:t xml:space="preserve">3.2.3 </w:t>
      </w:r>
      <w:r>
        <w:rPr>
          <w:rFonts w:hint="eastAsia" w:ascii="宋体" w:hAnsi="宋体" w:eastAsia="宋体" w:cs="Calibri"/>
          <w:color w:val="000000" w:themeColor="text1"/>
          <w:szCs w:val="21"/>
          <w:highlight w:val="none"/>
          <w14:textFill>
            <w14:solidFill>
              <w14:schemeClr w14:val="tx1"/>
            </w14:solidFill>
          </w14:textFill>
        </w:rPr>
        <w:t>承包人擅自更换项目经理的违约责任：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未经发包人书面同意，承包人擅自更换项目经理的视为违约，违约金处 1000元/人•次（人民币），发包人有权终止合同</w:t>
      </w:r>
      <w:r>
        <w:rPr>
          <w:rFonts w:hint="eastAsia" w:ascii="宋体" w:hAnsi="宋体" w:eastAsia="宋体" w:cs="Calibri"/>
          <w:color w:val="000000" w:themeColor="text1"/>
          <w:szCs w:val="21"/>
          <w:highlight w:val="none"/>
          <w14:textFill>
            <w14:solidFill>
              <w14:schemeClr w14:val="tx1"/>
            </w14:solidFill>
          </w14:textFill>
        </w:rPr>
        <w:t>。</w:t>
      </w:r>
      <w:bookmarkEnd w:id="761"/>
      <w:bookmarkEnd w:id="762"/>
      <w:bookmarkEnd w:id="763"/>
      <w:bookmarkEnd w:id="764"/>
      <w:bookmarkEnd w:id="765"/>
      <w:bookmarkEnd w:id="766"/>
    </w:p>
    <w:p w14:paraId="21A37EC3">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7" w:name="_Toc8810"/>
      <w:bookmarkStart w:id="768" w:name="_Toc20078"/>
      <w:bookmarkStart w:id="769" w:name="_Toc533863459"/>
      <w:bookmarkStart w:id="770" w:name="_Toc22841"/>
      <w:bookmarkStart w:id="771" w:name="_Toc21071"/>
      <w:bookmarkStart w:id="772" w:name="_Toc6853"/>
      <w:r>
        <w:rPr>
          <w:rFonts w:ascii="宋体" w:hAnsi="宋体" w:eastAsia="宋体" w:cs="宋体"/>
          <w:color w:val="000000" w:themeColor="text1"/>
          <w:szCs w:val="21"/>
          <w:highlight w:val="none"/>
          <w14:textFill>
            <w14:solidFill>
              <w14:schemeClr w14:val="tx1"/>
            </w14:solidFill>
          </w14:textFill>
        </w:rPr>
        <w:t xml:space="preserve">3.2.4 </w:t>
      </w:r>
      <w:r>
        <w:rPr>
          <w:rFonts w:hint="eastAsia" w:ascii="宋体" w:hAnsi="宋体" w:eastAsia="宋体" w:cs="Calibri"/>
          <w:color w:val="000000" w:themeColor="text1"/>
          <w:szCs w:val="21"/>
          <w:highlight w:val="none"/>
          <w14:textFill>
            <w14:solidFill>
              <w14:schemeClr w14:val="tx1"/>
            </w14:solidFill>
          </w14:textFill>
        </w:rPr>
        <w:t>承包人无正当理由拒绝更换项目经理的违约责任：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因承包人项目经理不称职，发包人要求调换而未及时调换的，视为承包人违约，必须向发包人交纳处罚金 1000元/人•次（人民币）</w:t>
      </w:r>
      <w:r>
        <w:rPr>
          <w:rFonts w:hint="eastAsia" w:ascii="宋体" w:hAnsi="宋体" w:eastAsia="宋体" w:cs="Calibri"/>
          <w:color w:val="000000" w:themeColor="text1"/>
          <w:szCs w:val="21"/>
          <w:highlight w:val="none"/>
          <w14:textFill>
            <w14:solidFill>
              <w14:schemeClr w14:val="tx1"/>
            </w14:solidFill>
          </w14:textFill>
        </w:rPr>
        <w:t>。</w:t>
      </w:r>
      <w:bookmarkEnd w:id="767"/>
      <w:bookmarkEnd w:id="768"/>
      <w:bookmarkEnd w:id="769"/>
      <w:bookmarkEnd w:id="770"/>
      <w:bookmarkEnd w:id="771"/>
      <w:bookmarkEnd w:id="772"/>
    </w:p>
    <w:p w14:paraId="74DC931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3" w:name="_Toc533863460"/>
      <w:r>
        <w:rPr>
          <w:rFonts w:ascii="宋体" w:hAnsi="宋体" w:eastAsia="宋体" w:cs="Times New Roman"/>
          <w:b/>
          <w:bCs/>
          <w:color w:val="000000" w:themeColor="text1"/>
          <w:szCs w:val="21"/>
          <w:highlight w:val="none"/>
          <w14:textFill>
            <w14:solidFill>
              <w14:schemeClr w14:val="tx1"/>
            </w14:solidFill>
          </w14:textFill>
        </w:rPr>
        <w:t xml:space="preserve">3.3 </w:t>
      </w:r>
      <w:r>
        <w:rPr>
          <w:rFonts w:hint="eastAsia" w:ascii="宋体" w:hAnsi="宋体" w:eastAsia="宋体" w:cs="Times New Roman"/>
          <w:b/>
          <w:bCs/>
          <w:color w:val="000000" w:themeColor="text1"/>
          <w:szCs w:val="21"/>
          <w:highlight w:val="none"/>
          <w14:textFill>
            <w14:solidFill>
              <w14:schemeClr w14:val="tx1"/>
            </w14:solidFill>
          </w14:textFill>
        </w:rPr>
        <w:t>承包人人员</w:t>
      </w:r>
      <w:bookmarkEnd w:id="773"/>
    </w:p>
    <w:p w14:paraId="24E17C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3.3.1 </w:t>
      </w:r>
      <w:r>
        <w:rPr>
          <w:rFonts w:hint="eastAsia" w:ascii="宋体" w:hAnsi="宋体" w:eastAsia="宋体" w:cs="Calibri"/>
          <w:color w:val="000000" w:themeColor="text1"/>
          <w:szCs w:val="21"/>
          <w:highlight w:val="none"/>
          <w14:textFill>
            <w14:solidFill>
              <w14:schemeClr w14:val="tx1"/>
            </w14:solidFill>
          </w14:textFill>
        </w:rPr>
        <w:t>承包人提交项目管理机构及施工现场管理人员安排报告（格式见合同附件3）的期限：</w:t>
      </w:r>
    </w:p>
    <w:p w14:paraId="77633A7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55C0D3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3.3.3 </w:t>
      </w:r>
      <w:r>
        <w:rPr>
          <w:rFonts w:hint="eastAsia" w:ascii="宋体" w:hAnsi="宋体" w:eastAsia="宋体" w:cs="Calibri"/>
          <w:color w:val="000000" w:themeColor="text1"/>
          <w:szCs w:val="21"/>
          <w:highlight w:val="none"/>
          <w14:textFill>
            <w14:solidFill>
              <w14:schemeClr w14:val="tx1"/>
            </w14:solidFill>
          </w14:textFill>
        </w:rPr>
        <w:t>承包人无正当理由拒绝撤换主要施工管理人员的违约责任：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因承包人主要施工管理人员不称职，发包人要求调换而无正当理由拒绝撤换或未及时调换的，视为承包人违约，必须向发包人交纳处罚金，处罚标准：100元/人•次（人民币）</w:t>
      </w:r>
      <w:r>
        <w:rPr>
          <w:rFonts w:hint="eastAsia" w:ascii="宋体" w:hAnsi="宋体" w:eastAsia="宋体" w:cs="Calibri"/>
          <w:color w:val="000000" w:themeColor="text1"/>
          <w:szCs w:val="21"/>
          <w:highlight w:val="none"/>
          <w14:textFill>
            <w14:solidFill>
              <w14:schemeClr w14:val="tx1"/>
            </w14:solidFill>
          </w14:textFill>
        </w:rPr>
        <w:t>。</w:t>
      </w:r>
    </w:p>
    <w:p w14:paraId="4B6E0C2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3.3.4 </w:t>
      </w:r>
      <w:r>
        <w:rPr>
          <w:rFonts w:hint="eastAsia" w:ascii="宋体" w:hAnsi="宋体" w:eastAsia="宋体" w:cs="Calibri"/>
          <w:color w:val="000000" w:themeColor="text1"/>
          <w:szCs w:val="21"/>
          <w:highlight w:val="none"/>
          <w14:textFill>
            <w14:solidFill>
              <w14:schemeClr w14:val="tx1"/>
            </w14:solidFill>
          </w14:textFill>
        </w:rPr>
        <w:t>承包人主要施工管理人员离开施工现场的批准要求：</w:t>
      </w:r>
      <w:r>
        <w:rPr>
          <w:rFonts w:hint="eastAsia" w:ascii="宋体" w:hAnsi="宋体" w:eastAsia="宋体" w:cs="Calibri"/>
          <w:color w:val="000000" w:themeColor="text1"/>
          <w:szCs w:val="21"/>
          <w:highlight w:val="none"/>
          <w:u w:val="single"/>
          <w14:textFill>
            <w14:solidFill>
              <w14:schemeClr w14:val="tx1"/>
            </w14:solidFill>
          </w14:textFill>
        </w:rPr>
        <w:t>承包人的主要施工管理人员（五大员）每人每月到位率不少于24日历天，未经发包人同意或正当理由，少在岗一天，发包人有权处违约金100元/日（人民币）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605ADE2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3.3.5</w:t>
      </w:r>
      <w:r>
        <w:rPr>
          <w:rFonts w:hint="eastAsia" w:ascii="宋体" w:hAnsi="宋体" w:eastAsia="宋体" w:cs="Calibri"/>
          <w:color w:val="000000" w:themeColor="text1"/>
          <w:szCs w:val="21"/>
          <w:highlight w:val="none"/>
          <w14:textFill>
            <w14:solidFill>
              <w14:schemeClr w14:val="tx1"/>
            </w14:solidFill>
          </w14:textFill>
        </w:rPr>
        <w:t xml:space="preserve"> 承包人擅自更换主要施工管理人员的违约责任：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项目技术负责人、专职安全生产管理人员及其承诺的其它在场管理人员未经发包人书面同意不准擅自更换，擅自更换的处100元</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人</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次（人民币）违约金</w:t>
      </w:r>
      <w:r>
        <w:rPr>
          <w:rFonts w:hint="eastAsia" w:ascii="宋体" w:hAnsi="宋体" w:eastAsia="宋体" w:cs="Calibri"/>
          <w:color w:val="000000" w:themeColor="text1"/>
          <w:szCs w:val="21"/>
          <w:highlight w:val="none"/>
          <w14:textFill>
            <w14:solidFill>
              <w14:schemeClr w14:val="tx1"/>
            </w14:solidFill>
          </w14:textFill>
        </w:rPr>
        <w:t>。</w:t>
      </w:r>
    </w:p>
    <w:p w14:paraId="130DBD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承包人主要施工管理人员擅自离开施工现场的违约责任：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未经发包人同意，擅自离岗的，视为承包人违约，发包人有权处违约金100 元/人•次（人民币）违约金</w:t>
      </w:r>
      <w:r>
        <w:rPr>
          <w:rFonts w:hint="eastAsia" w:ascii="宋体" w:hAnsi="宋体" w:eastAsia="宋体" w:cs="Calibri"/>
          <w:color w:val="000000" w:themeColor="text1"/>
          <w:szCs w:val="21"/>
          <w:highlight w:val="none"/>
          <w14:textFill>
            <w14:solidFill>
              <w14:schemeClr w14:val="tx1"/>
            </w14:solidFill>
          </w14:textFill>
        </w:rPr>
        <w:t>。</w:t>
      </w:r>
    </w:p>
    <w:p w14:paraId="77171C0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4" w:name="_Toc533863461"/>
      <w:r>
        <w:rPr>
          <w:rFonts w:ascii="宋体" w:hAnsi="宋体" w:eastAsia="宋体" w:cs="Times New Roman"/>
          <w:b/>
          <w:bCs/>
          <w:color w:val="000000" w:themeColor="text1"/>
          <w:szCs w:val="21"/>
          <w:highlight w:val="none"/>
          <w14:textFill>
            <w14:solidFill>
              <w14:schemeClr w14:val="tx1"/>
            </w14:solidFill>
          </w14:textFill>
        </w:rPr>
        <w:t>3</w:t>
      </w:r>
      <w:bookmarkStart w:id="775" w:name="_Toc292559869"/>
      <w:bookmarkStart w:id="776" w:name="_Toc300934945"/>
      <w:bookmarkStart w:id="777" w:name="_Toc297048345"/>
      <w:bookmarkStart w:id="778" w:name="_Toc304295523"/>
      <w:bookmarkStart w:id="779" w:name="_Toc296347158"/>
      <w:bookmarkStart w:id="780" w:name="_Toc296890987"/>
      <w:bookmarkStart w:id="781" w:name="_Toc296944498"/>
      <w:bookmarkStart w:id="782" w:name="_Toc296503159"/>
      <w:bookmarkStart w:id="783" w:name="_Toc297123492"/>
      <w:bookmarkStart w:id="784" w:name="_Toc297120459"/>
      <w:bookmarkStart w:id="785" w:name="_Toc296346660"/>
      <w:bookmarkStart w:id="786" w:name="_Toc296891199"/>
      <w:bookmarkStart w:id="787" w:name="_Toc297216151"/>
      <w:bookmarkStart w:id="788" w:name="_Toc303539102"/>
      <w:bookmarkStart w:id="789" w:name="_Toc292559364"/>
      <w:bookmarkStart w:id="790" w:name="_Toc312677988"/>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分包</w:t>
      </w:r>
      <w:bookmarkEnd w:id="774"/>
    </w:p>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14:paraId="3A71B6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3.5.1 </w:t>
      </w:r>
      <w:r>
        <w:rPr>
          <w:rFonts w:hint="eastAsia" w:ascii="宋体" w:hAnsi="宋体" w:eastAsia="宋体" w:cs="Calibri"/>
          <w:color w:val="000000" w:themeColor="text1"/>
          <w:szCs w:val="21"/>
          <w:highlight w:val="none"/>
          <w14:textFill>
            <w14:solidFill>
              <w14:schemeClr w14:val="tx1"/>
            </w14:solidFill>
          </w14:textFill>
        </w:rPr>
        <w:t>分包的一般约定</w:t>
      </w:r>
    </w:p>
    <w:p w14:paraId="54F4619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禁止分包的工程包括：</w:t>
      </w:r>
      <w:r>
        <w:rPr>
          <w:rFonts w:hint="eastAsia" w:ascii="宋体" w:hAnsi="宋体" w:eastAsia="宋体" w:cs="Calibri"/>
          <w:color w:val="000000" w:themeColor="text1"/>
          <w:szCs w:val="21"/>
          <w:highlight w:val="none"/>
          <w:u w:val="single"/>
          <w14:textFill>
            <w14:solidFill>
              <w14:schemeClr w14:val="tx1"/>
            </w14:solidFill>
          </w14:textFill>
        </w:rPr>
        <w:t>按《通用合同条款》3.5.1条</w:t>
      </w:r>
      <w:r>
        <w:rPr>
          <w:rFonts w:hint="eastAsia" w:ascii="宋体" w:hAnsi="宋体" w:eastAsia="宋体" w:cs="Calibri"/>
          <w:color w:val="000000" w:themeColor="text1"/>
          <w:szCs w:val="21"/>
          <w:highlight w:val="none"/>
          <w14:textFill>
            <w14:solidFill>
              <w14:schemeClr w14:val="tx1"/>
            </w14:solidFill>
          </w14:textFill>
        </w:rPr>
        <w:t>。</w:t>
      </w:r>
    </w:p>
    <w:p w14:paraId="799F254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主体结构、关键性工作的范围：</w:t>
      </w:r>
      <w:r>
        <w:rPr>
          <w:rFonts w:hint="eastAsia" w:ascii="宋体" w:hAnsi="宋体" w:eastAsia="宋体" w:cs="Calibri"/>
          <w:color w:val="000000" w:themeColor="text1"/>
          <w:szCs w:val="21"/>
          <w:highlight w:val="none"/>
          <w:u w:val="single"/>
          <w14:textFill>
            <w14:solidFill>
              <w14:schemeClr w14:val="tx1"/>
            </w14:solidFill>
          </w14:textFill>
        </w:rPr>
        <w:t>详见施工图</w:t>
      </w:r>
      <w:r>
        <w:rPr>
          <w:rFonts w:hint="eastAsia" w:ascii="宋体" w:hAnsi="宋体" w:eastAsia="宋体" w:cs="Calibri"/>
          <w:color w:val="000000" w:themeColor="text1"/>
          <w:szCs w:val="21"/>
          <w:highlight w:val="none"/>
          <w14:textFill>
            <w14:solidFill>
              <w14:schemeClr w14:val="tx1"/>
            </w14:solidFill>
          </w14:textFill>
        </w:rPr>
        <w:t>。</w:t>
      </w:r>
    </w:p>
    <w:p w14:paraId="215FFFD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3.5.2</w:t>
      </w:r>
      <w:r>
        <w:rPr>
          <w:rFonts w:hint="eastAsia" w:ascii="宋体" w:hAnsi="宋体" w:eastAsia="宋体" w:cs="Calibri"/>
          <w:color w:val="000000" w:themeColor="text1"/>
          <w:szCs w:val="21"/>
          <w:highlight w:val="none"/>
          <w14:textFill>
            <w14:solidFill>
              <w14:schemeClr w14:val="tx1"/>
            </w14:solidFill>
          </w14:textFill>
        </w:rPr>
        <w:t xml:space="preserve"> 分包的确定</w:t>
      </w:r>
    </w:p>
    <w:p w14:paraId="1B3D2D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允许分包的专业工程包括：</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055897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其他关于分包的约定：</w:t>
      </w:r>
    </w:p>
    <w:p w14:paraId="3FEC3F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53C0359B">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）在相关分包合同签订并报送有关建设行政主管部门备案后</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天内，承包人应当将一份副本提交给监理人，承包人应保障分包工作不得再次分包。</w:t>
      </w:r>
    </w:p>
    <w:p w14:paraId="09B2AD1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）未经承包人和监理人审批同意的分包工程和分包人，承包人有权拒绝验收分包工程和支付相应款项，由此引起的发包人费用增加和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延误的工期由发包人承担。</w:t>
      </w:r>
    </w:p>
    <w:p w14:paraId="308FCFF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）承包人有以下情况之一者，发包人有权解除合同，并视情况扣除其履约保证金：</w:t>
      </w:r>
    </w:p>
    <w:p w14:paraId="3701193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①个人承包工程，包括本人单位及外单位人员承包，发包人不承认其个人拥有任何资质等级及营业许可资格。没收全部履约保证金。</w:t>
      </w:r>
    </w:p>
    <w:p w14:paraId="152F179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②几个人联合承包工程，就地组织暗分包队伍，不具备完成本工程的技术、机械能力，被发包人判定为没有能力履行的承包人。没收全部履约保证金。</w:t>
      </w:r>
    </w:p>
    <w:p w14:paraId="58A42A2E">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③就地转包全部的工程，以谋取高额转让费、管理费的承包人。没收全部履约保证金。</w:t>
      </w:r>
    </w:p>
    <w:p w14:paraId="5165494E">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④承包人有部分分包现象（其中包括冒充承包人下属单位的挂勾单位，凭口头协议参与施工的分包人及其他暗分包个体户），一经发现核实，发包人将采取驱逐该暗分包人措施。没收全部履约保证金。</w:t>
      </w:r>
    </w:p>
    <w:p w14:paraId="4DC8C1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3.5.4 </w:t>
      </w:r>
      <w:r>
        <w:rPr>
          <w:rFonts w:hint="eastAsia" w:ascii="宋体" w:hAnsi="宋体" w:eastAsia="宋体" w:cs="Calibri"/>
          <w:color w:val="000000" w:themeColor="text1"/>
          <w:szCs w:val="21"/>
          <w:highlight w:val="none"/>
          <w14:textFill>
            <w14:solidFill>
              <w14:schemeClr w14:val="tx1"/>
            </w14:solidFill>
          </w14:textFill>
        </w:rPr>
        <w:t>分包合同价款</w:t>
      </w:r>
    </w:p>
    <w:p w14:paraId="04156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关于分包合同价款支付的约定：</w:t>
      </w:r>
      <w:r>
        <w:rPr>
          <w:rFonts w:hint="eastAsia" w:ascii="宋体" w:hAnsi="宋体" w:eastAsia="宋体" w:cs="Calibri"/>
          <w:color w:val="000000" w:themeColor="text1"/>
          <w:szCs w:val="21"/>
          <w:highlight w:val="none"/>
          <w:u w:val="single"/>
          <w14:textFill>
            <w14:solidFill>
              <w14:schemeClr w14:val="tx1"/>
            </w14:solidFill>
          </w14:textFill>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D1FA77F">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1" w:name="_Toc533863462"/>
      <w:r>
        <w:rPr>
          <w:rFonts w:ascii="宋体" w:hAnsi="宋体" w:eastAsia="宋体" w:cs="Times New Roman"/>
          <w:b/>
          <w:bCs/>
          <w:color w:val="000000" w:themeColor="text1"/>
          <w:szCs w:val="21"/>
          <w:highlight w:val="none"/>
          <w14:textFill>
            <w14:solidFill>
              <w14:schemeClr w14:val="tx1"/>
            </w14:solidFill>
          </w14:textFill>
        </w:rPr>
        <w:t xml:space="preserve">3.6 </w:t>
      </w:r>
      <w:r>
        <w:rPr>
          <w:rFonts w:hint="eastAsia" w:ascii="宋体" w:hAnsi="宋体" w:eastAsia="宋体" w:cs="Times New Roman"/>
          <w:b/>
          <w:bCs/>
          <w:color w:val="000000" w:themeColor="text1"/>
          <w:szCs w:val="21"/>
          <w:highlight w:val="none"/>
          <w14:textFill>
            <w14:solidFill>
              <w14:schemeClr w14:val="tx1"/>
            </w14:solidFill>
          </w14:textFill>
        </w:rPr>
        <w:t>工程照管与成品、半成品保护</w:t>
      </w:r>
      <w:bookmarkEnd w:id="791"/>
    </w:p>
    <w:p w14:paraId="0BDE867A">
      <w:pPr>
        <w:spacing w:line="360" w:lineRule="auto"/>
        <w:ind w:firstLine="420" w:firstLineChars="200"/>
        <w:rPr>
          <w:rFonts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承包人负责照管工程及工程相关的材料、工程设备的起始时间：</w:t>
      </w:r>
      <w:r>
        <w:rPr>
          <w:rFonts w:hint="eastAsia" w:ascii="宋体" w:hAnsi="宋体" w:eastAsia="宋体" w:cs="Calibri"/>
          <w:color w:val="000000" w:themeColor="text1"/>
          <w:kern w:val="0"/>
          <w:szCs w:val="21"/>
          <w:highlight w:val="none"/>
          <w:u w:val="single"/>
          <w14:textFill>
            <w14:solidFill>
              <w14:schemeClr w14:val="tx1"/>
            </w14:solidFill>
          </w14:textFill>
        </w:rPr>
        <w:t>由发包人提供的材料和工程设备验收后开始</w:t>
      </w:r>
      <w:r>
        <w:rPr>
          <w:rFonts w:hint="eastAsia" w:ascii="宋体" w:hAnsi="宋体" w:eastAsia="宋体" w:cs="Calibri"/>
          <w:color w:val="000000" w:themeColor="text1"/>
          <w:kern w:val="0"/>
          <w:szCs w:val="21"/>
          <w:highlight w:val="none"/>
          <w14:textFill>
            <w14:solidFill>
              <w14:schemeClr w14:val="tx1"/>
            </w14:solidFill>
          </w14:textFill>
        </w:rPr>
        <w:t>。</w:t>
      </w:r>
    </w:p>
    <w:p w14:paraId="089CFC1A">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2" w:name="_Toc533863463"/>
      <w:r>
        <w:rPr>
          <w:rFonts w:ascii="宋体" w:hAnsi="宋体" w:eastAsia="宋体" w:cs="Times New Roman"/>
          <w:b/>
          <w:bCs/>
          <w:color w:val="000000" w:themeColor="text1"/>
          <w:szCs w:val="21"/>
          <w:highlight w:val="none"/>
          <w14:textFill>
            <w14:solidFill>
              <w14:schemeClr w14:val="tx1"/>
            </w14:solidFill>
          </w14:textFill>
        </w:rPr>
        <w:t xml:space="preserve">3.7 </w:t>
      </w:r>
      <w:r>
        <w:rPr>
          <w:rFonts w:hint="eastAsia" w:ascii="宋体" w:hAnsi="宋体" w:eastAsia="宋体" w:cs="Times New Roman"/>
          <w:b/>
          <w:bCs/>
          <w:color w:val="000000" w:themeColor="text1"/>
          <w:szCs w:val="21"/>
          <w:highlight w:val="none"/>
          <w14:textFill>
            <w14:solidFill>
              <w14:schemeClr w14:val="tx1"/>
            </w14:solidFill>
          </w14:textFill>
        </w:rPr>
        <w:t>履约担保</w:t>
      </w:r>
      <w:bookmarkEnd w:id="792"/>
    </w:p>
    <w:p w14:paraId="7DB4DF6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793" w:name="_Toc351203636"/>
      <w:r>
        <w:rPr>
          <w:rFonts w:hint="eastAsia" w:ascii="宋体" w:hAnsi="宋体" w:eastAsia="宋体" w:cs="宋体"/>
          <w:color w:val="000000" w:themeColor="text1"/>
          <w:szCs w:val="21"/>
          <w:highlight w:val="none"/>
          <w14:textFill>
            <w14:solidFill>
              <w14:schemeClr w14:val="tx1"/>
            </w14:solidFill>
          </w14:textFill>
        </w:rPr>
        <w:t>承包人是否提供履约担保：</w:t>
      </w:r>
      <w:r>
        <w:rPr>
          <w:rFonts w:hint="eastAsia" w:ascii="宋体" w:hAnsi="宋体" w:eastAsia="宋体" w:cs="宋体"/>
          <w:color w:val="000000" w:themeColor="text1"/>
          <w:szCs w:val="21"/>
          <w:highlight w:val="none"/>
          <w:u w:val="single"/>
          <w14:textFill>
            <w14:solidFill>
              <w14:schemeClr w14:val="tx1"/>
            </w14:solidFill>
          </w14:textFill>
        </w:rPr>
        <w:t xml:space="preserve">  否  </w:t>
      </w:r>
      <w:r>
        <w:rPr>
          <w:rFonts w:hint="eastAsia" w:ascii="宋体" w:hAnsi="宋体" w:eastAsia="宋体" w:cs="宋体"/>
          <w:color w:val="000000" w:themeColor="text1"/>
          <w:szCs w:val="21"/>
          <w:highlight w:val="none"/>
          <w14:textFill>
            <w14:solidFill>
              <w14:schemeClr w14:val="tx1"/>
            </w14:solidFill>
          </w14:textFill>
        </w:rPr>
        <w:t>。</w:t>
      </w:r>
    </w:p>
    <w:p w14:paraId="65B8588F">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承包人在中标后7个工作日内，按政府相关部门规定将农民工工资保障金存入帐户。工程竣工验收结算经审定后，按照规定程序，将农民工工资保障金没有使用或剩余的金额退还给承包人。</w:t>
      </w:r>
    </w:p>
    <w:p w14:paraId="21C8A05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4" w:name="_Toc533863464"/>
      <w:bookmarkStart w:id="795" w:name="_Toc18758"/>
      <w:r>
        <w:rPr>
          <w:rFonts w:ascii="宋体" w:hAnsi="宋体" w:eastAsia="宋体" w:cs="Times New Roman"/>
          <w:b/>
          <w:bCs/>
          <w:color w:val="000000" w:themeColor="text1"/>
          <w:szCs w:val="21"/>
          <w:highlight w:val="none"/>
          <w14:textFill>
            <w14:solidFill>
              <w14:schemeClr w14:val="tx1"/>
            </w14:solidFill>
          </w14:textFill>
        </w:rPr>
        <w:t>4</w:t>
      </w:r>
      <w:bookmarkStart w:id="796" w:name="_Toc296347161"/>
      <w:bookmarkStart w:id="797" w:name="_Toc296503162"/>
      <w:bookmarkStart w:id="798" w:name="_Toc267251413"/>
      <w:bookmarkStart w:id="799" w:name="_Toc292559366"/>
      <w:bookmarkStart w:id="800" w:name="_Toc296346663"/>
      <w:bookmarkStart w:id="801" w:name="_Toc297120462"/>
      <w:bookmarkStart w:id="802" w:name="_Toc296944501"/>
      <w:bookmarkStart w:id="803" w:name="_Toc296891202"/>
      <w:bookmarkStart w:id="804" w:name="_Toc297048348"/>
      <w:bookmarkStart w:id="805" w:name="_Toc292559871"/>
      <w:bookmarkStart w:id="806" w:name="_Toc296890990"/>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监</w:t>
      </w:r>
      <w:bookmarkEnd w:id="796"/>
      <w:bookmarkEnd w:id="797"/>
      <w:bookmarkEnd w:id="798"/>
      <w:bookmarkEnd w:id="799"/>
      <w:bookmarkEnd w:id="800"/>
      <w:bookmarkEnd w:id="801"/>
      <w:bookmarkEnd w:id="802"/>
      <w:bookmarkEnd w:id="803"/>
      <w:bookmarkEnd w:id="804"/>
      <w:bookmarkEnd w:id="805"/>
      <w:bookmarkEnd w:id="806"/>
      <w:r>
        <w:rPr>
          <w:rFonts w:hint="eastAsia" w:ascii="宋体" w:hAnsi="宋体" w:eastAsia="宋体" w:cs="Times New Roman"/>
          <w:b/>
          <w:bCs/>
          <w:color w:val="000000" w:themeColor="text1"/>
          <w:szCs w:val="21"/>
          <w:highlight w:val="none"/>
          <w14:textFill>
            <w14:solidFill>
              <w14:schemeClr w14:val="tx1"/>
            </w14:solidFill>
          </w14:textFill>
        </w:rPr>
        <w:t>理人</w:t>
      </w:r>
      <w:bookmarkEnd w:id="793"/>
      <w:bookmarkEnd w:id="794"/>
      <w:bookmarkEnd w:id="795"/>
    </w:p>
    <w:p w14:paraId="1521D2D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7" w:name="_Toc533863465"/>
      <w:r>
        <w:rPr>
          <w:rFonts w:ascii="宋体" w:hAnsi="宋体" w:eastAsia="宋体" w:cs="Times New Roman"/>
          <w:b/>
          <w:bCs/>
          <w:color w:val="000000" w:themeColor="text1"/>
          <w:szCs w:val="21"/>
          <w:highlight w:val="none"/>
          <w14:textFill>
            <w14:solidFill>
              <w14:schemeClr w14:val="tx1"/>
            </w14:solidFill>
          </w14:textFill>
        </w:rPr>
        <w:t>4.1</w:t>
      </w:r>
      <w:r>
        <w:rPr>
          <w:rFonts w:hint="eastAsia" w:ascii="宋体" w:hAnsi="宋体" w:eastAsia="宋体" w:cs="Times New Roman"/>
          <w:b/>
          <w:bCs/>
          <w:color w:val="000000" w:themeColor="text1"/>
          <w:szCs w:val="21"/>
          <w:highlight w:val="none"/>
          <w14:textFill>
            <w14:solidFill>
              <w14:schemeClr w14:val="tx1"/>
            </w14:solidFill>
          </w14:textFill>
        </w:rPr>
        <w:t>监理人的一般规定</w:t>
      </w:r>
      <w:bookmarkEnd w:id="807"/>
    </w:p>
    <w:p w14:paraId="3ED11E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关于监理人的监理内容：</w:t>
      </w:r>
      <w:r>
        <w:rPr>
          <w:rFonts w:hint="eastAsia" w:ascii="宋体" w:hAnsi="宋体" w:eastAsia="宋体" w:cs="Calibri"/>
          <w:color w:val="000000" w:themeColor="text1"/>
          <w:szCs w:val="21"/>
          <w:highlight w:val="none"/>
          <w:u w:val="single"/>
          <w14:textFill>
            <w14:solidFill>
              <w14:schemeClr w14:val="tx1"/>
            </w14:solidFill>
          </w14:textFill>
        </w:rPr>
        <w:t>本工程实施范围内的所有内容</w:t>
      </w:r>
      <w:r>
        <w:rPr>
          <w:rFonts w:hint="eastAsia" w:ascii="宋体" w:hAnsi="宋体" w:eastAsia="宋体" w:cs="Calibri"/>
          <w:color w:val="000000" w:themeColor="text1"/>
          <w:szCs w:val="21"/>
          <w:highlight w:val="none"/>
          <w14:textFill>
            <w14:solidFill>
              <w14:schemeClr w14:val="tx1"/>
            </w14:solidFill>
          </w14:textFill>
        </w:rPr>
        <w:t>。</w:t>
      </w:r>
    </w:p>
    <w:p w14:paraId="33801D3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关于监理人的监理权限：</w:t>
      </w:r>
      <w:r>
        <w:rPr>
          <w:rFonts w:hint="eastAsia" w:ascii="宋体" w:hAnsi="宋体" w:eastAsia="宋体" w:cs="Calibri"/>
          <w:color w:val="000000" w:themeColor="text1"/>
          <w:szCs w:val="21"/>
          <w:highlight w:val="none"/>
          <w:u w:val="single"/>
          <w14:textFill>
            <w14:solidFill>
              <w14:schemeClr w14:val="tx1"/>
            </w14:solidFill>
          </w14:textFill>
        </w:rPr>
        <w:t>根据监理合同、施工承包合同和法律法规规定的事项代表发包人进行工程前期协调、施工现场协调、工程监理</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6593A6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宋体" w:hAnsi="宋体" w:eastAsia="宋体" w:cs="Calibri"/>
          <w:color w:val="000000" w:themeColor="text1"/>
          <w:szCs w:val="21"/>
          <w:highlight w:val="none"/>
          <w:u w:val="single"/>
          <w14:textFill>
            <w14:solidFill>
              <w14:schemeClr w14:val="tx1"/>
            </w14:solidFill>
          </w14:textFill>
        </w:rPr>
        <w:t>监理人在施工现场的办公场所、生活场所由承包人提供，所发生的费用由承包人承担</w:t>
      </w:r>
      <w:r>
        <w:rPr>
          <w:rFonts w:hint="eastAsia" w:ascii="宋体" w:hAnsi="宋体" w:eastAsia="宋体" w:cs="Calibri"/>
          <w:color w:val="000000" w:themeColor="text1"/>
          <w:szCs w:val="21"/>
          <w:highlight w:val="none"/>
          <w14:textFill>
            <w14:solidFill>
              <w14:schemeClr w14:val="tx1"/>
            </w14:solidFill>
          </w14:textFill>
        </w:rPr>
        <w:t>。</w:t>
      </w:r>
    </w:p>
    <w:p w14:paraId="48EAA1C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8" w:name="_Toc533863466"/>
      <w:r>
        <w:rPr>
          <w:rFonts w:ascii="宋体" w:hAnsi="宋体" w:eastAsia="宋体" w:cs="Times New Roman"/>
          <w:b/>
          <w:bCs/>
          <w:color w:val="000000" w:themeColor="text1"/>
          <w:szCs w:val="21"/>
          <w:highlight w:val="none"/>
          <w14:textFill>
            <w14:solidFill>
              <w14:schemeClr w14:val="tx1"/>
            </w14:solidFill>
          </w14:textFill>
        </w:rPr>
        <w:t xml:space="preserve">4.2 </w:t>
      </w:r>
      <w:r>
        <w:rPr>
          <w:rFonts w:hint="eastAsia" w:ascii="宋体" w:hAnsi="宋体" w:eastAsia="宋体" w:cs="Times New Roman"/>
          <w:b/>
          <w:bCs/>
          <w:color w:val="000000" w:themeColor="text1"/>
          <w:szCs w:val="21"/>
          <w:highlight w:val="none"/>
          <w14:textFill>
            <w14:solidFill>
              <w14:schemeClr w14:val="tx1"/>
            </w14:solidFill>
          </w14:textFill>
        </w:rPr>
        <w:t>监理人员</w:t>
      </w:r>
      <w:bookmarkEnd w:id="808"/>
    </w:p>
    <w:p w14:paraId="66157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总监理工程师：</w:t>
      </w:r>
    </w:p>
    <w:p w14:paraId="3C9476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62C8A2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职</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务：</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08624FA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监理工程师执业资格证书号：</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7B8EA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5A9C998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1772CD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2E8E71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关于监理人的其他约定：</w:t>
      </w:r>
      <w:r>
        <w:rPr>
          <w:rFonts w:hint="eastAsia" w:ascii="宋体" w:hAnsi="宋体" w:eastAsia="宋体" w:cs="Calibri"/>
          <w:color w:val="000000" w:themeColor="text1"/>
          <w:szCs w:val="21"/>
          <w:highlight w:val="none"/>
          <w:u w:val="single"/>
          <w14:textFill>
            <w14:solidFill>
              <w14:schemeClr w14:val="tx1"/>
            </w14:solidFill>
          </w14:textFill>
        </w:rPr>
        <w:t>按《通用合同条款》执行</w:t>
      </w:r>
      <w:r>
        <w:rPr>
          <w:rFonts w:hint="eastAsia" w:ascii="宋体" w:hAnsi="宋体" w:eastAsia="宋体" w:cs="Calibri"/>
          <w:color w:val="000000" w:themeColor="text1"/>
          <w:szCs w:val="21"/>
          <w:highlight w:val="none"/>
          <w14:textFill>
            <w14:solidFill>
              <w14:schemeClr w14:val="tx1"/>
            </w14:solidFill>
          </w14:textFill>
        </w:rPr>
        <w:t>。</w:t>
      </w:r>
    </w:p>
    <w:p w14:paraId="3BA9709E">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09" w:name="_Toc533863467"/>
      <w:r>
        <w:rPr>
          <w:rFonts w:ascii="宋体" w:hAnsi="宋体" w:eastAsia="宋体" w:cs="Times New Roman"/>
          <w:b/>
          <w:bCs/>
          <w:color w:val="000000" w:themeColor="text1"/>
          <w:szCs w:val="21"/>
          <w:highlight w:val="none"/>
          <w14:textFill>
            <w14:solidFill>
              <w14:schemeClr w14:val="tx1"/>
            </w14:solidFill>
          </w14:textFill>
        </w:rPr>
        <w:t xml:space="preserve">4.4 </w:t>
      </w:r>
      <w:r>
        <w:rPr>
          <w:rFonts w:hint="eastAsia" w:ascii="宋体" w:hAnsi="宋体" w:eastAsia="宋体" w:cs="Times New Roman"/>
          <w:b/>
          <w:bCs/>
          <w:color w:val="000000" w:themeColor="text1"/>
          <w:szCs w:val="21"/>
          <w:highlight w:val="none"/>
          <w14:textFill>
            <w14:solidFill>
              <w14:schemeClr w14:val="tx1"/>
            </w14:solidFill>
          </w14:textFill>
        </w:rPr>
        <w:t>商定或确定</w:t>
      </w:r>
      <w:bookmarkEnd w:id="809"/>
    </w:p>
    <w:p w14:paraId="09675F5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810" w:name="_Toc267251418"/>
      <w:bookmarkStart w:id="811" w:name="_Toc351203637"/>
      <w:r>
        <w:rPr>
          <w:rFonts w:hint="eastAsia" w:ascii="宋体" w:hAnsi="宋体" w:eastAsia="宋体" w:cs="Calibri"/>
          <w:color w:val="000000" w:themeColor="text1"/>
          <w:szCs w:val="21"/>
          <w:highlight w:val="none"/>
          <w14:textFill>
            <w14:solidFill>
              <w14:schemeClr w14:val="tx1"/>
            </w14:solidFill>
          </w14:textFill>
        </w:rPr>
        <w:t>在发包人和承包人不能通过协商达成一致意见时，发包人授权监理人对以下事项进行确定：</w:t>
      </w:r>
    </w:p>
    <w:p w14:paraId="25CE51DB">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w:t>
      </w:r>
      <w:r>
        <w:rPr>
          <w:rFonts w:hint="eastAsia" w:ascii="宋体" w:hAnsi="宋体" w:eastAsia="宋体" w:cs="Calibri"/>
          <w:color w:val="000000" w:themeColor="text1"/>
          <w:kern w:val="0"/>
          <w:szCs w:val="21"/>
          <w:highlight w:val="none"/>
          <w:u w:val="single"/>
          <w14:textFill>
            <w14:solidFill>
              <w14:schemeClr w14:val="tx1"/>
            </w14:solidFill>
          </w14:textFill>
        </w:rPr>
        <w:t>由总监理工程师对双方异议按照合同约定审定做出公正的确定</w:t>
      </w:r>
      <w:r>
        <w:rPr>
          <w:rFonts w:hint="eastAsia" w:ascii="宋体" w:hAnsi="宋体" w:eastAsia="宋体" w:cs="Calibri"/>
          <w:color w:val="000000" w:themeColor="text1"/>
          <w:szCs w:val="21"/>
          <w:highlight w:val="none"/>
          <w14:textFill>
            <w14:solidFill>
              <w14:schemeClr w14:val="tx1"/>
            </w14:solidFill>
          </w14:textFill>
        </w:rPr>
        <w:t>；</w:t>
      </w:r>
    </w:p>
    <w:p w14:paraId="4D06667A">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u w:val="single"/>
          <w14:textFill>
            <w14:solidFill>
              <w14:schemeClr w14:val="tx1"/>
            </w14:solidFill>
          </w14:textFill>
        </w:rPr>
        <w:t>总监理工程师应将确定以书面形式通知发包人和承包人，并附详细依据</w:t>
      </w:r>
      <w:r>
        <w:rPr>
          <w:rFonts w:hint="eastAsia" w:ascii="宋体" w:hAnsi="宋体" w:eastAsia="宋体" w:cs="Calibri"/>
          <w:color w:val="000000" w:themeColor="text1"/>
          <w:szCs w:val="21"/>
          <w:highlight w:val="none"/>
          <w14:textFill>
            <w14:solidFill>
              <w14:schemeClr w14:val="tx1"/>
            </w14:solidFill>
          </w14:textFill>
        </w:rPr>
        <w:t>；</w:t>
      </w:r>
    </w:p>
    <w:p w14:paraId="64A2FE19">
      <w:pPr>
        <w:autoSpaceDE w:val="0"/>
        <w:autoSpaceDN w:val="0"/>
        <w:adjustRightInd w:val="0"/>
        <w:spacing w:line="400" w:lineRule="exact"/>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w:t>
      </w:r>
      <w:r>
        <w:rPr>
          <w:rFonts w:hint="eastAsia" w:ascii="宋体" w:hAnsi="宋体" w:eastAsia="宋体" w:cs="Calibri"/>
          <w:color w:val="000000" w:themeColor="text1"/>
          <w:kern w:val="0"/>
          <w:szCs w:val="21"/>
          <w:highlight w:val="none"/>
          <w:u w:val="single"/>
          <w14:textFill>
            <w14:solidFill>
              <w14:schemeClr w14:val="tx1"/>
            </w14:solidFill>
          </w14:textFill>
        </w:rPr>
        <w:t>合同当事人对总监理工程师的确定没有异议的，按照总监理工程师的确定执行</w:t>
      </w:r>
      <w:r>
        <w:rPr>
          <w:rFonts w:hint="eastAsia" w:ascii="宋体" w:hAnsi="宋体" w:eastAsia="宋体" w:cs="Calibri"/>
          <w:color w:val="000000" w:themeColor="text1"/>
          <w:szCs w:val="21"/>
          <w:highlight w:val="none"/>
          <w14:textFill>
            <w14:solidFill>
              <w14:schemeClr w14:val="tx1"/>
            </w14:solidFill>
          </w14:textFill>
        </w:rPr>
        <w:t>。</w:t>
      </w:r>
    </w:p>
    <w:p w14:paraId="72E8843F">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12" w:name="_Toc533863468"/>
      <w:bookmarkStart w:id="813" w:name="_Toc24673"/>
      <w:r>
        <w:rPr>
          <w:rFonts w:ascii="宋体" w:hAnsi="宋体" w:eastAsia="宋体" w:cs="Times New Roman"/>
          <w:b/>
          <w:bCs/>
          <w:color w:val="000000" w:themeColor="text1"/>
          <w:szCs w:val="21"/>
          <w:highlight w:val="none"/>
          <w14:textFill>
            <w14:solidFill>
              <w14:schemeClr w14:val="tx1"/>
            </w14:solidFill>
          </w14:textFill>
        </w:rPr>
        <w:t>5</w:t>
      </w:r>
      <w:bookmarkEnd w:id="810"/>
      <w:bookmarkStart w:id="814" w:name="_Toc296346664"/>
      <w:bookmarkStart w:id="815" w:name="_Toc296891203"/>
      <w:bookmarkStart w:id="816" w:name="_Toc292559367"/>
      <w:bookmarkStart w:id="817" w:name="_Toc296347162"/>
      <w:bookmarkStart w:id="818" w:name="_Toc296944502"/>
      <w:bookmarkStart w:id="819" w:name="_Toc297120463"/>
      <w:bookmarkStart w:id="820" w:name="_Toc296503163"/>
      <w:bookmarkStart w:id="821" w:name="_Toc297048349"/>
      <w:bookmarkStart w:id="822" w:name="_Toc296890991"/>
      <w:bookmarkStart w:id="823" w:name="_Toc292559872"/>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工程质量</w:t>
      </w:r>
      <w:bookmarkEnd w:id="811"/>
      <w:bookmarkEnd w:id="812"/>
      <w:bookmarkEnd w:id="813"/>
    </w:p>
    <w:p w14:paraId="7E84209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24" w:name="_Toc533863469"/>
      <w:r>
        <w:rPr>
          <w:rFonts w:ascii="宋体" w:hAnsi="宋体" w:eastAsia="宋体" w:cs="Times New Roman"/>
          <w:b/>
          <w:bCs/>
          <w:color w:val="000000" w:themeColor="text1"/>
          <w:szCs w:val="21"/>
          <w:highlight w:val="none"/>
          <w14:textFill>
            <w14:solidFill>
              <w14:schemeClr w14:val="tx1"/>
            </w14:solidFill>
          </w14:textFill>
        </w:rPr>
        <w:t xml:space="preserve">5.1 </w:t>
      </w:r>
      <w:r>
        <w:rPr>
          <w:rFonts w:hint="eastAsia" w:ascii="宋体" w:hAnsi="宋体" w:eastAsia="宋体" w:cs="Times New Roman"/>
          <w:b/>
          <w:bCs/>
          <w:color w:val="000000" w:themeColor="text1"/>
          <w:szCs w:val="21"/>
          <w:highlight w:val="none"/>
          <w14:textFill>
            <w14:solidFill>
              <w14:schemeClr w14:val="tx1"/>
            </w14:solidFill>
          </w14:textFill>
        </w:rPr>
        <w:t>质量要求</w:t>
      </w:r>
      <w:bookmarkEnd w:id="824"/>
    </w:p>
    <w:p w14:paraId="5FC7ECC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25" w:name="_Toc297216155"/>
      <w:bookmarkStart w:id="826" w:name="_Toc297123496"/>
      <w:bookmarkStart w:id="827" w:name="_Toc304295527"/>
      <w:bookmarkStart w:id="828" w:name="_Toc312677997"/>
      <w:bookmarkStart w:id="829" w:name="_Toc303539106"/>
      <w:bookmarkStart w:id="830" w:name="_Toc318581164"/>
      <w:bookmarkStart w:id="831" w:name="_Toc300934949"/>
      <w:r>
        <w:rPr>
          <w:rFonts w:ascii="宋体" w:hAnsi="宋体" w:eastAsia="宋体" w:cs="宋体"/>
          <w:color w:val="000000" w:themeColor="text1"/>
          <w:szCs w:val="21"/>
          <w:highlight w:val="none"/>
          <w14:textFill>
            <w14:solidFill>
              <w14:schemeClr w14:val="tx1"/>
            </w14:solidFill>
          </w14:textFill>
        </w:rPr>
        <w:t xml:space="preserve">5.1.1 </w:t>
      </w:r>
      <w:r>
        <w:rPr>
          <w:rFonts w:hint="eastAsia" w:ascii="宋体" w:hAnsi="宋体" w:eastAsia="宋体" w:cs="Calibri"/>
          <w:color w:val="000000" w:themeColor="text1"/>
          <w:szCs w:val="21"/>
          <w:highlight w:val="none"/>
          <w14:textFill>
            <w14:solidFill>
              <w14:schemeClr w14:val="tx1"/>
            </w14:solidFill>
          </w14:textFill>
        </w:rPr>
        <w:t>特殊质量标准和要求：</w:t>
      </w:r>
      <w:r>
        <w:rPr>
          <w:rFonts w:hint="eastAsia" w:ascii="宋体" w:hAnsi="宋体" w:eastAsia="宋体" w:cs="Calibri"/>
          <w:color w:val="000000" w:themeColor="text1"/>
          <w:szCs w:val="21"/>
          <w:highlight w:val="none"/>
          <w:u w:val="single"/>
          <w14:textFill>
            <w14:solidFill>
              <w14:schemeClr w14:val="tx1"/>
            </w14:solidFill>
          </w14:textFill>
        </w:rPr>
        <w:t>达到国家和行业颁发的施工及验收规程规范要求</w:t>
      </w:r>
      <w:r>
        <w:rPr>
          <w:rFonts w:hint="eastAsia" w:ascii="宋体" w:hAnsi="宋体" w:eastAsia="宋体" w:cs="Calibri"/>
          <w:color w:val="000000" w:themeColor="text1"/>
          <w:szCs w:val="21"/>
          <w:highlight w:val="none"/>
          <w14:textFill>
            <w14:solidFill>
              <w14:schemeClr w14:val="tx1"/>
            </w14:solidFill>
          </w14:textFill>
        </w:rPr>
        <w:t>。</w:t>
      </w:r>
    </w:p>
    <w:p w14:paraId="418CA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关于工程奖项的约定：</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9D2311C">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2" w:name="_Toc533863470"/>
      <w:r>
        <w:rPr>
          <w:rFonts w:ascii="宋体" w:hAnsi="宋体" w:eastAsia="宋体" w:cs="Times New Roman"/>
          <w:b/>
          <w:bCs/>
          <w:color w:val="000000" w:themeColor="text1"/>
          <w:szCs w:val="21"/>
          <w:highlight w:val="none"/>
          <w14:textFill>
            <w14:solidFill>
              <w14:schemeClr w14:val="tx1"/>
            </w14:solidFill>
          </w14:textFill>
        </w:rPr>
        <w:t xml:space="preserve">5.3 </w:t>
      </w:r>
      <w:r>
        <w:rPr>
          <w:rFonts w:hint="eastAsia" w:ascii="宋体" w:hAnsi="宋体" w:eastAsia="宋体" w:cs="Times New Roman"/>
          <w:b/>
          <w:bCs/>
          <w:color w:val="000000" w:themeColor="text1"/>
          <w:szCs w:val="21"/>
          <w:highlight w:val="none"/>
          <w14:textFill>
            <w14:solidFill>
              <w14:schemeClr w14:val="tx1"/>
            </w14:solidFill>
          </w14:textFill>
        </w:rPr>
        <w:t>隐蔽工程检查</w:t>
      </w:r>
      <w:bookmarkEnd w:id="832"/>
    </w:p>
    <w:p w14:paraId="6F61FE1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33" w:name="_Toc351203638"/>
      <w:r>
        <w:rPr>
          <w:rFonts w:ascii="宋体" w:hAnsi="宋体" w:eastAsia="宋体" w:cs="宋体"/>
          <w:color w:val="000000" w:themeColor="text1"/>
          <w:szCs w:val="21"/>
          <w:highlight w:val="none"/>
          <w14:textFill>
            <w14:solidFill>
              <w14:schemeClr w14:val="tx1"/>
            </w14:solidFill>
          </w14:textFill>
        </w:rPr>
        <w:t>5.3.2</w:t>
      </w:r>
      <w:r>
        <w:rPr>
          <w:rFonts w:hint="eastAsia" w:ascii="宋体" w:hAnsi="宋体" w:eastAsia="宋体" w:cs="Calibri"/>
          <w:color w:val="000000" w:themeColor="text1"/>
          <w:szCs w:val="21"/>
          <w:highlight w:val="none"/>
          <w14:textFill>
            <w14:solidFill>
              <w14:schemeClr w14:val="tx1"/>
            </w14:solidFill>
          </w14:textFill>
        </w:rPr>
        <w:t>承包人提前通知监理人隐蔽工程检查的期限的约定：工程隐蔽或中间验收前</w:t>
      </w:r>
      <w:r>
        <w:rPr>
          <w:rFonts w:ascii="宋体" w:hAnsi="宋体" w:eastAsia="宋体" w:cs="宋体"/>
          <w:color w:val="000000" w:themeColor="text1"/>
          <w:szCs w:val="21"/>
          <w:highlight w:val="none"/>
          <w14:textFill>
            <w14:solidFill>
              <w14:schemeClr w14:val="tx1"/>
            </w14:solidFill>
          </w14:textFill>
        </w:rPr>
        <w:t>12</w:t>
      </w:r>
      <w:r>
        <w:rPr>
          <w:rFonts w:hint="eastAsia" w:ascii="宋体" w:hAnsi="宋体" w:eastAsia="宋体" w:cs="Calibri"/>
          <w:color w:val="000000" w:themeColor="text1"/>
          <w:szCs w:val="2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A836E7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监理人不能按时进行检查时，应提前</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24</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小时提交书面延期要求。</w:t>
      </w:r>
    </w:p>
    <w:p w14:paraId="488929B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关于延期最长不得超过：</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48</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w:t>
      </w:r>
    </w:p>
    <w:p w14:paraId="2D0749F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4" w:name="_Toc13735"/>
      <w:bookmarkStart w:id="835" w:name="_Toc533863471"/>
      <w:r>
        <w:rPr>
          <w:rFonts w:ascii="宋体" w:hAnsi="宋体" w:eastAsia="宋体" w:cs="Times New Roman"/>
          <w:b/>
          <w:bCs/>
          <w:color w:val="000000" w:themeColor="text1"/>
          <w:szCs w:val="21"/>
          <w:highlight w:val="none"/>
          <w14:textFill>
            <w14:solidFill>
              <w14:schemeClr w14:val="tx1"/>
            </w14:solidFill>
          </w14:textFill>
        </w:rPr>
        <w:t xml:space="preserve">6. </w:t>
      </w:r>
      <w:bookmarkEnd w:id="833"/>
      <w:r>
        <w:rPr>
          <w:rFonts w:ascii="宋体" w:hAnsi="宋体" w:eastAsia="宋体" w:cs="Times New Roman"/>
          <w:b/>
          <w:bCs/>
          <w:color w:val="000000" w:themeColor="text1"/>
          <w:szCs w:val="21"/>
          <w:highlight w:val="none"/>
          <w14:textFill>
            <w14:solidFill>
              <w14:schemeClr w14:val="tx1"/>
            </w14:solidFill>
          </w14:textFill>
        </w:rPr>
        <w:t>安全</w:t>
      </w:r>
      <w:r>
        <w:rPr>
          <w:rFonts w:hint="eastAsia" w:ascii="宋体" w:hAnsi="宋体" w:eastAsia="宋体" w:cs="Times New Roman"/>
          <w:b/>
          <w:bCs/>
          <w:color w:val="000000" w:themeColor="text1"/>
          <w:szCs w:val="21"/>
          <w:highlight w:val="none"/>
          <w14:textFill>
            <w14:solidFill>
              <w14:schemeClr w14:val="tx1"/>
            </w14:solidFill>
          </w14:textFill>
        </w:rPr>
        <w:t>生产费、</w:t>
      </w:r>
      <w:r>
        <w:rPr>
          <w:rFonts w:ascii="宋体" w:hAnsi="宋体" w:eastAsia="宋体" w:cs="Times New Roman"/>
          <w:b/>
          <w:bCs/>
          <w:color w:val="000000" w:themeColor="text1"/>
          <w:szCs w:val="21"/>
          <w:highlight w:val="none"/>
          <w14:textFill>
            <w14:solidFill>
              <w14:schemeClr w14:val="tx1"/>
            </w14:solidFill>
          </w14:textFill>
        </w:rPr>
        <w:t>环境保护</w:t>
      </w:r>
      <w:r>
        <w:rPr>
          <w:rFonts w:hint="eastAsia" w:ascii="宋体" w:hAnsi="宋体" w:eastAsia="宋体" w:cs="Times New Roman"/>
          <w:b/>
          <w:bCs/>
          <w:color w:val="000000" w:themeColor="text1"/>
          <w:szCs w:val="21"/>
          <w:highlight w:val="none"/>
          <w14:textFill>
            <w14:solidFill>
              <w14:schemeClr w14:val="tx1"/>
            </w14:solidFill>
          </w14:textFill>
        </w:rPr>
        <w:t>与农民工工资支付</w:t>
      </w:r>
      <w:bookmarkEnd w:id="834"/>
      <w:bookmarkEnd w:id="835"/>
    </w:p>
    <w:p w14:paraId="4A7F3C2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6" w:name="_Toc533863472"/>
      <w:r>
        <w:rPr>
          <w:rFonts w:ascii="宋体" w:hAnsi="宋体" w:eastAsia="宋体" w:cs="Times New Roman"/>
          <w:b/>
          <w:bCs/>
          <w:color w:val="000000" w:themeColor="text1"/>
          <w:szCs w:val="21"/>
          <w:highlight w:val="none"/>
          <w14:textFill>
            <w14:solidFill>
              <w14:schemeClr w14:val="tx1"/>
            </w14:solidFill>
          </w14:textFill>
        </w:rPr>
        <w:t>6.1</w:t>
      </w:r>
      <w:r>
        <w:rPr>
          <w:rFonts w:hint="eastAsia" w:ascii="宋体" w:hAnsi="宋体" w:eastAsia="宋体" w:cs="Times New Roman"/>
          <w:b/>
          <w:bCs/>
          <w:color w:val="000000" w:themeColor="text1"/>
          <w:szCs w:val="21"/>
          <w:highlight w:val="none"/>
          <w14:textFill>
            <w14:solidFill>
              <w14:schemeClr w14:val="tx1"/>
            </w14:solidFill>
          </w14:textFill>
        </w:rPr>
        <w:t>安全文明施工</w:t>
      </w:r>
      <w:bookmarkEnd w:id="836"/>
    </w:p>
    <w:p w14:paraId="665880E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6.1.1 </w:t>
      </w:r>
      <w:r>
        <w:rPr>
          <w:rFonts w:hint="eastAsia" w:ascii="宋体" w:hAnsi="宋体" w:eastAsia="宋体" w:cs="宋体"/>
          <w:color w:val="000000" w:themeColor="text1"/>
          <w:szCs w:val="21"/>
          <w:highlight w:val="none"/>
          <w14:textFill>
            <w14:solidFill>
              <w14:schemeClr w14:val="tx1"/>
            </w14:solidFill>
          </w14:textFill>
        </w:rPr>
        <w:t>项目安全生产的达标目标及相应事项的约定：</w:t>
      </w:r>
      <w:r>
        <w:rPr>
          <w:rFonts w:hint="eastAsia" w:ascii="宋体" w:hAnsi="宋体" w:eastAsia="宋体" w:cs="Calibri"/>
          <w:color w:val="000000" w:themeColor="text1"/>
          <w:szCs w:val="21"/>
          <w:highlight w:val="none"/>
          <w:u w:val="single"/>
          <w14:textFill>
            <w14:solidFill>
              <w14:schemeClr w14:val="tx1"/>
            </w14:solidFill>
          </w14:textFill>
        </w:rPr>
        <w:t>承包人严格执行国家和广西省及贵港市等有关部门的安全文明施工规定，服从发包人、监理人及政府安全监督部门的检查与监督。未尽事宜按《通用合同条款》6.1.1条执行</w:t>
      </w:r>
      <w:r>
        <w:rPr>
          <w:rFonts w:hint="eastAsia" w:ascii="宋体" w:hAnsi="宋体" w:eastAsia="宋体" w:cs="Calibri"/>
          <w:color w:val="000000" w:themeColor="text1"/>
          <w:szCs w:val="21"/>
          <w:highlight w:val="none"/>
          <w14:textFill>
            <w14:solidFill>
              <w14:schemeClr w14:val="tx1"/>
            </w14:solidFill>
          </w14:textFill>
        </w:rPr>
        <w:t>。</w:t>
      </w:r>
    </w:p>
    <w:p w14:paraId="33F83E9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 6.1.4 </w:t>
      </w:r>
      <w:r>
        <w:rPr>
          <w:rFonts w:hint="eastAsia" w:ascii="宋体" w:hAnsi="宋体" w:eastAsia="宋体" w:cs="宋体"/>
          <w:color w:val="000000" w:themeColor="text1"/>
          <w:szCs w:val="21"/>
          <w:highlight w:val="none"/>
          <w14:textFill>
            <w14:solidFill>
              <w14:schemeClr w14:val="tx1"/>
            </w14:solidFill>
          </w14:textFill>
        </w:rPr>
        <w:t>关于治安保卫的特别约定：</w:t>
      </w:r>
      <w:r>
        <w:rPr>
          <w:rFonts w:hint="eastAsia" w:ascii="宋体" w:hAnsi="宋体" w:eastAsia="宋体" w:cs="Calibri"/>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1925E3D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关于编制施工场地治安管理计划的约定：</w:t>
      </w:r>
      <w:bookmarkEnd w:id="825"/>
      <w:bookmarkEnd w:id="826"/>
      <w:bookmarkEnd w:id="827"/>
      <w:bookmarkEnd w:id="828"/>
      <w:bookmarkEnd w:id="829"/>
      <w:bookmarkEnd w:id="830"/>
      <w:bookmarkEnd w:id="831"/>
      <w:r>
        <w:rPr>
          <w:rFonts w:hint="eastAsia" w:ascii="宋体" w:hAnsi="宋体" w:eastAsia="宋体" w:cs="Calibri"/>
          <w:color w:val="000000" w:themeColor="text1"/>
          <w:szCs w:val="21"/>
          <w:highlight w:val="none"/>
          <w:u w:val="single"/>
          <w14:textFill>
            <w14:solidFill>
              <w14:schemeClr w14:val="tx1"/>
            </w14:solidFill>
          </w14:textFill>
        </w:rPr>
        <w:t>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Calibri"/>
          <w:color w:val="000000" w:themeColor="text1"/>
          <w:szCs w:val="21"/>
          <w:highlight w:val="none"/>
          <w14:textFill>
            <w14:solidFill>
              <w14:schemeClr w14:val="tx1"/>
            </w14:solidFill>
          </w14:textFill>
        </w:rPr>
        <w:t>。</w:t>
      </w:r>
    </w:p>
    <w:p w14:paraId="6DC9EE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6.1.5 </w:t>
      </w:r>
      <w:r>
        <w:rPr>
          <w:rFonts w:hint="eastAsia" w:ascii="宋体" w:hAnsi="宋体" w:eastAsia="宋体" w:cs="Calibri"/>
          <w:color w:val="000000" w:themeColor="text1"/>
          <w:szCs w:val="21"/>
          <w:highlight w:val="none"/>
          <w14:textFill>
            <w14:solidFill>
              <w14:schemeClr w14:val="tx1"/>
            </w14:solidFill>
          </w14:textFill>
        </w:rPr>
        <w:t>文明施工</w:t>
      </w:r>
    </w:p>
    <w:p w14:paraId="205C03F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合同当事人对文明施工的要求：</w:t>
      </w:r>
      <w:r>
        <w:rPr>
          <w:rFonts w:hint="eastAsia" w:ascii="宋体" w:hAnsi="宋体" w:eastAsia="宋体" w:cs="Calibri"/>
          <w:color w:val="000000" w:themeColor="text1"/>
          <w:szCs w:val="21"/>
          <w:highlight w:val="none"/>
          <w:u w:val="single"/>
          <w14:textFill>
            <w14:solidFill>
              <w14:schemeClr w14:val="tx1"/>
            </w14:solidFill>
          </w14:textFill>
        </w:rPr>
        <w:t>按专用条款6.1.1条执行，未尽事宜按《通用合同条款》6.1.5条执行</w:t>
      </w:r>
      <w:r>
        <w:rPr>
          <w:rFonts w:hint="eastAsia" w:ascii="宋体" w:hAnsi="宋体" w:eastAsia="宋体" w:cs="Calibri"/>
          <w:color w:val="000000" w:themeColor="text1"/>
          <w:szCs w:val="21"/>
          <w:highlight w:val="none"/>
          <w14:textFill>
            <w14:solidFill>
              <w14:schemeClr w14:val="tx1"/>
            </w14:solidFill>
          </w14:textFill>
        </w:rPr>
        <w:t>。</w:t>
      </w:r>
    </w:p>
    <w:p w14:paraId="4F72C447">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6.1.6 关于安全生产费总额、支付比例、支付期限、转入和结余收回的约定：</w:t>
      </w:r>
    </w:p>
    <w:p w14:paraId="3D498A7A">
      <w:pPr>
        <w:spacing w:line="360" w:lineRule="auto"/>
        <w:ind w:firstLine="422" w:firstLineChars="200"/>
        <w:rPr>
          <w:rFonts w:ascii="宋体" w:hAnsi="宋体" w:eastAsia="宋体" w:cs="Calibri"/>
          <w:b/>
          <w:color w:val="000000" w:themeColor="text1"/>
          <w:szCs w:val="21"/>
          <w:highlight w:val="none"/>
          <w:u w:val="single"/>
          <w14:textFill>
            <w14:solidFill>
              <w14:schemeClr w14:val="tx1"/>
            </w14:solidFill>
          </w14:textFill>
        </w:rPr>
      </w:pPr>
      <w:r>
        <w:rPr>
          <w:rFonts w:hint="eastAsia" w:ascii="宋体" w:hAnsi="宋体" w:eastAsia="宋体" w:cs="Calibri"/>
          <w:b/>
          <w:color w:val="000000" w:themeColor="text1"/>
          <w:szCs w:val="21"/>
          <w:highlight w:val="none"/>
          <w:u w:val="single"/>
          <w14:textFill>
            <w14:solidFill>
              <w14:schemeClr w14:val="tx1"/>
            </w14:solidFill>
          </w14:textFill>
        </w:rPr>
        <w:t>（1）本合同价款已包含安全生产费          元。</w:t>
      </w:r>
    </w:p>
    <w:p w14:paraId="0B9E304E">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（2）使用要求：专款专用，除安全生产外，不得用于其他用途。具体按《广西壮族自治区建设工程安全文明施工费使用管理细则》（桂建质[2015]16号）相关规定执行。</w:t>
      </w:r>
    </w:p>
    <w:p w14:paraId="10E194FF">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（3）支付约定：本合同签订后28个工作日内，预付安全文明施工费总额的30%，其余部分与进度款同期支付。</w:t>
      </w:r>
    </w:p>
    <w:p w14:paraId="1E186066">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（4）建设单位按规定将安全生产费用转入施工单位设立的安全生产费用专户。</w:t>
      </w:r>
    </w:p>
    <w:p w14:paraId="27845B6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（5）工程施工完成后安全生产费用尚有结余的，结余部分由建设单位收回。</w:t>
      </w:r>
    </w:p>
    <w:p w14:paraId="3744413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（6）施工单位将安全生产费用使用情况定期报告建设单位和监理单位，并提供相应的材料接受建设行政主管部门对此事项监管。</w:t>
      </w:r>
    </w:p>
    <w:p w14:paraId="78363CD6">
      <w:pPr>
        <w:spacing w:line="360" w:lineRule="auto"/>
        <w:ind w:firstLine="42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（7）安全生产费用专户：××××公司安全生产费用专户。</w:t>
      </w:r>
    </w:p>
    <w:p w14:paraId="2AD0BC4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开户银行：                                    。</w:t>
      </w:r>
    </w:p>
    <w:p w14:paraId="204B686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 账号：                                       。</w:t>
      </w:r>
    </w:p>
    <w:p w14:paraId="2F079A5E">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6.1.7 关于农民工工资支付和使用的约定：</w:t>
      </w:r>
    </w:p>
    <w:p w14:paraId="7B92A79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（1）农民工工资应与工程进度款同步拨付至农民工工资支付专用账户，不得挪作他用，否则按相关规定处罚。</w:t>
      </w:r>
    </w:p>
    <w:p w14:paraId="65C7E58E">
      <w:pPr>
        <w:spacing w:line="360" w:lineRule="auto"/>
        <w:ind w:firstLine="42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农民工工资使用要求：专款专用，除发放工人工资外，不得用于其他用途。具体按《广西壮族自治区工程建设领域工人工资支付专用账户管理办法》（桂薪联发[2016]1号）以及《贵港市建设领域农民工工资支付管理实施细则》（贵政办通[2016]72号）相关规定执行。</w:t>
      </w:r>
    </w:p>
    <w:p w14:paraId="614F584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施工单位将农民工工资支付情况定期报告建设单位和监理单位，并提供相应的材料接受建设行政主管部门和劳动保障行政主管部门对此事项监管。</w:t>
      </w:r>
    </w:p>
    <w:p w14:paraId="1647062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农民工工资支付专用账户：××××公司农民工工资支付专用账户。</w:t>
      </w:r>
    </w:p>
    <w:p w14:paraId="391033BB">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开户银行：                                          </w:t>
      </w:r>
    </w:p>
    <w:p w14:paraId="6D1FB12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账号：                                           </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75CAC649">
      <w:pPr>
        <w:keepNext/>
        <w:keepLines/>
        <w:spacing w:before="260" w:after="260" w:line="416"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37" w:name="_Toc533863473"/>
      <w:bookmarkStart w:id="838" w:name="_Toc7875"/>
      <w:r>
        <w:rPr>
          <w:rFonts w:ascii="宋体" w:hAnsi="宋体" w:eastAsia="宋体" w:cs="Times New Roman"/>
          <w:b/>
          <w:bCs/>
          <w:color w:val="000000" w:themeColor="text1"/>
          <w:szCs w:val="21"/>
          <w:highlight w:val="none"/>
          <w14:textFill>
            <w14:solidFill>
              <w14:schemeClr w14:val="tx1"/>
            </w14:solidFill>
          </w14:textFill>
        </w:rPr>
        <w:t>7. 工期和进度</w:t>
      </w:r>
      <w:bookmarkEnd w:id="837"/>
      <w:bookmarkEnd w:id="838"/>
    </w:p>
    <w:p w14:paraId="5C935147">
      <w:pPr>
        <w:keepNext/>
        <w:keepLines/>
        <w:spacing w:before="260" w:after="260" w:line="416"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9" w:name="_Toc533863474"/>
      <w:r>
        <w:rPr>
          <w:rFonts w:ascii="宋体" w:hAnsi="宋体" w:eastAsia="宋体" w:cs="Times New Roman"/>
          <w:b/>
          <w:bCs/>
          <w:color w:val="000000" w:themeColor="text1"/>
          <w:szCs w:val="21"/>
          <w:highlight w:val="none"/>
          <w14:textFill>
            <w14:solidFill>
              <w14:schemeClr w14:val="tx1"/>
            </w14:solidFill>
          </w14:textFill>
        </w:rPr>
        <w:t>7.1 施工组织设计</w:t>
      </w:r>
      <w:bookmarkEnd w:id="839"/>
    </w:p>
    <w:p w14:paraId="286C7F0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Calibri"/>
          <w:color w:val="000000" w:themeColor="text1"/>
          <w:szCs w:val="21"/>
          <w:highlight w:val="none"/>
          <w14:textFill>
            <w14:solidFill>
              <w14:schemeClr w14:val="tx1"/>
            </w14:solidFill>
          </w14:textFill>
        </w:rPr>
        <w:t>合</w:t>
      </w:r>
      <w:r>
        <w:rPr>
          <w:rFonts w:hint="eastAsia" w:ascii="宋体" w:hAnsi="宋体" w:eastAsia="宋体" w:cs="Calibri"/>
          <w:color w:val="000000" w:themeColor="text1"/>
          <w:kern w:val="0"/>
          <w:szCs w:val="21"/>
          <w:highlight w:val="none"/>
          <w14:textFill>
            <w14:solidFill>
              <w14:schemeClr w14:val="tx1"/>
            </w14:solidFill>
          </w14:textFill>
        </w:rPr>
        <w:t>同当事人约定的施工组织设计应包括的其他内容：</w:t>
      </w:r>
      <w:r>
        <w:rPr>
          <w:rFonts w:hint="eastAsia" w:ascii="宋体" w:hAnsi="宋体" w:eastAsia="宋体" w:cs="Calibri"/>
          <w:color w:val="000000" w:themeColor="text1"/>
          <w:szCs w:val="21"/>
          <w:highlight w:val="none"/>
          <w:u w:val="single"/>
          <w14:textFill>
            <w14:solidFill>
              <w14:schemeClr w14:val="tx1"/>
            </w14:solidFill>
          </w14:textFill>
        </w:rPr>
        <w:t>按《通用合同条款》7.1.1条执行</w:t>
      </w:r>
      <w:r>
        <w:rPr>
          <w:rFonts w:hint="eastAsia" w:ascii="宋体" w:hAnsi="宋体" w:eastAsia="宋体" w:cs="Calibri"/>
          <w:color w:val="000000" w:themeColor="text1"/>
          <w:szCs w:val="21"/>
          <w:highlight w:val="none"/>
          <w14:textFill>
            <w14:solidFill>
              <w14:schemeClr w14:val="tx1"/>
            </w14:solidFill>
          </w14:textFill>
        </w:rPr>
        <w:t>。</w:t>
      </w:r>
    </w:p>
    <w:p w14:paraId="2256DE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Calibri"/>
          <w:color w:val="000000" w:themeColor="text1"/>
          <w:kern w:val="0"/>
          <w:szCs w:val="21"/>
          <w:highlight w:val="none"/>
          <w14:textFill>
            <w14:solidFill>
              <w14:schemeClr w14:val="tx1"/>
            </w14:solidFill>
          </w14:textFill>
        </w:rPr>
        <w:t>施工组织设计的提交和修改</w:t>
      </w:r>
    </w:p>
    <w:p w14:paraId="16FE32C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承包人提交详细施工组织设计的期限的约定：</w:t>
      </w:r>
      <w:r>
        <w:rPr>
          <w:rFonts w:hint="eastAsia" w:ascii="宋体" w:hAnsi="宋体" w:eastAsia="宋体" w:cs="Calibri"/>
          <w:color w:val="000000" w:themeColor="text1"/>
          <w:szCs w:val="21"/>
          <w:highlight w:val="none"/>
          <w:u w:val="single"/>
          <w14:textFill>
            <w14:solidFill>
              <w14:schemeClr w14:val="tx1"/>
            </w14:solidFill>
          </w14:textFill>
        </w:rPr>
        <w:t>承包人应在合同签订后7天内</w:t>
      </w:r>
      <w:r>
        <w:rPr>
          <w:rFonts w:hint="eastAsia" w:ascii="宋体" w:hAnsi="宋体" w:eastAsia="宋体" w:cs="Calibri"/>
          <w:color w:val="000000" w:themeColor="text1"/>
          <w:szCs w:val="21"/>
          <w:highlight w:val="none"/>
          <w14:textFill>
            <w14:solidFill>
              <w14:schemeClr w14:val="tx1"/>
            </w14:solidFill>
          </w14:textFill>
        </w:rPr>
        <w:t>。</w:t>
      </w:r>
    </w:p>
    <w:p w14:paraId="1A077B9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收到施工组织设计后2天内确认或提出修改意见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24EC9716">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0" w:name="_Toc533863475"/>
      <w:r>
        <w:rPr>
          <w:rFonts w:ascii="宋体" w:hAnsi="宋体" w:eastAsia="宋体" w:cs="Times New Roman"/>
          <w:b/>
          <w:bCs/>
          <w:color w:val="000000" w:themeColor="text1"/>
          <w:szCs w:val="21"/>
          <w:highlight w:val="none"/>
          <w14:textFill>
            <w14:solidFill>
              <w14:schemeClr w14:val="tx1"/>
            </w14:solidFill>
          </w14:textFill>
        </w:rPr>
        <w:t>7</w:t>
      </w:r>
      <w:bookmarkStart w:id="841" w:name="_Toc303539123"/>
      <w:bookmarkStart w:id="842" w:name="_Toc312678005"/>
      <w:bookmarkStart w:id="843" w:name="_Toc304295541"/>
      <w:bookmarkStart w:id="844" w:name="_Toc297123514"/>
      <w:bookmarkStart w:id="845" w:name="_Toc300934966"/>
      <w:bookmarkStart w:id="846" w:name="_Toc312677479"/>
      <w:bookmarkStart w:id="847" w:name="_Toc297216173"/>
      <w:r>
        <w:rPr>
          <w:rFonts w:ascii="宋体" w:hAnsi="宋体" w:eastAsia="宋体" w:cs="Times New Roman"/>
          <w:b/>
          <w:bCs/>
          <w:color w:val="000000" w:themeColor="text1"/>
          <w:szCs w:val="21"/>
          <w:highlight w:val="none"/>
          <w14:textFill>
            <w14:solidFill>
              <w14:schemeClr w14:val="tx1"/>
            </w14:solidFill>
          </w14:textFill>
        </w:rPr>
        <w:t xml:space="preserve">.2 </w:t>
      </w:r>
      <w:r>
        <w:rPr>
          <w:rFonts w:hint="eastAsia" w:ascii="宋体" w:hAnsi="宋体" w:eastAsia="宋体" w:cs="Times New Roman"/>
          <w:b/>
          <w:bCs/>
          <w:color w:val="000000" w:themeColor="text1"/>
          <w:szCs w:val="21"/>
          <w:highlight w:val="none"/>
          <w14:textFill>
            <w14:solidFill>
              <w14:schemeClr w14:val="tx1"/>
            </w14:solidFill>
          </w14:textFill>
        </w:rPr>
        <w:t>施工进度计划</w:t>
      </w:r>
      <w:bookmarkEnd w:id="840"/>
    </w:p>
    <w:p w14:paraId="13FA4F9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7.2.2 </w:t>
      </w:r>
      <w:r>
        <w:rPr>
          <w:rFonts w:hint="eastAsia" w:ascii="宋体" w:hAnsi="宋体" w:eastAsia="宋体" w:cs="Calibri"/>
          <w:color w:val="000000" w:themeColor="text1"/>
          <w:szCs w:val="21"/>
          <w:highlight w:val="none"/>
          <w14:textFill>
            <w14:solidFill>
              <w14:schemeClr w14:val="tx1"/>
            </w14:solidFill>
          </w14:textFill>
        </w:rPr>
        <w:t>施工进度计划的修订</w:t>
      </w:r>
    </w:p>
    <w:p w14:paraId="47ABE5B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收到修订的施工进度计划后2天内确认或提出修改意见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4A7E215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8" w:name="_Toc533863476"/>
      <w:r>
        <w:rPr>
          <w:rFonts w:ascii="宋体" w:hAnsi="宋体" w:eastAsia="宋体" w:cs="Times New Roman"/>
          <w:b/>
          <w:bCs/>
          <w:color w:val="000000" w:themeColor="text1"/>
          <w:szCs w:val="21"/>
          <w:highlight w:val="none"/>
          <w14:textFill>
            <w14:solidFill>
              <w14:schemeClr w14:val="tx1"/>
            </w14:solidFill>
          </w14:textFill>
        </w:rPr>
        <w:t xml:space="preserve">7.3 </w:t>
      </w:r>
      <w:r>
        <w:rPr>
          <w:rFonts w:hint="eastAsia" w:ascii="宋体" w:hAnsi="宋体" w:eastAsia="宋体" w:cs="Times New Roman"/>
          <w:b/>
          <w:bCs/>
          <w:color w:val="000000" w:themeColor="text1"/>
          <w:szCs w:val="21"/>
          <w:highlight w:val="none"/>
          <w14:textFill>
            <w14:solidFill>
              <w14:schemeClr w14:val="tx1"/>
            </w14:solidFill>
          </w14:textFill>
        </w:rPr>
        <w:t>开工</w:t>
      </w:r>
      <w:bookmarkEnd w:id="848"/>
    </w:p>
    <w:bookmarkEnd w:id="841"/>
    <w:bookmarkEnd w:id="842"/>
    <w:bookmarkEnd w:id="843"/>
    <w:bookmarkEnd w:id="844"/>
    <w:bookmarkEnd w:id="845"/>
    <w:bookmarkEnd w:id="846"/>
    <w:bookmarkEnd w:id="847"/>
    <w:p w14:paraId="3159706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7.3.1 </w:t>
      </w:r>
      <w:r>
        <w:rPr>
          <w:rFonts w:hint="eastAsia" w:ascii="宋体" w:hAnsi="宋体" w:eastAsia="宋体" w:cs="Calibri"/>
          <w:color w:val="000000" w:themeColor="text1"/>
          <w:szCs w:val="21"/>
          <w:highlight w:val="none"/>
          <w14:textFill>
            <w14:solidFill>
              <w14:schemeClr w14:val="tx1"/>
            </w14:solidFill>
          </w14:textFill>
        </w:rPr>
        <w:t>开工准备</w:t>
      </w:r>
    </w:p>
    <w:p w14:paraId="17875103">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关于承包人提交</w:t>
      </w:r>
      <w:r>
        <w:rPr>
          <w:rFonts w:hint="eastAsia" w:ascii="宋体" w:hAnsi="宋体" w:eastAsia="宋体" w:cs="Calibri"/>
          <w:color w:val="000000" w:themeColor="text1"/>
          <w:kern w:val="0"/>
          <w:szCs w:val="21"/>
          <w:highlight w:val="none"/>
          <w14:textFill>
            <w14:solidFill>
              <w14:schemeClr w14:val="tx1"/>
            </w14:solidFill>
          </w14:textFill>
        </w:rPr>
        <w:t>工程开工报审表的期限：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30664A">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关于发包人应完成的其他开工准备工作及期限：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DF13AE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9177F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7.3.2</w:t>
      </w:r>
      <w:r>
        <w:rPr>
          <w:rFonts w:hint="eastAsia" w:ascii="宋体" w:hAnsi="宋体" w:eastAsia="宋体" w:cs="Calibri"/>
          <w:color w:val="000000" w:themeColor="text1"/>
          <w:szCs w:val="21"/>
          <w:highlight w:val="none"/>
          <w14:textFill>
            <w14:solidFill>
              <w14:schemeClr w14:val="tx1"/>
            </w14:solidFill>
          </w14:textFill>
        </w:rPr>
        <w:t xml:space="preserve"> 开工通知</w:t>
      </w:r>
    </w:p>
    <w:p w14:paraId="776EC3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因发包人原因造成监理人未能在计划开工日期之日起</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90</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天内发出开工通知的，承包人有权提出价格调整要求，或者解除合同。</w:t>
      </w:r>
    </w:p>
    <w:p w14:paraId="5DF03A4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9" w:name="_Toc533863477"/>
      <w:r>
        <w:rPr>
          <w:rFonts w:ascii="宋体" w:hAnsi="宋体" w:eastAsia="宋体" w:cs="Times New Roman"/>
          <w:b/>
          <w:bCs/>
          <w:color w:val="000000" w:themeColor="text1"/>
          <w:szCs w:val="21"/>
          <w:highlight w:val="none"/>
          <w14:textFill>
            <w14:solidFill>
              <w14:schemeClr w14:val="tx1"/>
            </w14:solidFill>
          </w14:textFill>
        </w:rPr>
        <w:t xml:space="preserve">7.4 </w:t>
      </w:r>
      <w:r>
        <w:rPr>
          <w:rFonts w:hint="eastAsia" w:ascii="宋体" w:hAnsi="宋体" w:eastAsia="宋体" w:cs="Times New Roman"/>
          <w:b/>
          <w:bCs/>
          <w:color w:val="000000" w:themeColor="text1"/>
          <w:szCs w:val="21"/>
          <w:highlight w:val="none"/>
          <w14:textFill>
            <w14:solidFill>
              <w14:schemeClr w14:val="tx1"/>
            </w14:solidFill>
          </w14:textFill>
        </w:rPr>
        <w:t>测量放线</w:t>
      </w:r>
      <w:bookmarkEnd w:id="849"/>
    </w:p>
    <w:p w14:paraId="72F64F9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7.4.1</w:t>
      </w:r>
      <w:r>
        <w:rPr>
          <w:rFonts w:hint="eastAsia" w:ascii="宋体" w:hAnsi="宋体" w:eastAsia="宋体" w:cs="Calibri"/>
          <w:color w:val="000000" w:themeColor="text1"/>
          <w:szCs w:val="21"/>
          <w:highlight w:val="none"/>
          <w14:textFill>
            <w14:solidFill>
              <w14:schemeClr w14:val="tx1"/>
            </w14:solidFill>
          </w14:textFill>
        </w:rPr>
        <w:t>发包人通过监理人向承包人提供测量基准点、基准线和水准点及其书面资料的期限：</w:t>
      </w:r>
    </w:p>
    <w:p w14:paraId="147285E4">
      <w:pPr>
        <w:spacing w:line="360" w:lineRule="auto"/>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1643B4F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0" w:name="_Toc533863478"/>
      <w:r>
        <w:rPr>
          <w:rFonts w:ascii="宋体" w:hAnsi="宋体" w:eastAsia="宋体" w:cs="Times New Roman"/>
          <w:b/>
          <w:bCs/>
          <w:color w:val="000000" w:themeColor="text1"/>
          <w:szCs w:val="21"/>
          <w:highlight w:val="none"/>
          <w14:textFill>
            <w14:solidFill>
              <w14:schemeClr w14:val="tx1"/>
            </w14:solidFill>
          </w14:textFill>
        </w:rPr>
        <w:t>7</w:t>
      </w:r>
      <w:bookmarkStart w:id="851" w:name="_Toc297123516"/>
      <w:bookmarkStart w:id="852" w:name="_Toc297216175"/>
      <w:bookmarkStart w:id="853" w:name="_Toc300934968"/>
      <w:bookmarkStart w:id="854" w:name="_Toc312678010"/>
      <w:bookmarkStart w:id="855" w:name="_Toc304295546"/>
      <w:bookmarkStart w:id="856" w:name="_Toc303539125"/>
      <w:bookmarkStart w:id="857" w:name="_Toc312677484"/>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工期延误</w:t>
      </w:r>
      <w:bookmarkEnd w:id="850"/>
    </w:p>
    <w:bookmarkEnd w:id="851"/>
    <w:bookmarkEnd w:id="852"/>
    <w:bookmarkEnd w:id="853"/>
    <w:bookmarkEnd w:id="854"/>
    <w:bookmarkEnd w:id="855"/>
    <w:bookmarkEnd w:id="856"/>
    <w:bookmarkEnd w:id="857"/>
    <w:p w14:paraId="38C0C2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7.5.1 </w:t>
      </w:r>
      <w:r>
        <w:rPr>
          <w:rFonts w:hint="eastAsia" w:ascii="宋体" w:hAnsi="宋体" w:eastAsia="宋体" w:cs="Calibri"/>
          <w:color w:val="000000" w:themeColor="text1"/>
          <w:szCs w:val="21"/>
          <w:highlight w:val="none"/>
          <w14:textFill>
            <w14:solidFill>
              <w14:schemeClr w14:val="tx1"/>
            </w14:solidFill>
          </w14:textFill>
        </w:rPr>
        <w:t>因发包人原因导致工期延误</w:t>
      </w:r>
    </w:p>
    <w:p w14:paraId="7CEDF7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）因发包人原因导致工期延误的其他情形：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p>
    <w:p w14:paraId="63130ED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7.5.2 </w:t>
      </w:r>
      <w:r>
        <w:rPr>
          <w:rFonts w:hint="eastAsia" w:ascii="宋体" w:hAnsi="宋体" w:eastAsia="宋体" w:cs="Calibri"/>
          <w:color w:val="000000" w:themeColor="text1"/>
          <w:szCs w:val="21"/>
          <w:highlight w:val="none"/>
          <w14:textFill>
            <w14:solidFill>
              <w14:schemeClr w14:val="tx1"/>
            </w14:solidFill>
          </w14:textFill>
        </w:rPr>
        <w:t>因承包人原因导致工期延误</w:t>
      </w:r>
    </w:p>
    <w:p w14:paraId="602F78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双方约定经监理工程师确认，工期相应顺延的情况：</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E364C1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因承包人原因造成工期延误，逾期竣工违约金的计算方法为：</w:t>
      </w:r>
      <w:r>
        <w:rPr>
          <w:rFonts w:hint="eastAsia" w:ascii="宋体" w:hAnsi="宋体" w:eastAsia="宋体" w:cs="Calibri"/>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价款扣除建安劳保费、发包人材料价款、暂估专业工程、暂列金额后的万分之二），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2DFF73F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因承包人原因造成工期延误，逾期竣工违约金的上限：</w:t>
      </w:r>
      <w:r>
        <w:rPr>
          <w:rFonts w:hint="eastAsia" w:ascii="宋体" w:hAnsi="宋体" w:eastAsia="宋体" w:cs="Calibri"/>
          <w:color w:val="000000" w:themeColor="text1"/>
          <w:szCs w:val="21"/>
          <w:highlight w:val="none"/>
          <w:u w:val="single"/>
          <w14:textFill>
            <w14:solidFill>
              <w14:schemeClr w14:val="tx1"/>
            </w14:solidFill>
          </w14:textFill>
        </w:rPr>
        <w:t>合同价款扣除建安劳保费、发包人材料价款、暂估专业工程、暂列金额后的</w:t>
      </w:r>
      <w:r>
        <w:rPr>
          <w:rFonts w:ascii="宋体" w:hAnsi="宋体" w:eastAsia="宋体" w:cs="Calibri"/>
          <w:color w:val="000000" w:themeColor="text1"/>
          <w:sz w:val="24"/>
          <w:szCs w:val="24"/>
          <w:highlight w:val="none"/>
          <w:u w:val="single"/>
          <w14:textFill>
            <w14:solidFill>
              <w14:schemeClr w14:val="tx1"/>
            </w14:solidFill>
          </w14:textFill>
        </w:rPr>
        <w:t>1</w:t>
      </w:r>
      <w:r>
        <w:rPr>
          <w:rFonts w:hint="eastAsia" w:ascii="宋体" w:hAnsi="宋体" w:eastAsia="宋体" w:cs="Calibri"/>
          <w:color w:val="000000" w:themeColor="text1"/>
          <w:sz w:val="24"/>
          <w:szCs w:val="24"/>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668AA70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8" w:name="_Toc533863479"/>
      <w:r>
        <w:rPr>
          <w:rFonts w:ascii="宋体" w:hAnsi="宋体" w:eastAsia="宋体" w:cs="Times New Roman"/>
          <w:b/>
          <w:bCs/>
          <w:color w:val="000000" w:themeColor="text1"/>
          <w:szCs w:val="21"/>
          <w:highlight w:val="none"/>
          <w14:textFill>
            <w14:solidFill>
              <w14:schemeClr w14:val="tx1"/>
            </w14:solidFill>
          </w14:textFill>
        </w:rPr>
        <w:t>7</w:t>
      </w:r>
      <w:bookmarkStart w:id="859" w:name="_Toc312678015"/>
      <w:bookmarkStart w:id="860" w:name="_Toc303539128"/>
      <w:bookmarkStart w:id="861" w:name="_Toc300934971"/>
      <w:bookmarkStart w:id="862" w:name="_Toc297123519"/>
      <w:bookmarkStart w:id="863" w:name="_Toc297216178"/>
      <w:bookmarkStart w:id="864" w:name="_Toc304295549"/>
      <w:r>
        <w:rPr>
          <w:rFonts w:ascii="宋体" w:hAnsi="宋体" w:eastAsia="宋体" w:cs="Times New Roman"/>
          <w:b/>
          <w:bCs/>
          <w:color w:val="000000" w:themeColor="text1"/>
          <w:szCs w:val="21"/>
          <w:highlight w:val="none"/>
          <w14:textFill>
            <w14:solidFill>
              <w14:schemeClr w14:val="tx1"/>
            </w14:solidFill>
          </w14:textFill>
        </w:rPr>
        <w:t xml:space="preserve">.6 </w:t>
      </w:r>
      <w:r>
        <w:rPr>
          <w:rFonts w:hint="eastAsia" w:ascii="宋体" w:hAnsi="宋体" w:eastAsia="宋体" w:cs="Times New Roman"/>
          <w:b/>
          <w:bCs/>
          <w:color w:val="000000" w:themeColor="text1"/>
          <w:szCs w:val="21"/>
          <w:highlight w:val="none"/>
          <w14:textFill>
            <w14:solidFill>
              <w14:schemeClr w14:val="tx1"/>
            </w14:solidFill>
          </w14:textFill>
        </w:rPr>
        <w:t>不</w:t>
      </w:r>
      <w:bookmarkEnd w:id="859"/>
      <w:bookmarkEnd w:id="860"/>
      <w:bookmarkEnd w:id="861"/>
      <w:bookmarkEnd w:id="862"/>
      <w:bookmarkEnd w:id="863"/>
      <w:bookmarkEnd w:id="864"/>
      <w:r>
        <w:rPr>
          <w:rFonts w:hint="eastAsia" w:ascii="宋体" w:hAnsi="宋体" w:eastAsia="宋体" w:cs="Times New Roman"/>
          <w:b/>
          <w:bCs/>
          <w:color w:val="000000" w:themeColor="text1"/>
          <w:szCs w:val="21"/>
          <w:highlight w:val="none"/>
          <w14:textFill>
            <w14:solidFill>
              <w14:schemeClr w14:val="tx1"/>
            </w14:solidFill>
          </w14:textFill>
        </w:rPr>
        <w:t>利物质条件</w:t>
      </w:r>
      <w:bookmarkEnd w:id="858"/>
    </w:p>
    <w:p w14:paraId="5C3BBA2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不利物质条件的其他情形和有关约定：</w:t>
      </w:r>
      <w:r>
        <w:rPr>
          <w:rFonts w:hint="eastAsia" w:ascii="宋体" w:hAnsi="宋体" w:eastAsia="宋体" w:cs="Calibri"/>
          <w:color w:val="000000" w:themeColor="text1"/>
          <w:szCs w:val="21"/>
          <w:highlight w:val="none"/>
          <w:u w:val="single"/>
          <w14:textFill>
            <w14:solidFill>
              <w14:schemeClr w14:val="tx1"/>
            </w14:solidFill>
          </w14:textFill>
        </w:rPr>
        <w:t>按《通用合同条款》7.6条执行</w:t>
      </w:r>
      <w:r>
        <w:rPr>
          <w:rFonts w:hint="eastAsia" w:ascii="宋体" w:hAnsi="宋体" w:eastAsia="宋体" w:cs="Calibri"/>
          <w:color w:val="000000" w:themeColor="text1"/>
          <w:szCs w:val="21"/>
          <w:highlight w:val="none"/>
          <w14:textFill>
            <w14:solidFill>
              <w14:schemeClr w14:val="tx1"/>
            </w14:solidFill>
          </w14:textFill>
        </w:rPr>
        <w:t>。</w:t>
      </w:r>
    </w:p>
    <w:p w14:paraId="78471B4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65" w:name="_Toc533863480"/>
      <w:r>
        <w:rPr>
          <w:rFonts w:ascii="宋体" w:hAnsi="宋体" w:eastAsia="宋体" w:cs="Times New Roman"/>
          <w:b/>
          <w:bCs/>
          <w:color w:val="000000" w:themeColor="text1"/>
          <w:szCs w:val="21"/>
          <w:highlight w:val="none"/>
          <w14:textFill>
            <w14:solidFill>
              <w14:schemeClr w14:val="tx1"/>
            </w14:solidFill>
          </w14:textFill>
        </w:rPr>
        <w:t>7</w:t>
      </w:r>
      <w:bookmarkStart w:id="866" w:name="_Toc312678017"/>
      <w:bookmarkStart w:id="867" w:name="_Toc297216180"/>
      <w:bookmarkStart w:id="868" w:name="_Toc304295551"/>
      <w:bookmarkStart w:id="869" w:name="_Toc297123521"/>
      <w:bookmarkStart w:id="870" w:name="_Toc303539130"/>
      <w:bookmarkStart w:id="871" w:name="_Toc300934973"/>
      <w:r>
        <w:rPr>
          <w:rFonts w:ascii="宋体" w:hAnsi="宋体" w:eastAsia="宋体" w:cs="Times New Roman"/>
          <w:b/>
          <w:bCs/>
          <w:color w:val="000000" w:themeColor="text1"/>
          <w:szCs w:val="21"/>
          <w:highlight w:val="none"/>
          <w14:textFill>
            <w14:solidFill>
              <w14:schemeClr w14:val="tx1"/>
            </w14:solidFill>
          </w14:textFill>
        </w:rPr>
        <w:t>.7</w:t>
      </w:r>
      <w:r>
        <w:rPr>
          <w:rFonts w:hint="eastAsia" w:ascii="宋体" w:hAnsi="宋体" w:eastAsia="宋体" w:cs="Times New Roman"/>
          <w:b/>
          <w:bCs/>
          <w:color w:val="000000" w:themeColor="text1"/>
          <w:szCs w:val="21"/>
          <w:highlight w:val="none"/>
          <w14:textFill>
            <w14:solidFill>
              <w14:schemeClr w14:val="tx1"/>
            </w14:solidFill>
          </w14:textFill>
        </w:rPr>
        <w:t>异常恶劣的气候条件</w:t>
      </w:r>
      <w:bookmarkEnd w:id="865"/>
    </w:p>
    <w:bookmarkEnd w:id="866"/>
    <w:bookmarkEnd w:id="867"/>
    <w:bookmarkEnd w:id="868"/>
    <w:bookmarkEnd w:id="869"/>
    <w:bookmarkEnd w:id="870"/>
    <w:bookmarkEnd w:id="871"/>
    <w:p w14:paraId="336752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发包人和承包人同意以下情形视为异常恶劣的气候条件：</w:t>
      </w:r>
    </w:p>
    <w:p w14:paraId="74B7D6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5年一遇强度的降水；</w:t>
      </w:r>
    </w:p>
    <w:p w14:paraId="3F2066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6级以上大风；</w:t>
      </w:r>
    </w:p>
    <w:p w14:paraId="3ADAA45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室内气温40℃及以上。</w:t>
      </w:r>
    </w:p>
    <w:p w14:paraId="62928791">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2" w:name="_Toc533863481"/>
      <w:r>
        <w:rPr>
          <w:rFonts w:ascii="宋体" w:hAnsi="宋体" w:eastAsia="宋体" w:cs="Times New Roman"/>
          <w:b/>
          <w:bCs/>
          <w:color w:val="000000" w:themeColor="text1"/>
          <w:szCs w:val="21"/>
          <w:highlight w:val="none"/>
          <w14:textFill>
            <w14:solidFill>
              <w14:schemeClr w14:val="tx1"/>
            </w14:solidFill>
          </w14:textFill>
        </w:rPr>
        <w:t xml:space="preserve">7.9 </w:t>
      </w:r>
      <w:r>
        <w:rPr>
          <w:rFonts w:hint="eastAsia" w:ascii="宋体" w:hAnsi="宋体" w:eastAsia="宋体" w:cs="Times New Roman"/>
          <w:b/>
          <w:bCs/>
          <w:color w:val="000000" w:themeColor="text1"/>
          <w:szCs w:val="21"/>
          <w:highlight w:val="none"/>
          <w14:textFill>
            <w14:solidFill>
              <w14:schemeClr w14:val="tx1"/>
            </w14:solidFill>
          </w14:textFill>
        </w:rPr>
        <w:t>提前竣工的奖励</w:t>
      </w:r>
      <w:bookmarkEnd w:id="872"/>
    </w:p>
    <w:p w14:paraId="74340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873" w:name="_Toc351203640"/>
      <w:r>
        <w:rPr>
          <w:rFonts w:ascii="宋体" w:hAnsi="宋体" w:eastAsia="宋体" w:cs="宋体"/>
          <w:color w:val="000000" w:themeColor="text1"/>
          <w:szCs w:val="21"/>
          <w:highlight w:val="none"/>
          <w14:textFill>
            <w14:solidFill>
              <w14:schemeClr w14:val="tx1"/>
            </w14:solidFill>
          </w14:textFill>
        </w:rPr>
        <w:t>7.9.2</w:t>
      </w:r>
      <w:r>
        <w:rPr>
          <w:rFonts w:hint="eastAsia" w:ascii="宋体" w:hAnsi="宋体" w:eastAsia="宋体" w:cs="Calibri"/>
          <w:color w:val="000000" w:themeColor="text1"/>
          <w:szCs w:val="21"/>
          <w:highlight w:val="none"/>
          <w14:textFill>
            <w14:solidFill>
              <w14:schemeClr w14:val="tx1"/>
            </w14:solidFill>
          </w14:textFill>
        </w:rPr>
        <w:t>提前竣工（赶工）增加费的计算方法：</w:t>
      </w:r>
      <w:r>
        <w:rPr>
          <w:rFonts w:hint="eastAsia" w:ascii="宋体" w:hAnsi="宋体" w:eastAsia="宋体" w:cs="Calibri"/>
          <w:color w:val="000000" w:themeColor="text1"/>
          <w:szCs w:val="21"/>
          <w:highlight w:val="none"/>
          <w:u w:val="single"/>
          <w14:textFill>
            <w14:solidFill>
              <w14:schemeClr w14:val="tx1"/>
            </w14:solidFill>
          </w14:textFill>
        </w:rPr>
        <w:t>双方另议</w:t>
      </w:r>
      <w:r>
        <w:rPr>
          <w:rFonts w:hint="eastAsia" w:ascii="宋体" w:hAnsi="宋体" w:eastAsia="宋体" w:cs="Calibri"/>
          <w:color w:val="000000" w:themeColor="text1"/>
          <w:szCs w:val="21"/>
          <w:highlight w:val="none"/>
          <w14:textFill>
            <w14:solidFill>
              <w14:schemeClr w14:val="tx1"/>
            </w14:solidFill>
          </w14:textFill>
        </w:rPr>
        <w:t>。</w:t>
      </w:r>
    </w:p>
    <w:p w14:paraId="0827282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74" w:name="_Toc16024"/>
      <w:bookmarkStart w:id="875" w:name="_Toc533863482"/>
      <w:r>
        <w:rPr>
          <w:rFonts w:ascii="宋体" w:hAnsi="宋体" w:eastAsia="宋体" w:cs="Times New Roman"/>
          <w:b/>
          <w:bCs/>
          <w:color w:val="000000" w:themeColor="text1"/>
          <w:szCs w:val="21"/>
          <w:highlight w:val="none"/>
          <w14:textFill>
            <w14:solidFill>
              <w14:schemeClr w14:val="tx1"/>
            </w14:solidFill>
          </w14:textFill>
        </w:rPr>
        <w:t xml:space="preserve">8. </w:t>
      </w:r>
      <w:r>
        <w:rPr>
          <w:rFonts w:hint="eastAsia" w:ascii="宋体" w:hAnsi="宋体" w:eastAsia="宋体" w:cs="Times New Roman"/>
          <w:b/>
          <w:bCs/>
          <w:color w:val="000000" w:themeColor="text1"/>
          <w:szCs w:val="21"/>
          <w:highlight w:val="none"/>
          <w14:textFill>
            <w14:solidFill>
              <w14:schemeClr w14:val="tx1"/>
            </w14:solidFill>
          </w14:textFill>
        </w:rPr>
        <w:t>材料与设备</w:t>
      </w:r>
      <w:bookmarkEnd w:id="873"/>
      <w:bookmarkEnd w:id="874"/>
      <w:bookmarkEnd w:id="875"/>
    </w:p>
    <w:bookmarkEnd w:id="814"/>
    <w:bookmarkEnd w:id="815"/>
    <w:bookmarkEnd w:id="816"/>
    <w:bookmarkEnd w:id="817"/>
    <w:bookmarkEnd w:id="818"/>
    <w:bookmarkEnd w:id="819"/>
    <w:bookmarkEnd w:id="820"/>
    <w:bookmarkEnd w:id="821"/>
    <w:bookmarkEnd w:id="822"/>
    <w:bookmarkEnd w:id="823"/>
    <w:p w14:paraId="2E13C97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6" w:name="_Toc533863483"/>
      <w:r>
        <w:rPr>
          <w:rFonts w:ascii="宋体" w:hAnsi="宋体" w:eastAsia="宋体" w:cs="Times New Roman"/>
          <w:b/>
          <w:bCs/>
          <w:color w:val="000000" w:themeColor="text1"/>
          <w:szCs w:val="21"/>
          <w:highlight w:val="none"/>
          <w14:textFill>
            <w14:solidFill>
              <w14:schemeClr w14:val="tx1"/>
            </w14:solidFill>
          </w14:textFill>
        </w:rPr>
        <w:t>8</w:t>
      </w:r>
      <w:bookmarkStart w:id="877" w:name="_Toc292559877"/>
      <w:bookmarkStart w:id="878" w:name="_Toc296503167"/>
      <w:bookmarkStart w:id="879" w:name="_Toc292559372"/>
      <w:bookmarkStart w:id="880" w:name="_Toc312678019"/>
      <w:bookmarkStart w:id="881" w:name="_Toc297048353"/>
      <w:bookmarkStart w:id="882" w:name="_Toc296346668"/>
      <w:bookmarkStart w:id="883" w:name="_Toc296890995"/>
      <w:bookmarkStart w:id="884" w:name="_Toc303539136"/>
      <w:bookmarkStart w:id="885" w:name="_Toc280868654"/>
      <w:bookmarkStart w:id="886" w:name="_Toc297120467"/>
      <w:bookmarkStart w:id="887" w:name="_Toc300934979"/>
      <w:bookmarkStart w:id="888" w:name="_Toc296891207"/>
      <w:bookmarkStart w:id="889" w:name="_Toc297123527"/>
      <w:bookmarkStart w:id="890" w:name="_Toc296347166"/>
      <w:bookmarkStart w:id="891" w:name="_Toc304295556"/>
      <w:bookmarkStart w:id="892" w:name="_Toc297216186"/>
      <w:bookmarkStart w:id="893" w:name="_Toc296944506"/>
      <w:bookmarkStart w:id="894" w:name="_Toc312677493"/>
      <w:bookmarkStart w:id="895" w:name="_Toc280868656"/>
      <w:bookmarkStart w:id="896" w:name="_Toc267251424"/>
      <w:bookmarkStart w:id="897" w:name="_Toc280868655"/>
      <w:r>
        <w:rPr>
          <w:rFonts w:ascii="宋体" w:hAnsi="宋体" w:eastAsia="宋体" w:cs="Times New Roman"/>
          <w:b/>
          <w:bCs/>
          <w:color w:val="000000" w:themeColor="text1"/>
          <w:szCs w:val="21"/>
          <w:highlight w:val="none"/>
          <w14:textFill>
            <w14:solidFill>
              <w14:schemeClr w14:val="tx1"/>
            </w14:solidFill>
          </w14:textFill>
        </w:rPr>
        <w:t>.4</w:t>
      </w:r>
      <w:r>
        <w:rPr>
          <w:rFonts w:hint="eastAsia" w:ascii="宋体" w:hAnsi="宋体" w:eastAsia="宋体" w:cs="Times New Roman"/>
          <w:b/>
          <w:bCs/>
          <w:color w:val="000000" w:themeColor="text1"/>
          <w:szCs w:val="21"/>
          <w:highlight w:val="none"/>
          <w14:textFill>
            <w14:solidFill>
              <w14:schemeClr w14:val="tx1"/>
            </w14:solidFill>
          </w14:textFill>
        </w:rPr>
        <w:t>材料与工程设备的保管与使用</w:t>
      </w:r>
      <w:bookmarkEnd w:id="876"/>
    </w:p>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14:paraId="11F9490D">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898" w:name="_Toc13613"/>
      <w:bookmarkStart w:id="899" w:name="_Toc19404"/>
      <w:bookmarkStart w:id="900" w:name="_Toc15119"/>
      <w:bookmarkStart w:id="901" w:name="_Toc30340"/>
      <w:bookmarkStart w:id="902" w:name="_Toc533863484"/>
      <w:bookmarkStart w:id="903" w:name="_Toc28182"/>
      <w:bookmarkStart w:id="904" w:name="_Toc296890996"/>
      <w:bookmarkStart w:id="905" w:name="_Toc296346669"/>
      <w:bookmarkStart w:id="906" w:name="_Toc300934980"/>
      <w:bookmarkStart w:id="907" w:name="_Toc304295557"/>
      <w:bookmarkStart w:id="908" w:name="_Toc296944507"/>
      <w:bookmarkStart w:id="909" w:name="_Toc318581173"/>
      <w:bookmarkStart w:id="910" w:name="_Toc312677494"/>
      <w:bookmarkStart w:id="911" w:name="_Toc297123528"/>
      <w:bookmarkStart w:id="912" w:name="_Toc303539137"/>
      <w:bookmarkStart w:id="913" w:name="_Toc296503168"/>
      <w:bookmarkStart w:id="914" w:name="_Toc296347167"/>
      <w:bookmarkStart w:id="915" w:name="_Toc297048354"/>
      <w:bookmarkStart w:id="916" w:name="_Toc312678020"/>
      <w:bookmarkStart w:id="917" w:name="_Toc297216187"/>
      <w:bookmarkStart w:id="918" w:name="_Toc296891208"/>
      <w:bookmarkStart w:id="919" w:name="_Toc297120468"/>
      <w:r>
        <w:rPr>
          <w:rFonts w:ascii="宋体" w:hAnsi="宋体" w:eastAsia="宋体" w:cs="宋体"/>
          <w:color w:val="000000" w:themeColor="text1"/>
          <w:szCs w:val="21"/>
          <w:highlight w:val="none"/>
          <w14:textFill>
            <w14:solidFill>
              <w14:schemeClr w14:val="tx1"/>
            </w14:solidFill>
          </w14:textFill>
        </w:rPr>
        <w:t>8.4.1</w:t>
      </w:r>
      <w:r>
        <w:rPr>
          <w:rFonts w:hint="eastAsia" w:ascii="宋体" w:hAnsi="宋体" w:eastAsia="宋体" w:cs="Calibri"/>
          <w:color w:val="000000" w:themeColor="text1"/>
          <w:szCs w:val="21"/>
          <w:highlight w:val="none"/>
          <w14:textFill>
            <w14:solidFill>
              <w14:schemeClr w14:val="tx1"/>
            </w14:solidFill>
          </w14:textFill>
        </w:rPr>
        <w:t>发包人供应的材料设备的保管费用的承担：</w:t>
      </w:r>
      <w:r>
        <w:rPr>
          <w:rFonts w:hint="eastAsia" w:ascii="宋体" w:hAnsi="宋体" w:eastAsia="宋体" w:cs="Calibri"/>
          <w:color w:val="000000" w:themeColor="text1"/>
          <w:szCs w:val="21"/>
          <w:highlight w:val="none"/>
          <w:u w:val="single"/>
          <w14:textFill>
            <w14:solidFill>
              <w14:schemeClr w14:val="tx1"/>
            </w14:solidFill>
          </w14:textFill>
        </w:rPr>
        <w:t>由承包人在报价中考虑并承担相应费用</w:t>
      </w:r>
      <w:r>
        <w:rPr>
          <w:rFonts w:hint="eastAsia" w:ascii="宋体" w:hAnsi="宋体" w:eastAsia="宋体" w:cs="Calibri"/>
          <w:color w:val="000000" w:themeColor="text1"/>
          <w:szCs w:val="21"/>
          <w:highlight w:val="none"/>
          <w14:textFill>
            <w14:solidFill>
              <w14:schemeClr w14:val="tx1"/>
            </w14:solidFill>
          </w14:textFill>
        </w:rPr>
        <w:t>。</w:t>
      </w:r>
      <w:bookmarkEnd w:id="898"/>
      <w:bookmarkEnd w:id="899"/>
      <w:bookmarkEnd w:id="900"/>
      <w:bookmarkEnd w:id="901"/>
      <w:bookmarkEnd w:id="902"/>
      <w:bookmarkEnd w:id="903"/>
    </w:p>
    <w:p w14:paraId="57933B6F">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8.4.2</w:t>
      </w:r>
      <w:r>
        <w:rPr>
          <w:rFonts w:hint="eastAsia" w:ascii="宋体" w:hAnsi="宋体" w:eastAsia="宋体" w:cs="Times New Roman"/>
          <w:color w:val="000000" w:themeColor="text1"/>
          <w:szCs w:val="21"/>
          <w:highlight w:val="none"/>
          <w14:textFill>
            <w14:solidFill>
              <w14:schemeClr w14:val="tx1"/>
            </w14:solidFill>
          </w14:textFill>
        </w:rPr>
        <w:t>本工程施工用水用电由发包人提供，用水用电费用按实际支出经双方核定确认后由发包人在工程结算中直接扣除。</w:t>
      </w:r>
    </w:p>
    <w:p w14:paraId="2131A19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0" w:name="_Toc533863485"/>
      <w:r>
        <w:rPr>
          <w:rFonts w:ascii="宋体" w:hAnsi="宋体" w:eastAsia="宋体" w:cs="Times New Roman"/>
          <w:b/>
          <w:bCs/>
          <w:color w:val="000000" w:themeColor="text1"/>
          <w:szCs w:val="21"/>
          <w:highlight w:val="none"/>
          <w14:textFill>
            <w14:solidFill>
              <w14:schemeClr w14:val="tx1"/>
            </w14:solidFill>
          </w14:textFill>
        </w:rPr>
        <w:t xml:space="preserve">8.6 </w:t>
      </w:r>
      <w:r>
        <w:rPr>
          <w:rFonts w:hint="eastAsia" w:ascii="宋体" w:hAnsi="宋体" w:eastAsia="宋体" w:cs="Times New Roman"/>
          <w:b/>
          <w:bCs/>
          <w:color w:val="000000" w:themeColor="text1"/>
          <w:szCs w:val="21"/>
          <w:highlight w:val="none"/>
          <w14:textFill>
            <w14:solidFill>
              <w14:schemeClr w14:val="tx1"/>
            </w14:solidFill>
          </w14:textFill>
        </w:rPr>
        <w:t>样品</w:t>
      </w:r>
      <w:bookmarkEnd w:id="920"/>
    </w:p>
    <w:p w14:paraId="648C5B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Calibri"/>
          <w:color w:val="000000" w:themeColor="text1"/>
          <w:kern w:val="0"/>
          <w:szCs w:val="21"/>
          <w:highlight w:val="none"/>
          <w14:textFill>
            <w14:solidFill>
              <w14:schemeClr w14:val="tx1"/>
            </w14:solidFill>
          </w14:textFill>
        </w:rPr>
        <w:t xml:space="preserve"> 样品的报送与封存</w:t>
      </w:r>
    </w:p>
    <w:p w14:paraId="31BE45A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需要承包人报送样品的材料或工程设备，样品的种类、名称、规格、数量要求：</w:t>
      </w:r>
      <w:r>
        <w:rPr>
          <w:rFonts w:hint="eastAsia" w:ascii="宋体" w:hAnsi="宋体" w:eastAsia="宋体" w:cs="Calibri"/>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p>
    <w:p w14:paraId="233DC2D3">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1" w:name="_Toc533863486"/>
      <w:r>
        <w:rPr>
          <w:rFonts w:ascii="宋体" w:hAnsi="宋体" w:eastAsia="宋体" w:cs="Times New Roman"/>
          <w:b/>
          <w:bCs/>
          <w:color w:val="000000" w:themeColor="text1"/>
          <w:szCs w:val="21"/>
          <w:highlight w:val="none"/>
          <w14:textFill>
            <w14:solidFill>
              <w14:schemeClr w14:val="tx1"/>
            </w14:solidFill>
          </w14:textFill>
        </w:rPr>
        <w:t xml:space="preserve">8.8 </w:t>
      </w:r>
      <w:r>
        <w:rPr>
          <w:rFonts w:hint="eastAsia" w:ascii="宋体" w:hAnsi="宋体" w:eastAsia="宋体" w:cs="Times New Roman"/>
          <w:b/>
          <w:bCs/>
          <w:color w:val="000000" w:themeColor="text1"/>
          <w:szCs w:val="21"/>
          <w:highlight w:val="none"/>
          <w14:textFill>
            <w14:solidFill>
              <w14:schemeClr w14:val="tx1"/>
            </w14:solidFill>
          </w14:textFill>
        </w:rPr>
        <w:t>施工设备和临时设施</w:t>
      </w:r>
      <w:bookmarkEnd w:id="921"/>
    </w:p>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14:paraId="203F4AAC">
      <w:pPr>
        <w:autoSpaceDE w:val="0"/>
        <w:autoSpaceDN w:val="0"/>
        <w:adjustRightInd w:val="0"/>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922" w:name="_Toc20397"/>
      <w:bookmarkStart w:id="923" w:name="_Toc533863487"/>
      <w:bookmarkStart w:id="924" w:name="_Toc24071"/>
      <w:bookmarkStart w:id="925" w:name="_Toc4269"/>
      <w:bookmarkStart w:id="926" w:name="_Toc6092"/>
      <w:bookmarkStart w:id="927" w:name="_Toc9097"/>
      <w:bookmarkStart w:id="928" w:name="_Toc351203641"/>
      <w:r>
        <w:rPr>
          <w:rFonts w:ascii="宋体" w:hAnsi="宋体" w:eastAsia="宋体" w:cs="宋体"/>
          <w:color w:val="000000" w:themeColor="text1"/>
          <w:szCs w:val="21"/>
          <w:highlight w:val="none"/>
          <w14:textFill>
            <w14:solidFill>
              <w14:schemeClr w14:val="tx1"/>
            </w14:solidFill>
          </w14:textFill>
        </w:rPr>
        <w:t xml:space="preserve">8.8.1 </w:t>
      </w:r>
      <w:r>
        <w:rPr>
          <w:rFonts w:hint="eastAsia" w:ascii="宋体" w:hAnsi="宋体" w:eastAsia="宋体" w:cs="Calibri"/>
          <w:color w:val="000000" w:themeColor="text1"/>
          <w:szCs w:val="21"/>
          <w:highlight w:val="none"/>
          <w14:textFill>
            <w14:solidFill>
              <w14:schemeClr w14:val="tx1"/>
            </w14:solidFill>
          </w14:textFill>
        </w:rPr>
        <w:t>承包人提供的施工设备和临时设施</w:t>
      </w:r>
      <w:bookmarkEnd w:id="922"/>
      <w:bookmarkEnd w:id="923"/>
      <w:bookmarkEnd w:id="924"/>
      <w:bookmarkEnd w:id="925"/>
      <w:bookmarkEnd w:id="926"/>
      <w:bookmarkEnd w:id="927"/>
    </w:p>
    <w:p w14:paraId="4BE41EF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4299D73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关于修建临时设施费用承担的约定：</w:t>
      </w:r>
    </w:p>
    <w:p w14:paraId="43E7C3C4">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①承包人的临时用地（含项目部驻地等）租用费（含拆迁补偿）、临时用地的环保、恢复、临时用地的青苗补偿及地面附着物拆除等费用均由承包人负责，以上费用在投标报价中综合考虑。</w:t>
      </w:r>
    </w:p>
    <w:p w14:paraId="15D1797D">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24CDA763">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537168B">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8.8.2 </w:t>
      </w: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p>
    <w:p w14:paraId="1A6324B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5EF109B">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发包人提供的施工设备和临时设施的运行、维护、拆除、清运费用的承担人：</w:t>
      </w:r>
      <w:r>
        <w:rPr>
          <w:rFonts w:hint="eastAsia" w:ascii="宋体" w:hAnsi="宋体" w:eastAsia="宋体" w:cs="Calibri"/>
          <w:color w:val="000000" w:themeColor="text1"/>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szCs w:val="21"/>
          <w:highlight w:val="none"/>
          <w14:textFill>
            <w14:solidFill>
              <w14:schemeClr w14:val="tx1"/>
            </w14:solidFill>
          </w14:textFill>
        </w:rPr>
        <w:t>。</w:t>
      </w:r>
    </w:p>
    <w:p w14:paraId="759C2467">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29" w:name="_Toc533863488"/>
      <w:bookmarkStart w:id="930" w:name="_Toc3577"/>
      <w:r>
        <w:rPr>
          <w:rFonts w:ascii="宋体" w:hAnsi="宋体" w:eastAsia="宋体" w:cs="Times New Roman"/>
          <w:b/>
          <w:bCs/>
          <w:color w:val="000000" w:themeColor="text1"/>
          <w:szCs w:val="21"/>
          <w:highlight w:val="none"/>
          <w14:textFill>
            <w14:solidFill>
              <w14:schemeClr w14:val="tx1"/>
            </w14:solidFill>
          </w14:textFill>
        </w:rPr>
        <w:t>9</w:t>
      </w:r>
      <w:bookmarkEnd w:id="895"/>
      <w:bookmarkEnd w:id="896"/>
      <w:bookmarkEnd w:id="897"/>
      <w:bookmarkStart w:id="931" w:name="_Toc312677495"/>
      <w:bookmarkStart w:id="932" w:name="_Toc297123533"/>
      <w:bookmarkStart w:id="933" w:name="_Toc304295559"/>
      <w:bookmarkStart w:id="934" w:name="_Toc303539139"/>
      <w:bookmarkStart w:id="935" w:name="_Toc297216192"/>
      <w:bookmarkStart w:id="936" w:name="_Toc312678021"/>
      <w:bookmarkStart w:id="937" w:name="_Toc300934982"/>
      <w:bookmarkStart w:id="938" w:name="_Toc296346674"/>
      <w:bookmarkStart w:id="939" w:name="_Toc292559883"/>
      <w:bookmarkStart w:id="940" w:name="_Toc296944512"/>
      <w:bookmarkStart w:id="941" w:name="_Toc296891001"/>
      <w:bookmarkStart w:id="942" w:name="_Toc297120473"/>
      <w:bookmarkStart w:id="943" w:name="_Toc296503173"/>
      <w:bookmarkStart w:id="944" w:name="_Toc267251427"/>
      <w:bookmarkStart w:id="945" w:name="_Toc296347172"/>
      <w:bookmarkStart w:id="946" w:name="_Toc297048359"/>
      <w:bookmarkStart w:id="947" w:name="_Toc292559378"/>
      <w:bookmarkStart w:id="948" w:name="_Toc267251428"/>
      <w:bookmarkStart w:id="949" w:name="_Toc296891213"/>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试验与检验</w:t>
      </w:r>
      <w:bookmarkEnd w:id="928"/>
      <w:bookmarkEnd w:id="929"/>
      <w:bookmarkEnd w:id="930"/>
    </w:p>
    <w:bookmarkEnd w:id="931"/>
    <w:bookmarkEnd w:id="932"/>
    <w:bookmarkEnd w:id="933"/>
    <w:bookmarkEnd w:id="934"/>
    <w:bookmarkEnd w:id="935"/>
    <w:bookmarkEnd w:id="936"/>
    <w:bookmarkEnd w:id="937"/>
    <w:p w14:paraId="2F6EF6E2">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50" w:name="_Toc533863489"/>
      <w:r>
        <w:rPr>
          <w:rFonts w:ascii="宋体" w:hAnsi="宋体" w:eastAsia="宋体" w:cs="Times New Roman"/>
          <w:b/>
          <w:bCs/>
          <w:color w:val="000000" w:themeColor="text1"/>
          <w:szCs w:val="21"/>
          <w:highlight w:val="none"/>
          <w14:textFill>
            <w14:solidFill>
              <w14:schemeClr w14:val="tx1"/>
            </w14:solidFill>
          </w14:textFill>
        </w:rPr>
        <w:t>9</w:t>
      </w:r>
      <w:bookmarkStart w:id="951" w:name="_Toc312677496"/>
      <w:bookmarkStart w:id="952" w:name="_Toc304295560"/>
      <w:bookmarkStart w:id="953" w:name="_Toc303539140"/>
      <w:bookmarkStart w:id="954" w:name="_Toc297123534"/>
      <w:bookmarkStart w:id="955" w:name="_Toc312678022"/>
      <w:bookmarkStart w:id="956" w:name="_Toc297216193"/>
      <w:bookmarkStart w:id="957" w:name="_Toc300934983"/>
      <w:r>
        <w:rPr>
          <w:rFonts w:ascii="宋体" w:hAnsi="宋体" w:eastAsia="宋体" w:cs="Times New Roman"/>
          <w:b/>
          <w:bCs/>
          <w:color w:val="000000" w:themeColor="text1"/>
          <w:szCs w:val="21"/>
          <w:highlight w:val="none"/>
          <w14:textFill>
            <w14:solidFill>
              <w14:schemeClr w14:val="tx1"/>
            </w14:solidFill>
          </w14:textFill>
        </w:rPr>
        <w:t>.1</w:t>
      </w:r>
      <w:r>
        <w:rPr>
          <w:rFonts w:hint="eastAsia" w:ascii="宋体" w:hAnsi="宋体" w:eastAsia="宋体" w:cs="Times New Roman"/>
          <w:b/>
          <w:bCs/>
          <w:color w:val="000000" w:themeColor="text1"/>
          <w:szCs w:val="21"/>
          <w:highlight w:val="none"/>
          <w14:textFill>
            <w14:solidFill>
              <w14:schemeClr w14:val="tx1"/>
            </w14:solidFill>
          </w14:textFill>
        </w:rPr>
        <w:t>试验设备与试验人员</w:t>
      </w:r>
      <w:bookmarkEnd w:id="950"/>
    </w:p>
    <w:bookmarkEnd w:id="951"/>
    <w:bookmarkEnd w:id="952"/>
    <w:bookmarkEnd w:id="953"/>
    <w:bookmarkEnd w:id="954"/>
    <w:bookmarkEnd w:id="955"/>
    <w:bookmarkEnd w:id="956"/>
    <w:bookmarkEnd w:id="957"/>
    <w:p w14:paraId="49F366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958" w:name="_Toc297216195"/>
      <w:bookmarkStart w:id="959" w:name="_Toc318581174"/>
      <w:bookmarkStart w:id="960" w:name="_Toc297123536"/>
      <w:bookmarkStart w:id="961" w:name="_Toc304295562"/>
      <w:bookmarkStart w:id="962" w:name="_Toc312677498"/>
      <w:bookmarkStart w:id="963" w:name="_Toc303539142"/>
      <w:bookmarkStart w:id="964" w:name="_Toc312678024"/>
      <w:bookmarkStart w:id="965" w:name="_Toc300934985"/>
      <w:r>
        <w:rPr>
          <w:rFonts w:ascii="宋体" w:hAnsi="宋体" w:eastAsia="宋体" w:cs="宋体"/>
          <w:color w:val="000000" w:themeColor="text1"/>
          <w:szCs w:val="21"/>
          <w:highlight w:val="none"/>
          <w14:textFill>
            <w14:solidFill>
              <w14:schemeClr w14:val="tx1"/>
            </w14:solidFill>
          </w14:textFill>
        </w:rPr>
        <w:t xml:space="preserve">9.1.2 </w:t>
      </w:r>
      <w:r>
        <w:rPr>
          <w:rFonts w:hint="eastAsia" w:ascii="宋体" w:hAnsi="宋体" w:eastAsia="宋体" w:cs="Calibri"/>
          <w:color w:val="000000" w:themeColor="text1"/>
          <w:szCs w:val="21"/>
          <w:highlight w:val="none"/>
          <w14:textFill>
            <w14:solidFill>
              <w14:schemeClr w14:val="tx1"/>
            </w14:solidFill>
          </w14:textFill>
        </w:rPr>
        <w:t>试验设备</w:t>
      </w:r>
    </w:p>
    <w:p w14:paraId="476FF39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施工现场需要配置的试验场所：</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54A507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施工现场需要配备的试验设备：</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52C8CE1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施工现场需要具备的其他试验条件：</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DD4824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66" w:name="_Toc533863490"/>
      <w:r>
        <w:rPr>
          <w:rFonts w:ascii="宋体" w:hAnsi="宋体" w:eastAsia="宋体" w:cs="Times New Roman"/>
          <w:b/>
          <w:bCs/>
          <w:color w:val="000000" w:themeColor="text1"/>
          <w:szCs w:val="21"/>
          <w:highlight w:val="none"/>
          <w14:textFill>
            <w14:solidFill>
              <w14:schemeClr w14:val="tx1"/>
            </w14:solidFill>
          </w14:textFill>
        </w:rPr>
        <w:t xml:space="preserve">9.4 </w:t>
      </w:r>
      <w:r>
        <w:rPr>
          <w:rFonts w:hint="eastAsia" w:ascii="宋体" w:hAnsi="宋体" w:eastAsia="宋体" w:cs="Times New Roman"/>
          <w:b/>
          <w:bCs/>
          <w:color w:val="000000" w:themeColor="text1"/>
          <w:szCs w:val="21"/>
          <w:highlight w:val="none"/>
          <w14:textFill>
            <w14:solidFill>
              <w14:schemeClr w14:val="tx1"/>
            </w14:solidFill>
          </w14:textFill>
        </w:rPr>
        <w:t>现场工艺试验</w:t>
      </w:r>
      <w:bookmarkEnd w:id="966"/>
      <w:r>
        <w:rPr>
          <w:rFonts w:ascii="宋体" w:hAnsi="宋体" w:eastAsia="宋体" w:cs="Times New Roman"/>
          <w:b/>
          <w:bCs/>
          <w:color w:val="000000" w:themeColor="text1"/>
          <w:szCs w:val="21"/>
          <w:highlight w:val="none"/>
          <w14:textFill>
            <w14:solidFill>
              <w14:schemeClr w14:val="tx1"/>
            </w14:solidFill>
          </w14:textFill>
        </w:rPr>
        <w:t xml:space="preserve"> </w:t>
      </w:r>
    </w:p>
    <w:p w14:paraId="6EFA04F7">
      <w:pPr>
        <w:widowControl/>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现场工艺试验的有关约定：</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按《通用合同条款》9.4条执行</w:t>
      </w:r>
      <w:r>
        <w:rPr>
          <w:rFonts w:hint="eastAsia" w:ascii="宋体" w:hAnsi="宋体" w:eastAsia="宋体" w:cs="Times New Roman"/>
          <w:color w:val="000000" w:themeColor="text1"/>
          <w:szCs w:val="21"/>
          <w:highlight w:val="none"/>
          <w14:textFill>
            <w14:solidFill>
              <w14:schemeClr w14:val="tx1"/>
            </w14:solidFill>
          </w14:textFill>
        </w:rPr>
        <w:t>。</w:t>
      </w:r>
    </w:p>
    <w:bookmarkEnd w:id="958"/>
    <w:bookmarkEnd w:id="959"/>
    <w:bookmarkEnd w:id="960"/>
    <w:bookmarkEnd w:id="961"/>
    <w:bookmarkEnd w:id="962"/>
    <w:bookmarkEnd w:id="963"/>
    <w:bookmarkEnd w:id="964"/>
    <w:bookmarkEnd w:id="965"/>
    <w:p w14:paraId="4E75C05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67" w:name="_Toc27297"/>
      <w:bookmarkStart w:id="968" w:name="_Toc533863491"/>
      <w:bookmarkStart w:id="969" w:name="_Toc351203642"/>
      <w:r>
        <w:rPr>
          <w:rFonts w:ascii="宋体" w:hAnsi="宋体" w:eastAsia="宋体" w:cs="Times New Roman"/>
          <w:b/>
          <w:bCs/>
          <w:color w:val="000000" w:themeColor="text1"/>
          <w:szCs w:val="21"/>
          <w:highlight w:val="none"/>
          <w14:textFill>
            <w14:solidFill>
              <w14:schemeClr w14:val="tx1"/>
            </w14:solidFill>
          </w14:textFill>
        </w:rPr>
        <w:t>1</w:t>
      </w:r>
      <w:bookmarkEnd w:id="938"/>
      <w:bookmarkEnd w:id="939"/>
      <w:bookmarkEnd w:id="940"/>
      <w:bookmarkEnd w:id="941"/>
      <w:bookmarkEnd w:id="942"/>
      <w:bookmarkEnd w:id="943"/>
      <w:bookmarkEnd w:id="944"/>
      <w:bookmarkEnd w:id="945"/>
      <w:bookmarkEnd w:id="946"/>
      <w:bookmarkEnd w:id="947"/>
      <w:bookmarkEnd w:id="948"/>
      <w:bookmarkEnd w:id="949"/>
      <w:bookmarkStart w:id="970" w:name="_Toc296346694"/>
      <w:bookmarkStart w:id="971" w:name="_Toc292559398"/>
      <w:bookmarkStart w:id="972" w:name="_Toc297120493"/>
      <w:bookmarkStart w:id="973" w:name="_Toc297216199"/>
      <w:bookmarkStart w:id="974" w:name="_Toc296944532"/>
      <w:bookmarkStart w:id="975" w:name="_Toc296347192"/>
      <w:bookmarkStart w:id="976" w:name="_Toc304295566"/>
      <w:bookmarkStart w:id="977" w:name="_Toc297048379"/>
      <w:bookmarkStart w:id="978" w:name="_Toc296891233"/>
      <w:bookmarkStart w:id="979" w:name="_Toc303539146"/>
      <w:bookmarkStart w:id="980" w:name="_Toc300934989"/>
      <w:bookmarkStart w:id="981" w:name="_Toc296891021"/>
      <w:bookmarkStart w:id="982" w:name="_Toc297123540"/>
      <w:bookmarkStart w:id="983" w:name="_Toc292559903"/>
      <w:bookmarkStart w:id="984" w:name="_Toc296503193"/>
      <w:bookmarkStart w:id="985" w:name="_Toc312678025"/>
      <w:bookmarkStart w:id="986" w:name="_Toc312677499"/>
      <w:bookmarkStart w:id="987" w:name="_Toc267251441"/>
      <w:bookmarkStart w:id="988" w:name="_Toc267251440"/>
      <w:bookmarkStart w:id="989" w:name="_Toc267251435"/>
      <w:bookmarkStart w:id="990" w:name="_Toc267251433"/>
      <w:bookmarkStart w:id="991" w:name="_Toc267251439"/>
      <w:bookmarkStart w:id="992" w:name="_Toc267251437"/>
      <w:bookmarkStart w:id="993" w:name="_Toc267251442"/>
      <w:r>
        <w:rPr>
          <w:rFonts w:ascii="宋体" w:hAnsi="宋体" w:eastAsia="宋体" w:cs="Times New Roman"/>
          <w:b/>
          <w:bCs/>
          <w:color w:val="000000" w:themeColor="text1"/>
          <w:szCs w:val="21"/>
          <w:highlight w:val="none"/>
          <w14:textFill>
            <w14:solidFill>
              <w14:schemeClr w14:val="tx1"/>
            </w14:solidFill>
          </w14:textFill>
        </w:rPr>
        <w:t xml:space="preserve">0. </w:t>
      </w:r>
      <w:r>
        <w:rPr>
          <w:rFonts w:hint="eastAsia" w:ascii="宋体" w:hAnsi="宋体" w:eastAsia="宋体" w:cs="Times New Roman"/>
          <w:b/>
          <w:bCs/>
          <w:color w:val="000000" w:themeColor="text1"/>
          <w:szCs w:val="21"/>
          <w:highlight w:val="none"/>
          <w14:textFill>
            <w14:solidFill>
              <w14:schemeClr w14:val="tx1"/>
            </w14:solidFill>
          </w14:textFill>
        </w:rPr>
        <w:t>变更</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bookmarkEnd w:id="985"/>
    <w:bookmarkEnd w:id="986"/>
    <w:p w14:paraId="641916A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bookmarkStart w:id="994" w:name="_Toc304295567"/>
      <w:bookmarkStart w:id="995" w:name="_Toc297216200"/>
      <w:bookmarkStart w:id="996" w:name="_Toc303539147"/>
      <w:bookmarkStart w:id="997" w:name="_Toc297120494"/>
      <w:bookmarkStart w:id="998" w:name="_Toc297048380"/>
      <w:bookmarkStart w:id="999" w:name="_Toc296503194"/>
      <w:bookmarkStart w:id="1000" w:name="_Toc300934990"/>
      <w:bookmarkStart w:id="1001" w:name="_Toc296891022"/>
      <w:bookmarkStart w:id="1002" w:name="_Toc312677500"/>
      <w:bookmarkStart w:id="1003" w:name="_Toc296347193"/>
      <w:bookmarkStart w:id="1004" w:name="_Toc297123541"/>
      <w:bookmarkStart w:id="1005" w:name="_Toc312678026"/>
      <w:bookmarkStart w:id="1006" w:name="_Toc292559904"/>
      <w:bookmarkStart w:id="1007" w:name="_Toc292559399"/>
      <w:bookmarkStart w:id="1008" w:name="_Toc296891234"/>
      <w:bookmarkStart w:id="1009" w:name="_Toc296944533"/>
      <w:bookmarkStart w:id="1010" w:name="_Toc296346695"/>
      <w:r>
        <w:rPr>
          <w:rFonts w:ascii="宋体" w:hAnsi="宋体" w:eastAsia="宋体" w:cs="Times New Roman"/>
          <w:color w:val="000000" w:themeColor="text1"/>
          <w:szCs w:val="21"/>
          <w:highlight w:val="none"/>
          <w14:textFill>
            <w14:solidFill>
              <w14:schemeClr w14:val="tx1"/>
            </w14:solidFill>
          </w14:textFill>
        </w:rPr>
        <w:t>0.1</w:t>
      </w:r>
      <w:r>
        <w:rPr>
          <w:rFonts w:hint="eastAsia" w:ascii="宋体" w:hAnsi="宋体" w:eastAsia="宋体" w:cs="Times New Roman"/>
          <w:color w:val="000000" w:themeColor="text1"/>
          <w:szCs w:val="21"/>
          <w:highlight w:val="none"/>
          <w14:textFill>
            <w14:solidFill>
              <w14:schemeClr w14:val="tx1"/>
            </w14:solidFill>
          </w14:textFill>
        </w:rPr>
        <w:t>变更的范围</w:t>
      </w:r>
    </w:p>
    <w:p w14:paraId="07D4AD0E">
      <w:pPr>
        <w:spacing w:line="360" w:lineRule="auto"/>
        <w:ind w:firstLine="426"/>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关于变更的范围的约定：</w:t>
      </w:r>
      <w:r>
        <w:rPr>
          <w:rFonts w:hint="eastAsia" w:ascii="宋体" w:hAnsi="宋体" w:eastAsia="宋体" w:cs="Calibri"/>
          <w:color w:val="000000" w:themeColor="text1"/>
          <w:szCs w:val="21"/>
          <w:highlight w:val="none"/>
          <w:u w:val="single"/>
          <w14:textFill>
            <w14:solidFill>
              <w14:schemeClr w14:val="tx1"/>
            </w14:solidFill>
          </w14:textFill>
        </w:rPr>
        <w:t>缺项、漏项、设计变更等</w:t>
      </w:r>
      <w:r>
        <w:rPr>
          <w:rFonts w:hint="eastAsia" w:ascii="宋体" w:hAnsi="宋体" w:eastAsia="宋体" w:cs="Calibri"/>
          <w:color w:val="000000" w:themeColor="text1"/>
          <w:szCs w:val="21"/>
          <w:highlight w:val="none"/>
          <w14:textFill>
            <w14:solidFill>
              <w14:schemeClr w14:val="tx1"/>
            </w14:solidFill>
          </w14:textFill>
        </w:rPr>
        <w:t>。</w:t>
      </w:r>
    </w:p>
    <w:p w14:paraId="60A1BA03">
      <w:pPr>
        <w:keepNext/>
        <w:keepLines/>
        <w:spacing w:before="260" w:after="260" w:line="410" w:lineRule="auto"/>
        <w:outlineLvl w:val="0"/>
        <w:rPr>
          <w:rFonts w:ascii="宋体" w:hAnsi="宋体" w:eastAsia="宋体" w:cs="宋体"/>
          <w:b/>
          <w:bCs/>
          <w:color w:val="000000" w:themeColor="text1"/>
          <w:kern w:val="0"/>
          <w:szCs w:val="21"/>
          <w:highlight w:val="none"/>
          <w14:textFill>
            <w14:solidFill>
              <w14:schemeClr w14:val="tx1"/>
            </w14:solidFill>
          </w14:textFill>
        </w:rPr>
      </w:pPr>
      <w:bookmarkStart w:id="1011" w:name="_Toc28142"/>
      <w:bookmarkStart w:id="1012" w:name="_Toc14073"/>
      <w:bookmarkStart w:id="1013" w:name="_Toc17811"/>
      <w:bookmarkStart w:id="1014" w:name="_Toc533863492"/>
      <w:bookmarkStart w:id="1015" w:name="_Toc28368"/>
      <w:bookmarkStart w:id="1016" w:name="_Toc30118"/>
      <w:r>
        <w:rPr>
          <w:rFonts w:ascii="宋体" w:hAnsi="宋体" w:eastAsia="宋体" w:cs="宋体"/>
          <w:b/>
          <w:bCs/>
          <w:color w:val="000000" w:themeColor="text1"/>
          <w:kern w:val="0"/>
          <w:szCs w:val="21"/>
          <w:highlight w:val="none"/>
          <w14:textFill>
            <w14:solidFill>
              <w14:schemeClr w14:val="tx1"/>
            </w14:solidFill>
          </w14:textFill>
        </w:rPr>
        <w:t xml:space="preserve">10.3 </w:t>
      </w:r>
      <w:r>
        <w:rPr>
          <w:rFonts w:hint="eastAsia" w:ascii="宋体" w:hAnsi="宋体" w:eastAsia="宋体" w:cs="Calibri"/>
          <w:b/>
          <w:bCs/>
          <w:color w:val="000000" w:themeColor="text1"/>
          <w:kern w:val="0"/>
          <w:szCs w:val="21"/>
          <w:highlight w:val="none"/>
          <w14:textFill>
            <w14:solidFill>
              <w14:schemeClr w14:val="tx1"/>
            </w14:solidFill>
          </w14:textFill>
        </w:rPr>
        <w:t>变更程序</w:t>
      </w:r>
      <w:bookmarkEnd w:id="1011"/>
      <w:bookmarkEnd w:id="1012"/>
      <w:bookmarkEnd w:id="1013"/>
      <w:bookmarkEnd w:id="1014"/>
      <w:bookmarkEnd w:id="1015"/>
      <w:bookmarkEnd w:id="1016"/>
    </w:p>
    <w:p w14:paraId="437A652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10.3.1 </w:t>
      </w:r>
      <w:r>
        <w:rPr>
          <w:rFonts w:hint="eastAsia" w:ascii="宋体" w:hAnsi="宋体" w:eastAsia="宋体" w:cs="宋体"/>
          <w:color w:val="000000" w:themeColor="text1"/>
          <w:kern w:val="0"/>
          <w:szCs w:val="21"/>
          <w:highlight w:val="none"/>
          <w14:textFill>
            <w14:solidFill>
              <w14:schemeClr w14:val="tx1"/>
            </w14:solidFill>
          </w14:textFill>
        </w:rPr>
        <w:t>国有投资项目：</w:t>
      </w:r>
    </w:p>
    <w:p w14:paraId="65B8DA71">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⑴ </w:t>
      </w:r>
      <w:r>
        <w:rPr>
          <w:rFonts w:hint="eastAsia" w:ascii="宋体" w:hAnsi="宋体" w:eastAsia="宋体" w:cs="宋体"/>
          <w:color w:val="000000" w:themeColor="text1"/>
          <w:kern w:val="0"/>
          <w:szCs w:val="21"/>
          <w:highlight w:val="none"/>
          <w14:textFill>
            <w14:solidFill>
              <w14:schemeClr w14:val="tx1"/>
            </w14:solidFill>
          </w14:textFill>
        </w:rPr>
        <w:t>设计变更和工程签证，按各市政府或相关部门的规定办理。属不可抗力（自然灾害、突发事件等）造成变更的，按特事特办原则予以办理。</w:t>
      </w:r>
    </w:p>
    <w:p w14:paraId="1E02BB2B">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⑵ </w:t>
      </w:r>
      <w:r>
        <w:rPr>
          <w:rFonts w:hint="eastAsia" w:ascii="宋体" w:hAnsi="宋体" w:eastAsia="宋体" w:cs="宋体"/>
          <w:color w:val="000000" w:themeColor="text1"/>
          <w:kern w:val="0"/>
          <w:szCs w:val="21"/>
          <w:highlight w:val="none"/>
          <w14:textFill>
            <w14:solidFill>
              <w14:schemeClr w14:val="tx1"/>
            </w14:solidFill>
          </w14:textFill>
        </w:rPr>
        <w:t>建设单位在实施项目过程中，若发生单价变动，由建设单位、监理单位、施工单位及其他相关单位共同商定并签字确认。</w:t>
      </w:r>
    </w:p>
    <w:p w14:paraId="0A9CE25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⑶ </w:t>
      </w:r>
      <w:r>
        <w:rPr>
          <w:rFonts w:hint="eastAsia" w:ascii="宋体" w:hAnsi="宋体" w:eastAsia="宋体" w:cs="Calibri"/>
          <w:color w:val="000000" w:themeColor="text1"/>
          <w:szCs w:val="21"/>
          <w:highlight w:val="none"/>
          <w14:textFill>
            <w14:solidFill>
              <w14:schemeClr w14:val="tx1"/>
            </w14:solidFill>
          </w14:textFill>
        </w:rPr>
        <w:t>当合同规定的合同价款调整情况发生后，承包人未在规定时间内通知发包人，或者未在规定时间内提出调整报告，发包人可以根据有关资料，决定是否调整和调整的金额，并书面通知承包人。</w:t>
      </w:r>
    </w:p>
    <w:p w14:paraId="1253C5C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10.3.2</w:t>
      </w:r>
      <w:r>
        <w:rPr>
          <w:rFonts w:hint="eastAsia" w:ascii="宋体" w:hAnsi="宋体" w:eastAsia="宋体" w:cs="Calibri"/>
          <w:color w:val="000000" w:themeColor="text1"/>
          <w:szCs w:val="21"/>
          <w:highlight w:val="none"/>
          <w14:textFill>
            <w14:solidFill>
              <w14:schemeClr w14:val="tx1"/>
            </w14:solidFill>
          </w14:textFill>
        </w:rPr>
        <w:t xml:space="preserve"> 非国有投资项目：</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E75D3EE">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10.4 </w:t>
      </w:r>
      <w:r>
        <w:rPr>
          <w:rFonts w:hint="eastAsia" w:ascii="宋体" w:hAnsi="宋体" w:eastAsia="宋体" w:cs="Times New Roman"/>
          <w:b/>
          <w:color w:val="000000" w:themeColor="text1"/>
          <w:szCs w:val="21"/>
          <w:highlight w:val="none"/>
          <w14:textFill>
            <w14:solidFill>
              <w14:schemeClr w14:val="tx1"/>
            </w14:solidFill>
          </w14:textFill>
        </w:rPr>
        <w:t>变更估价</w:t>
      </w:r>
    </w:p>
    <w:p w14:paraId="529DF34F">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17" w:name="_Toc3300"/>
      <w:bookmarkStart w:id="1018" w:name="_Toc5524"/>
      <w:bookmarkStart w:id="1019" w:name="_Toc533863493"/>
      <w:bookmarkStart w:id="1020" w:name="_Toc4268"/>
      <w:bookmarkStart w:id="1021" w:name="_Toc25294"/>
      <w:bookmarkStart w:id="1022" w:name="_Toc25009"/>
      <w:r>
        <w:rPr>
          <w:rFonts w:ascii="宋体" w:hAnsi="宋体" w:eastAsia="宋体" w:cs="宋体"/>
          <w:color w:val="000000" w:themeColor="text1"/>
          <w:szCs w:val="21"/>
          <w:highlight w:val="none"/>
          <w14:textFill>
            <w14:solidFill>
              <w14:schemeClr w14:val="tx1"/>
            </w14:solidFill>
          </w14:textFill>
        </w:rPr>
        <w:t xml:space="preserve">10.4.1 </w:t>
      </w:r>
      <w:r>
        <w:rPr>
          <w:rFonts w:hint="eastAsia" w:ascii="宋体" w:hAnsi="宋体" w:eastAsia="宋体" w:cs="Calibri"/>
          <w:color w:val="000000" w:themeColor="text1"/>
          <w:szCs w:val="21"/>
          <w:highlight w:val="none"/>
          <w14:textFill>
            <w14:solidFill>
              <w14:schemeClr w14:val="tx1"/>
            </w14:solidFill>
          </w14:textFill>
        </w:rPr>
        <w:t>变更估价原则</w:t>
      </w:r>
      <w:bookmarkEnd w:id="1017"/>
      <w:bookmarkEnd w:id="1018"/>
      <w:bookmarkEnd w:id="1019"/>
      <w:bookmarkEnd w:id="1020"/>
      <w:bookmarkEnd w:id="1021"/>
      <w:bookmarkEnd w:id="1022"/>
    </w:p>
    <w:p w14:paraId="0677E02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关于变更估价的约定：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因设计变更、国家政策法规变化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其中材料价格随市场变动相应价格信息进行计算；无定额可套的，根据市场价格协商确定综合价格；对于国有资产投资的项目，新增项目的单价必须经财政部门审定。</w:t>
      </w:r>
    </w:p>
    <w:p w14:paraId="6559E680">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Start w:id="1023" w:name="_Toc296891237"/>
      <w:bookmarkStart w:id="1024" w:name="_Toc297120497"/>
      <w:bookmarkStart w:id="1025" w:name="_Toc296944536"/>
      <w:bookmarkStart w:id="1026" w:name="_Toc296347196"/>
      <w:bookmarkStart w:id="1027" w:name="_Toc292559402"/>
      <w:bookmarkStart w:id="1028" w:name="_Toc303539150"/>
      <w:bookmarkStart w:id="1029" w:name="_Toc297123544"/>
      <w:bookmarkStart w:id="1030" w:name="_Toc296503197"/>
      <w:bookmarkStart w:id="1031" w:name="_Toc292559907"/>
      <w:bookmarkStart w:id="1032" w:name="_Toc297216203"/>
      <w:bookmarkStart w:id="1033" w:name="_Toc300934993"/>
      <w:bookmarkStart w:id="1034" w:name="_Toc297048383"/>
      <w:bookmarkStart w:id="1035" w:name="_Toc296346698"/>
      <w:bookmarkStart w:id="1036" w:name="_Toc296891025"/>
      <w:bookmarkStart w:id="1037" w:name="_Toc304295570"/>
      <w:bookmarkStart w:id="1038" w:name="_Toc312677503"/>
      <w:bookmarkStart w:id="1039" w:name="_Toc312678029"/>
      <w:r>
        <w:rPr>
          <w:rFonts w:ascii="宋体" w:hAnsi="宋体" w:eastAsia="宋体" w:cs="Times New Roman"/>
          <w:b/>
          <w:color w:val="000000" w:themeColor="text1"/>
          <w:szCs w:val="21"/>
          <w:highlight w:val="none"/>
          <w14:textFill>
            <w14:solidFill>
              <w14:schemeClr w14:val="tx1"/>
            </w14:solidFill>
          </w14:textFill>
        </w:rPr>
        <w:t>0.5</w:t>
      </w:r>
      <w:r>
        <w:rPr>
          <w:rFonts w:hint="eastAsia" w:ascii="宋体" w:hAnsi="宋体" w:eastAsia="宋体" w:cs="Times New Roman"/>
          <w:b/>
          <w:color w:val="000000" w:themeColor="text1"/>
          <w:szCs w:val="21"/>
          <w:highlight w:val="none"/>
          <w14:textFill>
            <w14:solidFill>
              <w14:schemeClr w14:val="tx1"/>
            </w14:solidFill>
          </w14:textFill>
        </w:rPr>
        <w:t>承</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Start w:id="1040" w:name="_Toc300934994"/>
      <w:bookmarkStart w:id="1041" w:name="_Toc303539151"/>
      <w:bookmarkStart w:id="1042" w:name="_Toc296347202"/>
      <w:bookmarkStart w:id="1043" w:name="_Toc296891243"/>
      <w:bookmarkStart w:id="1044" w:name="_Toc296503203"/>
      <w:bookmarkStart w:id="1045" w:name="_Toc297216204"/>
      <w:bookmarkStart w:id="1046" w:name="_Toc297120503"/>
      <w:bookmarkStart w:id="1047" w:name="_Toc296346704"/>
      <w:bookmarkStart w:id="1048" w:name="_Toc296944542"/>
      <w:bookmarkStart w:id="1049" w:name="_Toc292559913"/>
      <w:bookmarkStart w:id="1050" w:name="_Toc297048389"/>
      <w:bookmarkStart w:id="1051" w:name="_Toc296891031"/>
      <w:bookmarkStart w:id="1052" w:name="_Toc292559408"/>
      <w:bookmarkStart w:id="1053" w:name="_Toc297123545"/>
      <w:r>
        <w:rPr>
          <w:rFonts w:hint="eastAsia" w:ascii="宋体" w:hAnsi="宋体" w:eastAsia="宋体" w:cs="Times New Roman"/>
          <w:b/>
          <w:color w:val="000000" w:themeColor="text1"/>
          <w:szCs w:val="21"/>
          <w:highlight w:val="none"/>
          <w14:textFill>
            <w14:solidFill>
              <w14:schemeClr w14:val="tx1"/>
            </w14:solidFill>
          </w14:textFill>
        </w:rPr>
        <w:t>包人的合理化建议</w:t>
      </w:r>
    </w:p>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14:paraId="544FBD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监理人审查承包人合理化建议的期限：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3天内审查完毕并报发包人</w:t>
      </w:r>
      <w:r>
        <w:rPr>
          <w:rFonts w:hint="eastAsia" w:ascii="宋体" w:hAnsi="宋体" w:eastAsia="宋体" w:cs="Calibri"/>
          <w:color w:val="000000" w:themeColor="text1"/>
          <w:szCs w:val="21"/>
          <w:highlight w:val="none"/>
          <w14:textFill>
            <w14:solidFill>
              <w14:schemeClr w14:val="tx1"/>
            </w14:solidFill>
          </w14:textFill>
        </w:rPr>
        <w:t>。</w:t>
      </w:r>
    </w:p>
    <w:p w14:paraId="44A808D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收到监理人报送的合理化建议后3天内审批完毕</w:t>
      </w:r>
      <w:r>
        <w:rPr>
          <w:rFonts w:hint="eastAsia" w:ascii="宋体" w:hAnsi="宋体" w:eastAsia="宋体" w:cs="Calibri"/>
          <w:color w:val="000000" w:themeColor="text1"/>
          <w:szCs w:val="21"/>
          <w:highlight w:val="none"/>
          <w14:textFill>
            <w14:solidFill>
              <w14:schemeClr w14:val="tx1"/>
            </w14:solidFill>
          </w14:textFill>
        </w:rPr>
        <w:t>。</w:t>
      </w:r>
    </w:p>
    <w:p w14:paraId="0E16740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F80FE3C">
      <w:pPr>
        <w:spacing w:line="360" w:lineRule="auto"/>
        <w:jc w:val="left"/>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Start w:id="1054" w:name="_Toc297123548"/>
      <w:bookmarkStart w:id="1055" w:name="_Toc297216207"/>
      <w:bookmarkStart w:id="1056" w:name="_Toc304295574"/>
      <w:bookmarkStart w:id="1057" w:name="_Toc303539154"/>
      <w:bookmarkStart w:id="1058" w:name="_Toc297048385"/>
      <w:bookmarkStart w:id="1059" w:name="_Toc296944538"/>
      <w:bookmarkStart w:id="1060" w:name="_Toc300934997"/>
      <w:bookmarkStart w:id="1061" w:name="_Toc296891239"/>
      <w:bookmarkStart w:id="1062" w:name="_Toc312677507"/>
      <w:bookmarkStart w:id="1063" w:name="_Toc296503199"/>
      <w:bookmarkStart w:id="1064" w:name="_Toc296347198"/>
      <w:bookmarkStart w:id="1065" w:name="_Toc292559909"/>
      <w:bookmarkStart w:id="1066" w:name="_Toc312678033"/>
      <w:bookmarkStart w:id="1067" w:name="_Toc296891027"/>
      <w:bookmarkStart w:id="1068" w:name="_Toc292559404"/>
      <w:bookmarkStart w:id="1069" w:name="_Toc297120499"/>
      <w:bookmarkStart w:id="1070" w:name="_Toc296346700"/>
      <w:r>
        <w:rPr>
          <w:rFonts w:ascii="宋体" w:hAnsi="宋体" w:eastAsia="宋体" w:cs="Times New Roman"/>
          <w:b/>
          <w:color w:val="000000" w:themeColor="text1"/>
          <w:szCs w:val="21"/>
          <w:highlight w:val="none"/>
          <w14:textFill>
            <w14:solidFill>
              <w14:schemeClr w14:val="tx1"/>
            </w14:solidFill>
          </w14:textFill>
        </w:rPr>
        <w:t xml:space="preserve">0.7 </w:t>
      </w:r>
      <w:r>
        <w:rPr>
          <w:rFonts w:hint="eastAsia" w:ascii="宋体" w:hAnsi="宋体" w:eastAsia="宋体" w:cs="Times New Roman"/>
          <w:b/>
          <w:color w:val="000000" w:themeColor="text1"/>
          <w:szCs w:val="21"/>
          <w:highlight w:val="none"/>
          <w14:textFill>
            <w14:solidFill>
              <w14:schemeClr w14:val="tx1"/>
            </w14:solidFill>
          </w14:textFill>
        </w:rPr>
        <w:t>暂估价</w:t>
      </w:r>
    </w:p>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14:paraId="2EFC97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暂估价材料和工程设备的明细详见已标价工程量清单《</w:t>
      </w:r>
      <w:r>
        <w:rPr>
          <w:rFonts w:hint="eastAsia" w:ascii="宋体" w:hAnsi="宋体" w:eastAsia="宋体" w:cs="Calibri"/>
          <w:color w:val="000000" w:themeColor="text1"/>
          <w:szCs w:val="21"/>
          <w:highlight w:val="none"/>
          <w14:textFill>
            <w14:solidFill>
              <w14:schemeClr w14:val="tx1"/>
            </w14:solidFill>
          </w14:textFill>
        </w:rPr>
        <w:t>材料（工程设备）暂估价格及调整表》</w:t>
      </w:r>
      <w:r>
        <w:rPr>
          <w:rFonts w:hint="eastAsia" w:ascii="宋体" w:hAnsi="宋体" w:eastAsia="宋体" w:cs="Calibri"/>
          <w:color w:val="000000" w:themeColor="text1"/>
          <w:kern w:val="0"/>
          <w:szCs w:val="21"/>
          <w:highlight w:val="none"/>
          <w14:textFill>
            <w14:solidFill>
              <w14:schemeClr w14:val="tx1"/>
            </w14:solidFill>
          </w14:textFill>
        </w:rPr>
        <w:t>（表12-2）和《</w:t>
      </w:r>
      <w:r>
        <w:rPr>
          <w:rFonts w:hint="eastAsia" w:ascii="宋体" w:hAnsi="宋体" w:eastAsia="宋体" w:cs="Calibri"/>
          <w:color w:val="000000" w:themeColor="text1"/>
          <w:szCs w:val="21"/>
          <w:highlight w:val="none"/>
          <w14:textFill>
            <w14:solidFill>
              <w14:schemeClr w14:val="tx1"/>
            </w14:solidFill>
          </w14:textFill>
        </w:rPr>
        <w:t>专业工程暂估价表》（</w:t>
      </w:r>
      <w:r>
        <w:rPr>
          <w:rFonts w:hint="eastAsia" w:ascii="宋体" w:hAnsi="宋体" w:eastAsia="宋体" w:cs="Calibri"/>
          <w:color w:val="000000" w:themeColor="text1"/>
          <w:kern w:val="0"/>
          <w:szCs w:val="21"/>
          <w:highlight w:val="none"/>
          <w14:textFill>
            <w14:solidFill>
              <w14:schemeClr w14:val="tx1"/>
            </w14:solidFill>
          </w14:textFill>
        </w:rPr>
        <w:t>表12-3）。</w:t>
      </w:r>
    </w:p>
    <w:p w14:paraId="04302F04">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71" w:name="_Toc31565"/>
      <w:bookmarkStart w:id="1072" w:name="_Toc31024"/>
      <w:bookmarkStart w:id="1073" w:name="_Toc10080"/>
      <w:bookmarkStart w:id="1074" w:name="_Toc533863494"/>
      <w:bookmarkStart w:id="1075" w:name="_Toc31396"/>
      <w:bookmarkStart w:id="1076" w:name="_Toc19302"/>
      <w:r>
        <w:rPr>
          <w:rFonts w:ascii="宋体" w:hAnsi="宋体" w:eastAsia="宋体" w:cs="宋体"/>
          <w:color w:val="000000" w:themeColor="text1"/>
          <w:szCs w:val="21"/>
          <w:highlight w:val="none"/>
          <w14:textFill>
            <w14:solidFill>
              <w14:schemeClr w14:val="tx1"/>
            </w14:solidFill>
          </w14:textFill>
        </w:rPr>
        <w:t xml:space="preserve">10.7.1 </w:t>
      </w:r>
      <w:r>
        <w:rPr>
          <w:rFonts w:hint="eastAsia" w:ascii="宋体" w:hAnsi="宋体" w:eastAsia="宋体" w:cs="Calibri"/>
          <w:color w:val="000000" w:themeColor="text1"/>
          <w:szCs w:val="21"/>
          <w:highlight w:val="none"/>
          <w14:textFill>
            <w14:solidFill>
              <w14:schemeClr w14:val="tx1"/>
            </w14:solidFill>
          </w14:textFill>
        </w:rPr>
        <w:t>依法必须招标的暂估价项目</w:t>
      </w:r>
      <w:bookmarkEnd w:id="1071"/>
      <w:bookmarkEnd w:id="1072"/>
      <w:bookmarkEnd w:id="1073"/>
      <w:bookmarkEnd w:id="1074"/>
      <w:bookmarkEnd w:id="1075"/>
      <w:bookmarkEnd w:id="1076"/>
    </w:p>
    <w:p w14:paraId="0482E00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3B5A698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09A89764">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6000068">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4DC7B5B8">
      <w:pPr>
        <w:spacing w:line="360" w:lineRule="auto"/>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2AAFAA9">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1BA3BF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10.7.2 </w:t>
      </w:r>
      <w:r>
        <w:rPr>
          <w:rFonts w:hint="eastAsia" w:ascii="宋体" w:hAnsi="宋体" w:eastAsia="宋体" w:cs="Calibri"/>
          <w:color w:val="000000" w:themeColor="text1"/>
          <w:szCs w:val="21"/>
          <w:highlight w:val="none"/>
          <w14:textFill>
            <w14:solidFill>
              <w14:schemeClr w14:val="tx1"/>
            </w14:solidFill>
          </w14:textFill>
        </w:rPr>
        <w:t>不属于依法必须招标的暂估价项目</w:t>
      </w:r>
    </w:p>
    <w:p w14:paraId="4BF419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对于不属于依法必须招标的暂估价项目的确认和批准采取第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152D9D20">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第1种方式：对于不属于依法必须招标的暂估价项目，按本项约定确认和批准：</w:t>
      </w:r>
    </w:p>
    <w:p w14:paraId="0194DD2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4FCA53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458135CD">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第2种方式：承包人按照第15.8.1项【依法必须招标的暂估价项目】约定的第1种方式确定暂估价项目。</w:t>
      </w:r>
    </w:p>
    <w:p w14:paraId="79D53515">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w:t>
      </w:r>
      <w:r>
        <w:rPr>
          <w:rFonts w:hint="eastAsia" w:ascii="宋体" w:hAnsi="宋体" w:eastAsia="宋体" w:cs="Calibri"/>
          <w:color w:val="000000" w:themeColor="text1"/>
          <w:kern w:val="0"/>
          <w:szCs w:val="21"/>
          <w:highlight w:val="none"/>
          <w14:textFill>
            <w14:solidFill>
              <w14:schemeClr w14:val="tx1"/>
            </w14:solidFill>
          </w14:textFill>
        </w:rPr>
        <w:t>承包人直接实施的暂估价项目</w:t>
      </w:r>
    </w:p>
    <w:p w14:paraId="26ACBD0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承包人具备实施暂估价项目的资格和条件的，经发包人和承包人协商一致后，可由承包人自行实施暂估价项目，合同当事人可以在合同条款约定具体事项。</w:t>
      </w:r>
    </w:p>
    <w:p w14:paraId="0BDBF2DA">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承包人直接实施的暂估价项目的约定：</w:t>
      </w:r>
      <w:r>
        <w:rPr>
          <w:rFonts w:hint="eastAsia" w:ascii="宋体" w:hAnsi="宋体" w:eastAsia="宋体" w:cs="Calibri"/>
          <w:color w:val="000000" w:themeColor="text1"/>
          <w:szCs w:val="21"/>
          <w:highlight w:val="none"/>
          <w:u w:val="single"/>
          <w14:textFill>
            <w14:solidFill>
              <w14:schemeClr w14:val="tx1"/>
            </w14:solidFill>
          </w14:textFill>
        </w:rPr>
        <w:t>根据工程实际情况再议</w:t>
      </w:r>
      <w:r>
        <w:rPr>
          <w:rFonts w:hint="eastAsia" w:ascii="宋体" w:hAnsi="宋体" w:eastAsia="宋体" w:cs="Calibri"/>
          <w:color w:val="000000" w:themeColor="text1"/>
          <w:szCs w:val="21"/>
          <w:highlight w:val="none"/>
          <w14:textFill>
            <w14:solidFill>
              <w14:schemeClr w14:val="tx1"/>
            </w14:solidFill>
          </w14:textFill>
        </w:rPr>
        <w:t>。</w:t>
      </w:r>
    </w:p>
    <w:p w14:paraId="2596B01A">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10.8 </w:t>
      </w:r>
      <w:r>
        <w:rPr>
          <w:rFonts w:hint="eastAsia" w:ascii="宋体" w:hAnsi="宋体" w:eastAsia="宋体" w:cs="Times New Roman"/>
          <w:b/>
          <w:color w:val="000000" w:themeColor="text1"/>
          <w:szCs w:val="21"/>
          <w:highlight w:val="none"/>
          <w14:textFill>
            <w14:solidFill>
              <w14:schemeClr w14:val="tx1"/>
            </w14:solidFill>
          </w14:textFill>
        </w:rPr>
        <w:t>暂列金额</w:t>
      </w:r>
    </w:p>
    <w:p w14:paraId="2476A839">
      <w:pPr>
        <w:autoSpaceDE w:val="0"/>
        <w:autoSpaceDN w:val="0"/>
        <w:adjustRightInd w:val="0"/>
        <w:spacing w:line="360" w:lineRule="auto"/>
        <w:ind w:firstLine="420" w:firstLineChars="200"/>
        <w:jc w:val="left"/>
        <w:rPr>
          <w:rFonts w:ascii="宋体" w:hAnsi="宋体" w:eastAsia="宋体" w:cs="Calibri"/>
          <w:color w:val="000000" w:themeColor="text1"/>
          <w:kern w:val="0"/>
          <w:szCs w:val="21"/>
          <w:highlight w:val="none"/>
          <w:u w:val="single"/>
          <w14:textFill>
            <w14:solidFill>
              <w14:schemeClr w14:val="tx1"/>
            </w14:solidFill>
          </w14:textFill>
        </w:rPr>
      </w:pPr>
      <w:bookmarkStart w:id="1077" w:name="_Toc351203643"/>
      <w:r>
        <w:rPr>
          <w:rFonts w:hint="eastAsia" w:ascii="宋体" w:hAnsi="宋体" w:eastAsia="宋体" w:cs="Calibri"/>
          <w:color w:val="000000" w:themeColor="text1"/>
          <w:kern w:val="0"/>
          <w:szCs w:val="21"/>
          <w:highlight w:val="none"/>
          <w14:textFill>
            <w14:solidFill>
              <w14:schemeClr w14:val="tx1"/>
            </w14:solidFill>
          </w14:textFill>
        </w:rPr>
        <w:t>合同当事人关于暂列金额使用的约定：</w:t>
      </w:r>
      <w:r>
        <w:rPr>
          <w:rFonts w:hint="eastAsia" w:ascii="宋体" w:hAnsi="宋体" w:eastAsia="宋体" w:cs="Calibri"/>
          <w:color w:val="000000" w:themeColor="text1"/>
          <w:kern w:val="0"/>
          <w:szCs w:val="21"/>
          <w:highlight w:val="none"/>
          <w:u w:val="single"/>
          <w14:textFill>
            <w14:solidFill>
              <w14:schemeClr w14:val="tx1"/>
            </w14:solidFill>
          </w14:textFill>
        </w:rPr>
        <w:t xml:space="preserve">（1）已签约合同价中的暂列金额由发包人掌握使用。 </w:t>
      </w:r>
    </w:p>
    <w:p w14:paraId="24BB0637">
      <w:pPr>
        <w:autoSpaceDE w:val="0"/>
        <w:autoSpaceDN w:val="0"/>
        <w:adjustRightInd w:val="0"/>
        <w:spacing w:line="360" w:lineRule="auto"/>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u w:val="single"/>
          <w14:textFill>
            <w14:solidFill>
              <w14:schemeClr w14:val="tx1"/>
            </w14:solidFill>
          </w14:textFill>
        </w:rPr>
        <w:t>（2）发包人按照规定所作支付后，暂列金额如有余额归发包人</w:t>
      </w:r>
      <w:r>
        <w:rPr>
          <w:rFonts w:hint="eastAsia" w:ascii="宋体" w:hAnsi="宋体" w:eastAsia="宋体" w:cs="Calibri"/>
          <w:color w:val="000000" w:themeColor="text1"/>
          <w:kern w:val="0"/>
          <w:szCs w:val="21"/>
          <w:highlight w:val="none"/>
          <w14:textFill>
            <w14:solidFill>
              <w14:schemeClr w14:val="tx1"/>
            </w14:solidFill>
          </w14:textFill>
        </w:rPr>
        <w:t>。</w:t>
      </w:r>
    </w:p>
    <w:p w14:paraId="79E141E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78" w:name="_Toc2395"/>
      <w:bookmarkStart w:id="1079" w:name="_Toc533863495"/>
      <w:r>
        <w:rPr>
          <w:rFonts w:ascii="宋体" w:hAnsi="宋体" w:eastAsia="宋体" w:cs="Times New Roman"/>
          <w:b/>
          <w:bCs/>
          <w:color w:val="000000" w:themeColor="text1"/>
          <w:szCs w:val="21"/>
          <w:highlight w:val="none"/>
          <w14:textFill>
            <w14:solidFill>
              <w14:schemeClr w14:val="tx1"/>
            </w14:solidFill>
          </w14:textFill>
        </w:rPr>
        <w:t xml:space="preserve">11. </w:t>
      </w:r>
      <w:r>
        <w:rPr>
          <w:rFonts w:hint="eastAsia" w:ascii="宋体" w:hAnsi="宋体" w:eastAsia="宋体" w:cs="Times New Roman"/>
          <w:b/>
          <w:bCs/>
          <w:color w:val="000000" w:themeColor="text1"/>
          <w:szCs w:val="21"/>
          <w:highlight w:val="none"/>
          <w14:textFill>
            <w14:solidFill>
              <w14:schemeClr w14:val="tx1"/>
            </w14:solidFill>
          </w14:textFill>
        </w:rPr>
        <w:t>价格调整</w:t>
      </w:r>
      <w:bookmarkEnd w:id="1077"/>
      <w:bookmarkEnd w:id="1078"/>
      <w:bookmarkEnd w:id="1079"/>
    </w:p>
    <w:bookmarkEnd w:id="987"/>
    <w:bookmarkEnd w:id="988"/>
    <w:bookmarkEnd w:id="989"/>
    <w:bookmarkEnd w:id="990"/>
    <w:bookmarkEnd w:id="991"/>
    <w:bookmarkEnd w:id="992"/>
    <w:p w14:paraId="479C9584">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1080" w:name="_Toc296944544"/>
      <w:bookmarkStart w:id="1081" w:name="_Toc296891033"/>
      <w:bookmarkStart w:id="1082" w:name="_Toc297048391"/>
      <w:bookmarkStart w:id="1083" w:name="_Toc297120505"/>
      <w:bookmarkStart w:id="1084" w:name="_Toc292559915"/>
      <w:bookmarkStart w:id="1085" w:name="_Toc296346706"/>
      <w:bookmarkStart w:id="1086" w:name="_Toc296891245"/>
      <w:bookmarkStart w:id="1087" w:name="_Toc292559410"/>
      <w:bookmarkStart w:id="1088" w:name="_Toc296347204"/>
      <w:bookmarkStart w:id="1089" w:name="_Toc296503205"/>
      <w:bookmarkStart w:id="1090" w:name="_Toc351203644"/>
      <w:bookmarkStart w:id="1091" w:name="_Toc297123552"/>
      <w:bookmarkStart w:id="1092" w:name="_Toc300935002"/>
      <w:bookmarkStart w:id="1093" w:name="_Toc304295579"/>
      <w:bookmarkStart w:id="1094" w:name="_Toc303539159"/>
      <w:bookmarkStart w:id="1095" w:name="_Toc297216211"/>
      <w:bookmarkStart w:id="1096" w:name="_Toc312678040"/>
      <w:r>
        <w:rPr>
          <w:rFonts w:hint="eastAsia" w:ascii="宋体" w:hAnsi="宋体" w:eastAsia="宋体" w:cs="Times New Roman"/>
          <w:b/>
          <w:color w:val="000000" w:themeColor="text1"/>
          <w:szCs w:val="21"/>
          <w:highlight w:val="none"/>
          <w:u w:val="none"/>
          <w:lang w:eastAsia="zh-CN"/>
          <w14:textFill>
            <w14:solidFill>
              <w14:schemeClr w14:val="tx1"/>
            </w14:solidFill>
          </w14:textFill>
        </w:rPr>
        <w:t>市场价格波动是否调整合同价格的约定：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 xml:space="preserve">  调整  。</w:t>
      </w:r>
    </w:p>
    <w:p w14:paraId="0DB2C5E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因市场价格波动调整合同价格，采用以下第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 xml:space="preserve">2 </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种方式对合同价格进行调整：</w:t>
      </w:r>
    </w:p>
    <w:p w14:paraId="02F8B7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种方式：采用价格指数进行价格调整。</w:t>
      </w:r>
    </w:p>
    <w:p w14:paraId="75804B4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关于各可调因子、定值和变值权重，以及基本价格指数及其来源的约定：</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54809CB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种方式：采用造价信息进行价格调整。</w:t>
      </w:r>
    </w:p>
    <w:p w14:paraId="2F77936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（2）关于基准价格的约定：</w:t>
      </w:r>
      <w:r>
        <w:rPr>
          <w:rFonts w:hint="eastAsia" w:ascii="宋体" w:hAnsi="宋体" w:eastAsia="宋体" w:cs="宋体"/>
          <w:color w:val="000000" w:themeColor="text1"/>
          <w:szCs w:val="21"/>
          <w:highlight w:val="none"/>
          <w:u w:val="single"/>
          <w14:textFill>
            <w14:solidFill>
              <w14:schemeClr w14:val="tx1"/>
            </w14:solidFill>
          </w14:textFill>
        </w:rPr>
        <w:t xml:space="preserve">    无      </w:t>
      </w:r>
      <w:r>
        <w:rPr>
          <w:rFonts w:hint="eastAsia" w:ascii="宋体" w:hAnsi="宋体" w:eastAsia="宋体" w:cs="宋体"/>
          <w:color w:val="000000" w:themeColor="text1"/>
          <w:szCs w:val="21"/>
          <w:highlight w:val="none"/>
          <w14:textFill>
            <w14:solidFill>
              <w14:schemeClr w14:val="tx1"/>
            </w14:solidFill>
          </w14:textFill>
        </w:rPr>
        <w:t>。</w:t>
      </w:r>
    </w:p>
    <w:p w14:paraId="45427C2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时，或材料单价跌幅以已标价工程量清单或预算书中载明材料单价为基础超过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7D3F1B6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时，材料单价涨幅以已标价工程量清单或预算书中载明材料单价为基础超过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05C15B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4B9E92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第3种方式：其他价格调整方式：</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E30268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97" w:name="_Toc533863496"/>
      <w:bookmarkStart w:id="1098" w:name="_Toc2026"/>
      <w:r>
        <w:rPr>
          <w:rFonts w:ascii="宋体" w:hAnsi="宋体" w:eastAsia="宋体" w:cs="Times New Roman"/>
          <w:b/>
          <w:bCs/>
          <w:color w:val="000000" w:themeColor="text1"/>
          <w:szCs w:val="21"/>
          <w:highlight w:val="none"/>
          <w14:textFill>
            <w14:solidFill>
              <w14:schemeClr w14:val="tx1"/>
            </w14:solidFill>
          </w14:textFill>
        </w:rPr>
        <w:t xml:space="preserve">12. </w:t>
      </w:r>
      <w:bookmarkEnd w:id="1080"/>
      <w:bookmarkEnd w:id="1081"/>
      <w:bookmarkEnd w:id="1082"/>
      <w:bookmarkEnd w:id="1083"/>
      <w:bookmarkEnd w:id="1084"/>
      <w:bookmarkEnd w:id="1085"/>
      <w:bookmarkEnd w:id="1086"/>
      <w:bookmarkEnd w:id="1087"/>
      <w:bookmarkEnd w:id="1088"/>
      <w:bookmarkEnd w:id="1089"/>
      <w:r>
        <w:rPr>
          <w:rFonts w:hint="eastAsia" w:ascii="宋体" w:hAnsi="宋体" w:eastAsia="宋体" w:cs="Times New Roman"/>
          <w:b/>
          <w:bCs/>
          <w:color w:val="000000" w:themeColor="text1"/>
          <w:szCs w:val="21"/>
          <w:highlight w:val="none"/>
          <w14:textFill>
            <w14:solidFill>
              <w14:schemeClr w14:val="tx1"/>
            </w14:solidFill>
          </w14:textFill>
        </w:rPr>
        <w:t>合同价格、计量与支付</w:t>
      </w:r>
      <w:bookmarkEnd w:id="1090"/>
      <w:bookmarkEnd w:id="1097"/>
      <w:bookmarkEnd w:id="1098"/>
    </w:p>
    <w:bookmarkEnd w:id="1091"/>
    <w:bookmarkEnd w:id="1092"/>
    <w:bookmarkEnd w:id="1093"/>
    <w:bookmarkEnd w:id="1094"/>
    <w:bookmarkEnd w:id="1095"/>
    <w:bookmarkEnd w:id="1096"/>
    <w:p w14:paraId="2A84544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099" w:name="_Toc292559411"/>
      <w:bookmarkStart w:id="1100" w:name="_Toc292559916"/>
      <w:bookmarkStart w:id="1101" w:name="_Toc267251461"/>
      <w:bookmarkStart w:id="1102" w:name="_Toc297048392"/>
      <w:bookmarkStart w:id="1103" w:name="_Toc296347205"/>
      <w:bookmarkStart w:id="1104" w:name="_Toc296346707"/>
      <w:bookmarkStart w:id="1105" w:name="_Toc297120506"/>
      <w:bookmarkStart w:id="1106" w:name="_Toc296944545"/>
      <w:bookmarkStart w:id="1107" w:name="_Toc296891034"/>
      <w:bookmarkStart w:id="1108" w:name="_Toc296891246"/>
      <w:bookmarkStart w:id="1109" w:name="_Toc296503206"/>
      <w:bookmarkStart w:id="1110" w:name="_Toc312678041"/>
      <w:bookmarkStart w:id="1111" w:name="_Toc297216212"/>
      <w:bookmarkStart w:id="1112" w:name="_Toc300935003"/>
      <w:bookmarkStart w:id="1113" w:name="_Toc297123553"/>
      <w:bookmarkStart w:id="1114" w:name="_Toc303539160"/>
      <w:bookmarkStart w:id="1115" w:name="_Toc304295580"/>
      <w:r>
        <w:rPr>
          <w:rFonts w:ascii="宋体" w:hAnsi="宋体" w:eastAsia="宋体" w:cs="Times New Roman"/>
          <w:color w:val="000000" w:themeColor="text1"/>
          <w:szCs w:val="21"/>
          <w:highlight w:val="none"/>
          <w14:textFill>
            <w14:solidFill>
              <w14:schemeClr w14:val="tx1"/>
            </w14:solidFill>
          </w14:textFill>
        </w:rPr>
        <w:t xml:space="preserve">12.1 </w:t>
      </w:r>
      <w:r>
        <w:rPr>
          <w:rFonts w:hint="eastAsia" w:ascii="宋体" w:hAnsi="宋体" w:eastAsia="宋体" w:cs="Times New Roman"/>
          <w:color w:val="000000" w:themeColor="text1"/>
          <w:szCs w:val="21"/>
          <w:highlight w:val="none"/>
          <w14:textFill>
            <w14:solidFill>
              <w14:schemeClr w14:val="tx1"/>
            </w14:solidFill>
          </w14:textFill>
        </w:rPr>
        <w:t>合</w:t>
      </w:r>
      <w:bookmarkEnd w:id="1099"/>
      <w:bookmarkEnd w:id="1100"/>
      <w:bookmarkEnd w:id="1101"/>
      <w:r>
        <w:rPr>
          <w:rFonts w:hint="eastAsia" w:ascii="宋体" w:hAnsi="宋体" w:eastAsia="宋体" w:cs="Times New Roman"/>
          <w:color w:val="000000" w:themeColor="text1"/>
          <w:szCs w:val="21"/>
          <w:highlight w:val="none"/>
          <w14:textFill>
            <w14:solidFill>
              <w14:schemeClr w14:val="tx1"/>
            </w14:solidFill>
          </w14:textFill>
        </w:rPr>
        <w:t>同价</w:t>
      </w:r>
      <w:bookmarkEnd w:id="1102"/>
      <w:bookmarkEnd w:id="1103"/>
      <w:bookmarkEnd w:id="1104"/>
      <w:bookmarkEnd w:id="1105"/>
      <w:bookmarkEnd w:id="1106"/>
      <w:bookmarkEnd w:id="1107"/>
      <w:bookmarkEnd w:id="1108"/>
      <w:bookmarkEnd w:id="1109"/>
      <w:r>
        <w:rPr>
          <w:rFonts w:hint="eastAsia" w:ascii="宋体" w:hAnsi="宋体" w:eastAsia="宋体" w:cs="Times New Roman"/>
          <w:color w:val="000000" w:themeColor="text1"/>
          <w:szCs w:val="21"/>
          <w:highlight w:val="none"/>
          <w14:textFill>
            <w14:solidFill>
              <w14:schemeClr w14:val="tx1"/>
            </w14:solidFill>
          </w14:textFill>
        </w:rPr>
        <w:t>格形式</w:t>
      </w:r>
    </w:p>
    <w:bookmarkEnd w:id="1110"/>
    <w:bookmarkEnd w:id="1111"/>
    <w:bookmarkEnd w:id="1112"/>
    <w:bookmarkEnd w:id="1113"/>
    <w:bookmarkEnd w:id="1114"/>
    <w:bookmarkEnd w:id="1115"/>
    <w:p w14:paraId="75A50F90">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、单价合同。</w:t>
      </w:r>
    </w:p>
    <w:p w14:paraId="37342528">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本工程采用固定综合单价合同，结算时的工程量按实际发生的工程量。</w:t>
      </w:r>
    </w:p>
    <w:p w14:paraId="4D394FD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综合单价包含的风险范围：</w:t>
      </w:r>
      <w:r>
        <w:rPr>
          <w:rFonts w:hint="eastAsia" w:ascii="宋体" w:hAnsi="宋体" w:eastAsia="宋体" w:cs="Calibri"/>
          <w:color w:val="000000" w:themeColor="text1"/>
          <w:szCs w:val="21"/>
          <w:highlight w:val="none"/>
          <w:u w:val="single"/>
          <w14:textFill>
            <w14:solidFill>
              <w14:schemeClr w14:val="tx1"/>
            </w14:solidFill>
          </w14:textFill>
        </w:rPr>
        <w:t>除工程变更、政策性调整以外因素。</w:t>
      </w:r>
    </w:p>
    <w:p w14:paraId="5C26C814">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风险范围以外合同价格的调整方法：</w:t>
      </w:r>
    </w:p>
    <w:p w14:paraId="4FC26B8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①工程变更：按10.4.1</w:t>
      </w:r>
      <w:r>
        <w:rPr>
          <w:rFonts w:hint="eastAsia" w:ascii="宋体" w:hAnsi="宋体" w:eastAsia="宋体" w:cs="宋体"/>
          <w:color w:val="000000" w:themeColor="text1"/>
          <w:kern w:val="0"/>
          <w:szCs w:val="21"/>
          <w:highlight w:val="none"/>
          <w14:textFill>
            <w14:solidFill>
              <w14:schemeClr w14:val="tx1"/>
            </w14:solidFill>
          </w14:textFill>
        </w:rPr>
        <w:t>变更估价原则的约定调整。</w:t>
      </w:r>
    </w:p>
    <w:p w14:paraId="3EACFE8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②政策性调整：按自治区建设行政主管部门颁布的文件执行。</w:t>
      </w:r>
    </w:p>
    <w:p w14:paraId="1FD7C55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③材料价格风险：按11.1</w:t>
      </w:r>
      <w:r>
        <w:rPr>
          <w:rFonts w:hint="eastAsia" w:ascii="宋体" w:hAnsi="宋体" w:eastAsia="宋体" w:cs="宋体"/>
          <w:color w:val="000000" w:themeColor="text1"/>
          <w:kern w:val="0"/>
          <w:szCs w:val="21"/>
          <w:highlight w:val="none"/>
          <w14:textFill>
            <w14:solidFill>
              <w14:schemeClr w14:val="tx1"/>
            </w14:solidFill>
          </w14:textFill>
        </w:rPr>
        <w:t>的约定调整。</w:t>
      </w:r>
    </w:p>
    <w:p w14:paraId="7B94EDC8">
      <w:pPr>
        <w:spacing w:line="360" w:lineRule="auto"/>
        <w:ind w:firstLine="420" w:firstLineChars="200"/>
        <w:jc w:val="left"/>
        <w:rPr>
          <w:rFonts w:ascii="宋体" w:hAnsi="宋体" w:eastAsia="宋体" w:cs="Times New Roman"/>
          <w:color w:val="000000" w:themeColor="text1"/>
          <w:szCs w:val="21"/>
          <w:highlight w:val="none"/>
          <w:u w:val="singl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④其它：</w:t>
      </w:r>
      <w:r>
        <w:rPr>
          <w:rFonts w:hint="eastAsia" w:ascii="宋体" w:hAnsi="宋体" w:eastAsia="宋体" w:cs="Times New Roman"/>
          <w:color w:val="000000" w:themeColor="text1"/>
          <w:szCs w:val="21"/>
          <w:highlight w:val="none"/>
          <w:u w:val="single"/>
          <w14:textFill>
            <w14:solidFill>
              <w14:schemeClr w14:val="tx1"/>
            </w14:solidFill>
          </w14:textFill>
        </w:rPr>
        <w:t>A、根据投标人的中标综合单价及施工实际工程量进行结算。在施工过程中，若市场价格幅度超过基准材料价格的±5%时，工程所用的主要材料（指：钢筋、水泥、沙、碎石、给排水管、块料、装饰材料、商品混凝土、砖）可以调整价格。具体调整办法为：（即（施工期市场发布的材料价格－投标期预算控制价套用的材料价格）×发包人确认材料数量）及相应的税金。B、对于法律、法规、规章或有关政策出台导致工程税金、规费、人工费发生变化，并由自治区建设行政主管部门或其授权的自治区工程造价管理机构根据上述变化发布的政策性调整，承包人不应承担风险，应按照有关调整规定执行。 C、设计变更引起的调整方法a、合同中已有适用的综合单价，按合同中已有的综合单价确定。b、合同中有类似的综合单价，参照类似的综合单价确定。</w:t>
      </w:r>
    </w:p>
    <w:p w14:paraId="23BF055A">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w:t>
      </w:r>
      <w:r>
        <w:rPr>
          <w:rFonts w:hint="eastAsia" w:ascii="宋体" w:hAnsi="宋体" w:eastAsia="宋体" w:cs="Times New Roman"/>
          <w:color w:val="000000" w:themeColor="text1"/>
          <w:szCs w:val="21"/>
          <w:highlight w:val="none"/>
          <w14:textFill>
            <w14:solidFill>
              <w14:schemeClr w14:val="tx1"/>
            </w14:solidFill>
          </w14:textFill>
        </w:rPr>
        <w:t>、总价合同。</w:t>
      </w:r>
    </w:p>
    <w:p w14:paraId="2815E91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总价包含的风险范围：</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2756E088">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风险范围以外合同价格的调整方法：</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3B8910E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、其他价格方式：</w:t>
      </w:r>
      <w:bookmarkStart w:id="1116" w:name="_Toc296891035"/>
      <w:bookmarkStart w:id="1117" w:name="_Toc297120507"/>
      <w:bookmarkStart w:id="1118" w:name="_Toc296503207"/>
      <w:bookmarkStart w:id="1119" w:name="_Toc292559412"/>
      <w:bookmarkStart w:id="1120" w:name="_Toc296347206"/>
      <w:bookmarkStart w:id="1121" w:name="_Toc296346708"/>
      <w:bookmarkStart w:id="1122" w:name="_Toc303539161"/>
      <w:bookmarkStart w:id="1123" w:name="_Toc312678042"/>
      <w:bookmarkStart w:id="1124" w:name="_Toc300935004"/>
      <w:bookmarkStart w:id="1125" w:name="_Toc304295581"/>
      <w:bookmarkStart w:id="1126" w:name="_Toc297048393"/>
      <w:bookmarkStart w:id="1127" w:name="_Toc297123554"/>
      <w:bookmarkStart w:id="1128" w:name="_Toc292559917"/>
      <w:bookmarkStart w:id="1129" w:name="_Toc296891247"/>
      <w:bookmarkStart w:id="1130" w:name="_Toc296944546"/>
      <w:bookmarkStart w:id="1131" w:name="_Toc297216213"/>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3361AC3">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12.2 </w:t>
      </w:r>
      <w:r>
        <w:rPr>
          <w:rFonts w:hint="eastAsia" w:ascii="宋体" w:hAnsi="宋体" w:eastAsia="宋体" w:cs="Times New Roman"/>
          <w:color w:val="000000" w:themeColor="text1"/>
          <w:szCs w:val="21"/>
          <w:highlight w:val="none"/>
          <w14:textFill>
            <w14:solidFill>
              <w14:schemeClr w14:val="tx1"/>
            </w14:solidFill>
          </w14:textFill>
        </w:rPr>
        <w:t>预付款</w:t>
      </w:r>
    </w:p>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14:paraId="35D51E8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2" w:name="_Toc3535"/>
      <w:bookmarkStart w:id="1133" w:name="_Toc31461"/>
      <w:bookmarkStart w:id="1134" w:name="_Toc533863497"/>
      <w:bookmarkStart w:id="1135" w:name="_Toc6780"/>
      <w:bookmarkStart w:id="1136" w:name="_Toc26692"/>
      <w:bookmarkStart w:id="1137" w:name="_Toc8866"/>
      <w:r>
        <w:rPr>
          <w:rFonts w:ascii="宋体" w:hAnsi="宋体" w:eastAsia="宋体" w:cs="宋体"/>
          <w:color w:val="000000" w:themeColor="text1"/>
          <w:szCs w:val="21"/>
          <w:highlight w:val="none"/>
          <w14:textFill>
            <w14:solidFill>
              <w14:schemeClr w14:val="tx1"/>
            </w14:solidFill>
          </w14:textFill>
        </w:rPr>
        <w:t xml:space="preserve">12.2.1 </w:t>
      </w:r>
      <w:r>
        <w:rPr>
          <w:rFonts w:hint="eastAsia" w:ascii="宋体" w:hAnsi="宋体" w:eastAsia="宋体" w:cs="Calibri"/>
          <w:color w:val="000000" w:themeColor="text1"/>
          <w:szCs w:val="21"/>
          <w:highlight w:val="none"/>
          <w14:textFill>
            <w14:solidFill>
              <w14:schemeClr w14:val="tx1"/>
            </w14:solidFill>
          </w14:textFill>
        </w:rPr>
        <w:t>预付款的支付</w:t>
      </w:r>
      <w:bookmarkEnd w:id="1132"/>
      <w:bookmarkEnd w:id="1133"/>
      <w:bookmarkEnd w:id="1134"/>
      <w:bookmarkEnd w:id="1135"/>
      <w:bookmarkEnd w:id="1136"/>
      <w:bookmarkEnd w:id="1137"/>
    </w:p>
    <w:p w14:paraId="413E945A">
      <w:pPr>
        <w:spacing w:line="360" w:lineRule="auto"/>
        <w:ind w:firstLine="422" w:firstLineChars="200"/>
        <w:rPr>
          <w:rFonts w:hint="eastAsia" w:ascii="宋体" w:hAnsi="宋体" w:eastAsia="宋体" w:cs="Calibri"/>
          <w:color w:val="000000" w:themeColor="text1"/>
          <w:szCs w:val="21"/>
          <w:highlight w:val="none"/>
          <w:u w:val="single"/>
          <w:lang w:eastAsia="zh-CN"/>
          <w14:textFill>
            <w14:solidFill>
              <w14:schemeClr w14:val="tx1"/>
            </w14:solidFill>
          </w14:textFill>
        </w:rPr>
      </w:pPr>
      <w:bookmarkStart w:id="1138" w:name="_Toc533863498"/>
      <w:r>
        <w:rPr>
          <w:rFonts w:hint="eastAsia" w:ascii="宋体" w:hAnsi="宋体" w:eastAsia="宋体" w:cs="Times New Roman"/>
          <w:b/>
          <w:color w:val="000000" w:themeColor="text1"/>
          <w:szCs w:val="21"/>
          <w:highlight w:val="none"/>
          <w:u w:val="none"/>
          <w:lang w:eastAsia="zh-CN"/>
          <w14:textFill>
            <w14:solidFill>
              <w14:schemeClr w14:val="tx1"/>
            </w14:solidFill>
          </w14:textFill>
        </w:rPr>
        <w:t>预付款支付比例或金额：</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按照签约合同价拨付(扣除暂列金)30%</w:t>
      </w:r>
    </w:p>
    <w:p w14:paraId="4F93A9B6">
      <w:pPr>
        <w:spacing w:line="360" w:lineRule="auto"/>
        <w:ind w:firstLine="422" w:firstLineChars="200"/>
        <w:jc w:val="left"/>
        <w:rPr>
          <w:rFonts w:ascii="宋体" w:hAnsi="宋体" w:eastAsia="宋体" w:cs="Calibri"/>
          <w:b/>
          <w:bCs/>
          <w:color w:val="000000" w:themeColor="text1"/>
          <w:szCs w:val="21"/>
          <w:highlight w:val="none"/>
          <w:u w:val="single"/>
          <w14:textFill>
            <w14:solidFill>
              <w14:schemeClr w14:val="tx1"/>
            </w14:solidFill>
          </w14:textFill>
        </w:rPr>
      </w:pPr>
      <w:r>
        <w:rPr>
          <w:rFonts w:hint="eastAsia" w:ascii="宋体" w:hAnsi="宋体" w:eastAsia="宋体" w:cs="Calibri"/>
          <w:b/>
          <w:bCs/>
          <w:color w:val="000000" w:themeColor="text1"/>
          <w:szCs w:val="21"/>
          <w:highlight w:val="none"/>
          <w14:textFill>
            <w14:solidFill>
              <w14:schemeClr w14:val="tx1"/>
            </w14:solidFill>
          </w14:textFill>
        </w:rPr>
        <w:t>预付款支付期限：</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合同签订后(根据发包人资金到位情况支付)</w:t>
      </w:r>
    </w:p>
    <w:p w14:paraId="404913FA">
      <w:pPr>
        <w:spacing w:line="360" w:lineRule="auto"/>
        <w:ind w:firstLine="420" w:firstLineChars="200"/>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预付款扣回的方式：</w:t>
      </w:r>
      <w:r>
        <w:rPr>
          <w:rFonts w:hint="eastAsia" w:ascii="宋体" w:hAnsi="宋体" w:eastAsia="宋体" w:cs="Calibri"/>
          <w:color w:val="000000" w:themeColor="text1"/>
          <w:szCs w:val="21"/>
          <w:highlight w:val="none"/>
          <w:u w:val="single"/>
          <w:lang w:val="en-US" w:eastAsia="zh-CN"/>
          <w14:textFill>
            <w14:solidFill>
              <w14:schemeClr w14:val="tx1"/>
            </w14:solidFill>
          </w14:textFill>
        </w:rPr>
        <w:t>:</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按每次进度款的 35%扣回，直至进度款拨付金额达到子项目预算审定造价的80%时全部扣清，在颁发工程接收证书前，提前解除合同的，尚未扣完的预付款应与合同价款一并结算。</w:t>
      </w:r>
    </w:p>
    <w:p w14:paraId="5C7111E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9" w:name="_Toc7868"/>
      <w:bookmarkStart w:id="1140" w:name="_Toc31049"/>
      <w:bookmarkStart w:id="1141" w:name="_Toc30007"/>
      <w:bookmarkStart w:id="1142" w:name="_Toc13385"/>
      <w:bookmarkStart w:id="1143" w:name="_Toc9656"/>
      <w:r>
        <w:rPr>
          <w:rFonts w:ascii="宋体" w:hAnsi="宋体" w:eastAsia="宋体" w:cs="宋体"/>
          <w:color w:val="000000" w:themeColor="text1"/>
          <w:szCs w:val="21"/>
          <w:highlight w:val="none"/>
          <w14:textFill>
            <w14:solidFill>
              <w14:schemeClr w14:val="tx1"/>
            </w14:solidFill>
          </w14:textFill>
        </w:rPr>
        <w:t xml:space="preserve">12.2.2 </w:t>
      </w:r>
      <w:r>
        <w:rPr>
          <w:rFonts w:hint="eastAsia" w:ascii="宋体" w:hAnsi="宋体" w:eastAsia="宋体" w:cs="Calibri"/>
          <w:color w:val="000000" w:themeColor="text1"/>
          <w:szCs w:val="21"/>
          <w:highlight w:val="none"/>
          <w14:textFill>
            <w14:solidFill>
              <w14:schemeClr w14:val="tx1"/>
            </w14:solidFill>
          </w14:textFill>
        </w:rPr>
        <w:t>预付款担保</w:t>
      </w:r>
      <w:bookmarkEnd w:id="1138"/>
      <w:bookmarkEnd w:id="1139"/>
      <w:bookmarkEnd w:id="1140"/>
      <w:bookmarkEnd w:id="1141"/>
      <w:bookmarkEnd w:id="1142"/>
      <w:bookmarkEnd w:id="1143"/>
    </w:p>
    <w:p w14:paraId="27A97D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承包人提交预付款担保的期限：</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A5FDBC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预付款担保的形式为：</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202B8E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预付款担保格式见合同附件7。</w:t>
      </w:r>
    </w:p>
    <w:p w14:paraId="6DB4B4B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12.3 </w:t>
      </w:r>
      <w:r>
        <w:rPr>
          <w:rFonts w:hint="eastAsia" w:ascii="宋体" w:hAnsi="宋体" w:eastAsia="宋体" w:cs="Times New Roman"/>
          <w:color w:val="000000" w:themeColor="text1"/>
          <w:szCs w:val="21"/>
          <w:highlight w:val="none"/>
          <w14:textFill>
            <w14:solidFill>
              <w14:schemeClr w14:val="tx1"/>
            </w14:solidFill>
          </w14:textFill>
        </w:rPr>
        <w:t>计量</w:t>
      </w:r>
    </w:p>
    <w:p w14:paraId="26DB36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12.3.1 </w:t>
      </w:r>
      <w:r>
        <w:rPr>
          <w:rFonts w:hint="eastAsia" w:ascii="宋体" w:hAnsi="宋体" w:eastAsia="宋体" w:cs="Calibri"/>
          <w:color w:val="000000" w:themeColor="text1"/>
          <w:szCs w:val="21"/>
          <w:highlight w:val="none"/>
          <w14:textFill>
            <w14:solidFill>
              <w14:schemeClr w14:val="tx1"/>
            </w14:solidFill>
          </w14:textFill>
        </w:rPr>
        <w:t>计量原则</w:t>
      </w:r>
    </w:p>
    <w:p w14:paraId="3B4CC00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工程量计算规则：</w:t>
      </w:r>
      <w:r>
        <w:rPr>
          <w:rFonts w:hint="eastAsia" w:ascii="宋体" w:hAnsi="宋体" w:eastAsia="宋体" w:cs="Calibri"/>
          <w:color w:val="000000" w:themeColor="text1"/>
          <w:szCs w:val="21"/>
          <w:highlight w:val="none"/>
          <w:u w:val="single"/>
          <w14:textFill>
            <w14:solidFill>
              <w14:schemeClr w14:val="tx1"/>
            </w14:solidFill>
          </w14:textFill>
        </w:rPr>
        <w:t>工程的计量均以《建设工程工程量清单计价规范》（GB50500－2013）和及其广西壮族自治区实施细则、《建设工程工程量清单计算规范》（GB50854~50862－2013）及其广西实施细则、本工程补充项目清单为准。</w:t>
      </w:r>
    </w:p>
    <w:p w14:paraId="749DBA3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44" w:name="_Toc29937"/>
      <w:bookmarkStart w:id="1145" w:name="_Toc27476"/>
      <w:bookmarkStart w:id="1146" w:name="_Toc20843"/>
      <w:bookmarkStart w:id="1147" w:name="_Toc533863499"/>
      <w:bookmarkStart w:id="1148" w:name="_Toc12833"/>
      <w:bookmarkStart w:id="1149" w:name="_Toc15701"/>
      <w:r>
        <w:rPr>
          <w:rFonts w:ascii="宋体" w:hAnsi="宋体" w:eastAsia="宋体" w:cs="宋体"/>
          <w:color w:val="000000" w:themeColor="text1"/>
          <w:szCs w:val="21"/>
          <w:highlight w:val="none"/>
          <w14:textFill>
            <w14:solidFill>
              <w14:schemeClr w14:val="tx1"/>
            </w14:solidFill>
          </w14:textFill>
        </w:rPr>
        <w:t xml:space="preserve">12.3.2 </w:t>
      </w:r>
      <w:r>
        <w:rPr>
          <w:rFonts w:hint="eastAsia" w:ascii="宋体" w:hAnsi="宋体" w:eastAsia="宋体" w:cs="Calibri"/>
          <w:color w:val="000000" w:themeColor="text1"/>
          <w:szCs w:val="21"/>
          <w:highlight w:val="none"/>
          <w14:textFill>
            <w14:solidFill>
              <w14:schemeClr w14:val="tx1"/>
            </w14:solidFill>
          </w14:textFill>
        </w:rPr>
        <w:t>计量周期</w:t>
      </w:r>
      <w:bookmarkEnd w:id="1144"/>
      <w:bookmarkEnd w:id="1145"/>
      <w:bookmarkEnd w:id="1146"/>
      <w:bookmarkEnd w:id="1147"/>
      <w:bookmarkEnd w:id="1148"/>
      <w:bookmarkEnd w:id="1149"/>
    </w:p>
    <w:p w14:paraId="5036BD5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关于计量周期的约定：</w:t>
      </w:r>
      <w:r>
        <w:rPr>
          <w:rFonts w:hint="eastAsia" w:ascii="宋体" w:hAnsi="宋体" w:eastAsia="宋体" w:cs="Calibri"/>
          <w:color w:val="000000" w:themeColor="text1"/>
          <w:szCs w:val="21"/>
          <w:highlight w:val="none"/>
          <w:u w:val="single"/>
          <w14:textFill>
            <w14:solidFill>
              <w14:schemeClr w14:val="tx1"/>
            </w14:solidFill>
          </w14:textFill>
        </w:rPr>
        <w:t>每月</w:t>
      </w:r>
      <w:r>
        <w:rPr>
          <w:rFonts w:ascii="宋体" w:hAnsi="宋体" w:eastAsia="宋体" w:cs="宋体"/>
          <w:color w:val="000000" w:themeColor="text1"/>
          <w:szCs w:val="21"/>
          <w:highlight w:val="none"/>
          <w:u w:val="single"/>
          <w14:textFill>
            <w14:solidFill>
              <w14:schemeClr w14:val="tx1"/>
            </w14:solidFill>
          </w14:textFill>
        </w:rPr>
        <w:t>25</w:t>
      </w:r>
      <w:r>
        <w:rPr>
          <w:rFonts w:hint="eastAsia" w:ascii="宋体" w:hAnsi="宋体" w:eastAsia="宋体" w:cs="Calibri"/>
          <w:color w:val="000000" w:themeColor="text1"/>
          <w:szCs w:val="21"/>
          <w:highlight w:val="none"/>
          <w:u w:val="single"/>
          <w14:textFill>
            <w14:solidFill>
              <w14:schemeClr w14:val="tx1"/>
            </w14:solidFill>
          </w14:textFill>
        </w:rPr>
        <w:t>日前</w:t>
      </w:r>
      <w:r>
        <w:rPr>
          <w:rFonts w:hint="eastAsia" w:ascii="宋体" w:hAnsi="宋体" w:eastAsia="宋体" w:cs="Calibri"/>
          <w:color w:val="000000" w:themeColor="text1"/>
          <w:szCs w:val="21"/>
          <w:highlight w:val="none"/>
          <w14:textFill>
            <w14:solidFill>
              <w14:schemeClr w14:val="tx1"/>
            </w14:solidFill>
          </w14:textFill>
        </w:rPr>
        <w:t>。</w:t>
      </w:r>
    </w:p>
    <w:p w14:paraId="589D3B5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12.3.3 </w:t>
      </w:r>
      <w:r>
        <w:rPr>
          <w:rFonts w:hint="eastAsia" w:ascii="宋体" w:hAnsi="宋体" w:eastAsia="宋体" w:cs="Calibri"/>
          <w:color w:val="000000" w:themeColor="text1"/>
          <w:szCs w:val="21"/>
          <w:highlight w:val="none"/>
          <w14:textFill>
            <w14:solidFill>
              <w14:schemeClr w14:val="tx1"/>
            </w14:solidFill>
          </w14:textFill>
        </w:rPr>
        <w:t>单价合同的计量</w:t>
      </w:r>
    </w:p>
    <w:p w14:paraId="4FA135B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关于单价合同计量的约定：</w:t>
      </w:r>
    </w:p>
    <w:p w14:paraId="42492E09">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Calibri"/>
          <w:color w:val="000000" w:themeColor="text1"/>
          <w:szCs w:val="21"/>
          <w:highlight w:val="non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p>
    <w:p w14:paraId="58A414E8">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(2) </w:t>
      </w:r>
      <w:r>
        <w:rPr>
          <w:rFonts w:hint="eastAsia" w:ascii="宋体" w:hAnsi="宋体" w:eastAsia="宋体" w:cs="Calibri"/>
          <w:color w:val="000000" w:themeColor="text1"/>
          <w:szCs w:val="21"/>
          <w:highlight w:val="none"/>
          <w14:textFill>
            <w14:solidFill>
              <w14:schemeClr w14:val="tx1"/>
            </w14:solidFill>
          </w14:textFill>
        </w:rPr>
        <w:t>除另有规定外，工程师应按照合同通过计量来核实确定已完成的工程量和价款，承包人应得到该价款扣除保留金后的金额。当工程师要对已完工的工程量进行计量时，应适时地通知承包人参加。</w:t>
      </w:r>
    </w:p>
    <w:p w14:paraId="79E97FA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12.3.4 </w:t>
      </w:r>
      <w:r>
        <w:rPr>
          <w:rFonts w:hint="eastAsia" w:ascii="宋体" w:hAnsi="宋体" w:eastAsia="宋体" w:cs="Calibri"/>
          <w:color w:val="000000" w:themeColor="text1"/>
          <w:szCs w:val="21"/>
          <w:highlight w:val="none"/>
          <w14:textFill>
            <w14:solidFill>
              <w14:schemeClr w14:val="tx1"/>
            </w14:solidFill>
          </w14:textFill>
        </w:rPr>
        <w:t>总价合同的计量</w:t>
      </w:r>
    </w:p>
    <w:p w14:paraId="39D1EA3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关于总价合同计量的约定：除工程变更外，原图纸范围内的工程量不得按实计量。进度款按支付分解表支付，按通用条款第</w:t>
      </w:r>
      <w:r>
        <w:rPr>
          <w:rFonts w:ascii="宋体" w:hAnsi="宋体" w:eastAsia="宋体" w:cs="宋体"/>
          <w:color w:val="000000" w:themeColor="text1"/>
          <w:kern w:val="0"/>
          <w:szCs w:val="21"/>
          <w:highlight w:val="none"/>
          <w14:textFill>
            <w14:solidFill>
              <w14:schemeClr w14:val="tx1"/>
            </w14:solidFill>
          </w14:textFill>
        </w:rPr>
        <w:t>12.3.4</w:t>
      </w:r>
      <w:r>
        <w:rPr>
          <w:rFonts w:hint="eastAsia" w:ascii="宋体" w:hAnsi="宋体" w:eastAsia="宋体" w:cs="Calibri"/>
          <w:color w:val="000000" w:themeColor="text1"/>
          <w:szCs w:val="21"/>
          <w:highlight w:val="none"/>
          <w14:textFill>
            <w14:solidFill>
              <w14:schemeClr w14:val="tx1"/>
            </w14:solidFill>
          </w14:textFill>
        </w:rPr>
        <w:t>项</w:t>
      </w:r>
      <w:r>
        <w:rPr>
          <w:rFonts w:hint="eastAsia" w:ascii="宋体" w:hAnsi="宋体" w:eastAsia="宋体" w:cs="Calibri"/>
          <w:color w:val="000000" w:themeColor="text1"/>
          <w:kern w:val="0"/>
          <w:szCs w:val="21"/>
          <w:highlight w:val="none"/>
          <w14:textFill>
            <w14:solidFill>
              <w14:schemeClr w14:val="tx1"/>
            </w14:solidFill>
          </w14:textFill>
        </w:rPr>
        <w:t>〔总价合同的计量〕</w:t>
      </w:r>
      <w:r>
        <w:rPr>
          <w:rFonts w:hint="eastAsia" w:ascii="宋体" w:hAnsi="宋体" w:eastAsia="宋体" w:cs="Calibri"/>
          <w:color w:val="000000" w:themeColor="text1"/>
          <w:szCs w:val="21"/>
          <w:highlight w:val="none"/>
          <w14:textFill>
            <w14:solidFill>
              <w14:schemeClr w14:val="tx1"/>
            </w14:solidFill>
          </w14:textFill>
        </w:rPr>
        <w:t>约定进行计量，但</w:t>
      </w:r>
      <w:r>
        <w:rPr>
          <w:rFonts w:hint="eastAsia" w:ascii="宋体" w:hAnsi="宋体" w:eastAsia="宋体" w:cs="Calibri"/>
          <w:color w:val="000000" w:themeColor="text1"/>
          <w:kern w:val="0"/>
          <w:szCs w:val="21"/>
          <w:highlight w:val="none"/>
          <w14:textFill>
            <w14:solidFill>
              <w14:schemeClr w14:val="tx1"/>
            </w14:solidFill>
          </w14:textFill>
        </w:rPr>
        <w:t>合同价款按照支付分解表进行支付。</w:t>
      </w:r>
    </w:p>
    <w:p w14:paraId="09B6F22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12.3.6 </w:t>
      </w:r>
      <w:r>
        <w:rPr>
          <w:rFonts w:hint="eastAsia" w:ascii="宋体" w:hAnsi="宋体" w:eastAsia="宋体" w:cs="Calibri"/>
          <w:color w:val="000000" w:themeColor="text1"/>
          <w:szCs w:val="21"/>
          <w:highlight w:val="none"/>
          <w14:textFill>
            <w14:solidFill>
              <w14:schemeClr w14:val="tx1"/>
            </w14:solidFill>
          </w14:textFill>
        </w:rPr>
        <w:t>其他价格形式合同的计量</w:t>
      </w:r>
    </w:p>
    <w:p w14:paraId="76F94DF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其他价格形式的计量方式和程序：</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68C37FF">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12.4 </w:t>
      </w:r>
      <w:r>
        <w:rPr>
          <w:rFonts w:hint="eastAsia" w:ascii="宋体" w:hAnsi="宋体" w:eastAsia="宋体" w:cs="Times New Roman"/>
          <w:color w:val="000000" w:themeColor="text1"/>
          <w:szCs w:val="21"/>
          <w:highlight w:val="none"/>
          <w14:textFill>
            <w14:solidFill>
              <w14:schemeClr w14:val="tx1"/>
            </w14:solidFill>
          </w14:textFill>
        </w:rPr>
        <w:t>工程进度款支付</w:t>
      </w:r>
    </w:p>
    <w:bookmarkEnd w:id="993"/>
    <w:p w14:paraId="280A299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50" w:name="_Toc24334"/>
      <w:bookmarkStart w:id="1151" w:name="_Toc3211"/>
      <w:bookmarkStart w:id="1152" w:name="_Toc15733"/>
      <w:bookmarkStart w:id="1153" w:name="_Toc20148"/>
      <w:bookmarkStart w:id="1154" w:name="_Toc533863500"/>
      <w:bookmarkStart w:id="1155" w:name="_Toc23998"/>
      <w:bookmarkStart w:id="1156" w:name="_Toc351203645"/>
      <w:bookmarkStart w:id="1157" w:name="_Toc292559424"/>
      <w:bookmarkStart w:id="1158" w:name="_Toc297120519"/>
      <w:bookmarkStart w:id="1159" w:name="_Toc296891259"/>
      <w:bookmarkStart w:id="1160" w:name="_Toc296347218"/>
      <w:bookmarkStart w:id="1161" w:name="_Toc303539172"/>
      <w:bookmarkStart w:id="1162" w:name="_Toc296503219"/>
      <w:bookmarkStart w:id="1163" w:name="_Toc292559929"/>
      <w:bookmarkStart w:id="1164" w:name="_Toc312678053"/>
      <w:bookmarkStart w:id="1165" w:name="_Toc296944558"/>
      <w:bookmarkStart w:id="1166" w:name="_Toc297123564"/>
      <w:bookmarkStart w:id="1167" w:name="_Toc297048405"/>
      <w:bookmarkStart w:id="1168" w:name="_Toc304295593"/>
      <w:bookmarkStart w:id="1169" w:name="_Toc296891047"/>
      <w:bookmarkStart w:id="1170" w:name="_Toc296346720"/>
      <w:bookmarkStart w:id="1171" w:name="_Toc300935015"/>
      <w:bookmarkStart w:id="1172" w:name="_Toc297216223"/>
      <w:r>
        <w:rPr>
          <w:rFonts w:ascii="宋体" w:hAnsi="宋体" w:eastAsia="宋体" w:cs="宋体"/>
          <w:color w:val="000000" w:themeColor="text1"/>
          <w:szCs w:val="21"/>
          <w:highlight w:val="none"/>
          <w14:textFill>
            <w14:solidFill>
              <w14:schemeClr w14:val="tx1"/>
            </w14:solidFill>
          </w14:textFill>
        </w:rPr>
        <w:t xml:space="preserve">12.4.1 </w:t>
      </w:r>
      <w:r>
        <w:rPr>
          <w:rFonts w:hint="eastAsia" w:ascii="宋体" w:hAnsi="宋体" w:eastAsia="宋体" w:cs="Calibri"/>
          <w:color w:val="000000" w:themeColor="text1"/>
          <w:szCs w:val="21"/>
          <w:highlight w:val="none"/>
          <w14:textFill>
            <w14:solidFill>
              <w14:schemeClr w14:val="tx1"/>
            </w14:solidFill>
          </w14:textFill>
        </w:rPr>
        <w:t>付款周期</w:t>
      </w:r>
      <w:bookmarkEnd w:id="1150"/>
      <w:bookmarkEnd w:id="1151"/>
      <w:bookmarkEnd w:id="1152"/>
      <w:bookmarkEnd w:id="1153"/>
      <w:bookmarkEnd w:id="1154"/>
      <w:bookmarkEnd w:id="1155"/>
    </w:p>
    <w:p w14:paraId="0C3A3E81">
      <w:pPr>
        <w:widowControl/>
        <w:spacing w:line="400" w:lineRule="exact"/>
        <w:ind w:firstLine="420" w:firstLineChars="200"/>
        <w:jc w:val="left"/>
        <w:rPr>
          <w:rFonts w:ascii="Times New Roman" w:hAnsi="Times New Roman" w:eastAsia="宋体" w:cs="Times New Roman"/>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付款周期的约定:在具备开工条件，监理出具开工令，由施工单位申请，建设单位收到申请后15日内办理支付30%的工程预付款手续送财政审核拨付(因涉及财政资金，具体到账时间以财政拨款到账时间为准);按工程进度支付工程进度款，每期进度款按当期已完合格工程量的90%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工程完工验收合格后，累计支付至合同价款的97%</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承包人向发包人提交经发包人认可的银行出具的、金额为审计结算价3%的质量保证金保函后，发包人应在收到保函之日起7个工作日内将累计支付比例提高至合同价款的100%(即剩余3%不再扣留现金，以保函方式替代)</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竣工结算经有关部门审定后，发包人应在结算审定之日起7个工作日内将工程款支付至结算审定总价的100%(含已支付)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承包人提供的质量保证金保函有效期应覆盖缺陷责任期(12个月)，缺陷责任期满后，无工程缺陷的，保函自动失效，发包人应在收到承包人书面申请后7个工作日内将保函原件退还承包人。</w:t>
      </w:r>
    </w:p>
    <w:p w14:paraId="452E931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3" w:name="_Toc533863501"/>
      <w:bookmarkStart w:id="1174" w:name="_Toc8534"/>
      <w:bookmarkStart w:id="1175" w:name="_Toc5836"/>
      <w:bookmarkStart w:id="1176" w:name="_Toc13151"/>
      <w:bookmarkStart w:id="1177" w:name="_Toc13739"/>
      <w:bookmarkStart w:id="1178" w:name="_Toc31357"/>
      <w:r>
        <w:rPr>
          <w:rFonts w:ascii="宋体" w:hAnsi="宋体" w:eastAsia="宋体" w:cs="宋体"/>
          <w:color w:val="000000" w:themeColor="text1"/>
          <w:szCs w:val="21"/>
          <w:highlight w:val="none"/>
          <w14:textFill>
            <w14:solidFill>
              <w14:schemeClr w14:val="tx1"/>
            </w14:solidFill>
          </w14:textFill>
        </w:rPr>
        <w:t xml:space="preserve">12.4.2 </w:t>
      </w:r>
      <w:r>
        <w:rPr>
          <w:rFonts w:hint="eastAsia" w:ascii="宋体" w:hAnsi="宋体" w:eastAsia="宋体" w:cs="Calibri"/>
          <w:color w:val="000000" w:themeColor="text1"/>
          <w:szCs w:val="21"/>
          <w:highlight w:val="none"/>
          <w14:textFill>
            <w14:solidFill>
              <w14:schemeClr w14:val="tx1"/>
            </w14:solidFill>
          </w14:textFill>
        </w:rPr>
        <w:t>进度付款申请单的编制</w:t>
      </w:r>
      <w:bookmarkEnd w:id="1173"/>
      <w:bookmarkEnd w:id="1174"/>
      <w:bookmarkEnd w:id="1175"/>
      <w:bookmarkEnd w:id="1176"/>
      <w:bookmarkEnd w:id="1177"/>
      <w:bookmarkEnd w:id="1178"/>
    </w:p>
    <w:p w14:paraId="617951F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关于进度付款申请单编制的约定：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72DE1D9C">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9" w:name="_Toc27809"/>
      <w:bookmarkStart w:id="1180" w:name="_Toc31022"/>
      <w:bookmarkStart w:id="1181" w:name="_Toc4451"/>
      <w:bookmarkStart w:id="1182" w:name="_Toc25756"/>
      <w:bookmarkStart w:id="1183" w:name="_Toc26477"/>
      <w:bookmarkStart w:id="1184" w:name="_Toc533863502"/>
      <w:r>
        <w:rPr>
          <w:rFonts w:ascii="宋体" w:hAnsi="宋体" w:eastAsia="宋体" w:cs="宋体"/>
          <w:color w:val="000000" w:themeColor="text1"/>
          <w:szCs w:val="21"/>
          <w:highlight w:val="none"/>
          <w14:textFill>
            <w14:solidFill>
              <w14:schemeClr w14:val="tx1"/>
            </w14:solidFill>
          </w14:textFill>
        </w:rPr>
        <w:t xml:space="preserve">12.4.3 </w:t>
      </w:r>
      <w:r>
        <w:rPr>
          <w:rFonts w:hint="eastAsia" w:ascii="宋体" w:hAnsi="宋体" w:eastAsia="宋体" w:cs="Calibri"/>
          <w:color w:val="000000" w:themeColor="text1"/>
          <w:szCs w:val="21"/>
          <w:highlight w:val="none"/>
          <w14:textFill>
            <w14:solidFill>
              <w14:schemeClr w14:val="tx1"/>
            </w14:solidFill>
          </w14:textFill>
        </w:rPr>
        <w:t>进度付款申请单的提交</w:t>
      </w:r>
      <w:bookmarkEnd w:id="1179"/>
      <w:bookmarkEnd w:id="1180"/>
      <w:bookmarkEnd w:id="1181"/>
      <w:bookmarkEnd w:id="1182"/>
      <w:bookmarkEnd w:id="1183"/>
      <w:bookmarkEnd w:id="1184"/>
    </w:p>
    <w:p w14:paraId="048D29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）单价合同进度付款申请单提交的约定：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645C52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）总价合同进度付款申请单提交的约定：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承包人应在每个计量周期到期后的7天内向发包人提交已完工程进度款支付申请一式四份，详细说明此周期自己认为有权得到的款额，包括分包人已完工程的价款</w:t>
      </w:r>
      <w:r>
        <w:rPr>
          <w:rFonts w:hint="eastAsia" w:ascii="宋体" w:hAnsi="宋体" w:eastAsia="宋体" w:cs="Calibri"/>
          <w:color w:val="000000" w:themeColor="text1"/>
          <w:szCs w:val="21"/>
          <w:highlight w:val="none"/>
          <w14:textFill>
            <w14:solidFill>
              <w14:schemeClr w14:val="tx1"/>
            </w14:solidFill>
          </w14:textFill>
        </w:rPr>
        <w:t>。</w:t>
      </w:r>
    </w:p>
    <w:p w14:paraId="55F58C8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）其他价格形式合同进度付款申请单提交的约定：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48FD4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12.4.4 </w:t>
      </w:r>
      <w:r>
        <w:rPr>
          <w:rFonts w:hint="eastAsia" w:ascii="宋体" w:hAnsi="宋体" w:eastAsia="宋体" w:cs="Calibri"/>
          <w:color w:val="000000" w:themeColor="text1"/>
          <w:szCs w:val="21"/>
          <w:highlight w:val="none"/>
          <w14:textFill>
            <w14:solidFill>
              <w14:schemeClr w14:val="tx1"/>
            </w14:solidFill>
          </w14:textFill>
        </w:rPr>
        <w:t>进度款审核和支付</w:t>
      </w:r>
    </w:p>
    <w:p w14:paraId="56AA790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）监理人审查并报送发包人的期限：</w:t>
      </w:r>
      <w:r>
        <w:rPr>
          <w:rFonts w:hint="eastAsia" w:ascii="宋体" w:hAnsi="宋体" w:eastAsia="宋体" w:cs="Calibri"/>
          <w:color w:val="000000" w:themeColor="text1"/>
          <w:szCs w:val="21"/>
          <w:highlight w:val="none"/>
          <w:u w:val="single"/>
          <w14:textFill>
            <w14:solidFill>
              <w14:schemeClr w14:val="tx1"/>
            </w14:solidFill>
          </w14:textFill>
        </w:rPr>
        <w:t>监理人应在收到承包人进度付款申请单以及相关资料后7天内完成审查并报送发包人</w:t>
      </w:r>
      <w:r>
        <w:rPr>
          <w:rFonts w:hint="eastAsia" w:ascii="宋体" w:hAnsi="宋体" w:eastAsia="宋体" w:cs="Calibri"/>
          <w:color w:val="000000" w:themeColor="text1"/>
          <w:szCs w:val="21"/>
          <w:highlight w:val="none"/>
          <w14:textFill>
            <w14:solidFill>
              <w14:schemeClr w14:val="tx1"/>
            </w14:solidFill>
          </w14:textFill>
        </w:rPr>
        <w:t>。</w:t>
      </w:r>
    </w:p>
    <w:p w14:paraId="3C490296">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发包人完成审批并签发进度款支付证书的期限：</w:t>
      </w:r>
      <w:r>
        <w:rPr>
          <w:rFonts w:hint="eastAsia" w:ascii="宋体" w:hAnsi="宋体" w:eastAsia="宋体" w:cs="Calibri"/>
          <w:color w:val="000000" w:themeColor="text1"/>
          <w:szCs w:val="21"/>
          <w:highlight w:val="none"/>
          <w:u w:val="single"/>
          <w14:textFill>
            <w14:solidFill>
              <w14:schemeClr w14:val="tx1"/>
            </w14:solidFill>
          </w14:textFill>
        </w:rPr>
        <w:t>发包人应在收到后7天内完成审批并签发进度款支付证书</w:t>
      </w:r>
      <w:r>
        <w:rPr>
          <w:rFonts w:hint="eastAsia" w:ascii="宋体" w:hAnsi="宋体" w:eastAsia="宋体" w:cs="Calibri"/>
          <w:color w:val="000000" w:themeColor="text1"/>
          <w:szCs w:val="21"/>
          <w:highlight w:val="none"/>
          <w14:textFill>
            <w14:solidFill>
              <w14:schemeClr w14:val="tx1"/>
            </w14:solidFill>
          </w14:textFill>
        </w:rPr>
        <w:t>。</w:t>
      </w:r>
    </w:p>
    <w:p w14:paraId="5BF7EC7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）发包人支付进度款的期限：</w:t>
      </w:r>
      <w:r>
        <w:rPr>
          <w:rFonts w:hint="eastAsia" w:ascii="宋体" w:hAnsi="宋体" w:eastAsia="宋体" w:cs="Calibri"/>
          <w:color w:val="000000" w:themeColor="text1"/>
          <w:szCs w:val="21"/>
          <w:highlight w:val="none"/>
          <w:u w:val="single"/>
          <w14:textFill>
            <w14:solidFill>
              <w14:schemeClr w14:val="tx1"/>
            </w14:solidFill>
          </w14:textFill>
        </w:rPr>
        <w:t>收到承包人进度付款申请单以及相关资料后7天内</w:t>
      </w:r>
      <w:r>
        <w:rPr>
          <w:rFonts w:hint="eastAsia" w:ascii="宋体" w:hAnsi="宋体" w:eastAsia="宋体" w:cs="Calibri"/>
          <w:color w:val="000000" w:themeColor="text1"/>
          <w:szCs w:val="21"/>
          <w:highlight w:val="none"/>
          <w14:textFill>
            <w14:solidFill>
              <w14:schemeClr w14:val="tx1"/>
            </w14:solidFill>
          </w14:textFill>
        </w:rPr>
        <w:t>。</w:t>
      </w:r>
    </w:p>
    <w:p w14:paraId="75A2F1EB">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发包人逾期支付进度款的违约金的计算方式：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5C304878">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进度款支付方式：</w:t>
      </w:r>
      <w:r>
        <w:rPr>
          <w:rFonts w:hint="eastAsia" w:ascii="宋体" w:hAnsi="宋体" w:eastAsia="宋体" w:cs="Calibri"/>
          <w:color w:val="000000" w:themeColor="text1"/>
          <w:szCs w:val="21"/>
          <w:highlight w:val="none"/>
          <w:u w:val="single"/>
          <w14:textFill>
            <w14:solidFill>
              <w14:schemeClr w14:val="tx1"/>
            </w14:solidFill>
          </w14:textFill>
        </w:rPr>
        <w:t>银行转账</w:t>
      </w:r>
      <w:r>
        <w:rPr>
          <w:rFonts w:hint="eastAsia" w:ascii="宋体" w:hAnsi="宋体" w:eastAsia="宋体" w:cs="Calibri"/>
          <w:color w:val="000000" w:themeColor="text1"/>
          <w:szCs w:val="21"/>
          <w:highlight w:val="none"/>
          <w14:textFill>
            <w14:solidFill>
              <w14:schemeClr w14:val="tx1"/>
            </w14:solidFill>
          </w14:textFill>
        </w:rPr>
        <w:t>。</w:t>
      </w:r>
    </w:p>
    <w:p w14:paraId="423799C1">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12.4.6 </w:t>
      </w:r>
      <w:r>
        <w:rPr>
          <w:rFonts w:hint="eastAsia" w:ascii="宋体" w:hAnsi="宋体" w:eastAsia="宋体" w:cs="Calibri"/>
          <w:color w:val="000000" w:themeColor="text1"/>
          <w:szCs w:val="21"/>
          <w:highlight w:val="none"/>
          <w14:textFill>
            <w14:solidFill>
              <w14:schemeClr w14:val="tx1"/>
            </w14:solidFill>
          </w14:textFill>
        </w:rPr>
        <w:t>支付分解表的编制</w:t>
      </w:r>
    </w:p>
    <w:p w14:paraId="241A5CA9">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 总价合同支付分解表的编制与审批：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6A7AB3B2">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 单价合同的总价项目支付分解表的编制与审批：总价项目不采用支付分解表的方式计算，而按《建设工程工程量清单计价规范（GB50500-2013）广西壮族自治区实施细则》的规定执行。</w:t>
      </w:r>
    </w:p>
    <w:p w14:paraId="7DC2533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185" w:name="_Toc2580"/>
      <w:bookmarkStart w:id="1186" w:name="_Toc533863503"/>
      <w:r>
        <w:rPr>
          <w:rFonts w:ascii="宋体" w:hAnsi="宋体" w:eastAsia="宋体" w:cs="Times New Roman"/>
          <w:b/>
          <w:bCs/>
          <w:color w:val="000000" w:themeColor="text1"/>
          <w:szCs w:val="21"/>
          <w:highlight w:val="none"/>
          <w14:textFill>
            <w14:solidFill>
              <w14:schemeClr w14:val="tx1"/>
            </w14:solidFill>
          </w14:textFill>
        </w:rPr>
        <w:t xml:space="preserve">13. </w:t>
      </w:r>
      <w:r>
        <w:rPr>
          <w:rFonts w:hint="eastAsia" w:ascii="宋体" w:hAnsi="宋体" w:eastAsia="宋体" w:cs="Times New Roman"/>
          <w:b/>
          <w:bCs/>
          <w:color w:val="000000" w:themeColor="text1"/>
          <w:szCs w:val="21"/>
          <w:highlight w:val="none"/>
          <w14:textFill>
            <w14:solidFill>
              <w14:schemeClr w14:val="tx1"/>
            </w14:solidFill>
          </w14:textFill>
        </w:rPr>
        <w:t>验收和工程试车</w:t>
      </w:r>
      <w:bookmarkEnd w:id="1156"/>
      <w:bookmarkEnd w:id="1185"/>
      <w:bookmarkEnd w:id="1186"/>
    </w:p>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14:paraId="46DD4F3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13.1 </w:t>
      </w:r>
      <w:r>
        <w:rPr>
          <w:rFonts w:hint="eastAsia" w:ascii="宋体" w:hAnsi="宋体" w:eastAsia="宋体" w:cs="Times New Roman"/>
          <w:color w:val="000000" w:themeColor="text1"/>
          <w:szCs w:val="21"/>
          <w:highlight w:val="none"/>
          <w14:textFill>
            <w14:solidFill>
              <w14:schemeClr w14:val="tx1"/>
            </w14:solidFill>
          </w14:textFill>
        </w:rPr>
        <w:t>分部分项工程验收</w:t>
      </w:r>
    </w:p>
    <w:p w14:paraId="10127647">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13.1.2</w:t>
      </w:r>
      <w:r>
        <w:rPr>
          <w:rFonts w:hint="eastAsia" w:ascii="宋体" w:hAnsi="宋体" w:eastAsia="宋体" w:cs="Times New Roman"/>
          <w:color w:val="000000" w:themeColor="text1"/>
          <w:szCs w:val="21"/>
          <w:highlight w:val="none"/>
          <w14:textFill>
            <w14:solidFill>
              <w14:schemeClr w14:val="tx1"/>
            </w14:solidFill>
          </w14:textFill>
        </w:rPr>
        <w:t>监理人不能按时进行验收时，应提前</w:t>
      </w:r>
      <w:r>
        <w:rPr>
          <w:rFonts w:ascii="宋体" w:hAnsi="宋体" w:eastAsia="宋体" w:cs="Times New Roman"/>
          <w:color w:val="000000" w:themeColor="text1"/>
          <w:szCs w:val="21"/>
          <w:highlight w:val="none"/>
          <w:u w:val="single"/>
          <w14:textFill>
            <w14:solidFill>
              <w14:schemeClr w14:val="tx1"/>
            </w14:solidFill>
          </w14:textFill>
        </w:rPr>
        <w:t xml:space="preserve"> 24 </w:t>
      </w:r>
      <w:r>
        <w:rPr>
          <w:rFonts w:hint="eastAsia" w:ascii="宋体" w:hAnsi="宋体" w:eastAsia="宋体" w:cs="Times New Roman"/>
          <w:color w:val="000000" w:themeColor="text1"/>
          <w:szCs w:val="21"/>
          <w:highlight w:val="none"/>
          <w14:textFill>
            <w14:solidFill>
              <w14:schemeClr w14:val="tx1"/>
            </w14:solidFill>
          </w14:textFill>
        </w:rPr>
        <w:t>小时提交书面延期要求。</w:t>
      </w:r>
    </w:p>
    <w:p w14:paraId="0221C5D7">
      <w:pPr>
        <w:spacing w:line="360" w:lineRule="auto"/>
        <w:ind w:firstLine="420" w:firstLineChars="200"/>
        <w:jc w:val="lef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关于延期最长不得超过：</w:t>
      </w:r>
      <w:r>
        <w:rPr>
          <w:rFonts w:ascii="宋体" w:hAnsi="宋体" w:eastAsia="宋体" w:cs="Times New Roman"/>
          <w:color w:val="000000" w:themeColor="text1"/>
          <w:szCs w:val="21"/>
          <w:highlight w:val="none"/>
          <w:u w:val="single"/>
          <w14:textFill>
            <w14:solidFill>
              <w14:schemeClr w14:val="tx1"/>
            </w14:solidFill>
          </w14:textFill>
        </w:rPr>
        <w:t xml:space="preserve">  48</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小时。</w:t>
      </w:r>
    </w:p>
    <w:p w14:paraId="6577909E">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187" w:name="_Toc292559428"/>
      <w:bookmarkStart w:id="1188" w:name="_Toc296503223"/>
      <w:bookmarkStart w:id="1189" w:name="_Toc292559933"/>
      <w:bookmarkStart w:id="1190" w:name="_Toc303539173"/>
      <w:bookmarkStart w:id="1191" w:name="_Toc296944562"/>
      <w:bookmarkStart w:id="1192" w:name="_Toc297216224"/>
      <w:bookmarkStart w:id="1193" w:name="_Toc296891263"/>
      <w:bookmarkStart w:id="1194" w:name="_Toc296891051"/>
      <w:bookmarkStart w:id="1195" w:name="_Toc297048409"/>
      <w:bookmarkStart w:id="1196" w:name="_Toc296347222"/>
      <w:bookmarkStart w:id="1197" w:name="_Toc312678056"/>
      <w:bookmarkStart w:id="1198" w:name="_Toc296346724"/>
      <w:bookmarkStart w:id="1199" w:name="_Toc300935016"/>
      <w:bookmarkStart w:id="1200" w:name="_Toc297120523"/>
      <w:bookmarkStart w:id="1201" w:name="_Toc304295596"/>
      <w:bookmarkStart w:id="1202" w:name="_Toc297123565"/>
      <w:bookmarkStart w:id="1203" w:name="_Toc267251472"/>
      <w:bookmarkStart w:id="1204" w:name="_Toc267251475"/>
      <w:bookmarkStart w:id="1205" w:name="_Toc267251476"/>
      <w:bookmarkStart w:id="1206" w:name="_Toc267251471"/>
      <w:bookmarkStart w:id="1207" w:name="_Toc267251470"/>
      <w:bookmarkStart w:id="1208" w:name="_Toc267251473"/>
      <w:bookmarkStart w:id="1209" w:name="_Toc267251474"/>
      <w:r>
        <w:rPr>
          <w:rFonts w:ascii="宋体" w:hAnsi="宋体" w:eastAsia="宋体" w:cs="Times New Roman"/>
          <w:color w:val="000000" w:themeColor="text1"/>
          <w:szCs w:val="21"/>
          <w:highlight w:val="none"/>
          <w14:textFill>
            <w14:solidFill>
              <w14:schemeClr w14:val="tx1"/>
            </w14:solidFill>
          </w14:textFill>
        </w:rPr>
        <w:t xml:space="preserve">13.2 </w:t>
      </w:r>
      <w:r>
        <w:rPr>
          <w:rFonts w:hint="eastAsia" w:ascii="宋体" w:hAnsi="宋体" w:eastAsia="宋体" w:cs="Times New Roman"/>
          <w:color w:val="000000" w:themeColor="text1"/>
          <w:szCs w:val="21"/>
          <w:highlight w:val="none"/>
          <w14:textFill>
            <w14:solidFill>
              <w14:schemeClr w14:val="tx1"/>
            </w14:solidFill>
          </w14:textFill>
        </w:rPr>
        <w:t>竣工验收</w:t>
      </w:r>
    </w:p>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14:paraId="05426A7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1210" w:name="_Toc280868708"/>
      <w:bookmarkStart w:id="1211" w:name="_Toc280868709"/>
      <w:r>
        <w:rPr>
          <w:rFonts w:ascii="宋体" w:hAnsi="宋体" w:eastAsia="宋体" w:cs="宋体"/>
          <w:color w:val="000000" w:themeColor="text1"/>
          <w:szCs w:val="21"/>
          <w:highlight w:val="none"/>
          <w14:textFill>
            <w14:solidFill>
              <w14:schemeClr w14:val="tx1"/>
            </w14:solidFill>
          </w14:textFill>
        </w:rPr>
        <w:t>13.2.1</w:t>
      </w:r>
      <w:r>
        <w:rPr>
          <w:rFonts w:hint="eastAsia" w:ascii="宋体" w:hAnsi="宋体" w:eastAsia="宋体" w:cs="Calibri"/>
          <w:color w:val="000000" w:themeColor="text1"/>
          <w:szCs w:val="21"/>
          <w:highlight w:val="none"/>
          <w14:textFill>
            <w14:solidFill>
              <w14:schemeClr w14:val="tx1"/>
            </w14:solidFill>
          </w14:textFill>
        </w:rPr>
        <w:t>竣工验收条件</w:t>
      </w:r>
    </w:p>
    <w:p w14:paraId="537006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）承包人负责整理和提交的竣工验收资料应当符合工程所在地建设行政主管部门和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城市建设档案管理机构有关施工资料的要求，具体内容包括：</w:t>
      </w:r>
      <w:r>
        <w:rPr>
          <w:rFonts w:hint="eastAsia" w:ascii="宋体" w:hAnsi="宋体" w:eastAsia="宋体" w:cs="Calibri"/>
          <w:color w:val="000000" w:themeColor="text1"/>
          <w:szCs w:val="21"/>
          <w:highlight w:val="none"/>
          <w:u w:val="single"/>
          <w14:textFill>
            <w14:solidFill>
              <w14:schemeClr w14:val="tx1"/>
            </w14:solidFill>
          </w14:textFill>
        </w:rPr>
        <w:t>按通用条款第18.2款执行并满足发包人要求</w:t>
      </w:r>
      <w:r>
        <w:rPr>
          <w:rFonts w:hint="eastAsia" w:ascii="宋体" w:hAnsi="宋体" w:eastAsia="宋体" w:cs="Calibri"/>
          <w:color w:val="000000" w:themeColor="text1"/>
          <w:szCs w:val="21"/>
          <w:highlight w:val="none"/>
          <w14:textFill>
            <w14:solidFill>
              <w14:schemeClr w14:val="tx1"/>
            </w14:solidFill>
          </w14:textFill>
        </w:rPr>
        <w:t>。</w:t>
      </w:r>
    </w:p>
    <w:p w14:paraId="2732B9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竣工验收资料的份数：</w:t>
      </w:r>
      <w:r>
        <w:rPr>
          <w:rFonts w:hint="eastAsia" w:ascii="宋体" w:hAnsi="宋体" w:eastAsia="宋体" w:cs="Calibri"/>
          <w:color w:val="000000" w:themeColor="text1"/>
          <w:szCs w:val="21"/>
          <w:highlight w:val="none"/>
          <w:u w:val="single"/>
          <w14:textFill>
            <w14:solidFill>
              <w14:schemeClr w14:val="tx1"/>
            </w14:solidFill>
          </w14:textFill>
        </w:rPr>
        <w:t>三</w:t>
      </w:r>
      <w:r>
        <w:rPr>
          <w:rFonts w:hint="eastAsia" w:ascii="宋体" w:hAnsi="宋体" w:eastAsia="宋体" w:cs="Calibri"/>
          <w:b/>
          <w:bCs/>
          <w:color w:val="000000" w:themeColor="text1"/>
          <w:szCs w:val="21"/>
          <w:highlight w:val="none"/>
          <w:u w:val="single"/>
          <w14:textFill>
            <w14:solidFill>
              <w14:schemeClr w14:val="tx1"/>
            </w14:solidFill>
          </w14:textFill>
        </w:rPr>
        <w:t>份</w:t>
      </w:r>
      <w:r>
        <w:rPr>
          <w:rFonts w:hint="eastAsia" w:ascii="宋体" w:hAnsi="宋体" w:eastAsia="宋体" w:cs="Calibri"/>
          <w:color w:val="000000" w:themeColor="text1"/>
          <w:szCs w:val="21"/>
          <w:highlight w:val="none"/>
          <w14:textFill>
            <w14:solidFill>
              <w14:schemeClr w14:val="tx1"/>
            </w14:solidFill>
          </w14:textFill>
        </w:rPr>
        <w:t>。</w:t>
      </w:r>
    </w:p>
    <w:p w14:paraId="1056D5D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承包人提供竣工图的约定：</w:t>
      </w:r>
      <w:r>
        <w:rPr>
          <w:rFonts w:hint="eastAsia" w:ascii="宋体" w:hAnsi="宋体" w:eastAsia="宋体" w:cs="Calibri"/>
          <w:color w:val="000000" w:themeColor="text1"/>
          <w:szCs w:val="21"/>
          <w:highlight w:val="none"/>
          <w:u w:val="single"/>
          <w14:textFill>
            <w14:solidFill>
              <w14:schemeClr w14:val="tx1"/>
            </w14:solidFill>
          </w14:textFill>
        </w:rPr>
        <w:t>竣工验收正式通过后</w:t>
      </w:r>
      <w:r>
        <w:rPr>
          <w:rFonts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万元以下含</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10</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万元至</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万元之间含</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万元以上），提供竣工图的数量分别为</w:t>
      </w:r>
      <w:r>
        <w:rPr>
          <w:rFonts w:ascii="宋体" w:hAnsi="宋体" w:eastAsia="宋体" w:cs="宋体"/>
          <w:color w:val="000000" w:themeColor="text1"/>
          <w:szCs w:val="21"/>
          <w:highlight w:val="none"/>
          <w:u w:val="single"/>
          <w14:textFill>
            <w14:solidFill>
              <w14:schemeClr w14:val="tx1"/>
            </w14:solidFill>
          </w14:textFill>
        </w:rPr>
        <w:t>2</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4</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6</w:t>
      </w:r>
      <w:r>
        <w:rPr>
          <w:rFonts w:hint="eastAsia" w:ascii="宋体" w:hAnsi="宋体" w:eastAsia="宋体" w:cs="Calibri"/>
          <w:color w:val="000000" w:themeColor="text1"/>
          <w:szCs w:val="21"/>
          <w:highlight w:val="none"/>
          <w:u w:val="single"/>
          <w14:textFill>
            <w14:solidFill>
              <w14:schemeClr w14:val="tx1"/>
            </w14:solidFill>
          </w14:textFill>
        </w:rPr>
        <w:t>套。</w:t>
      </w:r>
    </w:p>
    <w:p w14:paraId="404D60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13.2.2</w:t>
      </w:r>
      <w:r>
        <w:rPr>
          <w:rFonts w:hint="eastAsia" w:ascii="宋体" w:hAnsi="宋体" w:eastAsia="宋体" w:cs="Calibri"/>
          <w:color w:val="000000" w:themeColor="text1"/>
          <w:szCs w:val="21"/>
          <w:highlight w:val="none"/>
          <w14:textFill>
            <w14:solidFill>
              <w14:schemeClr w14:val="tx1"/>
            </w14:solidFill>
          </w14:textFill>
        </w:rPr>
        <w:t>竣工验收程序</w:t>
      </w:r>
    </w:p>
    <w:p w14:paraId="3245E20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关于竣工验收程序的约定：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按《通用合同条款》13.2.2条执行</w:t>
      </w:r>
      <w:r>
        <w:rPr>
          <w:rFonts w:hint="eastAsia" w:ascii="宋体" w:hAnsi="宋体" w:eastAsia="宋体" w:cs="Calibri"/>
          <w:color w:val="000000" w:themeColor="text1"/>
          <w:szCs w:val="21"/>
          <w:highlight w:val="none"/>
          <w14:textFill>
            <w14:solidFill>
              <w14:schemeClr w14:val="tx1"/>
            </w14:solidFill>
          </w14:textFill>
        </w:rPr>
        <w:t>。</w:t>
      </w:r>
    </w:p>
    <w:p w14:paraId="106372FE">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发包人不按照本项约定组织竣工验收、颁发工程接收证书的违约金的计算方法：</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7C18536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13.2.5</w:t>
      </w:r>
      <w:r>
        <w:rPr>
          <w:rFonts w:hint="eastAsia" w:ascii="宋体" w:hAnsi="宋体" w:eastAsia="宋体" w:cs="Calibri"/>
          <w:color w:val="000000" w:themeColor="text1"/>
          <w:szCs w:val="21"/>
          <w:highlight w:val="none"/>
          <w14:textFill>
            <w14:solidFill>
              <w14:schemeClr w14:val="tx1"/>
            </w14:solidFill>
          </w14:textFill>
        </w:rPr>
        <w:t>移交、接收全部与部分工程</w:t>
      </w:r>
    </w:p>
    <w:p w14:paraId="4101535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承包人向发包人移交工程的期限：</w:t>
      </w:r>
      <w:r>
        <w:rPr>
          <w:rFonts w:hint="eastAsia" w:ascii="宋体" w:hAnsi="宋体" w:eastAsia="宋体" w:cs="Calibri"/>
          <w:color w:val="000000" w:themeColor="text1"/>
          <w:szCs w:val="21"/>
          <w:highlight w:val="none"/>
          <w:u w:val="single"/>
          <w14:textFill>
            <w14:solidFill>
              <w14:schemeClr w14:val="tx1"/>
            </w14:solidFill>
          </w14:textFill>
        </w:rPr>
        <w:t>保修期满后30天内</w:t>
      </w:r>
      <w:r>
        <w:rPr>
          <w:rFonts w:hint="eastAsia" w:ascii="宋体" w:hAnsi="宋体" w:eastAsia="宋体" w:cs="Calibri"/>
          <w:color w:val="000000" w:themeColor="text1"/>
          <w:szCs w:val="21"/>
          <w:highlight w:val="none"/>
          <w14:textFill>
            <w14:solidFill>
              <w14:schemeClr w14:val="tx1"/>
            </w14:solidFill>
          </w14:textFill>
        </w:rPr>
        <w:t>。</w:t>
      </w:r>
    </w:p>
    <w:p w14:paraId="727E02B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发包人未按本合同约定接收全部或部分工程的，违约金的计算方法为：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B56C7C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承包人未按时移交工程的，违约金的计算方法为：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因承包人原因未按时移交工程的，每延误一天，扣除150元/天的质保金</w:t>
      </w:r>
      <w:r>
        <w:rPr>
          <w:rFonts w:hint="eastAsia" w:ascii="宋体" w:hAnsi="宋体" w:eastAsia="宋体" w:cs="Calibri"/>
          <w:color w:val="000000" w:themeColor="text1"/>
          <w:szCs w:val="21"/>
          <w:highlight w:val="none"/>
          <w14:textFill>
            <w14:solidFill>
              <w14:schemeClr w14:val="tx1"/>
            </w14:solidFill>
          </w14:textFill>
        </w:rPr>
        <w:t>。</w:t>
      </w:r>
    </w:p>
    <w:p w14:paraId="7616B52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13.3 </w:t>
      </w:r>
      <w:r>
        <w:rPr>
          <w:rFonts w:hint="eastAsia" w:ascii="宋体" w:hAnsi="宋体" w:eastAsia="宋体" w:cs="Times New Roman"/>
          <w:color w:val="000000" w:themeColor="text1"/>
          <w:szCs w:val="21"/>
          <w:highlight w:val="none"/>
          <w14:textFill>
            <w14:solidFill>
              <w14:schemeClr w14:val="tx1"/>
            </w14:solidFill>
          </w14:textFill>
        </w:rPr>
        <w:t>工程试车</w:t>
      </w:r>
    </w:p>
    <w:bookmarkEnd w:id="1210"/>
    <w:p w14:paraId="00B87B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13.3.1 </w:t>
      </w:r>
      <w:r>
        <w:rPr>
          <w:rFonts w:hint="eastAsia" w:ascii="宋体" w:hAnsi="宋体" w:eastAsia="宋体" w:cs="Calibri"/>
          <w:color w:val="000000" w:themeColor="text1"/>
          <w:kern w:val="0"/>
          <w:szCs w:val="21"/>
          <w:highlight w:val="none"/>
          <w14:textFill>
            <w14:solidFill>
              <w14:schemeClr w14:val="tx1"/>
            </w14:solidFill>
          </w14:textFill>
        </w:rPr>
        <w:t>试车程序</w:t>
      </w:r>
    </w:p>
    <w:p w14:paraId="5005B870">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工程试车内容：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864A9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 xml:space="preserve">）单机无负荷试车费用由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7977D6D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 xml:space="preserve">）无负荷联动试车费用由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2C26710E">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2" w:name="_Toc30276"/>
      <w:bookmarkStart w:id="1213" w:name="_Toc29475"/>
      <w:bookmarkStart w:id="1214" w:name="_Toc533863504"/>
      <w:bookmarkStart w:id="1215" w:name="_Toc11196"/>
      <w:bookmarkStart w:id="1216" w:name="_Toc5131"/>
      <w:bookmarkStart w:id="1217" w:name="_Toc12056"/>
      <w:r>
        <w:rPr>
          <w:rFonts w:ascii="宋体" w:hAnsi="宋体" w:eastAsia="宋体" w:cs="宋体"/>
          <w:color w:val="000000" w:themeColor="text1"/>
          <w:kern w:val="0"/>
          <w:szCs w:val="21"/>
          <w:highlight w:val="none"/>
          <w14:textFill>
            <w14:solidFill>
              <w14:schemeClr w14:val="tx1"/>
            </w14:solidFill>
          </w14:textFill>
        </w:rPr>
        <w:t xml:space="preserve">13.3.3 </w:t>
      </w:r>
      <w:r>
        <w:rPr>
          <w:rFonts w:hint="eastAsia" w:ascii="宋体" w:hAnsi="宋体" w:eastAsia="宋体" w:cs="Calibri"/>
          <w:color w:val="000000" w:themeColor="text1"/>
          <w:kern w:val="0"/>
          <w:szCs w:val="21"/>
          <w:highlight w:val="none"/>
          <w14:textFill>
            <w14:solidFill>
              <w14:schemeClr w14:val="tx1"/>
            </w14:solidFill>
          </w14:textFill>
        </w:rPr>
        <w:t>投料试车</w:t>
      </w:r>
      <w:bookmarkEnd w:id="1212"/>
      <w:bookmarkEnd w:id="1213"/>
      <w:bookmarkEnd w:id="1214"/>
      <w:bookmarkEnd w:id="1215"/>
      <w:bookmarkEnd w:id="1216"/>
      <w:bookmarkEnd w:id="1217"/>
    </w:p>
    <w:p w14:paraId="7EB6A1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关于投料试车相关事项的约定：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4E4AA7D">
      <w:pPr>
        <w:spacing w:line="360" w:lineRule="auto"/>
        <w:ind w:firstLine="420" w:firstLineChars="200"/>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13.6 </w:t>
      </w:r>
      <w:r>
        <w:rPr>
          <w:rFonts w:hint="eastAsia" w:ascii="宋体" w:hAnsi="宋体" w:eastAsia="宋体" w:cs="Times New Roman"/>
          <w:color w:val="000000" w:themeColor="text1"/>
          <w:kern w:val="0"/>
          <w:szCs w:val="21"/>
          <w:highlight w:val="none"/>
          <w14:textFill>
            <w14:solidFill>
              <w14:schemeClr w14:val="tx1"/>
            </w14:solidFill>
          </w14:textFill>
        </w:rPr>
        <w:t>竣工退场</w:t>
      </w:r>
    </w:p>
    <w:p w14:paraId="67B968DB">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8" w:name="_Toc16541"/>
      <w:bookmarkStart w:id="1219" w:name="_Toc31075"/>
      <w:bookmarkStart w:id="1220" w:name="_Toc30255"/>
      <w:bookmarkStart w:id="1221" w:name="_Toc533863505"/>
      <w:bookmarkStart w:id="1222" w:name="_Toc24689"/>
      <w:bookmarkStart w:id="1223" w:name="_Toc10701"/>
      <w:bookmarkStart w:id="1224" w:name="_Toc351203646"/>
      <w:r>
        <w:rPr>
          <w:rFonts w:ascii="宋体" w:hAnsi="宋体" w:eastAsia="宋体" w:cs="宋体"/>
          <w:color w:val="000000" w:themeColor="text1"/>
          <w:kern w:val="0"/>
          <w:szCs w:val="21"/>
          <w:highlight w:val="none"/>
          <w14:textFill>
            <w14:solidFill>
              <w14:schemeClr w14:val="tx1"/>
            </w14:solidFill>
          </w14:textFill>
        </w:rPr>
        <w:t xml:space="preserve">13.6.1 </w:t>
      </w:r>
      <w:r>
        <w:rPr>
          <w:rFonts w:hint="eastAsia" w:ascii="宋体" w:hAnsi="宋体" w:eastAsia="宋体" w:cs="Calibri"/>
          <w:color w:val="000000" w:themeColor="text1"/>
          <w:kern w:val="0"/>
          <w:szCs w:val="21"/>
          <w:highlight w:val="none"/>
          <w14:textFill>
            <w14:solidFill>
              <w14:schemeClr w14:val="tx1"/>
            </w14:solidFill>
          </w14:textFill>
        </w:rPr>
        <w:t>竣工退场</w:t>
      </w:r>
      <w:bookmarkEnd w:id="1218"/>
      <w:bookmarkEnd w:id="1219"/>
      <w:bookmarkEnd w:id="1220"/>
      <w:bookmarkEnd w:id="1221"/>
      <w:bookmarkEnd w:id="1222"/>
      <w:bookmarkEnd w:id="1223"/>
    </w:p>
    <w:p w14:paraId="0D919100">
      <w:pPr>
        <w:widowControl/>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0"/>
          <w:szCs w:val="21"/>
          <w:highlight w:val="none"/>
          <w14:textFill>
            <w14:solidFill>
              <w14:schemeClr w14:val="tx1"/>
            </w14:solidFill>
          </w14:textFill>
        </w:rPr>
        <w:t>承包人完成竣工退场的期限：</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按《通用合同条款》条执行</w:t>
      </w:r>
      <w:r>
        <w:rPr>
          <w:rFonts w:hint="eastAsia" w:ascii="宋体" w:hAnsi="宋体" w:eastAsia="宋体" w:cs="Times New Roman"/>
          <w:color w:val="000000" w:themeColor="text1"/>
          <w:kern w:val="0"/>
          <w:szCs w:val="21"/>
          <w:highlight w:val="none"/>
          <w14:textFill>
            <w14:solidFill>
              <w14:schemeClr w14:val="tx1"/>
            </w14:solidFill>
          </w14:textFill>
        </w:rPr>
        <w:t>。</w:t>
      </w:r>
    </w:p>
    <w:p w14:paraId="42FFFAD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25" w:name="_Toc6702"/>
      <w:bookmarkStart w:id="1226" w:name="_Toc533863506"/>
      <w:r>
        <w:rPr>
          <w:rFonts w:ascii="宋体" w:hAnsi="宋体" w:eastAsia="宋体" w:cs="Times New Roman"/>
          <w:b/>
          <w:bCs/>
          <w:color w:val="000000" w:themeColor="text1"/>
          <w:szCs w:val="21"/>
          <w:highlight w:val="none"/>
          <w14:textFill>
            <w14:solidFill>
              <w14:schemeClr w14:val="tx1"/>
            </w14:solidFill>
          </w14:textFill>
        </w:rPr>
        <w:t xml:space="preserve">14. </w:t>
      </w:r>
      <w:r>
        <w:rPr>
          <w:rFonts w:hint="eastAsia" w:ascii="宋体" w:hAnsi="宋体" w:eastAsia="宋体" w:cs="Times New Roman"/>
          <w:b/>
          <w:bCs/>
          <w:color w:val="000000" w:themeColor="text1"/>
          <w:szCs w:val="21"/>
          <w:highlight w:val="none"/>
          <w14:textFill>
            <w14:solidFill>
              <w14:schemeClr w14:val="tx1"/>
            </w14:solidFill>
          </w14:textFill>
        </w:rPr>
        <w:t>竣工结算</w:t>
      </w:r>
      <w:bookmarkEnd w:id="1224"/>
      <w:bookmarkEnd w:id="1225"/>
      <w:bookmarkEnd w:id="1226"/>
    </w:p>
    <w:p w14:paraId="7795D11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14.1 </w:t>
      </w:r>
      <w:r>
        <w:rPr>
          <w:rFonts w:hint="eastAsia" w:ascii="宋体" w:hAnsi="宋体" w:eastAsia="宋体" w:cs="Times New Roman"/>
          <w:color w:val="000000" w:themeColor="text1"/>
          <w:szCs w:val="21"/>
          <w:highlight w:val="none"/>
          <w14:textFill>
            <w14:solidFill>
              <w14:schemeClr w14:val="tx1"/>
            </w14:solidFill>
          </w14:textFill>
        </w:rPr>
        <w:t>竣工结算申请</w:t>
      </w:r>
    </w:p>
    <w:p w14:paraId="167BC38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承包人提交竣工付款申请单的期限：</w:t>
      </w:r>
      <w:r>
        <w:rPr>
          <w:rFonts w:hint="eastAsia" w:ascii="宋体" w:hAnsi="宋体" w:eastAsia="宋体" w:cs="Calibri"/>
          <w:color w:val="000000" w:themeColor="text1"/>
          <w:szCs w:val="21"/>
          <w:highlight w:val="none"/>
          <w:u w:val="single"/>
          <w14:textFill>
            <w14:solidFill>
              <w14:schemeClr w14:val="tx1"/>
            </w14:solidFill>
          </w14:textFill>
        </w:rPr>
        <w:t>在工程竣工验收合格后28天内向发包人和监理人提交竣工结算申请单。无正当理由延期或经发包人催促14日内仍未提供或明确答复的，发包人有权根据已有资料进行结算审核，责任由承包人自负。承包人应及时提供竣工结算过程中所需补充的资料</w:t>
      </w:r>
      <w:r>
        <w:rPr>
          <w:rFonts w:hint="eastAsia" w:ascii="宋体" w:hAnsi="宋体" w:eastAsia="宋体" w:cs="Calibri"/>
          <w:color w:val="000000" w:themeColor="text1"/>
          <w:szCs w:val="21"/>
          <w:highlight w:val="none"/>
          <w14:textFill>
            <w14:solidFill>
              <w14:schemeClr w14:val="tx1"/>
            </w14:solidFill>
          </w14:textFill>
        </w:rPr>
        <w:t>。</w:t>
      </w:r>
    </w:p>
    <w:p w14:paraId="774342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竣工付款申请单应包括的内容：</w:t>
      </w:r>
      <w:r>
        <w:rPr>
          <w:rFonts w:hint="eastAsia" w:ascii="宋体" w:hAnsi="宋体" w:eastAsia="宋体" w:cs="Calibri"/>
          <w:color w:val="000000" w:themeColor="text1"/>
          <w:szCs w:val="21"/>
          <w:highlight w:val="none"/>
          <w:u w:val="single"/>
          <w14:textFill>
            <w14:solidFill>
              <w14:schemeClr w14:val="tx1"/>
            </w14:solidFill>
          </w14:textFill>
        </w:rPr>
        <w:t>按《通用合同条款》14.1条执行</w:t>
      </w:r>
      <w:r>
        <w:rPr>
          <w:rFonts w:hint="eastAsia" w:ascii="宋体" w:hAnsi="宋体" w:eastAsia="宋体" w:cs="Calibri"/>
          <w:color w:val="000000" w:themeColor="text1"/>
          <w:szCs w:val="21"/>
          <w:highlight w:val="none"/>
          <w14:textFill>
            <w14:solidFill>
              <w14:schemeClr w14:val="tx1"/>
            </w14:solidFill>
          </w14:textFill>
        </w:rPr>
        <w:t>。</w:t>
      </w:r>
    </w:p>
    <w:p w14:paraId="38BCC28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14.2 </w:t>
      </w:r>
      <w:r>
        <w:rPr>
          <w:rFonts w:hint="eastAsia" w:ascii="宋体" w:hAnsi="宋体" w:eastAsia="宋体" w:cs="Times New Roman"/>
          <w:color w:val="000000" w:themeColor="text1"/>
          <w:szCs w:val="21"/>
          <w:highlight w:val="none"/>
          <w14:textFill>
            <w14:solidFill>
              <w14:schemeClr w14:val="tx1"/>
            </w14:solidFill>
          </w14:textFill>
        </w:rPr>
        <w:t>竣工结算审核</w:t>
      </w:r>
    </w:p>
    <w:p w14:paraId="032E13B9">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发包人审批竣工付款申请单的期限：</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A5B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3026CDCA">
            <w:pPr>
              <w:spacing w:line="360" w:lineRule="auto"/>
              <w:rPr>
                <w:rFonts w:cs="Times New Roman" w:asciiTheme="minorEastAsia" w:hAnsiTheme="minorEastAsia"/>
                <w:color w:val="000000" w:themeColor="text1"/>
                <w:szCs w:val="21"/>
                <w:highlight w:val="none"/>
                <w14:textFill>
                  <w14:solidFill>
                    <w14:schemeClr w14:val="tx1"/>
                  </w14:solidFill>
                </w14:textFill>
              </w:rPr>
            </w:pPr>
          </w:p>
        </w:tc>
        <w:tc>
          <w:tcPr>
            <w:tcW w:w="2466" w:type="dxa"/>
            <w:tcBorders>
              <w:top w:val="single" w:color="auto" w:sz="4" w:space="0"/>
              <w:left w:val="nil"/>
              <w:bottom w:val="single" w:color="auto" w:sz="4" w:space="0"/>
              <w:right w:val="single" w:color="auto" w:sz="4" w:space="0"/>
            </w:tcBorders>
            <w:vAlign w:val="center"/>
          </w:tcPr>
          <w:p w14:paraId="6DCD26BE">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工程竣工结算报告金额</w:t>
            </w:r>
          </w:p>
        </w:tc>
        <w:tc>
          <w:tcPr>
            <w:tcW w:w="5967" w:type="dxa"/>
            <w:tcBorders>
              <w:top w:val="single" w:color="auto" w:sz="4" w:space="0"/>
              <w:left w:val="nil"/>
              <w:bottom w:val="single" w:color="auto" w:sz="4" w:space="0"/>
              <w:right w:val="single" w:color="auto" w:sz="4" w:space="0"/>
            </w:tcBorders>
            <w:vAlign w:val="center"/>
          </w:tcPr>
          <w:p w14:paraId="46142311">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发包人审查时间</w:t>
            </w:r>
          </w:p>
        </w:tc>
      </w:tr>
      <w:tr w14:paraId="4568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7893D3D">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w:t>
            </w:r>
          </w:p>
        </w:tc>
        <w:tc>
          <w:tcPr>
            <w:tcW w:w="2466" w:type="dxa"/>
            <w:tcBorders>
              <w:top w:val="single" w:color="auto" w:sz="4" w:space="0"/>
              <w:left w:val="nil"/>
              <w:bottom w:val="single" w:color="auto" w:sz="4" w:space="0"/>
              <w:right w:val="single" w:color="auto" w:sz="4" w:space="0"/>
            </w:tcBorders>
            <w:vAlign w:val="center"/>
          </w:tcPr>
          <w:p w14:paraId="0DB6847F">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500万元以下</w:t>
            </w:r>
          </w:p>
        </w:tc>
        <w:tc>
          <w:tcPr>
            <w:tcW w:w="5967" w:type="dxa"/>
            <w:tcBorders>
              <w:top w:val="single" w:color="auto" w:sz="4" w:space="0"/>
              <w:left w:val="nil"/>
              <w:bottom w:val="single" w:color="auto" w:sz="4" w:space="0"/>
              <w:right w:val="single" w:color="auto" w:sz="4" w:space="0"/>
            </w:tcBorders>
            <w:vAlign w:val="center"/>
          </w:tcPr>
          <w:p w14:paraId="6A0493E2">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从接到竣工结算报告和完整的竣工结算资料之日起20天</w:t>
            </w:r>
          </w:p>
        </w:tc>
      </w:tr>
      <w:tr w14:paraId="1C7E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FC2947C">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w:t>
            </w:r>
          </w:p>
        </w:tc>
        <w:tc>
          <w:tcPr>
            <w:tcW w:w="2466" w:type="dxa"/>
            <w:tcBorders>
              <w:top w:val="single" w:color="auto" w:sz="4" w:space="0"/>
              <w:left w:val="nil"/>
              <w:bottom w:val="single" w:color="auto" w:sz="4" w:space="0"/>
              <w:right w:val="single" w:color="auto" w:sz="4" w:space="0"/>
            </w:tcBorders>
            <w:vAlign w:val="center"/>
          </w:tcPr>
          <w:p w14:paraId="50FF0ACB">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500万元-2000万元</w:t>
            </w:r>
          </w:p>
        </w:tc>
        <w:tc>
          <w:tcPr>
            <w:tcW w:w="5967" w:type="dxa"/>
            <w:tcBorders>
              <w:top w:val="single" w:color="auto" w:sz="4" w:space="0"/>
              <w:left w:val="nil"/>
              <w:bottom w:val="single" w:color="auto" w:sz="4" w:space="0"/>
              <w:right w:val="single" w:color="auto" w:sz="4" w:space="0"/>
            </w:tcBorders>
            <w:vAlign w:val="center"/>
          </w:tcPr>
          <w:p w14:paraId="25B5E08D">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从接到竣工结算报告和完整的竣工结算资料之日起30天</w:t>
            </w:r>
          </w:p>
        </w:tc>
      </w:tr>
      <w:tr w14:paraId="6F27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651003F">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3</w:t>
            </w:r>
          </w:p>
        </w:tc>
        <w:tc>
          <w:tcPr>
            <w:tcW w:w="2466" w:type="dxa"/>
            <w:tcBorders>
              <w:top w:val="single" w:color="auto" w:sz="4" w:space="0"/>
              <w:left w:val="nil"/>
              <w:bottom w:val="single" w:color="auto" w:sz="4" w:space="0"/>
              <w:right w:val="single" w:color="auto" w:sz="4" w:space="0"/>
            </w:tcBorders>
            <w:vAlign w:val="center"/>
          </w:tcPr>
          <w:p w14:paraId="7109F809">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2000万元-5000万元</w:t>
            </w:r>
          </w:p>
        </w:tc>
        <w:tc>
          <w:tcPr>
            <w:tcW w:w="5967" w:type="dxa"/>
            <w:tcBorders>
              <w:top w:val="single" w:color="auto" w:sz="4" w:space="0"/>
              <w:left w:val="nil"/>
              <w:bottom w:val="single" w:color="auto" w:sz="4" w:space="0"/>
              <w:right w:val="single" w:color="auto" w:sz="4" w:space="0"/>
            </w:tcBorders>
            <w:vAlign w:val="center"/>
          </w:tcPr>
          <w:p w14:paraId="352FE808">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从接到竣工结算报告和完整的竣工结算资料之日起45天</w:t>
            </w:r>
          </w:p>
        </w:tc>
      </w:tr>
      <w:tr w14:paraId="4738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FD31965">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4</w:t>
            </w:r>
          </w:p>
        </w:tc>
        <w:tc>
          <w:tcPr>
            <w:tcW w:w="2466" w:type="dxa"/>
            <w:tcBorders>
              <w:top w:val="single" w:color="auto" w:sz="4" w:space="0"/>
              <w:left w:val="nil"/>
              <w:bottom w:val="single" w:color="auto" w:sz="4" w:space="0"/>
              <w:right w:val="single" w:color="auto" w:sz="4" w:space="0"/>
            </w:tcBorders>
            <w:vAlign w:val="center"/>
          </w:tcPr>
          <w:p w14:paraId="5C093FC6">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5000万元以上</w:t>
            </w:r>
          </w:p>
        </w:tc>
        <w:tc>
          <w:tcPr>
            <w:tcW w:w="5967" w:type="dxa"/>
            <w:tcBorders>
              <w:top w:val="single" w:color="auto" w:sz="4" w:space="0"/>
              <w:left w:val="nil"/>
              <w:bottom w:val="single" w:color="auto" w:sz="4" w:space="0"/>
              <w:right w:val="single" w:color="auto" w:sz="4" w:space="0"/>
            </w:tcBorders>
            <w:vAlign w:val="center"/>
          </w:tcPr>
          <w:p w14:paraId="76AF25C0">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从接到竣工结算报告和完整的竣工结算资料之日起60天</w:t>
            </w:r>
          </w:p>
        </w:tc>
      </w:tr>
    </w:tbl>
    <w:p w14:paraId="6D16AC54">
      <w:pPr>
        <w:spacing w:line="400" w:lineRule="exact"/>
        <w:ind w:firstLine="420" w:firstLineChars="200"/>
        <w:jc w:val="left"/>
        <w:rPr>
          <w:rFonts w:ascii="Calibri"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p>
    <w:p w14:paraId="2376BDE0">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发包人完成竣工付款的期限：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C8CFA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关于竣工付款证书异议部分复核的方式和程序：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71944D">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 </w:t>
      </w:r>
      <w:r>
        <w:rPr>
          <w:rFonts w:hint="eastAsia" w:ascii="宋体" w:hAnsi="宋体" w:eastAsia="宋体" w:cs="Times New Roman"/>
          <w:color w:val="000000" w:themeColor="text1"/>
          <w:szCs w:val="21"/>
          <w:highlight w:val="none"/>
          <w14:textFill>
            <w14:solidFill>
              <w14:schemeClr w14:val="tx1"/>
            </w14:solidFill>
          </w14:textFill>
        </w:rPr>
        <w:t>最终结清</w:t>
      </w:r>
    </w:p>
    <w:p w14:paraId="6ABDD9BA">
      <w:pPr>
        <w:spacing w:line="360" w:lineRule="auto"/>
        <w:ind w:firstLine="420" w:firstLineChars="200"/>
        <w:jc w:val="left"/>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14.4.1 </w:t>
      </w:r>
      <w:r>
        <w:rPr>
          <w:rFonts w:hint="eastAsia" w:ascii="宋体" w:hAnsi="宋体" w:eastAsia="宋体" w:cs="Times New Roman"/>
          <w:color w:val="000000" w:themeColor="text1"/>
          <w:kern w:val="0"/>
          <w:szCs w:val="21"/>
          <w:highlight w:val="none"/>
          <w14:textFill>
            <w14:solidFill>
              <w14:schemeClr w14:val="tx1"/>
            </w14:solidFill>
          </w14:textFill>
        </w:rPr>
        <w:t>最终结清申请单</w:t>
      </w:r>
    </w:p>
    <w:p w14:paraId="485F1762">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承包人提交最终结清申请单的份数：</w:t>
      </w:r>
      <w:r>
        <w:rPr>
          <w:rFonts w:hint="eastAsia" w:ascii="宋体" w:hAnsi="宋体" w:eastAsia="宋体" w:cs="Calibri"/>
          <w:color w:val="000000" w:themeColor="text1"/>
          <w:kern w:val="0"/>
          <w:szCs w:val="21"/>
          <w:highlight w:val="none"/>
          <w:u w:val="single"/>
          <w14:textFill>
            <w14:solidFill>
              <w14:schemeClr w14:val="tx1"/>
            </w14:solidFill>
          </w14:textFill>
        </w:rPr>
        <w:t>2份</w:t>
      </w:r>
      <w:r>
        <w:rPr>
          <w:rFonts w:hint="eastAsia" w:ascii="宋体" w:hAnsi="宋体" w:eastAsia="宋体" w:cs="Calibri"/>
          <w:color w:val="000000" w:themeColor="text1"/>
          <w:szCs w:val="21"/>
          <w:highlight w:val="none"/>
          <w14:textFill>
            <w14:solidFill>
              <w14:schemeClr w14:val="tx1"/>
            </w14:solidFill>
          </w14:textFill>
        </w:rPr>
        <w:t>。</w:t>
      </w:r>
    </w:p>
    <w:p w14:paraId="08F05E22">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承包人提交最终结算申请单的期限：</w:t>
      </w:r>
      <w:r>
        <w:rPr>
          <w:rFonts w:hint="eastAsia" w:ascii="宋体" w:hAnsi="宋体" w:eastAsia="宋体" w:cs="Calibri"/>
          <w:color w:val="000000" w:themeColor="text1"/>
          <w:szCs w:val="21"/>
          <w:highlight w:val="none"/>
          <w:u w:val="single"/>
          <w14:textFill>
            <w14:solidFill>
              <w14:schemeClr w14:val="tx1"/>
            </w14:solidFill>
          </w14:textFill>
        </w:rPr>
        <w:t>保修期满后7天内</w:t>
      </w: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 xml:space="preserve"> </w:t>
      </w:r>
    </w:p>
    <w:p w14:paraId="7CF4951D">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14.4.2 </w:t>
      </w:r>
      <w:r>
        <w:rPr>
          <w:rFonts w:hint="eastAsia" w:ascii="宋体" w:hAnsi="宋体" w:eastAsia="宋体" w:cs="Times New Roman"/>
          <w:color w:val="000000" w:themeColor="text1"/>
          <w:szCs w:val="21"/>
          <w:highlight w:val="none"/>
          <w14:textFill>
            <w14:solidFill>
              <w14:schemeClr w14:val="tx1"/>
            </w14:solidFill>
          </w14:textFill>
        </w:rPr>
        <w:t>最终结清证书和支付</w:t>
      </w:r>
    </w:p>
    <w:bookmarkEnd w:id="1203"/>
    <w:bookmarkEnd w:id="1204"/>
    <w:bookmarkEnd w:id="1205"/>
    <w:bookmarkEnd w:id="1206"/>
    <w:bookmarkEnd w:id="1207"/>
    <w:bookmarkEnd w:id="1208"/>
    <w:bookmarkEnd w:id="1209"/>
    <w:bookmarkEnd w:id="1211"/>
    <w:p w14:paraId="5F62C84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227" w:name="_Toc351203647"/>
      <w:bookmarkStart w:id="1228" w:name="_Toc267251483"/>
      <w:bookmarkStart w:id="1229" w:name="_Toc267251484"/>
      <w:bookmarkStart w:id="1230" w:name="_Toc267251482"/>
      <w:bookmarkStart w:id="1231" w:name="_Toc267251490"/>
      <w:bookmarkStart w:id="1232" w:name="_Toc267251488"/>
      <w:bookmarkStart w:id="1233" w:name="_Toc267251485"/>
      <w:bookmarkStart w:id="1234" w:name="_Toc267251489"/>
      <w:bookmarkStart w:id="1235" w:name="_Toc267251486"/>
      <w:bookmarkStart w:id="1236" w:name="_Toc267251498"/>
      <w:bookmarkStart w:id="1237" w:name="_Toc267251495"/>
      <w:bookmarkStart w:id="1238" w:name="_Toc267251497"/>
      <w:bookmarkStart w:id="1239" w:name="_Toc267251491"/>
      <w:bookmarkStart w:id="1240" w:name="_Toc267251503"/>
      <w:bookmarkStart w:id="1241" w:name="_Toc267251496"/>
      <w:bookmarkStart w:id="1242" w:name="_Toc267251501"/>
      <w:bookmarkStart w:id="1243" w:name="_Toc267251494"/>
      <w:bookmarkStart w:id="1244" w:name="_Toc267251499"/>
      <w:bookmarkStart w:id="1245" w:name="_Toc267251502"/>
      <w:bookmarkStart w:id="1246" w:name="_Toc267251493"/>
      <w:bookmarkStart w:id="1247" w:name="_Toc267251492"/>
      <w:bookmarkStart w:id="1248" w:name="_Toc267251506"/>
      <w:bookmarkStart w:id="1249" w:name="_Toc267251504"/>
      <w:bookmarkStart w:id="1250" w:name="_Toc267251507"/>
      <w:bookmarkStart w:id="1251" w:name="_Toc267251508"/>
      <w:bookmarkStart w:id="1252" w:name="_Toc267251510"/>
      <w:bookmarkStart w:id="1253" w:name="_Toc267251513"/>
      <w:bookmarkStart w:id="1254" w:name="_Toc267251514"/>
      <w:bookmarkStart w:id="1255" w:name="_Toc267251511"/>
      <w:bookmarkStart w:id="1256" w:name="_Toc267251509"/>
      <w:bookmarkStart w:id="1257" w:name="_Toc267251515"/>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）发包人完成最终结清申请单的审批并颁发最终结清证书的期限：</w:t>
      </w:r>
      <w:r>
        <w:rPr>
          <w:rFonts w:hint="eastAsia" w:ascii="宋体" w:hAnsi="宋体" w:eastAsia="宋体" w:cs="Calibri"/>
          <w:color w:val="000000" w:themeColor="text1"/>
          <w:szCs w:val="21"/>
          <w:highlight w:val="none"/>
          <w:u w:val="single"/>
          <w14:textFill>
            <w14:solidFill>
              <w14:schemeClr w14:val="tx1"/>
            </w14:solidFill>
          </w14:textFill>
        </w:rPr>
        <w:t>收到最终结清申请单后30天内</w:t>
      </w:r>
      <w:r>
        <w:rPr>
          <w:rFonts w:hint="eastAsia" w:ascii="宋体" w:hAnsi="宋体" w:eastAsia="宋体" w:cs="Calibri"/>
          <w:color w:val="000000" w:themeColor="text1"/>
          <w:szCs w:val="21"/>
          <w:highlight w:val="none"/>
          <w14:textFill>
            <w14:solidFill>
              <w14:schemeClr w14:val="tx1"/>
            </w14:solidFill>
          </w14:textFill>
        </w:rPr>
        <w:t>。</w:t>
      </w:r>
    </w:p>
    <w:p w14:paraId="6194DB65">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）发包人完成支付的期限：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A86C28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58" w:name="_Toc533863507"/>
      <w:bookmarkStart w:id="1259" w:name="_Toc30142"/>
      <w:r>
        <w:rPr>
          <w:rFonts w:ascii="宋体" w:hAnsi="宋体" w:eastAsia="宋体" w:cs="Times New Roman"/>
          <w:b/>
          <w:bCs/>
          <w:color w:val="000000" w:themeColor="text1"/>
          <w:szCs w:val="21"/>
          <w:highlight w:val="none"/>
          <w14:textFill>
            <w14:solidFill>
              <w14:schemeClr w14:val="tx1"/>
            </w14:solidFill>
          </w14:textFill>
        </w:rPr>
        <w:t xml:space="preserve">15. </w:t>
      </w:r>
      <w:r>
        <w:rPr>
          <w:rFonts w:hint="eastAsia" w:ascii="宋体" w:hAnsi="宋体" w:eastAsia="宋体" w:cs="Times New Roman"/>
          <w:b/>
          <w:bCs/>
          <w:color w:val="000000" w:themeColor="text1"/>
          <w:szCs w:val="21"/>
          <w:highlight w:val="none"/>
          <w14:textFill>
            <w14:solidFill>
              <w14:schemeClr w14:val="tx1"/>
            </w14:solidFill>
          </w14:textFill>
        </w:rPr>
        <w:t>缺陷责任期与保修</w:t>
      </w:r>
      <w:bookmarkEnd w:id="1227"/>
      <w:bookmarkEnd w:id="1258"/>
      <w:bookmarkEnd w:id="1259"/>
    </w:p>
    <w:p w14:paraId="799F87E3">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15.2</w:t>
      </w:r>
      <w:r>
        <w:rPr>
          <w:rFonts w:hint="eastAsia" w:ascii="宋体" w:hAnsi="宋体" w:eastAsia="宋体" w:cs="Times New Roman"/>
          <w:color w:val="000000" w:themeColor="text1"/>
          <w:szCs w:val="21"/>
          <w:highlight w:val="none"/>
          <w14:textFill>
            <w14:solidFill>
              <w14:schemeClr w14:val="tx1"/>
            </w14:solidFill>
          </w14:textFill>
        </w:rPr>
        <w:t>缺陷责任期</w:t>
      </w:r>
      <w:bookmarkEnd w:id="1228"/>
    </w:p>
    <w:p w14:paraId="0035EF82">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缺陷责任期的具体期限：</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本工程质保期（养护期）为一年</w:t>
      </w:r>
      <w:r>
        <w:rPr>
          <w:rFonts w:hint="eastAsia" w:ascii="宋体" w:hAnsi="宋体" w:eastAsia="宋体" w:cs="Calibri"/>
          <w:color w:val="000000" w:themeColor="text1"/>
          <w:szCs w:val="21"/>
          <w:highlight w:val="none"/>
          <w14:textFill>
            <w14:solidFill>
              <w14:schemeClr w14:val="tx1"/>
            </w14:solidFill>
          </w14:textFill>
        </w:rPr>
        <w:t>，以竣工验收合格之日起计算，养护至竣工验收合格及完成接养手续为止。如工程质量不能满足竣工验收及接养要求的，整改期间承包人必须继续免费养护至竣工验收合格及完成接养手续为止。</w:t>
      </w:r>
    </w:p>
    <w:p w14:paraId="75C13AC7">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Calibri"/>
          <w:color w:val="000000" w:themeColor="text1"/>
          <w:szCs w:val="21"/>
          <w:highlight w:val="none"/>
          <w14:textFill>
            <w14:solidFill>
              <w14:schemeClr w14:val="tx1"/>
            </w14:solidFill>
          </w14:textFill>
        </w:rPr>
        <w:t xml:space="preserve">15.3 </w:t>
      </w:r>
      <w:r>
        <w:rPr>
          <w:rFonts w:hint="eastAsia" w:ascii="宋体" w:hAnsi="宋体" w:eastAsia="宋体" w:cs="Calibri"/>
          <w:color w:val="000000" w:themeColor="text1"/>
          <w:szCs w:val="21"/>
          <w:highlight w:val="none"/>
          <w14:textFill>
            <w14:solidFill>
              <w14:schemeClr w14:val="tx1"/>
            </w14:solidFill>
          </w14:textFill>
        </w:rPr>
        <w:t>质量保证金</w:t>
      </w:r>
    </w:p>
    <w:bookmarkEnd w:id="1229"/>
    <w:bookmarkEnd w:id="1230"/>
    <w:p w14:paraId="200414E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关于是否扣留质量保证金的约定：</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是</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w:t>
      </w:r>
    </w:p>
    <w:p w14:paraId="7DE536CD">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0" w:name="_Toc31918"/>
      <w:bookmarkStart w:id="1261" w:name="_Toc18781"/>
      <w:bookmarkStart w:id="1262" w:name="_Toc10487"/>
      <w:bookmarkStart w:id="1263" w:name="_Toc9903"/>
      <w:bookmarkStart w:id="1264" w:name="_Toc12908"/>
      <w:bookmarkStart w:id="1265" w:name="_Toc533863508"/>
      <w:r>
        <w:rPr>
          <w:rFonts w:cs="宋体" w:asciiTheme="minorEastAsia" w:hAnsiTheme="minorEastAsia"/>
          <w:color w:val="000000" w:themeColor="text1"/>
          <w:szCs w:val="21"/>
          <w:highlight w:val="none"/>
          <w14:textFill>
            <w14:solidFill>
              <w14:schemeClr w14:val="tx1"/>
            </w14:solidFill>
          </w14:textFill>
        </w:rPr>
        <w:t xml:space="preserve">15.3.1 </w:t>
      </w:r>
      <w:r>
        <w:rPr>
          <w:rFonts w:hint="eastAsia" w:cs="Calibri" w:asciiTheme="minorEastAsia" w:hAnsiTheme="minorEastAsia"/>
          <w:color w:val="000000" w:themeColor="text1"/>
          <w:szCs w:val="21"/>
          <w:highlight w:val="none"/>
          <w14:textFill>
            <w14:solidFill>
              <w14:schemeClr w14:val="tx1"/>
            </w14:solidFill>
          </w14:textFill>
        </w:rPr>
        <w:t>承包人提供质量保证金的方式</w:t>
      </w:r>
      <w:bookmarkEnd w:id="1260"/>
      <w:bookmarkEnd w:id="1261"/>
      <w:bookmarkEnd w:id="1262"/>
      <w:bookmarkEnd w:id="1263"/>
      <w:bookmarkEnd w:id="1264"/>
      <w:bookmarkEnd w:id="1265"/>
    </w:p>
    <w:p w14:paraId="22F7F6B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质量保证金采用以下第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0C834C0D">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）质量保证金保函，保证金额为：</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9D7827F">
      <w:pPr>
        <w:spacing w:line="360" w:lineRule="auto"/>
        <w:ind w:firstLine="420" w:firstLineChars="200"/>
        <w:jc w:val="left"/>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pP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（2）发包人按工程价款结算总额的</w:t>
      </w:r>
      <w:r>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t xml:space="preserve">  3  %</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预留工程质量保修金，待缺陷责任期满后返还；</w:t>
      </w:r>
    </w:p>
    <w:p w14:paraId="31989C72">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）其他方式：竣工结算经有关部门结算审定后，承包人向发包人提供经发包人认可的银行出具的、金额为审计结算价3%的质量保证金保函后。缺陷责任期(12个月)满后，无工程缺陷的，保函自行失效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64559684">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6" w:name="_Toc12983"/>
      <w:bookmarkStart w:id="1267" w:name="_Toc17783"/>
      <w:bookmarkStart w:id="1268" w:name="_Toc31513"/>
      <w:bookmarkStart w:id="1269" w:name="_Toc19606"/>
      <w:bookmarkStart w:id="1270" w:name="_Toc533863509"/>
      <w:bookmarkStart w:id="1271" w:name="_Toc21732"/>
      <w:r>
        <w:rPr>
          <w:rFonts w:cs="宋体" w:asciiTheme="minorEastAsia" w:hAnsiTheme="minorEastAsia"/>
          <w:color w:val="000000" w:themeColor="text1"/>
          <w:szCs w:val="21"/>
          <w:highlight w:val="none"/>
          <w14:textFill>
            <w14:solidFill>
              <w14:schemeClr w14:val="tx1"/>
            </w14:solidFill>
          </w14:textFill>
        </w:rPr>
        <w:t xml:space="preserve">15.3.2 </w:t>
      </w:r>
      <w:r>
        <w:rPr>
          <w:rFonts w:hint="eastAsia" w:cs="Calibri" w:asciiTheme="minorEastAsia" w:hAnsiTheme="minorEastAsia"/>
          <w:color w:val="000000" w:themeColor="text1"/>
          <w:szCs w:val="21"/>
          <w:highlight w:val="none"/>
          <w14:textFill>
            <w14:solidFill>
              <w14:schemeClr w14:val="tx1"/>
            </w14:solidFill>
          </w14:textFill>
        </w:rPr>
        <w:t>质量保证金的扣留</w:t>
      </w:r>
      <w:bookmarkEnd w:id="1266"/>
      <w:bookmarkEnd w:id="1267"/>
      <w:bookmarkEnd w:id="1268"/>
      <w:bookmarkEnd w:id="1269"/>
      <w:bookmarkEnd w:id="1270"/>
      <w:bookmarkEnd w:id="1271"/>
    </w:p>
    <w:p w14:paraId="192F578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质量保证金的扣留采取以下第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 xml:space="preserve"> 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3A9BEA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）在支付工程进度款时逐次扣留，在此情形下，质量保证金的计算基数不包括预付款的支付、扣回以及价格调整的金额；</w:t>
      </w:r>
    </w:p>
    <w:p w14:paraId="4DD0CF57">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）工程竣工结算时一次性扣留质量保证金；</w:t>
      </w:r>
    </w:p>
    <w:p w14:paraId="61BBF9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）其他扣留方式：</w:t>
      </w:r>
      <w:r>
        <w:rPr>
          <w:rFonts w:hint="eastAsia" w:cs="Calibri" w:asciiTheme="minorEastAsia" w:hAnsiTheme="minorEastAsia"/>
          <w:color w:val="000000" w:themeColor="text1"/>
          <w:kern w:val="0"/>
          <w:szCs w:val="21"/>
          <w:highlight w:val="none"/>
          <w:u w:val="single"/>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4D34BACD">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关于质量保证金的补充约定：</w:t>
      </w:r>
      <w:r>
        <w:rPr>
          <w:rFonts w:hint="eastAsia" w:cs="Calibri" w:asciiTheme="minorEastAsia" w:hAnsiTheme="minorEastAsia"/>
          <w:color w:val="000000" w:themeColor="text1"/>
          <w:szCs w:val="21"/>
          <w:highlight w:val="none"/>
          <w:u w:val="single"/>
          <w:lang w:val="en-US" w:eastAsia="zh-CN"/>
          <w14:textFill>
            <w14:solidFill>
              <w14:schemeClr w14:val="tx1"/>
            </w14:solidFill>
          </w14:textFill>
        </w:rPr>
        <w:t>无</w:t>
      </w:r>
      <w:r>
        <w:rPr>
          <w:rFonts w:hint="eastAsia" w:cs="Calibri" w:asciiTheme="minorEastAsia" w:hAnsiTheme="minorEastAsia"/>
          <w:color w:val="000000" w:themeColor="text1"/>
          <w:szCs w:val="21"/>
          <w:highlight w:val="none"/>
          <w:u w:val="single"/>
          <w14:textFill>
            <w14:solidFill>
              <w14:schemeClr w14:val="tx1"/>
            </w14:solidFill>
          </w14:textFill>
        </w:rPr>
        <w:t>。</w:t>
      </w:r>
    </w:p>
    <w:p w14:paraId="0EAC5107">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15.4</w:t>
      </w:r>
      <w:r>
        <w:rPr>
          <w:rFonts w:hint="eastAsia" w:cs="Times New Roman" w:asciiTheme="minorEastAsia" w:hAnsiTheme="minorEastAsia"/>
          <w:color w:val="000000" w:themeColor="text1"/>
          <w:szCs w:val="21"/>
          <w:highlight w:val="none"/>
          <w14:textFill>
            <w14:solidFill>
              <w14:schemeClr w14:val="tx1"/>
            </w14:solidFill>
          </w14:textFill>
        </w:rPr>
        <w:t>保修</w:t>
      </w:r>
    </w:p>
    <w:bookmarkEnd w:id="1231"/>
    <w:bookmarkEnd w:id="1232"/>
    <w:bookmarkEnd w:id="1233"/>
    <w:bookmarkEnd w:id="1234"/>
    <w:bookmarkEnd w:id="1235"/>
    <w:p w14:paraId="29480955">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72" w:name="_Toc11297"/>
      <w:bookmarkStart w:id="1273" w:name="_Toc24966"/>
      <w:bookmarkStart w:id="1274" w:name="_Toc1338"/>
      <w:bookmarkStart w:id="1275" w:name="_Toc20382"/>
      <w:bookmarkStart w:id="1276" w:name="_Toc533863510"/>
      <w:bookmarkStart w:id="1277" w:name="_Toc16416"/>
      <w:bookmarkStart w:id="1278" w:name="_Toc351203648"/>
      <w:bookmarkStart w:id="1279" w:name="_Toc280868717"/>
      <w:bookmarkStart w:id="1280" w:name="_Toc280868718"/>
      <w:r>
        <w:rPr>
          <w:rFonts w:cs="宋体" w:asciiTheme="minorEastAsia" w:hAnsiTheme="minorEastAsia"/>
          <w:color w:val="000000" w:themeColor="text1"/>
          <w:szCs w:val="21"/>
          <w:highlight w:val="none"/>
          <w14:textFill>
            <w14:solidFill>
              <w14:schemeClr w14:val="tx1"/>
            </w14:solidFill>
          </w14:textFill>
        </w:rPr>
        <w:t xml:space="preserve">15.4.1 </w:t>
      </w:r>
      <w:r>
        <w:rPr>
          <w:rFonts w:hint="eastAsia" w:cs="Calibri" w:asciiTheme="minorEastAsia" w:hAnsiTheme="minorEastAsia"/>
          <w:color w:val="000000" w:themeColor="text1"/>
          <w:szCs w:val="21"/>
          <w:highlight w:val="none"/>
          <w14:textFill>
            <w14:solidFill>
              <w14:schemeClr w14:val="tx1"/>
            </w14:solidFill>
          </w14:textFill>
        </w:rPr>
        <w:t>保修责任</w:t>
      </w:r>
      <w:bookmarkEnd w:id="1272"/>
      <w:bookmarkEnd w:id="1273"/>
      <w:bookmarkEnd w:id="1274"/>
      <w:bookmarkEnd w:id="1275"/>
      <w:bookmarkEnd w:id="1276"/>
      <w:bookmarkEnd w:id="1277"/>
    </w:p>
    <w:p w14:paraId="234C28FE">
      <w:pPr>
        <w:spacing w:line="360" w:lineRule="auto"/>
        <w:ind w:firstLine="422" w:firstLineChars="200"/>
        <w:jc w:val="left"/>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pP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工程保修期为：</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一年，其他保修内容按工程质量保修书。</w:t>
      </w:r>
    </w:p>
    <w:p w14:paraId="7061200B">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工程保修书具体内容见合同附件8。</w:t>
      </w:r>
    </w:p>
    <w:p w14:paraId="1651BFF4">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81" w:name="_Toc3573"/>
      <w:bookmarkStart w:id="1282" w:name="_Toc18719"/>
      <w:bookmarkStart w:id="1283" w:name="_Toc28363"/>
      <w:bookmarkStart w:id="1284" w:name="_Toc533863511"/>
      <w:bookmarkStart w:id="1285" w:name="_Toc17188"/>
      <w:bookmarkStart w:id="1286" w:name="_Toc29584"/>
      <w:r>
        <w:rPr>
          <w:rFonts w:cs="宋体" w:asciiTheme="minorEastAsia" w:hAnsiTheme="minorEastAsia"/>
          <w:color w:val="000000" w:themeColor="text1"/>
          <w:szCs w:val="21"/>
          <w:highlight w:val="none"/>
          <w14:textFill>
            <w14:solidFill>
              <w14:schemeClr w14:val="tx1"/>
            </w14:solidFill>
          </w14:textFill>
        </w:rPr>
        <w:t xml:space="preserve">15.4.3 </w:t>
      </w:r>
      <w:r>
        <w:rPr>
          <w:rFonts w:hint="eastAsia" w:cs="Calibri" w:asciiTheme="minorEastAsia" w:hAnsiTheme="minorEastAsia"/>
          <w:color w:val="000000" w:themeColor="text1"/>
          <w:szCs w:val="21"/>
          <w:highlight w:val="none"/>
          <w14:textFill>
            <w14:solidFill>
              <w14:schemeClr w14:val="tx1"/>
            </w14:solidFill>
          </w14:textFill>
        </w:rPr>
        <w:t>修复通知</w:t>
      </w:r>
      <w:bookmarkEnd w:id="1281"/>
      <w:bookmarkEnd w:id="1282"/>
      <w:bookmarkEnd w:id="1283"/>
      <w:bookmarkEnd w:id="1284"/>
      <w:bookmarkEnd w:id="1285"/>
      <w:bookmarkEnd w:id="1286"/>
    </w:p>
    <w:p w14:paraId="7784483D">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承包人收到保修通知并到达工程现场的合理时间：</w:t>
      </w:r>
      <w:r>
        <w:rPr>
          <w:rFonts w:hint="eastAsia" w:cs="Calibri" w:asciiTheme="minorEastAsia" w:hAnsiTheme="minorEastAsia"/>
          <w:color w:val="000000" w:themeColor="text1"/>
          <w:kern w:val="0"/>
          <w:szCs w:val="21"/>
          <w:highlight w:val="none"/>
          <w:u w:val="single"/>
          <w14:textFill>
            <w14:solidFill>
              <w14:schemeClr w14:val="tx1"/>
            </w14:solidFill>
          </w14:textFill>
        </w:rPr>
        <w:t>48小时内</w:t>
      </w:r>
      <w:r>
        <w:rPr>
          <w:rFonts w:hint="eastAsia" w:cs="Calibri" w:asciiTheme="minorEastAsia" w:hAnsiTheme="minorEastAsia"/>
          <w:color w:val="000000" w:themeColor="text1"/>
          <w:kern w:val="0"/>
          <w:szCs w:val="21"/>
          <w:highlight w:val="none"/>
          <w14:textFill>
            <w14:solidFill>
              <w14:schemeClr w14:val="tx1"/>
            </w14:solidFill>
          </w14:textFill>
        </w:rPr>
        <w:t>。</w:t>
      </w:r>
    </w:p>
    <w:p w14:paraId="44B708E5">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287" w:name="_Toc17987"/>
      <w:bookmarkStart w:id="1288" w:name="_Toc533863512"/>
      <w:r>
        <w:rPr>
          <w:rFonts w:cs="Times New Roman" w:asciiTheme="minorEastAsia" w:hAnsiTheme="minorEastAsia"/>
          <w:b/>
          <w:bCs/>
          <w:color w:val="000000" w:themeColor="text1"/>
          <w:szCs w:val="21"/>
          <w:highlight w:val="none"/>
          <w14:textFill>
            <w14:solidFill>
              <w14:schemeClr w14:val="tx1"/>
            </w14:solidFill>
          </w14:textFill>
        </w:rPr>
        <w:t xml:space="preserve">16. </w:t>
      </w:r>
      <w:r>
        <w:rPr>
          <w:rFonts w:hint="eastAsia" w:cs="Times New Roman" w:asciiTheme="minorEastAsia" w:hAnsiTheme="minorEastAsia"/>
          <w:b/>
          <w:bCs/>
          <w:color w:val="000000" w:themeColor="text1"/>
          <w:szCs w:val="21"/>
          <w:highlight w:val="none"/>
          <w14:textFill>
            <w14:solidFill>
              <w14:schemeClr w14:val="tx1"/>
            </w14:solidFill>
          </w14:textFill>
        </w:rPr>
        <w:t>违约</w:t>
      </w:r>
      <w:bookmarkEnd w:id="1278"/>
      <w:bookmarkEnd w:id="1287"/>
      <w:bookmarkEnd w:id="1288"/>
    </w:p>
    <w:p w14:paraId="247C4036">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289" w:name="_Toc533863513"/>
      <w:r>
        <w:rPr>
          <w:rFonts w:cs="Times New Roman" w:asciiTheme="minorEastAsia" w:hAnsiTheme="minorEastAsia"/>
          <w:b/>
          <w:bCs/>
          <w:color w:val="000000" w:themeColor="text1"/>
          <w:szCs w:val="21"/>
          <w:highlight w:val="none"/>
          <w14:textFill>
            <w14:solidFill>
              <w14:schemeClr w14:val="tx1"/>
            </w14:solidFill>
          </w14:textFill>
        </w:rPr>
        <w:t xml:space="preserve">16.1 </w:t>
      </w:r>
      <w:r>
        <w:rPr>
          <w:rFonts w:hint="eastAsia" w:cs="Times New Roman" w:asciiTheme="minorEastAsia" w:hAnsiTheme="minorEastAsia"/>
          <w:b/>
          <w:bCs/>
          <w:color w:val="000000" w:themeColor="text1"/>
          <w:szCs w:val="21"/>
          <w:highlight w:val="none"/>
          <w14:textFill>
            <w14:solidFill>
              <w14:schemeClr w14:val="tx1"/>
            </w14:solidFill>
          </w14:textFill>
        </w:rPr>
        <w:t>发包人违约</w:t>
      </w:r>
      <w:bookmarkEnd w:id="1289"/>
    </w:p>
    <w:p w14:paraId="3CCBB5CB">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90" w:name="_Toc14"/>
      <w:bookmarkStart w:id="1291" w:name="_Toc6850"/>
      <w:bookmarkStart w:id="1292" w:name="_Toc23337"/>
      <w:bookmarkStart w:id="1293" w:name="_Toc533863514"/>
      <w:bookmarkStart w:id="1294" w:name="_Toc27640"/>
      <w:bookmarkStart w:id="1295" w:name="_Toc19200"/>
      <w:r>
        <w:rPr>
          <w:rFonts w:cs="宋体" w:asciiTheme="minorEastAsia" w:hAnsiTheme="minorEastAsia"/>
          <w:color w:val="000000" w:themeColor="text1"/>
          <w:szCs w:val="21"/>
          <w:highlight w:val="none"/>
          <w14:textFill>
            <w14:solidFill>
              <w14:schemeClr w14:val="tx1"/>
            </w14:solidFill>
          </w14:textFill>
        </w:rPr>
        <w:t>16.1.1</w:t>
      </w:r>
      <w:r>
        <w:rPr>
          <w:rFonts w:hint="eastAsia" w:cs="Calibri" w:asciiTheme="minorEastAsia" w:hAnsiTheme="minorEastAsia"/>
          <w:color w:val="000000" w:themeColor="text1"/>
          <w:szCs w:val="21"/>
          <w:highlight w:val="none"/>
          <w14:textFill>
            <w14:solidFill>
              <w14:schemeClr w14:val="tx1"/>
            </w14:solidFill>
          </w14:textFill>
        </w:rPr>
        <w:t>发包人违约的情形</w:t>
      </w:r>
      <w:bookmarkEnd w:id="1290"/>
      <w:bookmarkEnd w:id="1291"/>
      <w:bookmarkEnd w:id="1292"/>
      <w:bookmarkEnd w:id="1293"/>
      <w:bookmarkEnd w:id="1294"/>
      <w:bookmarkEnd w:id="1295"/>
    </w:p>
    <w:p w14:paraId="6E76A327">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BB3E22A">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296" w:name="_Toc533863515"/>
      <w:bookmarkStart w:id="1297" w:name="_Toc14509"/>
      <w:bookmarkStart w:id="1298" w:name="_Toc6686"/>
      <w:bookmarkStart w:id="1299" w:name="_Toc22935"/>
      <w:bookmarkStart w:id="1300" w:name="_Toc11045"/>
      <w:bookmarkStart w:id="1301" w:name="_Toc26965"/>
      <w:r>
        <w:rPr>
          <w:rFonts w:cs="宋体" w:asciiTheme="minorEastAsia" w:hAnsiTheme="minorEastAsia"/>
          <w:color w:val="000000" w:themeColor="text1"/>
          <w:kern w:val="0"/>
          <w:szCs w:val="21"/>
          <w:highlight w:val="none"/>
          <w14:textFill>
            <w14:solidFill>
              <w14:schemeClr w14:val="tx1"/>
            </w14:solidFill>
          </w14:textFill>
        </w:rPr>
        <w:t xml:space="preserve">16.1.2 </w:t>
      </w:r>
      <w:r>
        <w:rPr>
          <w:rFonts w:hint="eastAsia" w:cs="Calibri" w:asciiTheme="minorEastAsia" w:hAnsiTheme="minorEastAsia"/>
          <w:color w:val="000000" w:themeColor="text1"/>
          <w:kern w:val="0"/>
          <w:szCs w:val="21"/>
          <w:highlight w:val="none"/>
          <w14:textFill>
            <w14:solidFill>
              <w14:schemeClr w14:val="tx1"/>
            </w14:solidFill>
          </w14:textFill>
        </w:rPr>
        <w:t>发包人违约的责任</w:t>
      </w:r>
      <w:bookmarkEnd w:id="1296"/>
      <w:bookmarkEnd w:id="1297"/>
      <w:bookmarkEnd w:id="1298"/>
      <w:bookmarkEnd w:id="1299"/>
      <w:bookmarkEnd w:id="1300"/>
      <w:bookmarkEnd w:id="1301"/>
    </w:p>
    <w:p w14:paraId="46714EAC">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发包人违约责任的承担方式和计算方法：</w:t>
      </w:r>
    </w:p>
    <w:p w14:paraId="5E032E9E">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）因发包人原因未能在计划开工日期前</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天内下达开工通知的违约责任：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4A4F4A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）因发包人原因未能按合同约定支付合同价款的违约责任：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6251902">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）发包人违反第</w:t>
      </w:r>
      <w:r>
        <w:rPr>
          <w:rFonts w:cs="宋体" w:asciiTheme="minorEastAsia" w:hAnsiTheme="minorEastAsia"/>
          <w:color w:val="000000" w:themeColor="text1"/>
          <w:kern w:val="0"/>
          <w:szCs w:val="21"/>
          <w:highlight w:val="none"/>
          <w14:textFill>
            <w14:solidFill>
              <w14:schemeClr w14:val="tx1"/>
            </w14:solidFill>
          </w14:textFill>
        </w:rPr>
        <w:t>10.1</w:t>
      </w:r>
      <w:r>
        <w:rPr>
          <w:rFonts w:hint="eastAsia" w:cs="Calibri" w:asciiTheme="minorEastAsia" w:hAnsiTheme="minorEastAsia"/>
          <w:color w:val="000000" w:themeColor="text1"/>
          <w:kern w:val="0"/>
          <w:szCs w:val="21"/>
          <w:highlight w:val="none"/>
          <w14:textFill>
            <w14:solidFill>
              <w14:schemeClr w14:val="tx1"/>
            </w14:solidFill>
          </w14:textFill>
        </w:rPr>
        <w:t>款〔变更的范围〕第（</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）项约定，自行实施被取消的工作或转由他人实施的违约责任：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7548B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4</w:t>
      </w:r>
      <w:r>
        <w:rPr>
          <w:rFonts w:hint="eastAsia" w:cs="Calibri" w:asciiTheme="minorEastAsia" w:hAnsiTheme="minorEastAsia"/>
          <w:color w:val="000000" w:themeColor="text1"/>
          <w:kern w:val="0"/>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04123CC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5</w:t>
      </w:r>
      <w:r>
        <w:rPr>
          <w:rFonts w:hint="eastAsia" w:cs="Calibri" w:asciiTheme="minorEastAsia" w:hAnsiTheme="minorEastAsia"/>
          <w:color w:val="000000" w:themeColor="text1"/>
          <w:kern w:val="0"/>
          <w:szCs w:val="21"/>
          <w:highlight w:val="none"/>
          <w14:textFill>
            <w14:solidFill>
              <w14:schemeClr w14:val="tx1"/>
            </w14:solidFill>
          </w14:textFill>
        </w:rPr>
        <w:t>）因发包人违反合同约定造成暂停施工的违约责任：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90134A8">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6</w:t>
      </w:r>
      <w:r>
        <w:rPr>
          <w:rFonts w:hint="eastAsia" w:cs="Calibri" w:asciiTheme="minorEastAsia" w:hAnsiTheme="minorEastAsia"/>
          <w:color w:val="000000" w:themeColor="text1"/>
          <w:kern w:val="0"/>
          <w:szCs w:val="21"/>
          <w:highlight w:val="none"/>
          <w14:textFill>
            <w14:solidFill>
              <w14:schemeClr w14:val="tx1"/>
            </w14:solidFill>
          </w14:textFill>
        </w:rPr>
        <w:t>）发包人无正当理由没有在约定期限内发出复工指示，导致承包人无法复工的违约责任：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4BF299D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）其他：</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bookmarkStart w:id="1302" w:name="_Toc23554"/>
      <w:bookmarkStart w:id="1303" w:name="_Toc30541"/>
      <w:bookmarkStart w:id="1304" w:name="_Toc25661"/>
      <w:bookmarkStart w:id="1305" w:name="_Toc379"/>
      <w:bookmarkStart w:id="1306" w:name="_Toc533863516"/>
      <w:bookmarkStart w:id="1307" w:name="_Toc11693"/>
    </w:p>
    <w:p w14:paraId="7411F84F">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16.1.3 </w:t>
      </w:r>
      <w:r>
        <w:rPr>
          <w:rFonts w:hint="eastAsia" w:cs="Calibri" w:asciiTheme="minorEastAsia" w:hAnsiTheme="minorEastAsia"/>
          <w:color w:val="000000" w:themeColor="text1"/>
          <w:szCs w:val="21"/>
          <w:highlight w:val="none"/>
          <w14:textFill>
            <w14:solidFill>
              <w14:schemeClr w14:val="tx1"/>
            </w14:solidFill>
          </w14:textFill>
        </w:rPr>
        <w:t>因发包人违约解除合同</w:t>
      </w:r>
      <w:bookmarkEnd w:id="1302"/>
      <w:bookmarkEnd w:id="1303"/>
      <w:bookmarkEnd w:id="1304"/>
      <w:bookmarkEnd w:id="1305"/>
      <w:bookmarkEnd w:id="1306"/>
      <w:bookmarkEnd w:id="1307"/>
    </w:p>
    <w:p w14:paraId="452FE3B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Times New Roman" w:asciiTheme="minorEastAsia" w:hAnsiTheme="minorEastAsia"/>
          <w:color w:val="000000" w:themeColor="text1"/>
          <w:kern w:val="0"/>
          <w:szCs w:val="21"/>
          <w:highlight w:val="none"/>
          <w14:textFill>
            <w14:solidFill>
              <w14:schemeClr w14:val="tx1"/>
            </w14:solidFill>
          </w14:textFill>
        </w:rPr>
        <w:t>承包人按</w:t>
      </w:r>
      <w:r>
        <w:rPr>
          <w:rFonts w:cs="Times New Roman" w:asciiTheme="minorEastAsia" w:hAnsiTheme="minorEastAsia"/>
          <w:color w:val="000000" w:themeColor="text1"/>
          <w:kern w:val="0"/>
          <w:szCs w:val="21"/>
          <w:highlight w:val="none"/>
          <w14:textFill>
            <w14:solidFill>
              <w14:schemeClr w14:val="tx1"/>
            </w14:solidFill>
          </w14:textFill>
        </w:rPr>
        <w:t>16.1.1</w:t>
      </w:r>
      <w:r>
        <w:rPr>
          <w:rFonts w:hint="eastAsia" w:cs="Times New Roman" w:asciiTheme="minorEastAsia" w:hAnsiTheme="minorEastAsia"/>
          <w:color w:val="000000" w:themeColor="text1"/>
          <w:kern w:val="0"/>
          <w:szCs w:val="21"/>
          <w:highlight w:val="none"/>
          <w14:textFill>
            <w14:solidFill>
              <w14:schemeClr w14:val="tx1"/>
            </w14:solidFill>
          </w14:textFill>
        </w:rPr>
        <w:t>项〔发包人违约的情形〕约定暂停施工满</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u w:val="single"/>
          <w14:textFill>
            <w14:solidFill>
              <w14:schemeClr w14:val="tx1"/>
            </w14:solidFill>
          </w14:textFill>
        </w:rPr>
        <w:t>90</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14:textFill>
            <w14:solidFill>
              <w14:schemeClr w14:val="tx1"/>
            </w14:solidFill>
          </w14:textFill>
        </w:rPr>
        <w:t>天后发包人仍不纠正其违约行为并致使合同目的不能实现的，承包人有权解除合同。</w:t>
      </w:r>
    </w:p>
    <w:p w14:paraId="793DBD3E">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308" w:name="_Toc533863517"/>
      <w:r>
        <w:rPr>
          <w:rFonts w:cs="Times New Roman" w:asciiTheme="minorEastAsia" w:hAnsiTheme="minorEastAsia"/>
          <w:b/>
          <w:bCs/>
          <w:color w:val="000000" w:themeColor="text1"/>
          <w:szCs w:val="21"/>
          <w:highlight w:val="none"/>
          <w14:textFill>
            <w14:solidFill>
              <w14:schemeClr w14:val="tx1"/>
            </w14:solidFill>
          </w14:textFill>
        </w:rPr>
        <w:t xml:space="preserve">16.2 </w:t>
      </w:r>
      <w:r>
        <w:rPr>
          <w:rFonts w:hint="eastAsia" w:cs="Times New Roman" w:asciiTheme="minorEastAsia" w:hAnsiTheme="minorEastAsia"/>
          <w:b/>
          <w:bCs/>
          <w:color w:val="000000" w:themeColor="text1"/>
          <w:szCs w:val="21"/>
          <w:highlight w:val="none"/>
          <w14:textFill>
            <w14:solidFill>
              <w14:schemeClr w14:val="tx1"/>
            </w14:solidFill>
          </w14:textFill>
        </w:rPr>
        <w:t>承包人违约</w:t>
      </w:r>
      <w:bookmarkEnd w:id="1308"/>
    </w:p>
    <w:p w14:paraId="22073A35">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309" w:name="_Toc19670"/>
      <w:bookmarkStart w:id="1310" w:name="_Toc11430"/>
      <w:bookmarkStart w:id="1311" w:name="_Toc31620"/>
      <w:bookmarkStart w:id="1312" w:name="_Toc28479"/>
      <w:bookmarkStart w:id="1313" w:name="_Toc10832"/>
      <w:bookmarkStart w:id="1314" w:name="_Toc533863518"/>
      <w:bookmarkStart w:id="1315" w:name="_Toc351203649"/>
      <w:r>
        <w:rPr>
          <w:rFonts w:cs="宋体" w:asciiTheme="minorEastAsia" w:hAnsiTheme="minorEastAsia"/>
          <w:color w:val="000000" w:themeColor="text1"/>
          <w:kern w:val="0"/>
          <w:szCs w:val="21"/>
          <w:highlight w:val="none"/>
          <w14:textFill>
            <w14:solidFill>
              <w14:schemeClr w14:val="tx1"/>
            </w14:solidFill>
          </w14:textFill>
        </w:rPr>
        <w:t xml:space="preserve">16.2.1 </w:t>
      </w:r>
      <w:r>
        <w:rPr>
          <w:rFonts w:hint="eastAsia" w:cs="Calibri" w:asciiTheme="minorEastAsia" w:hAnsiTheme="minorEastAsia"/>
          <w:color w:val="000000" w:themeColor="text1"/>
          <w:kern w:val="0"/>
          <w:szCs w:val="21"/>
          <w:highlight w:val="none"/>
          <w14:textFill>
            <w14:solidFill>
              <w14:schemeClr w14:val="tx1"/>
            </w14:solidFill>
          </w14:textFill>
        </w:rPr>
        <w:t>承包人违约的情形</w:t>
      </w:r>
      <w:bookmarkEnd w:id="1309"/>
      <w:bookmarkEnd w:id="1310"/>
      <w:bookmarkEnd w:id="1311"/>
      <w:bookmarkEnd w:id="1312"/>
      <w:bookmarkEnd w:id="1313"/>
      <w:bookmarkEnd w:id="1314"/>
    </w:p>
    <w:p w14:paraId="0BB84FB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77C52B4A">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16.2.2</w:t>
      </w:r>
      <w:r>
        <w:rPr>
          <w:rFonts w:hint="eastAsia" w:ascii="宋体" w:hAnsi="宋体" w:eastAsia="宋体" w:cs="Calibri"/>
          <w:color w:val="000000" w:themeColor="text1"/>
          <w:kern w:val="0"/>
          <w:szCs w:val="21"/>
          <w:highlight w:val="none"/>
          <w14:textFill>
            <w14:solidFill>
              <w14:schemeClr w14:val="tx1"/>
            </w14:solidFill>
          </w14:textFill>
        </w:rPr>
        <w:t>承包人违约的责任</w:t>
      </w:r>
    </w:p>
    <w:p w14:paraId="696A2F9E">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承包人违约责任的承担方式和计算方法：</w:t>
      </w:r>
      <w:r>
        <w:rPr>
          <w:rFonts w:hint="eastAsia" w:ascii="宋体" w:hAnsi="宋体" w:eastAsia="宋体" w:cs="Calibri"/>
          <w:color w:val="000000" w:themeColor="text1"/>
          <w:szCs w:val="21"/>
          <w:highlight w:val="none"/>
          <w:u w:val="single"/>
          <w14:textFill>
            <w14:solidFill>
              <w14:schemeClr w14:val="tx1"/>
            </w14:solidFill>
          </w14:textFill>
        </w:rPr>
        <w:t>每延误一天</w:t>
      </w:r>
      <w:r>
        <w:rPr>
          <w:rFonts w:hint="eastAsia" w:ascii="宋体" w:hAnsi="宋体" w:eastAsia="宋体" w:cs="Calibri"/>
          <w:color w:val="000000" w:themeColor="text1"/>
          <w:kern w:val="0"/>
          <w:szCs w:val="21"/>
          <w:highlight w:val="none"/>
          <w:u w:val="single"/>
          <w14:textFill>
            <w14:solidFill>
              <w14:schemeClr w14:val="tx1"/>
            </w14:solidFill>
          </w14:textFill>
        </w:rPr>
        <w:t>按合同价款的万分之二</w:t>
      </w:r>
      <w:r>
        <w:rPr>
          <w:rFonts w:hint="eastAsia" w:ascii="宋体" w:hAnsi="宋体" w:eastAsia="宋体" w:cs="Calibri"/>
          <w:color w:val="000000" w:themeColor="text1"/>
          <w:szCs w:val="21"/>
          <w:highlight w:val="none"/>
          <w:u w:val="single"/>
          <w14:textFill>
            <w14:solidFill>
              <w14:schemeClr w14:val="tx1"/>
            </w14:solidFill>
          </w14:textFill>
        </w:rPr>
        <w:t>赔偿给发包人。</w:t>
      </w:r>
    </w:p>
    <w:p w14:paraId="2BCFFFC9">
      <w:pPr>
        <w:spacing w:line="360" w:lineRule="auto"/>
        <w:ind w:firstLine="420" w:firstLineChars="200"/>
        <w:jc w:val="left"/>
        <w:outlineLvl w:val="0"/>
        <w:rPr>
          <w:rFonts w:ascii="Calibri" w:hAnsi="宋体" w:eastAsia="宋体" w:cs="宋体"/>
          <w:color w:val="000000" w:themeColor="text1"/>
          <w:szCs w:val="21"/>
          <w:highlight w:val="none"/>
          <w14:textFill>
            <w14:solidFill>
              <w14:schemeClr w14:val="tx1"/>
            </w14:solidFill>
          </w14:textFill>
        </w:rPr>
      </w:pPr>
      <w:bookmarkStart w:id="1316" w:name="_Toc18995"/>
      <w:bookmarkStart w:id="1317" w:name="_Toc19117"/>
      <w:bookmarkStart w:id="1318" w:name="_Toc17488"/>
      <w:bookmarkStart w:id="1319" w:name="_Toc533863519"/>
      <w:bookmarkStart w:id="1320" w:name="_Toc16891"/>
      <w:bookmarkStart w:id="1321" w:name="_Toc13598"/>
      <w:r>
        <w:rPr>
          <w:rFonts w:ascii="Calibri" w:hAnsi="Calibri" w:eastAsia="宋体" w:cs="宋体"/>
          <w:color w:val="000000" w:themeColor="text1"/>
          <w:szCs w:val="21"/>
          <w:highlight w:val="none"/>
          <w14:textFill>
            <w14:solidFill>
              <w14:schemeClr w14:val="tx1"/>
            </w14:solidFill>
          </w14:textFill>
        </w:rPr>
        <w:t xml:space="preserve">16.2.3 </w:t>
      </w:r>
      <w:r>
        <w:rPr>
          <w:rFonts w:hint="eastAsia" w:ascii="宋体" w:hAnsi="宋体" w:eastAsia="宋体" w:cs="Calibri"/>
          <w:color w:val="000000" w:themeColor="text1"/>
          <w:szCs w:val="21"/>
          <w:highlight w:val="none"/>
          <w14:textFill>
            <w14:solidFill>
              <w14:schemeClr w14:val="tx1"/>
            </w14:solidFill>
          </w14:textFill>
        </w:rPr>
        <w:t>因承包人违约解除合同</w:t>
      </w:r>
      <w:bookmarkEnd w:id="1316"/>
      <w:bookmarkEnd w:id="1317"/>
      <w:bookmarkEnd w:id="1318"/>
      <w:bookmarkEnd w:id="1319"/>
      <w:bookmarkEnd w:id="1320"/>
      <w:bookmarkEnd w:id="1321"/>
    </w:p>
    <w:p w14:paraId="27D37C56">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关于承包人违约解除合同的特别约定：</w:t>
      </w:r>
      <w:r>
        <w:rPr>
          <w:rFonts w:hint="eastAsia" w:ascii="宋体" w:hAnsi="宋体" w:eastAsia="宋体" w:cs="Calibri"/>
          <w:color w:val="000000" w:themeColor="text1"/>
          <w:kern w:val="0"/>
          <w:szCs w:val="21"/>
          <w:highlight w:val="none"/>
          <w:u w:val="single"/>
          <w14:textFill>
            <w14:solidFill>
              <w14:schemeClr w14:val="tx1"/>
            </w14:solidFill>
          </w14:textFill>
        </w:rPr>
        <w:t>承包人有违反以下情况之一的，发包人有权解除合同，并没收其全部履约保证金</w:t>
      </w:r>
      <w:r>
        <w:rPr>
          <w:rFonts w:hint="eastAsia" w:ascii="宋体" w:hAnsi="宋体" w:eastAsia="宋体" w:cs="Calibri"/>
          <w:color w:val="000000" w:themeColor="text1"/>
          <w:kern w:val="0"/>
          <w:szCs w:val="21"/>
          <w:highlight w:val="none"/>
          <w14:textFill>
            <w14:solidFill>
              <w14:schemeClr w14:val="tx1"/>
            </w14:solidFill>
          </w14:textFill>
        </w:rPr>
        <w:t>。</w:t>
      </w:r>
    </w:p>
    <w:p w14:paraId="50062442">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承包人无正当理由不按开工通知的要求及时进场组织施工和不按签订协议书时商定的进度计划有效地开展施工准备，造成工期延误的；</w:t>
      </w:r>
    </w:p>
    <w:p w14:paraId="5384D969">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承包人违反本合同通用条款第</w:t>
      </w:r>
      <w:r>
        <w:rPr>
          <w:rFonts w:ascii="Calibri" w:hAnsi="Calibri" w:eastAsia="宋体" w:cs="宋体"/>
          <w:color w:val="000000" w:themeColor="text1"/>
          <w:kern w:val="0"/>
          <w:szCs w:val="21"/>
          <w:highlight w:val="none"/>
          <w14:textFill>
            <w14:solidFill>
              <w14:schemeClr w14:val="tx1"/>
            </w14:solidFill>
          </w14:textFill>
        </w:rPr>
        <w:t>3.5</w:t>
      </w:r>
      <w:r>
        <w:rPr>
          <w:rFonts w:hint="eastAsia" w:ascii="宋体" w:hAnsi="宋体" w:eastAsia="宋体" w:cs="Calibri"/>
          <w:color w:val="000000" w:themeColor="text1"/>
          <w:kern w:val="0"/>
          <w:szCs w:val="21"/>
          <w:highlight w:val="none"/>
          <w14:textFill>
            <w14:solidFill>
              <w14:schemeClr w14:val="tx1"/>
            </w14:solidFill>
          </w14:textFill>
        </w:rPr>
        <w:t>条规定私自将合同或合同的任何部分或任何权利转让给其他人，或私自将工程或工程的一部分分包出去的；</w:t>
      </w:r>
    </w:p>
    <w:p w14:paraId="116F149B">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(3)</w:t>
      </w:r>
      <w:r>
        <w:rPr>
          <w:rFonts w:hint="eastAsia" w:ascii="宋体" w:hAnsi="宋体" w:eastAsia="宋体" w:cs="Calibri"/>
          <w:color w:val="000000" w:themeColor="text1"/>
          <w:kern w:val="0"/>
          <w:szCs w:val="21"/>
          <w:highlight w:val="none"/>
          <w14:textFill>
            <w14:solidFill>
              <w14:schemeClr w14:val="tx1"/>
            </w14:solidFill>
          </w14:textFill>
        </w:rPr>
        <w:t>未经监理人批准，承包人私自将已按投标文件承诺进入工地的工程设备、施工设备、临时工程或材料撤离工地的；</w:t>
      </w:r>
    </w:p>
    <w:p w14:paraId="341D44BD">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(4)</w:t>
      </w:r>
      <w:r>
        <w:rPr>
          <w:rFonts w:hint="eastAsia" w:ascii="宋体" w:hAnsi="宋体" w:eastAsia="宋体" w:cs="Calibri"/>
          <w:color w:val="000000" w:themeColor="text1"/>
          <w:kern w:val="0"/>
          <w:szCs w:val="21"/>
          <w:highlight w:val="none"/>
          <w14:textFill>
            <w14:solidFill>
              <w14:schemeClr w14:val="tx1"/>
            </w14:solidFill>
          </w14:textFill>
        </w:rPr>
        <w:t>由于承包人原因拒绝按合同进度计划及时完成合同规定的工程，而又未采取有效措施赶上进度，造成工期严重延误的；</w:t>
      </w:r>
    </w:p>
    <w:p w14:paraId="5057152C">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(5)</w:t>
      </w:r>
      <w:r>
        <w:rPr>
          <w:rFonts w:hint="eastAsia" w:ascii="宋体" w:hAnsi="宋体" w:eastAsia="宋体" w:cs="Calibri"/>
          <w:color w:val="000000" w:themeColor="text1"/>
          <w:kern w:val="0"/>
          <w:szCs w:val="21"/>
          <w:highlight w:val="none"/>
          <w14:textFill>
            <w14:solidFill>
              <w14:schemeClr w14:val="tx1"/>
            </w14:solidFill>
          </w14:textFill>
        </w:rPr>
        <w:t>承包人否认合同有效或拒绝履行合同规定的承包人义务，或由于法律、财务等原因导致承包人无法继续履行或实质上已停止履行合同的义务的；</w:t>
      </w:r>
    </w:p>
    <w:p w14:paraId="5504B6F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(6)</w:t>
      </w:r>
      <w:r>
        <w:rPr>
          <w:rFonts w:hint="eastAsia" w:ascii="宋体" w:hAnsi="宋体" w:eastAsia="宋体" w:cs="Calibri"/>
          <w:color w:val="000000" w:themeColor="text1"/>
          <w:kern w:val="0"/>
          <w:szCs w:val="21"/>
          <w:highlight w:val="none"/>
          <w14:textFill>
            <w14:solidFill>
              <w14:schemeClr w14:val="tx1"/>
            </w14:solidFill>
          </w14:textFill>
        </w:rPr>
        <w:t>合同签订之日起十五日内，承包人无法按合同规定及投标文件的承诺进场经监理工程师认可的全部人员和机械的。</w:t>
      </w:r>
    </w:p>
    <w:p w14:paraId="4C1DCD5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Calibri"/>
          <w:color w:val="000000" w:themeColor="text1"/>
          <w:kern w:val="0"/>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kern w:val="0"/>
          <w:szCs w:val="21"/>
          <w:highlight w:val="none"/>
          <w14:textFill>
            <w14:solidFill>
              <w14:schemeClr w14:val="tx1"/>
            </w14:solidFill>
          </w14:textFill>
        </w:rPr>
        <w:t>。</w:t>
      </w:r>
    </w:p>
    <w:p w14:paraId="4977CE9A">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2" w:name="_Toc533863520"/>
      <w:bookmarkStart w:id="1323" w:name="_Toc12467"/>
      <w:r>
        <w:rPr>
          <w:rFonts w:ascii="宋体" w:hAnsi="宋体" w:eastAsia="宋体" w:cs="Times New Roman"/>
          <w:b/>
          <w:bCs/>
          <w:color w:val="000000" w:themeColor="text1"/>
          <w:szCs w:val="21"/>
          <w:highlight w:val="none"/>
          <w14:textFill>
            <w14:solidFill>
              <w14:schemeClr w14:val="tx1"/>
            </w14:solidFill>
          </w14:textFill>
        </w:rPr>
        <w:t xml:space="preserve">17. </w:t>
      </w:r>
      <w:r>
        <w:rPr>
          <w:rFonts w:hint="eastAsia" w:ascii="宋体" w:hAnsi="宋体" w:eastAsia="宋体" w:cs="Times New Roman"/>
          <w:b/>
          <w:bCs/>
          <w:color w:val="000000" w:themeColor="text1"/>
          <w:szCs w:val="21"/>
          <w:highlight w:val="none"/>
          <w14:textFill>
            <w14:solidFill>
              <w14:schemeClr w14:val="tx1"/>
            </w14:solidFill>
          </w14:textFill>
        </w:rPr>
        <w:t>不可抗力</w:t>
      </w:r>
      <w:bookmarkEnd w:id="1315"/>
      <w:bookmarkEnd w:id="1322"/>
      <w:bookmarkEnd w:id="1323"/>
      <w:r>
        <w:rPr>
          <w:rFonts w:ascii="宋体" w:hAnsi="宋体" w:eastAsia="宋体" w:cs="Times New Roman"/>
          <w:b/>
          <w:bCs/>
          <w:color w:val="000000" w:themeColor="text1"/>
          <w:szCs w:val="21"/>
          <w:highlight w:val="none"/>
          <w14:textFill>
            <w14:solidFill>
              <w14:schemeClr w14:val="tx1"/>
            </w14:solidFill>
          </w14:textFill>
        </w:rPr>
        <w:t xml:space="preserve"> </w:t>
      </w:r>
      <w:bookmarkEnd w:id="1279"/>
    </w:p>
    <w:p w14:paraId="2EE363DC">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17.1 </w:t>
      </w:r>
      <w:r>
        <w:rPr>
          <w:rFonts w:hint="eastAsia" w:ascii="宋体" w:hAnsi="宋体" w:eastAsia="宋体" w:cs="Times New Roman"/>
          <w:color w:val="000000" w:themeColor="text1"/>
          <w:szCs w:val="21"/>
          <w:highlight w:val="none"/>
          <w14:textFill>
            <w14:solidFill>
              <w14:schemeClr w14:val="tx1"/>
            </w14:solidFill>
          </w14:textFill>
        </w:rPr>
        <w:t>不可抗力的确认</w:t>
      </w:r>
    </w:p>
    <w:p w14:paraId="47716AAB">
      <w:pPr>
        <w:spacing w:line="360" w:lineRule="auto"/>
        <w:ind w:firstLine="420" w:firstLineChars="200"/>
        <w:jc w:val="left"/>
        <w:rPr>
          <w:rFonts w:ascii="Calibri" w:hAnsi="Calibri"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除通用合同条款约定的不可抗力事件之外，视为不可抗力的其他情形：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w:t>
      </w:r>
    </w:p>
    <w:p w14:paraId="7E5FC4A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17.4 </w:t>
      </w:r>
      <w:r>
        <w:rPr>
          <w:rFonts w:hint="eastAsia" w:ascii="宋体" w:hAnsi="宋体" w:eastAsia="宋体" w:cs="Times New Roman"/>
          <w:color w:val="000000" w:themeColor="text1"/>
          <w:szCs w:val="21"/>
          <w:highlight w:val="none"/>
          <w14:textFill>
            <w14:solidFill>
              <w14:schemeClr w14:val="tx1"/>
            </w14:solidFill>
          </w14:textFill>
        </w:rPr>
        <w:t>因不可抗力解除合同</w:t>
      </w:r>
    </w:p>
    <w:p w14:paraId="71D74FE1">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324" w:name="_Toc351203650"/>
      <w:r>
        <w:rPr>
          <w:rFonts w:hint="eastAsia" w:ascii="宋体" w:hAnsi="宋体" w:eastAsia="宋体" w:cs="Calibri"/>
          <w:color w:val="000000" w:themeColor="text1"/>
          <w:szCs w:val="21"/>
          <w:highlight w:val="none"/>
          <w14:textFill>
            <w14:solidFill>
              <w14:schemeClr w14:val="tx1"/>
            </w14:solidFill>
          </w14:textFill>
        </w:rPr>
        <w:t>合同解除后，发包人应在商定或确定发包人应支付款项后</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Calibri" w:hAnsi="Calibri" w:eastAsia="宋体" w:cs="Calibri"/>
          <w:color w:val="000000" w:themeColor="text1"/>
          <w:szCs w:val="21"/>
          <w:highlight w:val="none"/>
          <w:u w:val="single"/>
          <w14:textFill>
            <w14:solidFill>
              <w14:schemeClr w14:val="tx1"/>
            </w14:solidFill>
          </w14:textFill>
        </w:rPr>
        <w:t>28</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天内完成款项的支付。</w:t>
      </w:r>
    </w:p>
    <w:p w14:paraId="31D153E1">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5" w:name="_Toc8451"/>
      <w:bookmarkStart w:id="1326" w:name="_Toc533863521"/>
      <w:r>
        <w:rPr>
          <w:rFonts w:ascii="宋体" w:hAnsi="宋体" w:eastAsia="宋体" w:cs="Times New Roman"/>
          <w:b/>
          <w:bCs/>
          <w:color w:val="000000" w:themeColor="text1"/>
          <w:szCs w:val="21"/>
          <w:highlight w:val="none"/>
          <w14:textFill>
            <w14:solidFill>
              <w14:schemeClr w14:val="tx1"/>
            </w14:solidFill>
          </w14:textFill>
        </w:rPr>
        <w:t xml:space="preserve">18. </w:t>
      </w:r>
      <w:r>
        <w:rPr>
          <w:rFonts w:hint="eastAsia" w:ascii="宋体" w:hAnsi="宋体" w:eastAsia="宋体" w:cs="Times New Roman"/>
          <w:b/>
          <w:bCs/>
          <w:color w:val="000000" w:themeColor="text1"/>
          <w:szCs w:val="21"/>
          <w:highlight w:val="none"/>
          <w14:textFill>
            <w14:solidFill>
              <w14:schemeClr w14:val="tx1"/>
            </w14:solidFill>
          </w14:textFill>
        </w:rPr>
        <w:t>保险</w:t>
      </w:r>
      <w:bookmarkEnd w:id="1324"/>
      <w:bookmarkEnd w:id="1325"/>
      <w:bookmarkEnd w:id="1326"/>
    </w:p>
    <w:bookmarkEnd w:id="1280"/>
    <w:p w14:paraId="0D0E07A8">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18.1 </w:t>
      </w:r>
      <w:r>
        <w:rPr>
          <w:rFonts w:hint="eastAsia" w:ascii="宋体" w:hAnsi="宋体" w:eastAsia="宋体" w:cs="Times New Roman"/>
          <w:color w:val="000000" w:themeColor="text1"/>
          <w:szCs w:val="21"/>
          <w:highlight w:val="none"/>
          <w14:textFill>
            <w14:solidFill>
              <w14:schemeClr w14:val="tx1"/>
            </w14:solidFill>
          </w14:textFill>
        </w:rPr>
        <w:t>工程保险</w:t>
      </w:r>
    </w:p>
    <w:p w14:paraId="20E9AFA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关于工程保险的特别约定：</w:t>
      </w:r>
      <w:r>
        <w:rPr>
          <w:rFonts w:hint="eastAsia" w:cs="Calibri" w:asciiTheme="minorEastAsia" w:hAnsiTheme="minorEastAsia"/>
          <w:color w:val="000000" w:themeColor="text1"/>
          <w:kern w:val="0"/>
          <w:szCs w:val="21"/>
          <w:highlight w:val="none"/>
          <w:u w:val="single"/>
          <w14:textFill>
            <w14:solidFill>
              <w14:schemeClr w14:val="tx1"/>
            </w14:solidFill>
          </w14:textFill>
        </w:rPr>
        <w:t>由承包人投保建筑工程一切险或安装工程一切险并承担相应费用</w:t>
      </w:r>
      <w:r>
        <w:rPr>
          <w:rFonts w:hint="eastAsia" w:cs="Calibri" w:asciiTheme="minorEastAsia" w:hAnsiTheme="minorEastAsia"/>
          <w:color w:val="000000" w:themeColor="text1"/>
          <w:kern w:val="0"/>
          <w:szCs w:val="21"/>
          <w:highlight w:val="none"/>
          <w14:textFill>
            <w14:solidFill>
              <w14:schemeClr w14:val="tx1"/>
            </w14:solidFill>
          </w14:textFill>
        </w:rPr>
        <w:t>。</w:t>
      </w:r>
    </w:p>
    <w:p w14:paraId="25DC8E1A">
      <w:pPr>
        <w:spacing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18.3 </w:t>
      </w:r>
      <w:r>
        <w:rPr>
          <w:rFonts w:hint="eastAsia" w:cs="Times New Roman" w:asciiTheme="minorEastAsia" w:hAnsiTheme="minorEastAsia"/>
          <w:color w:val="000000" w:themeColor="text1"/>
          <w:szCs w:val="21"/>
          <w:highlight w:val="none"/>
          <w14:textFill>
            <w14:solidFill>
              <w14:schemeClr w14:val="tx1"/>
            </w14:solidFill>
          </w14:textFill>
        </w:rPr>
        <w:t>其他保险</w:t>
      </w:r>
    </w:p>
    <w:p w14:paraId="09608E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关于其他保险的约定：</w:t>
      </w:r>
      <w:r>
        <w:rPr>
          <w:rFonts w:hint="eastAsia" w:cs="Calibri" w:asciiTheme="minorEastAsia" w:hAnsiTheme="minorEastAsia"/>
          <w:color w:val="000000" w:themeColor="text1"/>
          <w:szCs w:val="21"/>
          <w:highlight w:val="none"/>
          <w:u w:val="single"/>
          <w14:textFill>
            <w14:solidFill>
              <w14:schemeClr w14:val="tx1"/>
            </w14:solidFill>
          </w14:textFill>
        </w:rPr>
        <w:t>发包人和承包人各自为其施工现场的全部人员办理意外伤害保险并支付保险费，包括其员工及为履行合同聘请的第三方的人员</w:t>
      </w:r>
      <w:r>
        <w:rPr>
          <w:rFonts w:hint="eastAsia" w:cs="Calibri" w:asciiTheme="minorEastAsia" w:hAnsiTheme="minorEastAsia"/>
          <w:color w:val="000000" w:themeColor="text1"/>
          <w:szCs w:val="21"/>
          <w:highlight w:val="none"/>
          <w14:textFill>
            <w14:solidFill>
              <w14:schemeClr w14:val="tx1"/>
            </w14:solidFill>
          </w14:textFill>
        </w:rPr>
        <w:t>。</w:t>
      </w:r>
    </w:p>
    <w:p w14:paraId="2B687B7A">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承包人是否应为其施工设备等办理财产保险：</w:t>
      </w:r>
      <w:r>
        <w:rPr>
          <w:rFonts w:hint="eastAsia" w:cs="Calibri" w:asciiTheme="minorEastAsia" w:hAnsiTheme="minorEastAsia"/>
          <w:color w:val="000000" w:themeColor="text1"/>
          <w:szCs w:val="21"/>
          <w:highlight w:val="none"/>
          <w:u w:val="single"/>
          <w14:textFill>
            <w14:solidFill>
              <w14:schemeClr w14:val="tx1"/>
            </w14:solidFill>
          </w14:textFill>
        </w:rPr>
        <w:t xml:space="preserve">  是  </w:t>
      </w:r>
      <w:r>
        <w:rPr>
          <w:rFonts w:hint="eastAsia" w:cs="Calibri" w:asciiTheme="minorEastAsia" w:hAnsiTheme="minorEastAsia"/>
          <w:color w:val="000000" w:themeColor="text1"/>
          <w:szCs w:val="21"/>
          <w:highlight w:val="none"/>
          <w14:textFill>
            <w14:solidFill>
              <w14:schemeClr w14:val="tx1"/>
            </w14:solidFill>
          </w14:textFill>
        </w:rPr>
        <w:t>。</w:t>
      </w:r>
    </w:p>
    <w:p w14:paraId="2E3629E1">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18.7 </w:t>
      </w:r>
      <w:r>
        <w:rPr>
          <w:rFonts w:hint="eastAsia" w:cs="Times New Roman" w:asciiTheme="minorEastAsia" w:hAnsiTheme="minorEastAsia"/>
          <w:color w:val="000000" w:themeColor="text1"/>
          <w:szCs w:val="21"/>
          <w:highlight w:val="none"/>
          <w14:textFill>
            <w14:solidFill>
              <w14:schemeClr w14:val="tx1"/>
            </w14:solidFill>
          </w14:textFill>
        </w:rPr>
        <w:t>通知义务</w:t>
      </w:r>
    </w:p>
    <w:bookmarkEnd w:id="1236"/>
    <w:bookmarkEnd w:id="1237"/>
    <w:bookmarkEnd w:id="1238"/>
    <w:bookmarkEnd w:id="1239"/>
    <w:bookmarkEnd w:id="1240"/>
    <w:bookmarkEnd w:id="1241"/>
    <w:bookmarkEnd w:id="1242"/>
    <w:bookmarkEnd w:id="1243"/>
    <w:bookmarkEnd w:id="1244"/>
    <w:bookmarkEnd w:id="1245"/>
    <w:bookmarkEnd w:id="1246"/>
    <w:bookmarkEnd w:id="1247"/>
    <w:p w14:paraId="781C3F6D">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bookmarkStart w:id="1327" w:name="_Toc351203651"/>
      <w:r>
        <w:rPr>
          <w:rFonts w:hint="eastAsia" w:cs="Calibri" w:asciiTheme="minorEastAsia" w:hAnsiTheme="minorEastAsia"/>
          <w:color w:val="000000" w:themeColor="text1"/>
          <w:kern w:val="0"/>
          <w:szCs w:val="21"/>
          <w:highlight w:val="none"/>
          <w14:textFill>
            <w14:solidFill>
              <w14:schemeClr w14:val="tx1"/>
            </w14:solidFill>
          </w14:textFill>
        </w:rPr>
        <w:t>关于变更保险合同时的通知义务的约定：</w:t>
      </w:r>
      <w:r>
        <w:rPr>
          <w:rFonts w:hint="eastAsia" w:cs="Calibri" w:asciiTheme="minorEastAsia" w:hAnsiTheme="minorEastAsia"/>
          <w:color w:val="000000" w:themeColor="text1"/>
          <w:szCs w:val="21"/>
          <w:highlight w:val="none"/>
          <w:u w:val="single"/>
          <w14:textFill>
            <w14:solidFill>
              <w14:schemeClr w14:val="tx1"/>
            </w14:solidFill>
          </w14:textFill>
        </w:rPr>
        <w:t>由承包人通知发包人和监理人</w:t>
      </w:r>
      <w:r>
        <w:rPr>
          <w:rFonts w:hint="eastAsia" w:cs="Calibri" w:asciiTheme="minorEastAsia" w:hAnsiTheme="minorEastAsia"/>
          <w:color w:val="000000" w:themeColor="text1"/>
          <w:szCs w:val="21"/>
          <w:highlight w:val="none"/>
          <w14:textFill>
            <w14:solidFill>
              <w14:schemeClr w14:val="tx1"/>
            </w14:solidFill>
          </w14:textFill>
        </w:rPr>
        <w:t>。</w:t>
      </w:r>
    </w:p>
    <w:p w14:paraId="05F44948">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328" w:name="_Toc533863522"/>
      <w:bookmarkStart w:id="1329" w:name="_Toc26075"/>
      <w:r>
        <w:rPr>
          <w:rFonts w:cs="Times New Roman" w:asciiTheme="minorEastAsia" w:hAnsiTheme="minorEastAsia"/>
          <w:b/>
          <w:bCs/>
          <w:color w:val="000000" w:themeColor="text1"/>
          <w:szCs w:val="21"/>
          <w:highlight w:val="none"/>
          <w14:textFill>
            <w14:solidFill>
              <w14:schemeClr w14:val="tx1"/>
            </w14:solidFill>
          </w14:textFill>
        </w:rPr>
        <w:t xml:space="preserve">20. </w:t>
      </w:r>
      <w:r>
        <w:rPr>
          <w:rFonts w:hint="eastAsia" w:cs="Times New Roman" w:asciiTheme="minorEastAsia" w:hAnsiTheme="minorEastAsia"/>
          <w:b/>
          <w:bCs/>
          <w:color w:val="000000" w:themeColor="text1"/>
          <w:szCs w:val="21"/>
          <w:highlight w:val="none"/>
          <w14:textFill>
            <w14:solidFill>
              <w14:schemeClr w14:val="tx1"/>
            </w14:solidFill>
          </w14:textFill>
        </w:rPr>
        <w:t>争议解决</w:t>
      </w:r>
      <w:bookmarkEnd w:id="1327"/>
      <w:bookmarkEnd w:id="1328"/>
      <w:bookmarkEnd w:id="1329"/>
    </w:p>
    <w:bookmarkEnd w:id="1248"/>
    <w:bookmarkEnd w:id="1249"/>
    <w:p w14:paraId="25C7A7C9">
      <w:pPr>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 xml:space="preserve">20.3 </w:t>
      </w:r>
      <w:r>
        <w:rPr>
          <w:rFonts w:hint="eastAsia" w:cs="Times New Roman" w:asciiTheme="minorEastAsia" w:hAnsiTheme="minorEastAsia"/>
          <w:b/>
          <w:color w:val="000000" w:themeColor="text1"/>
          <w:szCs w:val="21"/>
          <w:highlight w:val="none"/>
          <w14:textFill>
            <w14:solidFill>
              <w14:schemeClr w14:val="tx1"/>
            </w14:solidFill>
          </w14:textFill>
        </w:rPr>
        <w:t>争</w:t>
      </w:r>
      <w:bookmarkEnd w:id="1250"/>
      <w:r>
        <w:rPr>
          <w:rFonts w:hint="eastAsia" w:cs="Times New Roman" w:asciiTheme="minorEastAsia" w:hAnsiTheme="minorEastAsia"/>
          <w:b/>
          <w:color w:val="000000" w:themeColor="text1"/>
          <w:szCs w:val="21"/>
          <w:highlight w:val="none"/>
          <w14:textFill>
            <w14:solidFill>
              <w14:schemeClr w14:val="tx1"/>
            </w14:solidFill>
          </w14:textFill>
        </w:rPr>
        <w:t>议评审</w:t>
      </w:r>
    </w:p>
    <w:p w14:paraId="7C581178">
      <w:pPr>
        <w:spacing w:line="360" w:lineRule="auto"/>
        <w:ind w:left="149" w:leftChars="71" w:firstLine="315" w:firstLineChars="15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合同当事人是否同意将工程争议提交争议评审小组决定：</w:t>
      </w:r>
      <w:r>
        <w:rPr>
          <w:rFonts w:hint="eastAsia" w:cs="Calibri" w:asciiTheme="minorEastAsia" w:hAnsiTheme="minorEastAsia"/>
          <w:color w:val="000000" w:themeColor="text1"/>
          <w:szCs w:val="21"/>
          <w:highlight w:val="none"/>
          <w:u w:val="single"/>
          <w14:textFill>
            <w14:solidFill>
              <w14:schemeClr w14:val="tx1"/>
            </w14:solidFill>
          </w14:textFill>
        </w:rPr>
        <w:t>同意</w:t>
      </w:r>
      <w:r>
        <w:rPr>
          <w:rFonts w:hint="eastAsia" w:cs="Calibri" w:asciiTheme="minorEastAsia" w:hAnsiTheme="minorEastAsia"/>
          <w:color w:val="000000" w:themeColor="text1"/>
          <w:szCs w:val="21"/>
          <w:highlight w:val="none"/>
          <w14:textFill>
            <w14:solidFill>
              <w14:schemeClr w14:val="tx1"/>
            </w14:solidFill>
          </w14:textFill>
        </w:rPr>
        <w:t>。</w:t>
      </w:r>
    </w:p>
    <w:p w14:paraId="04FB08AB">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20.3.1 </w:t>
      </w:r>
      <w:r>
        <w:rPr>
          <w:rFonts w:hint="eastAsia" w:cs="Calibri" w:asciiTheme="minorEastAsia" w:hAnsiTheme="minorEastAsia"/>
          <w:color w:val="000000" w:themeColor="text1"/>
          <w:szCs w:val="21"/>
          <w:highlight w:val="none"/>
          <w14:textFill>
            <w14:solidFill>
              <w14:schemeClr w14:val="tx1"/>
            </w14:solidFill>
          </w14:textFill>
        </w:rPr>
        <w:t>争议评审小组的确定</w:t>
      </w:r>
    </w:p>
    <w:p w14:paraId="245CCCD6">
      <w:pPr>
        <w:spacing w:line="360" w:lineRule="auto"/>
        <w:ind w:firstLine="420" w:firstLineChars="200"/>
        <w:jc w:val="left"/>
        <w:rPr>
          <w:rFonts w:cs="Calibri"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争议评审小组成员的确定：</w:t>
      </w:r>
      <w:r>
        <w:rPr>
          <w:rFonts w:hint="eastAsia" w:cs="Calibri" w:asciiTheme="minorEastAsia" w:hAnsiTheme="minorEastAsia"/>
          <w:color w:val="000000" w:themeColor="text1"/>
          <w:szCs w:val="21"/>
          <w:highlight w:val="none"/>
          <w:u w:val="single"/>
          <w14:textFill>
            <w14:solidFill>
              <w14:schemeClr w14:val="tx1"/>
            </w14:solidFill>
          </w14:textFill>
        </w:rPr>
        <w:t>根据实际情况双方再确定</w:t>
      </w:r>
      <w:r>
        <w:rPr>
          <w:rFonts w:hint="eastAsia" w:cs="Calibri" w:asciiTheme="minorEastAsia" w:hAnsiTheme="minorEastAsia"/>
          <w:color w:val="000000" w:themeColor="text1"/>
          <w:szCs w:val="21"/>
          <w:highlight w:val="none"/>
          <w14:textFill>
            <w14:solidFill>
              <w14:schemeClr w14:val="tx1"/>
            </w14:solidFill>
          </w14:textFill>
        </w:rPr>
        <w:t>。</w:t>
      </w:r>
    </w:p>
    <w:p w14:paraId="3EA54E4B">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选定争议评审员的期限：</w:t>
      </w:r>
      <w:r>
        <w:rPr>
          <w:rFonts w:hint="eastAsia" w:cs="Calibri" w:asciiTheme="minorEastAsia" w:hAnsiTheme="minorEastAsia"/>
          <w:color w:val="000000" w:themeColor="text1"/>
          <w:szCs w:val="21"/>
          <w:highlight w:val="none"/>
          <w:u w:val="single"/>
          <w14:textFill>
            <w14:solidFill>
              <w14:schemeClr w14:val="tx1"/>
            </w14:solidFill>
          </w14:textFill>
        </w:rPr>
        <w:t>本工程全建设期</w:t>
      </w:r>
      <w:r>
        <w:rPr>
          <w:rFonts w:hint="eastAsia" w:cs="Calibri" w:asciiTheme="minorEastAsia" w:hAnsiTheme="minorEastAsia"/>
          <w:color w:val="000000" w:themeColor="text1"/>
          <w:szCs w:val="21"/>
          <w:highlight w:val="none"/>
          <w14:textFill>
            <w14:solidFill>
              <w14:schemeClr w14:val="tx1"/>
            </w14:solidFill>
          </w14:textFill>
        </w:rPr>
        <w:t>。</w:t>
      </w:r>
    </w:p>
    <w:p w14:paraId="1E85651E">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争议评审小组成员的报酬承担方式：</w:t>
      </w:r>
      <w:r>
        <w:rPr>
          <w:rFonts w:hint="eastAsia" w:cs="Calibri" w:asciiTheme="minorEastAsia" w:hAnsiTheme="minorEastAsia"/>
          <w:color w:val="000000" w:themeColor="text1"/>
          <w:szCs w:val="21"/>
          <w:highlight w:val="none"/>
          <w:u w:val="single"/>
          <w14:textFill>
            <w14:solidFill>
              <w14:schemeClr w14:val="tx1"/>
            </w14:solidFill>
          </w14:textFill>
        </w:rPr>
        <w:t>双方协商确定</w:t>
      </w:r>
      <w:r>
        <w:rPr>
          <w:rFonts w:hint="eastAsia" w:cs="Calibri" w:asciiTheme="minorEastAsia" w:hAnsiTheme="minorEastAsia"/>
          <w:color w:val="000000" w:themeColor="text1"/>
          <w:szCs w:val="21"/>
          <w:highlight w:val="none"/>
          <w14:textFill>
            <w14:solidFill>
              <w14:schemeClr w14:val="tx1"/>
            </w14:solidFill>
          </w14:textFill>
        </w:rPr>
        <w:t>。</w:t>
      </w:r>
    </w:p>
    <w:p w14:paraId="5E94901C">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其他事项的约定：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34368529">
      <w:pPr>
        <w:autoSpaceDE w:val="0"/>
        <w:autoSpaceDN w:val="0"/>
        <w:adjustRightInd w:val="0"/>
        <w:spacing w:line="360" w:lineRule="auto"/>
        <w:ind w:firstLine="420" w:firstLineChars="200"/>
        <w:jc w:val="left"/>
        <w:outlineLvl w:val="0"/>
        <w:rPr>
          <w:rFonts w:cs="Calibri" w:asciiTheme="minorEastAsia" w:hAnsiTheme="minorEastAsia"/>
          <w:color w:val="000000" w:themeColor="text1"/>
          <w:kern w:val="0"/>
          <w:szCs w:val="21"/>
          <w:highlight w:val="none"/>
          <w14:textFill>
            <w14:solidFill>
              <w14:schemeClr w14:val="tx1"/>
            </w14:solidFill>
          </w14:textFill>
        </w:rPr>
      </w:pPr>
      <w:bookmarkStart w:id="1330" w:name="_Toc421"/>
      <w:bookmarkStart w:id="1331" w:name="_Toc14223"/>
      <w:bookmarkStart w:id="1332" w:name="_Toc19891"/>
      <w:bookmarkStart w:id="1333" w:name="_Toc29546"/>
      <w:bookmarkStart w:id="1334" w:name="_Toc22357"/>
      <w:bookmarkStart w:id="1335" w:name="_Toc533863523"/>
      <w:r>
        <w:rPr>
          <w:rFonts w:cs="宋体" w:asciiTheme="minorEastAsia" w:hAnsiTheme="minorEastAsia"/>
          <w:color w:val="000000" w:themeColor="text1"/>
          <w:kern w:val="0"/>
          <w:szCs w:val="21"/>
          <w:highlight w:val="none"/>
          <w14:textFill>
            <w14:solidFill>
              <w14:schemeClr w14:val="tx1"/>
            </w14:solidFill>
          </w14:textFill>
        </w:rPr>
        <w:t xml:space="preserve">20.3.2 </w:t>
      </w:r>
      <w:r>
        <w:rPr>
          <w:rFonts w:hint="eastAsia" w:cs="Calibri" w:asciiTheme="minorEastAsia" w:hAnsiTheme="minorEastAsia"/>
          <w:color w:val="000000" w:themeColor="text1"/>
          <w:kern w:val="0"/>
          <w:szCs w:val="21"/>
          <w:highlight w:val="none"/>
          <w14:textFill>
            <w14:solidFill>
              <w14:schemeClr w14:val="tx1"/>
            </w14:solidFill>
          </w14:textFill>
        </w:rPr>
        <w:t>争议评审小组的决定</w:t>
      </w:r>
      <w:bookmarkEnd w:id="1330"/>
      <w:bookmarkEnd w:id="1331"/>
      <w:bookmarkEnd w:id="1332"/>
      <w:bookmarkEnd w:id="1333"/>
      <w:bookmarkEnd w:id="1334"/>
      <w:bookmarkEnd w:id="1335"/>
    </w:p>
    <w:p w14:paraId="3BDDD17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合同当事人关于本项的约定：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158B4BD0">
      <w:pPr>
        <w:tabs>
          <w:tab w:val="left" w:pos="2865"/>
        </w:tabs>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20.4</w:t>
      </w:r>
      <w:r>
        <w:rPr>
          <w:rFonts w:hint="eastAsia" w:cs="Times New Roman" w:asciiTheme="minorEastAsia" w:hAnsiTheme="minorEastAsia"/>
          <w:b/>
          <w:color w:val="000000" w:themeColor="text1"/>
          <w:szCs w:val="21"/>
          <w:highlight w:val="none"/>
          <w14:textFill>
            <w14:solidFill>
              <w14:schemeClr w14:val="tx1"/>
            </w14:solidFill>
          </w14:textFill>
        </w:rPr>
        <w:t>仲裁或诉讼</w:t>
      </w:r>
      <w:bookmarkEnd w:id="1251"/>
      <w:r>
        <w:rPr>
          <w:rFonts w:cs="Times New Roman" w:asciiTheme="minorEastAsia" w:hAnsiTheme="minorEastAsia"/>
          <w:b/>
          <w:color w:val="000000" w:themeColor="text1"/>
          <w:szCs w:val="21"/>
          <w:highlight w:val="none"/>
          <w14:textFill>
            <w14:solidFill>
              <w14:schemeClr w14:val="tx1"/>
            </w14:solidFill>
          </w14:textFill>
        </w:rPr>
        <w:tab/>
      </w:r>
    </w:p>
    <w:bookmarkEnd w:id="1252"/>
    <w:bookmarkEnd w:id="1253"/>
    <w:bookmarkEnd w:id="1254"/>
    <w:bookmarkEnd w:id="1255"/>
    <w:bookmarkEnd w:id="1256"/>
    <w:bookmarkEnd w:id="1257"/>
    <w:p w14:paraId="4AB8AB27">
      <w:pPr>
        <w:spacing w:line="360" w:lineRule="auto"/>
        <w:ind w:firstLine="420" w:firstLineChars="200"/>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因合同及合同有关事项发生的争议，按下列第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2</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种方式解决：</w:t>
      </w:r>
    </w:p>
    <w:p w14:paraId="4900C05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1</w:t>
      </w:r>
      <w:r>
        <w:rPr>
          <w:rFonts w:hint="eastAsia" w:cs="Calibri" w:asciiTheme="minorEastAsia" w:hAnsiTheme="minorEastAsia"/>
          <w:color w:val="000000" w:themeColor="text1"/>
          <w:szCs w:val="21"/>
          <w:highlight w:val="none"/>
          <w14:textFill>
            <w14:solidFill>
              <w14:schemeClr w14:val="tx1"/>
            </w14:solidFill>
          </w14:textFill>
        </w:rPr>
        <w:t>）提请</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仲裁委员会按照该会仲裁规则进行仲裁，仲裁裁决是终局的，对合同双方均有约束力。</w:t>
      </w:r>
    </w:p>
    <w:p w14:paraId="1D6290AF">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2</w:t>
      </w:r>
      <w:r>
        <w:rPr>
          <w:rFonts w:hint="eastAsia" w:cs="Calibri" w:asciiTheme="minorEastAsia" w:hAnsiTheme="minorEastAsia"/>
          <w:color w:val="000000" w:themeColor="text1"/>
          <w:szCs w:val="21"/>
          <w:highlight w:val="none"/>
          <w14:textFill>
            <w14:solidFill>
              <w14:schemeClr w14:val="tx1"/>
            </w14:solidFill>
          </w14:textFill>
        </w:rPr>
        <w:t>）向</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人民法院起诉。</w:t>
      </w:r>
    </w:p>
    <w:p w14:paraId="6766DDCF">
      <w:pPr>
        <w:spacing w:line="360" w:lineRule="auto"/>
        <w:rPr>
          <w:rFonts w:ascii="宋体" w:hAnsi="宋体" w:eastAsia="宋体" w:cs="宋体"/>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br w:type="page"/>
      </w:r>
      <w:bookmarkStart w:id="1336" w:name="_Toc351203652"/>
      <w:r>
        <w:rPr>
          <w:rFonts w:hint="eastAsia" w:ascii="宋体" w:hAnsi="宋体" w:eastAsia="宋体" w:cs="宋体"/>
          <w:color w:val="000000" w:themeColor="text1"/>
          <w:szCs w:val="21"/>
          <w:highlight w:val="none"/>
          <w14:textFill>
            <w14:solidFill>
              <w14:schemeClr w14:val="tx1"/>
            </w14:solidFill>
          </w14:textFill>
        </w:rPr>
        <w:t>附件</w:t>
      </w:r>
      <w:bookmarkEnd w:id="1336"/>
    </w:p>
    <w:p w14:paraId="7D50E4E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协议书附件：</w:t>
      </w:r>
    </w:p>
    <w:p w14:paraId="73BD87F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附件1：承包人承揽工程项目一览表</w:t>
      </w:r>
    </w:p>
    <w:p w14:paraId="499EC62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专用合同条款附件：</w:t>
      </w:r>
    </w:p>
    <w:p w14:paraId="634A7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附件2：发包人供应材料设备一览表</w:t>
      </w:r>
    </w:p>
    <w:p w14:paraId="281E40D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附件3：工程质量保修书</w:t>
      </w:r>
    </w:p>
    <w:p w14:paraId="54A554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附件4：主要建设工程文件目录</w:t>
      </w:r>
    </w:p>
    <w:p w14:paraId="31B57D7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附件5：承包人用于本工程施工的机械设备表</w:t>
      </w:r>
    </w:p>
    <w:p w14:paraId="2DC30C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附件6：承包人主要施工管理人员表</w:t>
      </w:r>
    </w:p>
    <w:p w14:paraId="7C43384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附件7：分包人主要施工管理人员表</w:t>
      </w:r>
    </w:p>
    <w:p w14:paraId="1A9FE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附件8：履约担保格式</w:t>
      </w:r>
    </w:p>
    <w:p w14:paraId="4F8F3A1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附件9：预付款担保格式</w:t>
      </w:r>
    </w:p>
    <w:p w14:paraId="2210E1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附件10：支付担保格式</w:t>
      </w:r>
    </w:p>
    <w:p w14:paraId="3A473AFD">
      <w:pPr>
        <w:spacing w:line="360" w:lineRule="auto"/>
        <w:rPr>
          <w:rFonts w:ascii="宋体" w:hAnsi="宋体" w:eastAsia="宋体" w:cs="宋体"/>
          <w:color w:val="000000" w:themeColor="text1"/>
          <w:szCs w:val="21"/>
          <w:highlight w:val="none"/>
          <w14:textFill>
            <w14:solidFill>
              <w14:schemeClr w14:val="tx1"/>
            </w14:solidFill>
          </w14:textFill>
        </w:rPr>
        <w:sectPr>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附件11：暂估价一览表</w:t>
      </w:r>
    </w:p>
    <w:p w14:paraId="02543DF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w:t>
      </w:r>
    </w:p>
    <w:p w14:paraId="3DDC507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承包人承揽工程项目一览表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22"/>
        <w:gridCol w:w="992"/>
        <w:gridCol w:w="2023"/>
        <w:gridCol w:w="1095"/>
        <w:gridCol w:w="851"/>
        <w:gridCol w:w="992"/>
        <w:gridCol w:w="1418"/>
        <w:gridCol w:w="1559"/>
        <w:gridCol w:w="1559"/>
        <w:gridCol w:w="1327"/>
      </w:tblGrid>
      <w:tr w14:paraId="42EB0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2" w:type="dxa"/>
            <w:tcBorders>
              <w:top w:val="single" w:color="auto" w:sz="12" w:space="0"/>
              <w:bottom w:val="double" w:color="auto" w:sz="6" w:space="0"/>
            </w:tcBorders>
            <w:vAlign w:val="center"/>
          </w:tcPr>
          <w:p w14:paraId="271670B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单位项目名称</w:t>
            </w:r>
          </w:p>
        </w:tc>
        <w:tc>
          <w:tcPr>
            <w:tcW w:w="992" w:type="dxa"/>
            <w:tcBorders>
              <w:top w:val="single" w:color="auto" w:sz="12" w:space="0"/>
              <w:bottom w:val="double" w:color="auto" w:sz="6" w:space="0"/>
            </w:tcBorders>
            <w:vAlign w:val="center"/>
          </w:tcPr>
          <w:p w14:paraId="5E17E9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建设规模</w:t>
            </w:r>
          </w:p>
        </w:tc>
        <w:tc>
          <w:tcPr>
            <w:tcW w:w="2023" w:type="dxa"/>
            <w:tcBorders>
              <w:top w:val="single" w:color="auto" w:sz="12" w:space="0"/>
              <w:bottom w:val="double" w:color="auto" w:sz="6" w:space="0"/>
            </w:tcBorders>
            <w:vAlign w:val="center"/>
          </w:tcPr>
          <w:p w14:paraId="2ADDE73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建筑面积(平方米)</w:t>
            </w:r>
          </w:p>
        </w:tc>
        <w:tc>
          <w:tcPr>
            <w:tcW w:w="1095" w:type="dxa"/>
            <w:tcBorders>
              <w:top w:val="single" w:color="auto" w:sz="12" w:space="0"/>
              <w:bottom w:val="double" w:color="auto" w:sz="6" w:space="0"/>
            </w:tcBorders>
            <w:vAlign w:val="center"/>
          </w:tcPr>
          <w:p w14:paraId="7C106F9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结构形式</w:t>
            </w:r>
          </w:p>
        </w:tc>
        <w:tc>
          <w:tcPr>
            <w:tcW w:w="851" w:type="dxa"/>
            <w:tcBorders>
              <w:top w:val="single" w:color="auto" w:sz="12" w:space="0"/>
              <w:bottom w:val="double" w:color="auto" w:sz="6" w:space="0"/>
            </w:tcBorders>
            <w:vAlign w:val="center"/>
          </w:tcPr>
          <w:p w14:paraId="213226D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层数</w:t>
            </w:r>
          </w:p>
        </w:tc>
        <w:tc>
          <w:tcPr>
            <w:tcW w:w="992" w:type="dxa"/>
            <w:tcBorders>
              <w:top w:val="single" w:color="auto" w:sz="12" w:space="0"/>
              <w:bottom w:val="double" w:color="auto" w:sz="6" w:space="0"/>
            </w:tcBorders>
            <w:vAlign w:val="center"/>
          </w:tcPr>
          <w:p w14:paraId="1209EE7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1418" w:type="dxa"/>
            <w:tcBorders>
              <w:top w:val="single" w:color="auto" w:sz="12" w:space="0"/>
              <w:bottom w:val="double" w:color="auto" w:sz="6" w:space="0"/>
            </w:tcBorders>
            <w:vAlign w:val="center"/>
          </w:tcPr>
          <w:p w14:paraId="58DD9D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设备安装内容</w:t>
            </w:r>
          </w:p>
        </w:tc>
        <w:tc>
          <w:tcPr>
            <w:tcW w:w="1559" w:type="dxa"/>
            <w:tcBorders>
              <w:top w:val="single" w:color="auto" w:sz="12" w:space="0"/>
              <w:bottom w:val="double" w:color="auto" w:sz="6" w:space="0"/>
            </w:tcBorders>
            <w:vAlign w:val="center"/>
          </w:tcPr>
          <w:p w14:paraId="2B6620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合同价格（元）</w:t>
            </w:r>
          </w:p>
        </w:tc>
        <w:tc>
          <w:tcPr>
            <w:tcW w:w="1559" w:type="dxa"/>
            <w:tcBorders>
              <w:top w:val="single" w:color="auto" w:sz="12" w:space="0"/>
              <w:bottom w:val="double" w:color="auto" w:sz="6" w:space="0"/>
            </w:tcBorders>
            <w:vAlign w:val="center"/>
          </w:tcPr>
          <w:p w14:paraId="75457D3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开工日期</w:t>
            </w:r>
          </w:p>
        </w:tc>
        <w:tc>
          <w:tcPr>
            <w:tcW w:w="1327" w:type="dxa"/>
            <w:tcBorders>
              <w:top w:val="single" w:color="auto" w:sz="12" w:space="0"/>
              <w:bottom w:val="double" w:color="auto" w:sz="6" w:space="0"/>
            </w:tcBorders>
            <w:vAlign w:val="center"/>
          </w:tcPr>
          <w:p w14:paraId="4DD3B3E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竣工日期</w:t>
            </w:r>
          </w:p>
        </w:tc>
      </w:tr>
      <w:tr w14:paraId="0435A3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double" w:color="auto" w:sz="6" w:space="0"/>
              <w:bottom w:val="single" w:color="auto" w:sz="6" w:space="0"/>
            </w:tcBorders>
            <w:vAlign w:val="center"/>
          </w:tcPr>
          <w:p w14:paraId="61B859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A5C9D11">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double" w:color="auto" w:sz="6" w:space="0"/>
              <w:bottom w:val="single" w:color="auto" w:sz="6" w:space="0"/>
            </w:tcBorders>
            <w:vAlign w:val="center"/>
          </w:tcPr>
          <w:p w14:paraId="1A5DD9D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double" w:color="auto" w:sz="6" w:space="0"/>
              <w:bottom w:val="single" w:color="auto" w:sz="6" w:space="0"/>
            </w:tcBorders>
            <w:vAlign w:val="center"/>
          </w:tcPr>
          <w:p w14:paraId="496EF8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30AADB0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19650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1EE410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67E992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39D27D2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double" w:color="auto" w:sz="6" w:space="0"/>
              <w:bottom w:val="single" w:color="auto" w:sz="6" w:space="0"/>
            </w:tcBorders>
            <w:vAlign w:val="center"/>
          </w:tcPr>
          <w:p w14:paraId="2BE13905">
            <w:pPr>
              <w:spacing w:line="360" w:lineRule="auto"/>
              <w:rPr>
                <w:rFonts w:ascii="宋体" w:hAnsi="宋体" w:eastAsia="宋体" w:cs="宋体"/>
                <w:color w:val="000000" w:themeColor="text1"/>
                <w:szCs w:val="21"/>
                <w:highlight w:val="none"/>
                <w14:textFill>
                  <w14:solidFill>
                    <w14:schemeClr w14:val="tx1"/>
                  </w14:solidFill>
                </w14:textFill>
              </w:rPr>
            </w:pPr>
          </w:p>
        </w:tc>
      </w:tr>
      <w:tr w14:paraId="71B74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5B6E88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20DC68">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BD83A9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03E392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690DDFE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DDC9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FEC895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2246FD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E1760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74FE7C5">
            <w:pPr>
              <w:spacing w:line="360" w:lineRule="auto"/>
              <w:rPr>
                <w:rFonts w:ascii="宋体" w:hAnsi="宋体" w:eastAsia="宋体" w:cs="宋体"/>
                <w:color w:val="000000" w:themeColor="text1"/>
                <w:szCs w:val="21"/>
                <w:highlight w:val="none"/>
                <w14:textFill>
                  <w14:solidFill>
                    <w14:schemeClr w14:val="tx1"/>
                  </w14:solidFill>
                </w14:textFill>
              </w:rPr>
            </w:pPr>
          </w:p>
        </w:tc>
      </w:tr>
      <w:tr w14:paraId="474A0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F7460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14DE9A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8A6633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60B5926">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248846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79D6B0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9CE94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B77D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4E760769">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33DB2D7E">
            <w:pPr>
              <w:spacing w:line="360" w:lineRule="auto"/>
              <w:rPr>
                <w:rFonts w:ascii="宋体" w:hAnsi="宋体" w:eastAsia="宋体" w:cs="宋体"/>
                <w:color w:val="000000" w:themeColor="text1"/>
                <w:szCs w:val="21"/>
                <w:highlight w:val="none"/>
                <w14:textFill>
                  <w14:solidFill>
                    <w14:schemeClr w14:val="tx1"/>
                  </w14:solidFill>
                </w14:textFill>
              </w:rPr>
            </w:pPr>
          </w:p>
        </w:tc>
      </w:tr>
      <w:tr w14:paraId="56202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731B7E6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27FE4D">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45EA0AF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3656FE19">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DFA63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5E19F4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B8BC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D4B4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5F97E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55141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02E3E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2A3F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66B5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3328302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79B2D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BC85B3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EA3FA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0B61B0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C1CB3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C84EC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D80912C">
            <w:pPr>
              <w:spacing w:line="360" w:lineRule="auto"/>
              <w:rPr>
                <w:rFonts w:ascii="宋体" w:hAnsi="宋体" w:eastAsia="宋体" w:cs="宋体"/>
                <w:color w:val="000000" w:themeColor="text1"/>
                <w:szCs w:val="21"/>
                <w:highlight w:val="none"/>
                <w14:textFill>
                  <w14:solidFill>
                    <w14:schemeClr w14:val="tx1"/>
                  </w14:solidFill>
                </w14:textFill>
              </w:rPr>
            </w:pPr>
          </w:p>
        </w:tc>
      </w:tr>
      <w:tr w14:paraId="1F78E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02CDAF5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467D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7141CF3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147F46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7AF50F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9FBC50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9608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A3EB7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32A0C6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EA136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7FCDD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00B04D4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4FBC1E4">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69D480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34753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33473ED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AA1ACB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2B88754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7FDC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BD2F98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B735F96">
            <w:pPr>
              <w:spacing w:line="360" w:lineRule="auto"/>
              <w:rPr>
                <w:rFonts w:ascii="宋体" w:hAnsi="宋体" w:eastAsia="宋体" w:cs="宋体"/>
                <w:color w:val="000000" w:themeColor="text1"/>
                <w:szCs w:val="21"/>
                <w:highlight w:val="none"/>
                <w14:textFill>
                  <w14:solidFill>
                    <w14:schemeClr w14:val="tx1"/>
                  </w14:solidFill>
                </w14:textFill>
              </w:rPr>
            </w:pPr>
          </w:p>
        </w:tc>
      </w:tr>
      <w:tr w14:paraId="55FA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629D5C6">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C93C6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930364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EC7D35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6788F5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FCE46A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B1540B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84E166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5A6CCB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057E0C40">
            <w:pPr>
              <w:spacing w:line="360" w:lineRule="auto"/>
              <w:rPr>
                <w:rFonts w:ascii="宋体" w:hAnsi="宋体" w:eastAsia="宋体" w:cs="宋体"/>
                <w:color w:val="000000" w:themeColor="text1"/>
                <w:szCs w:val="21"/>
                <w:highlight w:val="none"/>
                <w14:textFill>
                  <w14:solidFill>
                    <w14:schemeClr w14:val="tx1"/>
                  </w14:solidFill>
                </w14:textFill>
              </w:rPr>
            </w:pPr>
          </w:p>
        </w:tc>
      </w:tr>
      <w:tr w14:paraId="2EE9A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74CD6C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2AF3A37">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69C97B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647D7D55">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4D361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1AD163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1A3A0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0D7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7B4AF1A">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75850545">
            <w:pPr>
              <w:spacing w:line="360" w:lineRule="auto"/>
              <w:rPr>
                <w:rFonts w:ascii="宋体" w:hAnsi="宋体" w:eastAsia="宋体" w:cs="宋体"/>
                <w:color w:val="000000" w:themeColor="text1"/>
                <w:szCs w:val="21"/>
                <w:highlight w:val="none"/>
                <w14:textFill>
                  <w14:solidFill>
                    <w14:schemeClr w14:val="tx1"/>
                  </w14:solidFill>
                </w14:textFill>
              </w:rPr>
            </w:pPr>
          </w:p>
        </w:tc>
      </w:tr>
      <w:tr w14:paraId="3DDF1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36D31E6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6FC8B1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29DB022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64EB73B0">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B5CE0D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6C009A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1C36B06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1C71A6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307DEFE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ADB4252">
            <w:pPr>
              <w:spacing w:line="360" w:lineRule="auto"/>
              <w:rPr>
                <w:rFonts w:ascii="宋体" w:hAnsi="宋体" w:eastAsia="宋体" w:cs="宋体"/>
                <w:color w:val="000000" w:themeColor="text1"/>
                <w:szCs w:val="21"/>
                <w:highlight w:val="none"/>
                <w14:textFill>
                  <w14:solidFill>
                    <w14:schemeClr w14:val="tx1"/>
                  </w14:solidFill>
                </w14:textFill>
              </w:rPr>
            </w:pPr>
          </w:p>
        </w:tc>
      </w:tr>
      <w:tr w14:paraId="4FAD1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96F457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8121FE">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3AB452B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54ADCD88">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1806E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5A8C0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B46AB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63A10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4F9BDB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01960399">
            <w:pPr>
              <w:spacing w:line="360" w:lineRule="auto"/>
              <w:rPr>
                <w:rFonts w:ascii="宋体" w:hAnsi="宋体" w:eastAsia="宋体" w:cs="宋体"/>
                <w:color w:val="000000" w:themeColor="text1"/>
                <w:szCs w:val="21"/>
                <w:highlight w:val="none"/>
                <w14:textFill>
                  <w14:solidFill>
                    <w14:schemeClr w14:val="tx1"/>
                  </w14:solidFill>
                </w14:textFill>
              </w:rPr>
            </w:pPr>
          </w:p>
        </w:tc>
      </w:tr>
    </w:tbl>
    <w:p w14:paraId="02FD6F63">
      <w:pPr>
        <w:spacing w:line="360" w:lineRule="auto"/>
        <w:rPr>
          <w:rFonts w:ascii="宋体" w:hAnsi="宋体" w:eastAsia="宋体" w:cs="宋体"/>
          <w:color w:val="000000" w:themeColor="text1"/>
          <w:szCs w:val="21"/>
          <w:highlight w:val="none"/>
          <w14:textFill>
            <w14:solidFill>
              <w14:schemeClr w14:val="tx1"/>
            </w14:solidFill>
          </w14:textFill>
        </w:rPr>
        <w:sectPr>
          <w:pgSz w:w="16838" w:h="11906" w:orient="landscape"/>
          <w:pgMar w:top="1440" w:right="1080" w:bottom="1440" w:left="1080" w:header="851" w:footer="992" w:gutter="0"/>
          <w:cols w:space="720" w:num="1"/>
          <w:titlePg/>
          <w:docGrid w:type="linesAndChars" w:linePitch="312" w:charSpace="0"/>
        </w:sectPr>
      </w:pPr>
    </w:p>
    <w:p w14:paraId="1024691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37" w:name="_Toc296944564"/>
      <w:bookmarkStart w:id="1338" w:name="_Toc296347224"/>
      <w:bookmarkStart w:id="1339" w:name="_Toc296891265"/>
      <w:bookmarkStart w:id="1340" w:name="_Toc296346726"/>
      <w:bookmarkStart w:id="1341" w:name="_Toc267261692"/>
      <w:bookmarkStart w:id="1342" w:name="_Toc296503225"/>
      <w:bookmarkStart w:id="1343" w:name="_Toc296891053"/>
      <w:r>
        <w:rPr>
          <w:rFonts w:hint="eastAsia" w:ascii="宋体" w:hAnsi="宋体" w:eastAsia="宋体" w:cs="宋体"/>
          <w:color w:val="000000" w:themeColor="text1"/>
          <w:szCs w:val="21"/>
          <w:highlight w:val="none"/>
          <w14:textFill>
            <w14:solidFill>
              <w14:schemeClr w14:val="tx1"/>
            </w14:solidFill>
          </w14:textFill>
        </w:rPr>
        <w:t>件2：</w:t>
      </w:r>
    </w:p>
    <w:bookmarkEnd w:id="1337"/>
    <w:bookmarkEnd w:id="1338"/>
    <w:bookmarkEnd w:id="1339"/>
    <w:bookmarkEnd w:id="1340"/>
    <w:bookmarkEnd w:id="1341"/>
    <w:bookmarkEnd w:id="1342"/>
    <w:bookmarkEnd w:id="1343"/>
    <w:p w14:paraId="6FCE51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发包人供应材料设备一览表</w:t>
      </w:r>
    </w:p>
    <w:tbl>
      <w:tblPr>
        <w:tblStyle w:val="29"/>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68"/>
        <w:gridCol w:w="1631"/>
        <w:gridCol w:w="992"/>
        <w:gridCol w:w="725"/>
        <w:gridCol w:w="851"/>
        <w:gridCol w:w="1044"/>
        <w:gridCol w:w="992"/>
        <w:gridCol w:w="961"/>
        <w:gridCol w:w="993"/>
        <w:gridCol w:w="567"/>
      </w:tblGrid>
      <w:tr w14:paraId="010B3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68" w:type="dxa"/>
            <w:tcBorders>
              <w:top w:val="single" w:color="auto" w:sz="12" w:space="0"/>
              <w:bottom w:val="double" w:color="auto" w:sz="6" w:space="0"/>
            </w:tcBorders>
            <w:vAlign w:val="center"/>
          </w:tcPr>
          <w:p w14:paraId="73EEE89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31" w:type="dxa"/>
            <w:tcBorders>
              <w:top w:val="single" w:color="auto" w:sz="12" w:space="0"/>
              <w:bottom w:val="double" w:color="auto" w:sz="6" w:space="0"/>
            </w:tcBorders>
            <w:vAlign w:val="center"/>
          </w:tcPr>
          <w:p w14:paraId="123536F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材料、设备品种</w:t>
            </w:r>
          </w:p>
        </w:tc>
        <w:tc>
          <w:tcPr>
            <w:tcW w:w="992" w:type="dxa"/>
            <w:tcBorders>
              <w:top w:val="single" w:color="auto" w:sz="12" w:space="0"/>
              <w:bottom w:val="double" w:color="auto" w:sz="6" w:space="0"/>
            </w:tcBorders>
            <w:vAlign w:val="center"/>
          </w:tcPr>
          <w:p w14:paraId="2E8466B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725" w:type="dxa"/>
            <w:tcBorders>
              <w:top w:val="single" w:color="auto" w:sz="12" w:space="0"/>
              <w:bottom w:val="double" w:color="auto" w:sz="6" w:space="0"/>
            </w:tcBorders>
            <w:vAlign w:val="center"/>
          </w:tcPr>
          <w:p w14:paraId="035628F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851" w:type="dxa"/>
            <w:tcBorders>
              <w:top w:val="single" w:color="auto" w:sz="12" w:space="0"/>
              <w:bottom w:val="double" w:color="auto" w:sz="6" w:space="0"/>
            </w:tcBorders>
            <w:vAlign w:val="center"/>
          </w:tcPr>
          <w:p w14:paraId="0AFE85C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044" w:type="dxa"/>
            <w:tcBorders>
              <w:top w:val="single" w:color="auto" w:sz="12" w:space="0"/>
              <w:bottom w:val="double" w:color="auto" w:sz="6" w:space="0"/>
            </w:tcBorders>
            <w:vAlign w:val="center"/>
          </w:tcPr>
          <w:p w14:paraId="6E876E6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992" w:type="dxa"/>
            <w:tcBorders>
              <w:top w:val="single" w:color="auto" w:sz="12" w:space="0"/>
              <w:bottom w:val="double" w:color="auto" w:sz="6" w:space="0"/>
            </w:tcBorders>
            <w:vAlign w:val="center"/>
          </w:tcPr>
          <w:p w14:paraId="2C82488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质量等级</w:t>
            </w:r>
          </w:p>
        </w:tc>
        <w:tc>
          <w:tcPr>
            <w:tcW w:w="961" w:type="dxa"/>
            <w:tcBorders>
              <w:top w:val="single" w:color="auto" w:sz="12" w:space="0"/>
              <w:bottom w:val="double" w:color="auto" w:sz="6" w:space="0"/>
            </w:tcBorders>
            <w:vAlign w:val="center"/>
          </w:tcPr>
          <w:p w14:paraId="2C3D2B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供应时间</w:t>
            </w:r>
          </w:p>
        </w:tc>
        <w:tc>
          <w:tcPr>
            <w:tcW w:w="993" w:type="dxa"/>
            <w:tcBorders>
              <w:top w:val="single" w:color="auto" w:sz="12" w:space="0"/>
              <w:bottom w:val="double" w:color="auto" w:sz="6" w:space="0"/>
            </w:tcBorders>
            <w:vAlign w:val="center"/>
          </w:tcPr>
          <w:p w14:paraId="349ABEA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送达地点</w:t>
            </w:r>
          </w:p>
        </w:tc>
        <w:tc>
          <w:tcPr>
            <w:tcW w:w="567" w:type="dxa"/>
            <w:tcBorders>
              <w:top w:val="single" w:color="auto" w:sz="12" w:space="0"/>
              <w:bottom w:val="double" w:color="auto" w:sz="6" w:space="0"/>
            </w:tcBorders>
            <w:vAlign w:val="center"/>
          </w:tcPr>
          <w:p w14:paraId="1C236F7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713D67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double" w:color="auto" w:sz="6" w:space="0"/>
              <w:bottom w:val="single" w:color="auto" w:sz="6" w:space="0"/>
            </w:tcBorders>
            <w:vAlign w:val="center"/>
          </w:tcPr>
          <w:p w14:paraId="5E21E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double" w:color="auto" w:sz="6" w:space="0"/>
              <w:bottom w:val="single" w:color="auto" w:sz="6" w:space="0"/>
            </w:tcBorders>
            <w:vAlign w:val="center"/>
          </w:tcPr>
          <w:p w14:paraId="63F85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B894B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double" w:color="auto" w:sz="6" w:space="0"/>
              <w:bottom w:val="single" w:color="auto" w:sz="6" w:space="0"/>
            </w:tcBorders>
            <w:vAlign w:val="center"/>
          </w:tcPr>
          <w:p w14:paraId="545208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60C53A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double" w:color="auto" w:sz="6" w:space="0"/>
              <w:bottom w:val="single" w:color="auto" w:sz="6" w:space="0"/>
            </w:tcBorders>
            <w:vAlign w:val="center"/>
          </w:tcPr>
          <w:p w14:paraId="1189AD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7622E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double" w:color="auto" w:sz="6" w:space="0"/>
              <w:bottom w:val="single" w:color="auto" w:sz="6" w:space="0"/>
            </w:tcBorders>
            <w:vAlign w:val="center"/>
          </w:tcPr>
          <w:p w14:paraId="600878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double" w:color="auto" w:sz="6" w:space="0"/>
              <w:bottom w:val="single" w:color="auto" w:sz="6" w:space="0"/>
            </w:tcBorders>
            <w:vAlign w:val="center"/>
          </w:tcPr>
          <w:p w14:paraId="5EA648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double" w:color="auto" w:sz="6" w:space="0"/>
              <w:bottom w:val="single" w:color="auto" w:sz="6" w:space="0"/>
            </w:tcBorders>
            <w:vAlign w:val="center"/>
          </w:tcPr>
          <w:p w14:paraId="68BD0F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C16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nil"/>
            </w:tcBorders>
            <w:vAlign w:val="center"/>
          </w:tcPr>
          <w:p w14:paraId="485D33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nil"/>
            </w:tcBorders>
            <w:vAlign w:val="center"/>
          </w:tcPr>
          <w:p w14:paraId="3621B0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75BAD6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nil"/>
            </w:tcBorders>
            <w:vAlign w:val="center"/>
          </w:tcPr>
          <w:p w14:paraId="44F478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5051A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nil"/>
            </w:tcBorders>
            <w:vAlign w:val="center"/>
          </w:tcPr>
          <w:p w14:paraId="4A38AE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581857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nil"/>
            </w:tcBorders>
            <w:vAlign w:val="center"/>
          </w:tcPr>
          <w:p w14:paraId="4D9B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nil"/>
            </w:tcBorders>
            <w:vAlign w:val="center"/>
          </w:tcPr>
          <w:p w14:paraId="59D1B1A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nil"/>
            </w:tcBorders>
            <w:vAlign w:val="center"/>
          </w:tcPr>
          <w:p w14:paraId="4928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79DD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DF9F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20AD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B863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F4ABC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339D8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A9F7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74503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169DB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0AD3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276AB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573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95E7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3EE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0C9BE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53E4E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1100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46B4B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F0BBC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B2048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FC425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C7D4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ECC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89BD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5E07B2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78A9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2A908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6B53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6AE41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B49A3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7DDB7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6B073B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45FC3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6603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694C8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AA927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48410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BF312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66EC9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63F5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6B63B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B7221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72AF6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DD75C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1CE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1DCE8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7921B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C464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C103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EE15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5E9D6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404E1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11F9A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368B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C293E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3305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712D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F19E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FD371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9846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03C96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72AB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F7316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260D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6118A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3AF30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2A0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3CC20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91B0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CE24D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BF7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0DC5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01B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9807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B4ED8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12572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E6829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917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098982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F63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2E06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B28E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4AC7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2548F3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3A0EA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58ECCB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418B7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F198E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BC8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AC1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78971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AB8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40E6A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8F8C1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9F415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55F3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004DC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47E3D4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D455A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48C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024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32C032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CF8A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FC0C8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51120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569E77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7AC29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0D01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0DBC27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F7109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30A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CC42D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9179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C8C0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EC48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C37B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75B5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1823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243F86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202963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66CEC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8DA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A0F2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ED47B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C124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7F369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4432C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F35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478C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8B511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D915B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0C6D46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9C15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0FC60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FEC92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2D8E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E325C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ACD0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323B0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DD7A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F9DC9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CF699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15968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1FF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342332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44DB16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FEE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27313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97638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38B4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BFCA1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33AD0E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6C1D2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FD75A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2E4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71A3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449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0F13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197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DADC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7428E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BD28A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3D582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D2EEF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574AB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FF7C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BFAE8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57FE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987E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74080A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D923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21B9E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A2E8F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458BC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43C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D1AB9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2DC0684">
      <w:pPr>
        <w:spacing w:line="360" w:lineRule="auto"/>
        <w:rPr>
          <w:rFonts w:ascii="宋体" w:hAnsi="宋体" w:eastAsia="宋体" w:cs="宋体"/>
          <w:color w:val="000000" w:themeColor="text1"/>
          <w:szCs w:val="21"/>
          <w:highlight w:val="none"/>
          <w14:textFill>
            <w14:solidFill>
              <w14:schemeClr w14:val="tx1"/>
            </w14:solidFill>
          </w14:textFill>
        </w:rPr>
      </w:pPr>
    </w:p>
    <w:p w14:paraId="060DE7DE">
      <w:pPr>
        <w:rPr>
          <w:rFonts w:ascii="Times New Roman" w:hAnsi="Times New Roman" w:eastAsia="宋体" w:cs="Times New Roman"/>
          <w:b/>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b/>
          <w:color w:val="000000" w:themeColor="text1"/>
          <w:highlight w:val="none"/>
          <w14:textFill>
            <w14:solidFill>
              <w14:schemeClr w14:val="tx1"/>
            </w14:solidFill>
          </w14:textFill>
        </w:rPr>
        <w:t>附</w:t>
      </w:r>
      <w:bookmarkStart w:id="1344" w:name="_Toc296346727"/>
      <w:bookmarkStart w:id="1345" w:name="_Toc296891266"/>
      <w:bookmarkStart w:id="1346" w:name="_Toc296891054"/>
      <w:bookmarkStart w:id="1347" w:name="_Toc296944565"/>
      <w:bookmarkStart w:id="1348" w:name="_Toc267261693"/>
      <w:bookmarkStart w:id="1349" w:name="_Toc296503226"/>
      <w:bookmarkStart w:id="1350" w:name="_Toc296347225"/>
      <w:r>
        <w:rPr>
          <w:rFonts w:hint="eastAsia" w:ascii="Times New Roman" w:hAnsi="Times New Roman" w:eastAsia="宋体" w:cs="Times New Roman"/>
          <w:b/>
          <w:color w:val="000000" w:themeColor="text1"/>
          <w:highlight w:val="none"/>
          <w14:textFill>
            <w14:solidFill>
              <w14:schemeClr w14:val="tx1"/>
            </w14:solidFill>
          </w14:textFill>
        </w:rPr>
        <w:t>件3：</w:t>
      </w:r>
      <w:bookmarkEnd w:id="1344"/>
      <w:bookmarkEnd w:id="1345"/>
      <w:bookmarkEnd w:id="1346"/>
      <w:bookmarkEnd w:id="1347"/>
      <w:bookmarkEnd w:id="1348"/>
      <w:bookmarkEnd w:id="1349"/>
      <w:bookmarkEnd w:id="1350"/>
      <w:r>
        <w:rPr>
          <w:rFonts w:hint="eastAsia" w:ascii="Times New Roman" w:hAnsi="Times New Roman" w:eastAsia="宋体" w:cs="Times New Roman"/>
          <w:b/>
          <w:color w:val="000000" w:themeColor="text1"/>
          <w:highlight w:val="none"/>
          <w14:textFill>
            <w14:solidFill>
              <w14:schemeClr w14:val="tx1"/>
            </w14:solidFill>
          </w14:textFill>
        </w:rPr>
        <w:t xml:space="preserve">    </w:t>
      </w:r>
    </w:p>
    <w:p w14:paraId="5BB252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工程质量保修书</w:t>
      </w:r>
    </w:p>
    <w:p w14:paraId="1D7C81B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747C6533">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659182E4">
      <w:pPr>
        <w:rPr>
          <w:color w:val="000000" w:themeColor="text1"/>
          <w:highlight w:val="none"/>
          <w14:textFill>
            <w14:solidFill>
              <w14:schemeClr w14:val="tx1"/>
            </w14:solidFill>
          </w14:textFill>
        </w:rPr>
      </w:pPr>
    </w:p>
    <w:p w14:paraId="56F22A8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发包人和承包人根据《中华人民共和国建筑法》和《建设工程质量管理条例》，经协商一致就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（工程全称）签订工程质量保修书。</w:t>
      </w:r>
    </w:p>
    <w:p w14:paraId="105587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一、工程质量保修范围和内容</w:t>
      </w:r>
    </w:p>
    <w:p w14:paraId="53400A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承包人在质量保修期内，按照有关法律规定和合同约定，承担工程质量保修责任。</w:t>
      </w:r>
    </w:p>
    <w:p w14:paraId="16EB514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0ED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二、质量保修期</w:t>
      </w:r>
    </w:p>
    <w:p w14:paraId="0147E97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根据《建设工程质量管理条例》及有关规定，工程的质量保修期如下：</w:t>
      </w:r>
    </w:p>
    <w:p w14:paraId="73CF14B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1．地基基础工程和主体结构工程为设计文件规定的工程合理使用年限；</w:t>
      </w:r>
    </w:p>
    <w:p w14:paraId="2046DD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2．屋面防水工程、有防水要求的卫生间、房间和外墙面的防渗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509DE5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3．装修工程为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46F6BF1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4．电气管线、给排水管道、设备安装工程为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3B8903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5．供热与供冷系统为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个采暖期、供冷期；</w:t>
      </w:r>
    </w:p>
    <w:p w14:paraId="2F17E70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6．住宅小区内的给排水设施、道路等配套工程为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6F32F9A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7．其他项目保修期限约定如下：</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BC6328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质量保修期自工程竣工验收合格之日起计算。</w:t>
      </w:r>
    </w:p>
    <w:p w14:paraId="058A03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三、缺陷责任期</w:t>
      </w:r>
    </w:p>
    <w:p w14:paraId="373B350F">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工程缺陷责任期为</w:t>
      </w:r>
      <w:r>
        <w:rPr>
          <w:rFonts w:hint="eastAsia" w:ascii="宋体" w:hAnsi="宋体" w:eastAsia="宋体" w:cs="宋体"/>
          <w:b/>
          <w:color w:val="000000" w:themeColor="text1"/>
          <w:szCs w:val="21"/>
          <w:highlight w:val="none"/>
          <w:u w:val="single"/>
          <w14:textFill>
            <w14:solidFill>
              <w14:schemeClr w14:val="tx1"/>
            </w14:solidFill>
          </w14:textFill>
        </w:rPr>
        <w:t xml:space="preserve">    </w:t>
      </w:r>
      <w:r>
        <w:rPr>
          <w:rFonts w:hint="eastAsia" w:ascii="宋体" w:hAnsi="宋体" w:eastAsia="宋体" w:cs="宋体"/>
          <w:b/>
          <w:color w:val="000000" w:themeColor="text1"/>
          <w:szCs w:val="21"/>
          <w:highlight w:val="none"/>
          <w14:textFill>
            <w14:solidFill>
              <w14:schemeClr w14:val="tx1"/>
            </w14:solidFill>
          </w14:textFill>
        </w:rPr>
        <w:t>个月</w:t>
      </w:r>
      <w:r>
        <w:rPr>
          <w:rFonts w:hint="eastAsia" w:ascii="宋体" w:hAnsi="宋体" w:eastAsia="宋体" w:cs="宋体"/>
          <w:color w:val="000000" w:themeColor="text1"/>
          <w:szCs w:val="21"/>
          <w:highlight w:val="none"/>
          <w14:textFill>
            <w14:solidFill>
              <w14:schemeClr w14:val="tx1"/>
            </w14:solidFill>
          </w14:textFill>
        </w:rPr>
        <w:t>，缺陷责任期自工程通过竣工验收之日起计算。单位工程先于全部工程进行验收，单位工程缺陷责任期自单位工程验收合格之日起算。</w:t>
      </w:r>
    </w:p>
    <w:p w14:paraId="5F6E4B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缺陷责任期终止后，发包人应退还剩余的质量保证金。</w:t>
      </w:r>
    </w:p>
    <w:p w14:paraId="11ADC8E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四、质量保修责任</w:t>
      </w:r>
    </w:p>
    <w:p w14:paraId="62529E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88354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2．发生紧急事故需抢修的，承包人在接到事故通知后，应当立即到达事故现场抢修。</w:t>
      </w:r>
    </w:p>
    <w:p w14:paraId="16D988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82F2F5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4．质量保修完成后，由发包人组织验收。</w:t>
      </w:r>
    </w:p>
    <w:p w14:paraId="14ED67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五、保修费用</w:t>
      </w:r>
    </w:p>
    <w:p w14:paraId="15A53F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保修费用由造成质量缺陷的责任方承担。</w:t>
      </w:r>
    </w:p>
    <w:p w14:paraId="3F2E64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六、双方约定的其他工程质量保修事项：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0BBD6E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6488E7F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5F318F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 xml:space="preserve"> 承包人(公章)：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8EA4D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67EC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093A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B145FE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1D3A7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传  真：</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9B3EE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BBB1F3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  号：</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账  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FD608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A85BE0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附件4：</w:t>
      </w:r>
    </w:p>
    <w:p w14:paraId="6BACAC3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主要建设工程文件目录</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80"/>
      </w:tblGrid>
      <w:tr w14:paraId="10202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8DBD9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文件名称</w:t>
            </w:r>
          </w:p>
        </w:tc>
        <w:tc>
          <w:tcPr>
            <w:tcW w:w="1276" w:type="dxa"/>
            <w:tcBorders>
              <w:top w:val="single" w:color="auto" w:sz="12" w:space="0"/>
              <w:bottom w:val="double" w:color="auto" w:sz="6" w:space="0"/>
            </w:tcBorders>
            <w:vAlign w:val="center"/>
          </w:tcPr>
          <w:p w14:paraId="2400837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套数</w:t>
            </w:r>
          </w:p>
        </w:tc>
        <w:tc>
          <w:tcPr>
            <w:tcW w:w="1450" w:type="dxa"/>
            <w:tcBorders>
              <w:top w:val="single" w:color="auto" w:sz="12" w:space="0"/>
              <w:bottom w:val="double" w:color="auto" w:sz="6" w:space="0"/>
            </w:tcBorders>
            <w:vAlign w:val="center"/>
          </w:tcPr>
          <w:p w14:paraId="70536D7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费用（元）</w:t>
            </w:r>
          </w:p>
        </w:tc>
        <w:tc>
          <w:tcPr>
            <w:tcW w:w="1243" w:type="dxa"/>
            <w:tcBorders>
              <w:top w:val="single" w:color="auto" w:sz="12" w:space="0"/>
              <w:bottom w:val="double" w:color="auto" w:sz="6" w:space="0"/>
            </w:tcBorders>
            <w:vAlign w:val="center"/>
          </w:tcPr>
          <w:p w14:paraId="314F8D8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1450" w:type="dxa"/>
            <w:tcBorders>
              <w:top w:val="single" w:color="auto" w:sz="12" w:space="0"/>
              <w:bottom w:val="double" w:color="auto" w:sz="6" w:space="0"/>
            </w:tcBorders>
            <w:vAlign w:val="center"/>
          </w:tcPr>
          <w:p w14:paraId="7919695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移交时间</w:t>
            </w:r>
          </w:p>
        </w:tc>
        <w:tc>
          <w:tcPr>
            <w:tcW w:w="1580" w:type="dxa"/>
            <w:tcBorders>
              <w:top w:val="single" w:color="auto" w:sz="12" w:space="0"/>
              <w:bottom w:val="double" w:color="auto" w:sz="6" w:space="0"/>
            </w:tcBorders>
            <w:vAlign w:val="center"/>
          </w:tcPr>
          <w:p w14:paraId="7BE5FF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责任人</w:t>
            </w:r>
          </w:p>
        </w:tc>
      </w:tr>
      <w:tr w14:paraId="4FBE0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5BB283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50C64F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50EB4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double" w:color="auto" w:sz="6" w:space="0"/>
              <w:bottom w:val="single" w:color="auto" w:sz="6" w:space="0"/>
            </w:tcBorders>
            <w:vAlign w:val="center"/>
          </w:tcPr>
          <w:p w14:paraId="0EEA99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D6E96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double" w:color="auto" w:sz="6" w:space="0"/>
              <w:bottom w:val="single" w:color="auto" w:sz="6" w:space="0"/>
            </w:tcBorders>
            <w:vAlign w:val="center"/>
          </w:tcPr>
          <w:p w14:paraId="0C0907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6AEB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2E6A33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603E7E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42936F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nil"/>
            </w:tcBorders>
            <w:vAlign w:val="center"/>
          </w:tcPr>
          <w:p w14:paraId="615719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75542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nil"/>
            </w:tcBorders>
            <w:vAlign w:val="center"/>
          </w:tcPr>
          <w:p w14:paraId="39683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A95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413B0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B003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7CC4E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5B35A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AC9A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061E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D95C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C4CD1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0E5E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E9BC3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2907C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C0013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854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C7F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AD90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8272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8D4CD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0814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FBE52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515DAE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97A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AEE47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9CA76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F065A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7CB9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0CBDE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B805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E9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85C17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E304D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8D0C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D4211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340B4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3D4B5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5C4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11F887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4FFD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86CFF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9B69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E88C1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0F71B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93E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0752A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B3396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E0633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527C1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738D5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04213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738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B3E5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17EB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58D4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86FD1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1F0F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35BBA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6108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9D5B9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FC6BA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47881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C8D10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1BC39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25ECD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9369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862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1D40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F5A9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544AF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01807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333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81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993AE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8F7A0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2326A6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8CB73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C8E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3C14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B256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61D3C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8213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B24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55E19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FE5C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F4FB7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2ECD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1BD8C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39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25C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D32F3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615F0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8DD7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3ED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F589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8B50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B1E3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AAC41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ED492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146FF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9CF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19704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05528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DD77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76BE7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9209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6000D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B352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4876D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EDF9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0D337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4D09BF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5E12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D625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3C1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39FA0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9048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C1814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5E79D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B856C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4B710D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1EF47A6E">
      <w:pPr>
        <w:spacing w:line="360" w:lineRule="auto"/>
        <w:rPr>
          <w:rFonts w:ascii="宋体" w:hAnsi="宋体" w:eastAsia="宋体" w:cs="宋体"/>
          <w:color w:val="000000" w:themeColor="text1"/>
          <w:szCs w:val="21"/>
          <w:highlight w:val="none"/>
          <w14:textFill>
            <w14:solidFill>
              <w14:schemeClr w14:val="tx1"/>
            </w14:solidFill>
          </w14:textFill>
        </w:rPr>
      </w:pPr>
    </w:p>
    <w:p w14:paraId="0CB3C22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51" w:name="_Toc296347226"/>
      <w:bookmarkStart w:id="1352" w:name="_Toc296891055"/>
      <w:bookmarkStart w:id="1353" w:name="_Toc296891267"/>
      <w:bookmarkStart w:id="1354" w:name="_Toc267261698"/>
      <w:bookmarkStart w:id="1355" w:name="_Toc296346728"/>
      <w:bookmarkStart w:id="1356" w:name="_Toc296503227"/>
      <w:bookmarkStart w:id="1357" w:name="_Toc296944566"/>
      <w:r>
        <w:rPr>
          <w:rFonts w:hint="eastAsia" w:ascii="宋体" w:hAnsi="宋体" w:eastAsia="宋体" w:cs="宋体"/>
          <w:color w:val="000000" w:themeColor="text1"/>
          <w:szCs w:val="21"/>
          <w:highlight w:val="none"/>
          <w14:textFill>
            <w14:solidFill>
              <w14:schemeClr w14:val="tx1"/>
            </w14:solidFill>
          </w14:textFill>
        </w:rPr>
        <w:t>件5：</w:t>
      </w:r>
    </w:p>
    <w:bookmarkEnd w:id="1351"/>
    <w:bookmarkEnd w:id="1352"/>
    <w:bookmarkEnd w:id="1353"/>
    <w:bookmarkEnd w:id="1354"/>
    <w:bookmarkEnd w:id="1355"/>
    <w:bookmarkEnd w:id="1356"/>
    <w:bookmarkEnd w:id="1357"/>
    <w:p w14:paraId="6CE504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承包人用于本工程施工的机械设备表</w:t>
      </w:r>
    </w:p>
    <w:tbl>
      <w:tblPr>
        <w:tblStyle w:val="29"/>
        <w:tblW w:w="89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37"/>
        <w:gridCol w:w="1235"/>
        <w:gridCol w:w="1033"/>
        <w:gridCol w:w="1058"/>
        <w:gridCol w:w="880"/>
        <w:gridCol w:w="1020"/>
        <w:gridCol w:w="1480"/>
        <w:gridCol w:w="1020"/>
        <w:gridCol w:w="590"/>
      </w:tblGrid>
      <w:tr w14:paraId="663FD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37" w:type="dxa"/>
            <w:tcBorders>
              <w:top w:val="single" w:color="auto" w:sz="12" w:space="0"/>
              <w:bottom w:val="double" w:color="auto" w:sz="6" w:space="0"/>
            </w:tcBorders>
            <w:vAlign w:val="center"/>
          </w:tcPr>
          <w:p w14:paraId="0E3F98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235" w:type="dxa"/>
            <w:tcBorders>
              <w:top w:val="single" w:color="auto" w:sz="12" w:space="0"/>
              <w:bottom w:val="double" w:color="auto" w:sz="6" w:space="0"/>
            </w:tcBorders>
            <w:vAlign w:val="center"/>
          </w:tcPr>
          <w:p w14:paraId="1A9B77E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机械或设备名称</w:t>
            </w:r>
          </w:p>
        </w:tc>
        <w:tc>
          <w:tcPr>
            <w:tcW w:w="1033" w:type="dxa"/>
            <w:tcBorders>
              <w:top w:val="single" w:color="auto" w:sz="12" w:space="0"/>
              <w:bottom w:val="double" w:color="auto" w:sz="6" w:space="0"/>
            </w:tcBorders>
            <w:vAlign w:val="center"/>
          </w:tcPr>
          <w:p w14:paraId="1BD32E2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1058" w:type="dxa"/>
            <w:tcBorders>
              <w:top w:val="single" w:color="auto" w:sz="12" w:space="0"/>
              <w:bottom w:val="double" w:color="auto" w:sz="6" w:space="0"/>
            </w:tcBorders>
            <w:vAlign w:val="center"/>
          </w:tcPr>
          <w:p w14:paraId="28146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880" w:type="dxa"/>
            <w:tcBorders>
              <w:top w:val="single" w:color="auto" w:sz="12" w:space="0"/>
              <w:bottom w:val="double" w:color="auto" w:sz="6" w:space="0"/>
            </w:tcBorders>
            <w:vAlign w:val="center"/>
          </w:tcPr>
          <w:p w14:paraId="3B5607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产地</w:t>
            </w:r>
          </w:p>
        </w:tc>
        <w:tc>
          <w:tcPr>
            <w:tcW w:w="1020" w:type="dxa"/>
            <w:tcBorders>
              <w:top w:val="single" w:color="auto" w:sz="12" w:space="0"/>
              <w:bottom w:val="double" w:color="auto" w:sz="6" w:space="0"/>
            </w:tcBorders>
            <w:vAlign w:val="center"/>
          </w:tcPr>
          <w:p w14:paraId="6E9846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制造年份</w:t>
            </w:r>
          </w:p>
        </w:tc>
        <w:tc>
          <w:tcPr>
            <w:tcW w:w="1480" w:type="dxa"/>
            <w:tcBorders>
              <w:top w:val="single" w:color="auto" w:sz="12" w:space="0"/>
              <w:bottom w:val="double" w:color="auto" w:sz="6" w:space="0"/>
            </w:tcBorders>
            <w:vAlign w:val="center"/>
          </w:tcPr>
          <w:p w14:paraId="2FF7812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额定功率(kW)</w:t>
            </w:r>
          </w:p>
        </w:tc>
        <w:tc>
          <w:tcPr>
            <w:tcW w:w="1020" w:type="dxa"/>
            <w:tcBorders>
              <w:top w:val="single" w:color="auto" w:sz="12" w:space="0"/>
              <w:bottom w:val="double" w:color="auto" w:sz="6" w:space="0"/>
            </w:tcBorders>
            <w:vAlign w:val="center"/>
          </w:tcPr>
          <w:p w14:paraId="2FE0BF6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590" w:type="dxa"/>
            <w:tcBorders>
              <w:top w:val="single" w:color="auto" w:sz="12" w:space="0"/>
              <w:bottom w:val="double" w:color="auto" w:sz="6" w:space="0"/>
            </w:tcBorders>
            <w:vAlign w:val="center"/>
          </w:tcPr>
          <w:p w14:paraId="4197E0A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4D5DD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double" w:color="auto" w:sz="6" w:space="0"/>
              <w:bottom w:val="single" w:color="auto" w:sz="6" w:space="0"/>
            </w:tcBorders>
            <w:vAlign w:val="center"/>
          </w:tcPr>
          <w:p w14:paraId="5EE3D5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double" w:color="auto" w:sz="6" w:space="0"/>
              <w:bottom w:val="single" w:color="auto" w:sz="6" w:space="0"/>
            </w:tcBorders>
            <w:vAlign w:val="center"/>
          </w:tcPr>
          <w:p w14:paraId="029874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double" w:color="auto" w:sz="6" w:space="0"/>
              <w:bottom w:val="single" w:color="auto" w:sz="6" w:space="0"/>
            </w:tcBorders>
            <w:vAlign w:val="center"/>
          </w:tcPr>
          <w:p w14:paraId="25BE05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double" w:color="auto" w:sz="6" w:space="0"/>
              <w:bottom w:val="single" w:color="auto" w:sz="6" w:space="0"/>
            </w:tcBorders>
            <w:vAlign w:val="center"/>
          </w:tcPr>
          <w:p w14:paraId="74F42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double" w:color="auto" w:sz="6" w:space="0"/>
              <w:bottom w:val="single" w:color="auto" w:sz="6" w:space="0"/>
            </w:tcBorders>
            <w:vAlign w:val="center"/>
          </w:tcPr>
          <w:p w14:paraId="4338AA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0F26B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double" w:color="auto" w:sz="6" w:space="0"/>
              <w:bottom w:val="single" w:color="auto" w:sz="6" w:space="0"/>
            </w:tcBorders>
            <w:vAlign w:val="center"/>
          </w:tcPr>
          <w:p w14:paraId="1C090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27A84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double" w:color="auto" w:sz="6" w:space="0"/>
              <w:bottom w:val="single" w:color="auto" w:sz="6" w:space="0"/>
            </w:tcBorders>
            <w:vAlign w:val="center"/>
          </w:tcPr>
          <w:p w14:paraId="454342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296B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nil"/>
            </w:tcBorders>
            <w:vAlign w:val="center"/>
          </w:tcPr>
          <w:p w14:paraId="64F65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nil"/>
            </w:tcBorders>
            <w:vAlign w:val="center"/>
          </w:tcPr>
          <w:p w14:paraId="7A15F3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nil"/>
            </w:tcBorders>
            <w:vAlign w:val="center"/>
          </w:tcPr>
          <w:p w14:paraId="1D62F3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nil"/>
            </w:tcBorders>
            <w:vAlign w:val="center"/>
          </w:tcPr>
          <w:p w14:paraId="5C5E8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nil"/>
            </w:tcBorders>
            <w:vAlign w:val="center"/>
          </w:tcPr>
          <w:p w14:paraId="0F9CF7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29835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nil"/>
            </w:tcBorders>
            <w:vAlign w:val="center"/>
          </w:tcPr>
          <w:p w14:paraId="354A7F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0E387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nil"/>
            </w:tcBorders>
            <w:vAlign w:val="center"/>
          </w:tcPr>
          <w:p w14:paraId="5624F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90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2417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AA3C4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F9AB5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DCB3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497FE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82141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9288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619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1FE0A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358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B7AC6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6D7D1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956A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C5AD3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5719C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D68BD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03206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E8962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CE6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B5B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22E90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EADA6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13961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68F7CE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D45D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CB78F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1F43E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331A4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E4421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83A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D57B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6137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B4B8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17110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1D1BA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DFD24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D2747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53C3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5399F5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943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9E848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F6B3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1F350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1407C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610FE5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A46F7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F36BA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4693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D4C9D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724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60384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4DCE16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ED534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D7763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131E16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C7A4E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1FDDA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3318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CB8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B10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A622D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1FCB36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05AE2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4B42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56F26E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64CB5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353E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428B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5DD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5EA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DA5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0DB4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3A608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5024F8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385F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0D58EB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24B32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E40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F4127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5FB4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10EC2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8538F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759FF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34E7C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BDEB8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26176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A7937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5B95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93BCE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491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C904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1F5DA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5714F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134EF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81EAA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2F3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F946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CE485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417CE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BDC8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F1192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5FD50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5B04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B04E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AAE74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B787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069950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752F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A0A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51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C72FA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D8805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50247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0CFB74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58CEF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62BCDF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8FF74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EABC2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B3BA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4CC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0965DE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523C9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028D9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70E27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7D1BE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FAF0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512E2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F4357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AA5AA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53E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BE4D6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FCE74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4ED4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EF8D2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BA701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A03EC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75725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C333B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40E07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AF8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232E42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89CA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8538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3923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529C7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C360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7A748C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85D4F7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8B578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C896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0261B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9EF92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5D572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F2D7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B2A71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66518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5118D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89715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F41E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733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79C8E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7839FB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1825B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4E78F8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42744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A98F0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484BA7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E586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51B4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11AC281">
      <w:pPr>
        <w:spacing w:line="360" w:lineRule="auto"/>
        <w:rPr>
          <w:rFonts w:ascii="宋体" w:hAnsi="宋体" w:eastAsia="宋体" w:cs="宋体"/>
          <w:color w:val="000000" w:themeColor="text1"/>
          <w:szCs w:val="21"/>
          <w:highlight w:val="none"/>
          <w14:textFill>
            <w14:solidFill>
              <w14:schemeClr w14:val="tx1"/>
            </w14:solidFill>
          </w14:textFill>
        </w:rPr>
      </w:pPr>
    </w:p>
    <w:p w14:paraId="105173C2">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color w:val="000000" w:themeColor="text1"/>
          <w:highlight w:val="none"/>
          <w14:textFill>
            <w14:solidFill>
              <w14:schemeClr w14:val="tx1"/>
            </w14:solidFill>
          </w14:textFill>
        </w:rPr>
        <w:t>附</w:t>
      </w:r>
      <w:bookmarkStart w:id="1358" w:name="_Toc296891056"/>
      <w:bookmarkStart w:id="1359" w:name="_Toc296347227"/>
      <w:bookmarkStart w:id="1360" w:name="_Toc296503228"/>
      <w:bookmarkStart w:id="1361" w:name="_Toc296346729"/>
      <w:bookmarkStart w:id="1362" w:name="_Toc296944567"/>
      <w:bookmarkStart w:id="1363" w:name="_Toc267261699"/>
      <w:bookmarkStart w:id="1364" w:name="_Toc296891268"/>
      <w:r>
        <w:rPr>
          <w:rFonts w:hint="eastAsia" w:ascii="Times New Roman" w:hAnsi="Times New Roman" w:eastAsia="宋体" w:cs="Times New Roman"/>
          <w:color w:val="000000" w:themeColor="text1"/>
          <w:highlight w:val="none"/>
          <w14:textFill>
            <w14:solidFill>
              <w14:schemeClr w14:val="tx1"/>
            </w14:solidFill>
          </w14:textFill>
        </w:rPr>
        <w:t>件6：</w:t>
      </w:r>
    </w:p>
    <w:bookmarkEnd w:id="1358"/>
    <w:bookmarkEnd w:id="1359"/>
    <w:bookmarkEnd w:id="1360"/>
    <w:bookmarkEnd w:id="1361"/>
    <w:bookmarkEnd w:id="1362"/>
    <w:bookmarkEnd w:id="1363"/>
    <w:bookmarkEnd w:id="1364"/>
    <w:p w14:paraId="737127A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承包人主要施工管理人员表</w:t>
      </w:r>
    </w:p>
    <w:tbl>
      <w:tblPr>
        <w:tblStyle w:val="29"/>
        <w:tblW w:w="8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07"/>
        <w:gridCol w:w="1418"/>
        <w:gridCol w:w="1134"/>
        <w:gridCol w:w="1134"/>
        <w:gridCol w:w="3203"/>
      </w:tblGrid>
      <w:tr w14:paraId="55227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12" w:space="0"/>
              <w:bottom w:val="double" w:color="auto" w:sz="6" w:space="0"/>
            </w:tcBorders>
            <w:vAlign w:val="center"/>
          </w:tcPr>
          <w:p w14:paraId="6AD376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p>
        </w:tc>
        <w:tc>
          <w:tcPr>
            <w:tcW w:w="1418" w:type="dxa"/>
            <w:tcBorders>
              <w:top w:val="single" w:color="auto" w:sz="12" w:space="0"/>
              <w:bottom w:val="double" w:color="auto" w:sz="6" w:space="0"/>
            </w:tcBorders>
            <w:vAlign w:val="center"/>
          </w:tcPr>
          <w:p w14:paraId="45C1A91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64F50F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5C3EBFC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203" w:type="dxa"/>
            <w:tcBorders>
              <w:top w:val="single" w:color="auto" w:sz="12" w:space="0"/>
              <w:bottom w:val="double" w:color="auto" w:sz="6" w:space="0"/>
            </w:tcBorders>
            <w:vAlign w:val="center"/>
          </w:tcPr>
          <w:p w14:paraId="7ED188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169FC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double" w:color="auto" w:sz="6" w:space="0"/>
              <w:bottom w:val="single" w:color="auto" w:sz="6" w:space="0"/>
            </w:tcBorders>
            <w:vAlign w:val="center"/>
          </w:tcPr>
          <w:p w14:paraId="49E2E7C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A01F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76E6641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8CFA2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0F7753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5751E1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top w:val="nil"/>
            </w:tcBorders>
            <w:vAlign w:val="center"/>
          </w:tcPr>
          <w:p w14:paraId="1FE4E6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2F8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nil"/>
            </w:tcBorders>
            <w:vAlign w:val="center"/>
          </w:tcPr>
          <w:p w14:paraId="231F59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B9D9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7008C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E059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910F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963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3FF6D9E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41080B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FEF9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5645C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C0091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8D7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2BDC26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CD48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B404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1D9D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01A2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281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single" w:color="auto" w:sz="6" w:space="0"/>
              <w:bottom w:val="single" w:color="auto" w:sz="6" w:space="0"/>
            </w:tcBorders>
            <w:vAlign w:val="center"/>
          </w:tcPr>
          <w:p w14:paraId="6FBFFFB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3F916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6045FE1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411C9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E73A3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397A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03A5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A5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418BA1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3297A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1135C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796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82A7E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226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226DB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1D50B7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4019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4F3D2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429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01B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D66636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025CC8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842F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D4234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4266EF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BAF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2FDBB75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50BB03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1E348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B3BB0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1308C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F77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1611077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43A2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2B6BA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0672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30527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50C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37D6DA7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7EBCB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B2B7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DE2E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8275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D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7F27C2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169C83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4862E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AFAC4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9153A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6FE2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restart"/>
            <w:tcBorders>
              <w:top w:val="single" w:color="auto" w:sz="6" w:space="0"/>
            </w:tcBorders>
            <w:vAlign w:val="center"/>
          </w:tcPr>
          <w:p w14:paraId="1027E2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66A610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FA216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9C0B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0CAA3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CEB7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54F9C0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026D6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7A8067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2E6BDC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nil"/>
            </w:tcBorders>
            <w:vAlign w:val="center"/>
          </w:tcPr>
          <w:p w14:paraId="0CE752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E994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BF582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81A2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FF9D0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6A93C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D590A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4D2E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F9940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60EE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D9F04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99D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7BFF6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75A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08416C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DE5F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A348C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C195E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4D26D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B7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tcBorders>
              <w:bottom w:val="single" w:color="auto" w:sz="12" w:space="0"/>
            </w:tcBorders>
            <w:vAlign w:val="center"/>
          </w:tcPr>
          <w:p w14:paraId="12E0F3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47422E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09D5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5A6AE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single" w:color="auto" w:sz="12" w:space="0"/>
            </w:tcBorders>
            <w:vAlign w:val="center"/>
          </w:tcPr>
          <w:p w14:paraId="3F6FFE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A801C9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65" w:name="_Toc296891269"/>
      <w:bookmarkStart w:id="1366" w:name="_Toc296944568"/>
      <w:bookmarkStart w:id="1367" w:name="_Toc296346730"/>
      <w:bookmarkStart w:id="1368" w:name="_Toc296503229"/>
      <w:bookmarkStart w:id="1369" w:name="_Toc296347228"/>
      <w:bookmarkStart w:id="1370" w:name="_Toc296891057"/>
      <w:r>
        <w:rPr>
          <w:rFonts w:hint="eastAsia" w:ascii="宋体" w:hAnsi="宋体" w:eastAsia="宋体" w:cs="宋体"/>
          <w:color w:val="000000" w:themeColor="text1"/>
          <w:szCs w:val="21"/>
          <w:highlight w:val="none"/>
          <w14:textFill>
            <w14:solidFill>
              <w14:schemeClr w14:val="tx1"/>
            </w14:solidFill>
          </w14:textFill>
        </w:rPr>
        <w:t>件7：</w:t>
      </w:r>
    </w:p>
    <w:bookmarkEnd w:id="1365"/>
    <w:bookmarkEnd w:id="1366"/>
    <w:bookmarkEnd w:id="1367"/>
    <w:bookmarkEnd w:id="1368"/>
    <w:bookmarkEnd w:id="1369"/>
    <w:bookmarkEnd w:id="1370"/>
    <w:p w14:paraId="63B90F1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分包人主要施工管理人员表</w:t>
      </w:r>
    </w:p>
    <w:tbl>
      <w:tblPr>
        <w:tblStyle w:val="29"/>
        <w:tblW w:w="87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189"/>
      </w:tblGrid>
      <w:tr w14:paraId="3CB8D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6BA0ECA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418" w:type="dxa"/>
            <w:tcBorders>
              <w:top w:val="single" w:color="auto" w:sz="12" w:space="0"/>
              <w:bottom w:val="double" w:color="auto" w:sz="6" w:space="0"/>
            </w:tcBorders>
            <w:vAlign w:val="center"/>
          </w:tcPr>
          <w:p w14:paraId="1C01E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204FC8D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68FF594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189" w:type="dxa"/>
            <w:tcBorders>
              <w:top w:val="single" w:color="auto" w:sz="12" w:space="0"/>
              <w:bottom w:val="double" w:color="auto" w:sz="6" w:space="0"/>
            </w:tcBorders>
            <w:vAlign w:val="center"/>
          </w:tcPr>
          <w:p w14:paraId="6763DA9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085A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double" w:color="auto" w:sz="6" w:space="0"/>
              <w:bottom w:val="single" w:color="auto" w:sz="6" w:space="0"/>
            </w:tcBorders>
            <w:vAlign w:val="center"/>
          </w:tcPr>
          <w:p w14:paraId="569E415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26BD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8008E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0CA0F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6C5B4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30E723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top w:val="nil"/>
            </w:tcBorders>
            <w:vAlign w:val="center"/>
          </w:tcPr>
          <w:p w14:paraId="61823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C50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46CC6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968D2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8D34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9679B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CAEBF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CC2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447DC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330644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63488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ADD18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18D33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AA8A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9766C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A5534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4C779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4F166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F97D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42EE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single" w:color="auto" w:sz="6" w:space="0"/>
              <w:bottom w:val="single" w:color="auto" w:sz="6" w:space="0"/>
            </w:tcBorders>
            <w:vAlign w:val="center"/>
          </w:tcPr>
          <w:p w14:paraId="352FFF9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6E727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E8A620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2CAB1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08097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2431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6E3455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E0E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7657B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666905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3D27A5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114B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709CA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0304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C05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5457D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E785F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D3540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348C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E9EA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99309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62A8FB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D6B02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10902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B29C3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FED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10BFD1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2DD0E8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679A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8601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66A0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C9EE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766BC9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08228E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A4E2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6F14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D32D0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9FB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346A4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4DEAC0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F1628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BE04C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5C9E0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EC6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E14A26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06B8D2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680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521C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54F62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FA1C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6B3C12E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1B2202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34AC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E8E3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36DEC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D9D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58FD7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41711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6A1E02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1EEB9D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nil"/>
            </w:tcBorders>
            <w:vAlign w:val="center"/>
          </w:tcPr>
          <w:p w14:paraId="62093F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AEC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6F33D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3453F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0D8C6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D4A2D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9312A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F09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7867A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9CA075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EBA5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C2D2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5BC2E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2B7F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D4EE1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AA1A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CA5E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486E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CD0F2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15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26ADE8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13CC0F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675389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3EE236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single" w:color="auto" w:sz="12" w:space="0"/>
            </w:tcBorders>
            <w:vAlign w:val="center"/>
          </w:tcPr>
          <w:p w14:paraId="14FC8C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B17CA0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1371" w:name="_Toc267261701"/>
      <w:r>
        <w:rPr>
          <w:rFonts w:hint="eastAsia" w:ascii="宋体" w:hAnsi="宋体" w:eastAsia="宋体" w:cs="宋体"/>
          <w:color w:val="000000" w:themeColor="text1"/>
          <w:szCs w:val="21"/>
          <w:highlight w:val="none"/>
          <w14:textFill>
            <w14:solidFill>
              <w14:schemeClr w14:val="tx1"/>
            </w14:solidFill>
          </w14:textFill>
        </w:rPr>
        <w:t>附</w:t>
      </w:r>
      <w:bookmarkStart w:id="1372" w:name="_Toc296944570"/>
      <w:bookmarkStart w:id="1373" w:name="_Toc296347230"/>
      <w:bookmarkStart w:id="1374" w:name="_Toc296346732"/>
      <w:bookmarkStart w:id="1375" w:name="_Toc296891059"/>
      <w:bookmarkStart w:id="1376" w:name="_Toc296891271"/>
      <w:bookmarkStart w:id="1377" w:name="_Toc296503231"/>
      <w:r>
        <w:rPr>
          <w:rFonts w:hint="eastAsia" w:ascii="宋体" w:hAnsi="宋体" w:eastAsia="宋体" w:cs="宋体"/>
          <w:color w:val="000000" w:themeColor="text1"/>
          <w:szCs w:val="21"/>
          <w:highlight w:val="none"/>
          <w14:textFill>
            <w14:solidFill>
              <w14:schemeClr w14:val="tx1"/>
            </w14:solidFill>
          </w14:textFill>
        </w:rPr>
        <w:t>件8：</w:t>
      </w:r>
    </w:p>
    <w:bookmarkEnd w:id="1371"/>
    <w:bookmarkEnd w:id="1372"/>
    <w:bookmarkEnd w:id="1373"/>
    <w:bookmarkEnd w:id="1374"/>
    <w:bookmarkEnd w:id="1375"/>
    <w:bookmarkEnd w:id="1376"/>
    <w:bookmarkEnd w:id="1377"/>
    <w:p w14:paraId="0C9D3089">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履约担保</w:t>
      </w:r>
    </w:p>
    <w:p w14:paraId="34DF19A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14:textFill>
            <w14:solidFill>
              <w14:schemeClr w14:val="tx1"/>
            </w14:solidFill>
          </w14:textFill>
        </w:rPr>
        <w:t>（发包人名称）：</w:t>
      </w:r>
    </w:p>
    <w:p w14:paraId="25F50DA3">
      <w:pPr>
        <w:spacing w:line="360" w:lineRule="auto"/>
        <w:rPr>
          <w:rFonts w:ascii="宋体" w:hAnsi="宋体" w:eastAsia="宋体" w:cs="宋体"/>
          <w:color w:val="000000" w:themeColor="text1"/>
          <w:szCs w:val="21"/>
          <w:highlight w:val="none"/>
          <w14:textFill>
            <w14:solidFill>
              <w14:schemeClr w14:val="tx1"/>
            </w14:solidFill>
          </w14:textFill>
        </w:rPr>
      </w:pPr>
    </w:p>
    <w:p w14:paraId="2A8905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（发包人名称，以下简称“发包人”）与</w:t>
      </w:r>
    </w:p>
    <w:p w14:paraId="0B0EB0B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（项目名称）施工及有关事项协商一致共同签订《建设工程施工合同》。我方愿意无条件地、不可撤销地就承包人履行与你方签订的合同，向你方提供连带责任担保。 </w:t>
      </w:r>
    </w:p>
    <w:p w14:paraId="24823E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3EF030F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01E430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1DE298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你方和承包人按合同约定变更合同时，我方承担本担保规定的义务不变。</w:t>
      </w:r>
    </w:p>
    <w:p w14:paraId="2AED2F4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6BA431D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4D93C0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2EF310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 保 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357D282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51F7A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D470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C56A4DD">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08F5C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35F57C">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65134C9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484FAF11">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482193D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78" w:name="_Toc296944571"/>
      <w:bookmarkStart w:id="1379" w:name="_Toc296891272"/>
      <w:bookmarkStart w:id="1380" w:name="_Toc296503232"/>
      <w:bookmarkStart w:id="1381" w:name="_Toc296346733"/>
      <w:bookmarkStart w:id="1382" w:name="_Toc267261702"/>
      <w:bookmarkStart w:id="1383" w:name="_Toc296347231"/>
      <w:bookmarkStart w:id="1384" w:name="_Toc296891060"/>
      <w:r>
        <w:rPr>
          <w:rFonts w:hint="eastAsia" w:ascii="宋体" w:hAnsi="宋体" w:eastAsia="宋体" w:cs="宋体"/>
          <w:color w:val="000000" w:themeColor="text1"/>
          <w:szCs w:val="21"/>
          <w:highlight w:val="none"/>
          <w14:textFill>
            <w14:solidFill>
              <w14:schemeClr w14:val="tx1"/>
            </w14:solidFill>
          </w14:textFill>
        </w:rPr>
        <w:t>件9 ：</w:t>
      </w:r>
    </w:p>
    <w:bookmarkEnd w:id="1378"/>
    <w:bookmarkEnd w:id="1379"/>
    <w:bookmarkEnd w:id="1380"/>
    <w:bookmarkEnd w:id="1381"/>
    <w:bookmarkEnd w:id="1382"/>
    <w:bookmarkEnd w:id="1383"/>
    <w:bookmarkEnd w:id="1384"/>
    <w:p w14:paraId="74DCA0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预付款担保</w:t>
      </w:r>
    </w:p>
    <w:p w14:paraId="4B866E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（发包人名称）：</w:t>
      </w:r>
    </w:p>
    <w:p w14:paraId="75E0EDAF">
      <w:pPr>
        <w:spacing w:line="360" w:lineRule="auto"/>
        <w:rPr>
          <w:rFonts w:ascii="宋体" w:hAnsi="宋体" w:eastAsia="宋体" w:cs="宋体"/>
          <w:color w:val="000000" w:themeColor="text1"/>
          <w:szCs w:val="21"/>
          <w:highlight w:val="none"/>
          <w14:textFill>
            <w14:solidFill>
              <w14:schemeClr w14:val="tx1"/>
            </w14:solidFill>
          </w14:textFill>
        </w:rPr>
      </w:pPr>
    </w:p>
    <w:p w14:paraId="5F376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（承包人名称）（以下称“承包人”）与</w:t>
      </w:r>
    </w:p>
    <w:p w14:paraId="130EEAF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（发包人名称）（以下简称“发包人”）</w:t>
      </w:r>
      <w:r>
        <w:rPr>
          <w:rFonts w:hint="eastAsia" w:ascii="宋体" w:hAnsi="宋体" w:eastAsia="宋体" w:cs="宋体"/>
          <w:color w:val="000000" w:themeColor="text1"/>
          <w:szCs w:val="21"/>
          <w:highlight w:val="none"/>
          <w14:textFill>
            <w14:solidFill>
              <w14:schemeClr w14:val="tx1"/>
            </w14:solidFill>
          </w14:textFill>
        </w:rPr>
        <w:t>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（项目名称）《建设工程施工合同》，承包人按约定的金额向你方提交一份预付款担保，即有权得到你方支付相等金额的预付款。我方愿意就你方提供给承包人的预付款为承包人提供连带责任担保。</w:t>
      </w:r>
    </w:p>
    <w:p w14:paraId="179B3C4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152794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19BF5FA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DB099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你方和承包人按合同约定变更合同时，我方承担本保函规定的义务不变。</w:t>
      </w:r>
    </w:p>
    <w:p w14:paraId="22759E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3DA2A8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2975EE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1D0383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1F5484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4149F1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2654BE7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11C59B0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236029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04C829A1">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334F480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p>
    <w:p w14:paraId="42A910FB">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2ABF4A5">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7DB0BF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85" w:name="_Toc296347232"/>
      <w:bookmarkStart w:id="1386" w:name="_Toc296891061"/>
      <w:bookmarkStart w:id="1387" w:name="_Toc296346734"/>
      <w:bookmarkStart w:id="1388" w:name="_Toc296944572"/>
      <w:bookmarkStart w:id="1389" w:name="_Toc296891273"/>
      <w:bookmarkStart w:id="1390" w:name="_Toc296503233"/>
      <w:r>
        <w:rPr>
          <w:rFonts w:hint="eastAsia" w:ascii="宋体" w:hAnsi="宋体" w:eastAsia="宋体" w:cs="宋体"/>
          <w:color w:val="000000" w:themeColor="text1"/>
          <w:szCs w:val="21"/>
          <w:highlight w:val="none"/>
          <w14:textFill>
            <w14:solidFill>
              <w14:schemeClr w14:val="tx1"/>
            </w14:solidFill>
          </w14:textFill>
        </w:rPr>
        <w:t xml:space="preserve">件10:  </w:t>
      </w:r>
    </w:p>
    <w:bookmarkEnd w:id="1385"/>
    <w:bookmarkEnd w:id="1386"/>
    <w:bookmarkEnd w:id="1387"/>
    <w:bookmarkEnd w:id="1388"/>
    <w:bookmarkEnd w:id="1389"/>
    <w:bookmarkEnd w:id="1390"/>
    <w:p w14:paraId="7570AE86">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支付担保</w:t>
      </w:r>
    </w:p>
    <w:p w14:paraId="3EC8E01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w:t>
      </w:r>
    </w:p>
    <w:p w14:paraId="52DC4936">
      <w:pPr>
        <w:spacing w:line="360" w:lineRule="auto"/>
        <w:rPr>
          <w:rFonts w:ascii="宋体" w:hAnsi="宋体" w:eastAsia="宋体" w:cs="宋体"/>
          <w:color w:val="000000" w:themeColor="text1"/>
          <w:szCs w:val="21"/>
          <w:highlight w:val="none"/>
          <w14:textFill>
            <w14:solidFill>
              <w14:schemeClr w14:val="tx1"/>
            </w14:solidFill>
          </w14:textFill>
        </w:rPr>
      </w:pPr>
    </w:p>
    <w:p w14:paraId="08DD98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鉴于你方作为承包人已经与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（发包人名称）（以下称“发包人”）于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（项目名称）《建设工程施工合同》（以下称“主合同”），应发包人的申请，我方愿就发包人履行主合同约定的工程款支付义务以保证的方式向你方提供如下担保：</w:t>
      </w:r>
    </w:p>
    <w:p w14:paraId="0A694C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一、保证的范围及保证金额</w:t>
      </w:r>
    </w:p>
    <w:p w14:paraId="7F1AC3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我方的保证范围是主合同约定的工程款。</w:t>
      </w:r>
    </w:p>
    <w:p w14:paraId="23C77D4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46097D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我方保证的金额是主合同约定的工程款的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%，数额最高不超过人民币元（大写：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62B5B28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二、保证的方式及保证期间</w:t>
      </w:r>
    </w:p>
    <w:p w14:paraId="396BCC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我方保证的方式为：连带责任保证。</w:t>
      </w:r>
    </w:p>
    <w:p w14:paraId="372DA5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日内。</w:t>
      </w:r>
    </w:p>
    <w:p w14:paraId="195D7B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79F4419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三、承担保证责任的形式</w:t>
      </w:r>
    </w:p>
    <w:p w14:paraId="4FF1EE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794B40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四、代偿的安排</w:t>
      </w:r>
    </w:p>
    <w:p w14:paraId="5CE950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0AB955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255341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我方收到你方的书面索赔通知及相应的证明材料后７天内无条件支付。</w:t>
      </w:r>
    </w:p>
    <w:p w14:paraId="5732F9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五、保证责任的解除</w:t>
      </w:r>
    </w:p>
    <w:p w14:paraId="7284809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30486D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9EB134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26224B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760FD1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133789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个工作日内，将本保函原件返还我方。</w:t>
      </w:r>
    </w:p>
    <w:p w14:paraId="3B3DE8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六、免责条款</w:t>
      </w:r>
    </w:p>
    <w:p w14:paraId="7B37DC1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因你方违约致使发包人不能履行义务的，我方不承担保证责任。</w:t>
      </w:r>
    </w:p>
    <w:p w14:paraId="7D4022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4EFD8B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116F29D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因不可抗力造成发包人不能履行义务的，我方不承担保证责任。</w:t>
      </w:r>
    </w:p>
    <w:p w14:paraId="12C18F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七、争议解决</w:t>
      </w:r>
    </w:p>
    <w:p w14:paraId="7132DB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种方式解决：</w:t>
      </w:r>
    </w:p>
    <w:p w14:paraId="2E2F5FE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仲裁委员会申请仲裁；</w:t>
      </w:r>
    </w:p>
    <w:p w14:paraId="232ED6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人民法院起诉。</w:t>
      </w:r>
    </w:p>
    <w:p w14:paraId="12983B9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八、保函的生效</w:t>
      </w:r>
    </w:p>
    <w:p w14:paraId="53D37B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本保函自我方法定代表人（或其授权代理人）签字并加盖公章之日起生效。</w:t>
      </w:r>
    </w:p>
    <w:p w14:paraId="707EBE3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2252296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0E4CCD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（盖章）</w:t>
      </w:r>
    </w:p>
    <w:p w14:paraId="1C87B9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0440AD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BA58CF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1B73A5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5525BA">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C8D542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8FE50E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附件11：</w:t>
      </w:r>
    </w:p>
    <w:p w14:paraId="209E36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11-1：材料暂估价表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559"/>
      </w:tblGrid>
      <w:tr w14:paraId="300F2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0B55EBF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04C52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6BA8ADB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3182306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7C2B989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1757F0D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559" w:type="dxa"/>
            <w:tcBorders>
              <w:top w:val="single" w:color="auto" w:sz="12" w:space="0"/>
              <w:bottom w:val="double" w:color="auto" w:sz="6" w:space="0"/>
            </w:tcBorders>
            <w:vAlign w:val="center"/>
          </w:tcPr>
          <w:p w14:paraId="3A89DC8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5298F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04A2C4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294E9B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05CB83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329C83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4A60E1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460A04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28D9A7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5E2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0843ED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0BBA63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08443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3821A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106436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65A59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F922A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FCC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8525B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24ADD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E3C4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D138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D0618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3E7E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D964D9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2C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E3E8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904D5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7B10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D5AB5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02522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89FE5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00C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C35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EF0BC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F7537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F4B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D9B77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1AAA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C3A44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6FA2C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969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273AC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8309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5DA1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885CB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F757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A7AD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64F34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AFF6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C60D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EC6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87360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A2BB0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0A87B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C7C40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C9367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32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19D0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2650F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A7363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8D6CB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D2B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48F2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13DC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2D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1531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ED8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027D8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743A5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E08FC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A9E0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87B2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F99E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31C39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9CF9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9102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CDB9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06FB5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A8B1A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4A99C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E20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44F1E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9D4D3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FF6E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8B12A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637C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F0375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92D9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AAE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C9FC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35E68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E3AC2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E03FE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F754F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A43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C7AE6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513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4E935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4FEF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BA57C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790B1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AF31F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5E3D5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FB6D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0309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8840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61D0AC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AD11F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3A7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21F47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E02C1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9135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B48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54FEC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CD7C9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FC713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F118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7ED3E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01CD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0881E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11BB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55A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8C2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4061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C783E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29C11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003C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0D9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347B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AC811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A446A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9A7B3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5B3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3C097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336E0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5E105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1C7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F52F3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6EF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16770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F3E3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A2D3D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6C71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16EFD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9C1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0E3D0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5D9AD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F51DD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F4727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314AD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6A19B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442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5C2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06532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E9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4DD4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D168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95EC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B044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EAADC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CDC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392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D034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0AFC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3196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A454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931E7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A7C2F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7AC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22CD3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BE8B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5D5E7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430F9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E91CC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C37C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3981A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6F4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1E8D1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99681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1EF0B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BC95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5887A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C8BB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2D471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B03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E299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EF5F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0E5FF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A343E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632A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8C7F3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541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B1D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928AF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C8CB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735A9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3653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B2B49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0CD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BDBD7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04A78CCD">
      <w:pPr>
        <w:spacing w:line="360" w:lineRule="auto"/>
        <w:rPr>
          <w:rFonts w:ascii="宋体" w:hAnsi="宋体" w:eastAsia="宋体" w:cs="宋体"/>
          <w:color w:val="000000" w:themeColor="text1"/>
          <w:szCs w:val="21"/>
          <w:highlight w:val="none"/>
          <w14:textFill>
            <w14:solidFill>
              <w14:schemeClr w14:val="tx1"/>
            </w14:solidFill>
          </w14:textFill>
        </w:rPr>
      </w:pPr>
    </w:p>
    <w:p w14:paraId="39CBD363">
      <w:pPr>
        <w:spacing w:line="360" w:lineRule="auto"/>
        <w:rPr>
          <w:rFonts w:ascii="宋体" w:hAnsi="宋体" w:eastAsia="宋体" w:cs="宋体"/>
          <w:color w:val="000000" w:themeColor="text1"/>
          <w:szCs w:val="21"/>
          <w:highlight w:val="none"/>
          <w14:textFill>
            <w14:solidFill>
              <w14:schemeClr w14:val="tx1"/>
            </w14:solidFill>
          </w14:textFill>
        </w:rPr>
      </w:pPr>
    </w:p>
    <w:p w14:paraId="5B3D2A49">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788693D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11-2：工程设备暂估价表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275"/>
      </w:tblGrid>
      <w:tr w14:paraId="30DA0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6E5F7F4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077203C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4246548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265F8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6BF9E6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08252EA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275" w:type="dxa"/>
            <w:tcBorders>
              <w:top w:val="single" w:color="auto" w:sz="12" w:space="0"/>
              <w:bottom w:val="double" w:color="auto" w:sz="6" w:space="0"/>
            </w:tcBorders>
            <w:vAlign w:val="center"/>
          </w:tcPr>
          <w:p w14:paraId="2F2BD3A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1318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71A9ED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C9E7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79D33B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5B8C14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0DFD8A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2DE5C8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double" w:color="auto" w:sz="6" w:space="0"/>
              <w:bottom w:val="single" w:color="auto" w:sz="6" w:space="0"/>
            </w:tcBorders>
            <w:vAlign w:val="center"/>
          </w:tcPr>
          <w:p w14:paraId="7AF7BA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0DCC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6B7386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33D16F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88C83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2D9386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3876A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ACAD5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nil"/>
            </w:tcBorders>
            <w:vAlign w:val="center"/>
          </w:tcPr>
          <w:p w14:paraId="7177C4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BB8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37635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0A3E8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870D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3AAC8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BAE6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91F6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6783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5DF3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F38CC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FD48B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CCF6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6810F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7A63F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3B75D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F658D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E0D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1301F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5C53A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C3F53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72566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E04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844F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518D8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A5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CD690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E132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F21C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05963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B2D8E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F251E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9EF8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6E0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DAC0D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8727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58A8D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7ED3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095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FD37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5FFD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6AF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FE04B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5703A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2C998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471CE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8FA3B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EFE9C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F9019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707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9419E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5D9B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5C70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F457A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9A54B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5589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2C4CC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F82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D04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AEF8D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49E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C403D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A4760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18C74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E24C7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6F2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793B1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3A90F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4BA2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9396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5AF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2AC1B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4989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567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6DA9C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29444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BD7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B6A8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0544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E4AB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B339B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ADD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DCAC5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BE9D2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3BD1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21427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8A08E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EDE6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786D4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539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C6CE1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B9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581B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FBEA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80612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D90F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40202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5D75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E37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248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EF41F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1693C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A585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0FBD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AD95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C9D3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D1498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B808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511D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45A6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3AED3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7CE81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469E8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6AE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4CD25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0668F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9AABF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BB556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11B8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CED5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BA2F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14B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352CC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262F8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0553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433F7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A37F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3A1B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9B203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F23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8F6E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6C7CF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6375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50D52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9144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60136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AA6E1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79C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6340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65D3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CC989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58DB6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3210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2818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D84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8BD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ADA61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B537C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FB98E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9131C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D11F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41255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89EDE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03A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25A6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05A99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F7E73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3E69D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D06B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300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3E74C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854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853DA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6A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5150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185F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CCC1B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8C8A6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E5174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942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FEA24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C57B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33810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B47A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E41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CCDA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C4A1B9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54E5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F6F03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D9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C2AA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06169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1B744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5C725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89DCA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49D93151">
      <w:pPr>
        <w:spacing w:line="360" w:lineRule="auto"/>
        <w:rPr>
          <w:rFonts w:ascii="宋体" w:hAnsi="宋体" w:eastAsia="宋体" w:cs="宋体"/>
          <w:color w:val="000000" w:themeColor="text1"/>
          <w:szCs w:val="21"/>
          <w:highlight w:val="none"/>
          <w14:textFill>
            <w14:solidFill>
              <w14:schemeClr w14:val="tx1"/>
            </w14:solidFill>
          </w14:textFill>
        </w:rPr>
      </w:pPr>
    </w:p>
    <w:p w14:paraId="1AF8998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11-3：专业工程暂估价表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2B520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single" w:color="auto" w:sz="12" w:space="0"/>
              <w:bottom w:val="double" w:color="auto" w:sz="6" w:space="0"/>
            </w:tcBorders>
            <w:vAlign w:val="center"/>
          </w:tcPr>
          <w:p w14:paraId="735437E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982989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专业项目名称</w:t>
            </w:r>
          </w:p>
        </w:tc>
        <w:tc>
          <w:tcPr>
            <w:tcW w:w="4678" w:type="dxa"/>
            <w:tcBorders>
              <w:top w:val="single" w:color="auto" w:sz="12" w:space="0"/>
              <w:bottom w:val="double" w:color="auto" w:sz="6" w:space="0"/>
            </w:tcBorders>
            <w:vAlign w:val="center"/>
          </w:tcPr>
          <w:p w14:paraId="77CD72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工程内容</w:t>
            </w:r>
          </w:p>
        </w:tc>
        <w:tc>
          <w:tcPr>
            <w:tcW w:w="1276" w:type="dxa"/>
            <w:tcBorders>
              <w:top w:val="single" w:color="auto" w:sz="12" w:space="0"/>
              <w:bottom w:val="double" w:color="auto" w:sz="6" w:space="0"/>
            </w:tcBorders>
            <w:vAlign w:val="center"/>
          </w:tcPr>
          <w:p w14:paraId="2605293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金额</w:t>
            </w:r>
          </w:p>
        </w:tc>
      </w:tr>
      <w:tr w14:paraId="0603F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double" w:color="auto" w:sz="6" w:space="0"/>
              <w:bottom w:val="single" w:color="auto" w:sz="6" w:space="0"/>
            </w:tcBorders>
            <w:vAlign w:val="center"/>
          </w:tcPr>
          <w:p w14:paraId="64C764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E804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double" w:color="auto" w:sz="6" w:space="0"/>
              <w:bottom w:val="single" w:color="auto" w:sz="6" w:space="0"/>
            </w:tcBorders>
            <w:vAlign w:val="center"/>
          </w:tcPr>
          <w:p w14:paraId="1017DFC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16D46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00D7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2004A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659068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307C1D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8DF2C4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B3CF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7DFE0B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1D367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5E5EE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EB791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3BB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22428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5F46F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5572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A100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5E1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3BBC7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7CD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B98D1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8226E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99CA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C91F5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82AED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C5FBA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DFA4D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2E11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397FB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EFF9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0CC0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12FF7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27B8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9196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D7FD0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501F6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CCA3F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B0EF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45BF6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5EDA9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CA27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D721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5ED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74068C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80BDC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A9FBF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F9F5E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DAA5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97308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EECF9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4BC49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0AE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9FE7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E772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978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562D5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98DB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9D3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88A3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E2434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E7A4D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1F096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997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36B6D4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119C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EB02E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B03A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F5B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C95AA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93062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8FB38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A362C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42E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635F6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C83AB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6C783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90AE8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FAEA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BB5EA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4D117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9B98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4EF1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0840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0A13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336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6EAD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803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010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CF52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A2E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A80F4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34310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D6B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978B6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F1812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3B306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7621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428C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F1A09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7A47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D5FF6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41478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9F3D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05F00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C24D1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87E0C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67A5F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415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3EAFE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1EF49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5263C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E1B99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AD7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7386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EC5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7E940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7520E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09B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DE3B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358BE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239FF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9A27A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B692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76EE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05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3BB0C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E580BF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690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817" w:type="dxa"/>
            <w:gridSpan w:val="4"/>
            <w:vAlign w:val="center"/>
          </w:tcPr>
          <w:p w14:paraId="7C04FEB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p>
        </w:tc>
      </w:tr>
    </w:tbl>
    <w:p w14:paraId="214047BB">
      <w:pPr>
        <w:spacing w:line="360" w:lineRule="auto"/>
        <w:rPr>
          <w:rFonts w:ascii="宋体" w:hAnsi="宋体" w:eastAsia="宋体" w:cs="宋体"/>
          <w:color w:val="000000" w:themeColor="text1"/>
          <w:szCs w:val="21"/>
          <w:highlight w:val="none"/>
          <w14:textFill>
            <w14:solidFill>
              <w14:schemeClr w14:val="tx1"/>
            </w14:solidFill>
          </w14:textFill>
        </w:rPr>
      </w:pPr>
    </w:p>
    <w:p w14:paraId="26B90045">
      <w:pPr>
        <w:spacing w:line="500" w:lineRule="exact"/>
        <w:rPr>
          <w:rFonts w:ascii="宋体" w:hAnsi="宋体" w:eastAsia="宋体" w:cs="Times New Roman"/>
          <w:color w:val="000000" w:themeColor="text1"/>
          <w:highlight w:val="none"/>
          <w14:textFill>
            <w14:solidFill>
              <w14:schemeClr w14:val="tx1"/>
            </w14:solidFill>
          </w14:textFill>
        </w:rPr>
      </w:pPr>
    </w:p>
    <w:p w14:paraId="616F0435">
      <w:pPr>
        <w:spacing w:line="500" w:lineRule="exact"/>
        <w:rPr>
          <w:rFonts w:ascii="宋体" w:hAnsi="宋体" w:eastAsia="宋体" w:cs="Times New Roman"/>
          <w:color w:val="000000" w:themeColor="text1"/>
          <w:highlight w:val="none"/>
          <w14:textFill>
            <w14:solidFill>
              <w14:schemeClr w14:val="tx1"/>
            </w14:solidFill>
          </w14:textFill>
        </w:rPr>
      </w:pPr>
    </w:p>
    <w:p w14:paraId="49E18B78">
      <w:pPr>
        <w:keepNext/>
        <w:keepLines/>
        <w:spacing w:before="260" w:after="260" w:line="415" w:lineRule="auto"/>
        <w:jc w:val="center"/>
        <w:outlineLvl w:val="1"/>
        <w:rPr>
          <w:rFonts w:ascii="Cambria" w:hAnsi="Cambria" w:eastAsia="宋体" w:cs="Times New Roman"/>
          <w:b/>
          <w:bCs/>
          <w:color w:val="000000" w:themeColor="text1"/>
          <w:sz w:val="44"/>
          <w:szCs w:val="32"/>
          <w:highlight w:val="none"/>
          <w14:textFill>
            <w14:solidFill>
              <w14:schemeClr w14:val="tx1"/>
            </w14:solidFill>
          </w14:textFill>
        </w:rPr>
      </w:pPr>
      <w:bookmarkStart w:id="1391" w:name="_Toc10219643"/>
      <w:bookmarkStart w:id="1392" w:name="_Toc7723"/>
      <w:r>
        <w:rPr>
          <w:rFonts w:hint="eastAsia" w:ascii="Cambria" w:hAnsi="Cambria" w:eastAsia="宋体" w:cs="Times New Roman"/>
          <w:b/>
          <w:bCs/>
          <w:color w:val="000000" w:themeColor="text1"/>
          <w:sz w:val="44"/>
          <w:szCs w:val="32"/>
          <w:highlight w:val="none"/>
          <w14:textFill>
            <w14:solidFill>
              <w14:schemeClr w14:val="tx1"/>
            </w14:solidFill>
          </w14:textFill>
        </w:rPr>
        <w:t>第五章   响应文件格</w:t>
      </w:r>
      <w:bookmarkEnd w:id="77"/>
      <w:r>
        <w:rPr>
          <w:rFonts w:hint="eastAsia" w:ascii="Cambria" w:hAnsi="Cambria" w:eastAsia="宋体" w:cs="Times New Roman"/>
          <w:b/>
          <w:bCs/>
          <w:color w:val="000000" w:themeColor="text1"/>
          <w:sz w:val="44"/>
          <w:szCs w:val="32"/>
          <w:highlight w:val="none"/>
          <w14:textFill>
            <w14:solidFill>
              <w14:schemeClr w14:val="tx1"/>
            </w14:solidFill>
          </w14:textFill>
        </w:rPr>
        <w:t>式</w:t>
      </w:r>
      <w:bookmarkEnd w:id="1391"/>
      <w:bookmarkEnd w:id="1392"/>
    </w:p>
    <w:p w14:paraId="65F11EFF">
      <w:pPr>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1</w:t>
      </w:r>
      <w:r>
        <w:rPr>
          <w:rFonts w:ascii="宋体" w:hAnsi="Times New Roman" w:eastAsia="宋体" w:cs="Times New Roman"/>
          <w:color w:val="000000" w:themeColor="text1"/>
          <w:sz w:val="36"/>
          <w:szCs w:val="36"/>
          <w:highlight w:val="none"/>
          <w14:textFill>
            <w14:solidFill>
              <w14:schemeClr w14:val="tx1"/>
            </w14:solidFill>
          </w14:textFill>
        </w:rPr>
        <w:t>.</w:t>
      </w:r>
      <w:r>
        <w:rPr>
          <w:rFonts w:hint="eastAsia" w:ascii="宋体" w:hAnsi="Times New Roman" w:eastAsia="宋体" w:cs="Times New Roman"/>
          <w:color w:val="000000" w:themeColor="text1"/>
          <w:sz w:val="36"/>
          <w:szCs w:val="36"/>
          <w:highlight w:val="none"/>
          <w14:textFill>
            <w14:solidFill>
              <w14:schemeClr w14:val="tx1"/>
            </w14:solidFill>
          </w14:textFill>
        </w:rPr>
        <w:t xml:space="preserve">响应文件封面格式： </w:t>
      </w:r>
    </w:p>
    <w:p w14:paraId="57856022">
      <w:pPr>
        <w:rPr>
          <w:rFonts w:ascii="宋体" w:hAnsi="Times New Roman" w:eastAsia="宋体" w:cs="Times New Roman"/>
          <w:color w:val="000000" w:themeColor="text1"/>
          <w:sz w:val="36"/>
          <w:szCs w:val="36"/>
          <w:highlight w:val="none"/>
          <w14:textFill>
            <w14:solidFill>
              <w14:schemeClr w14:val="tx1"/>
            </w14:solidFill>
          </w14:textFill>
        </w:rPr>
      </w:pPr>
    </w:p>
    <w:p w14:paraId="07F2186D">
      <w:pPr>
        <w:rPr>
          <w:rFonts w:ascii="宋体" w:hAnsi="Times New Roman" w:eastAsia="宋体" w:cs="Times New Roman"/>
          <w:color w:val="000000" w:themeColor="text1"/>
          <w:sz w:val="36"/>
          <w:szCs w:val="36"/>
          <w:highlight w:val="none"/>
          <w14:textFill>
            <w14:solidFill>
              <w14:schemeClr w14:val="tx1"/>
            </w14:solidFill>
          </w14:textFill>
        </w:rPr>
      </w:pPr>
    </w:p>
    <w:p w14:paraId="19A60990">
      <w:pPr>
        <w:rPr>
          <w:rFonts w:ascii="宋体" w:hAnsi="Times New Roman" w:eastAsia="宋体" w:cs="Times New Roman"/>
          <w:color w:val="000000" w:themeColor="text1"/>
          <w:sz w:val="36"/>
          <w:szCs w:val="36"/>
          <w:highlight w:val="none"/>
          <w14:textFill>
            <w14:solidFill>
              <w14:schemeClr w14:val="tx1"/>
            </w14:solidFill>
          </w14:textFill>
        </w:rPr>
      </w:pPr>
    </w:p>
    <w:p w14:paraId="6A9B205C">
      <w:pPr>
        <w:spacing w:line="500" w:lineRule="exact"/>
        <w:ind w:firstLine="2160" w:firstLineChars="600"/>
        <w:jc w:val="right"/>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 xml:space="preserve">                      </w:t>
      </w:r>
    </w:p>
    <w:p w14:paraId="72EC3419">
      <w:pPr>
        <w:spacing w:line="800" w:lineRule="exact"/>
        <w:jc w:val="center"/>
        <w:rPr>
          <w:rFonts w:ascii="宋体" w:hAnsi="Times New Roman" w:eastAsia="宋体" w:cs="Times New Roman"/>
          <w:color w:val="000000" w:themeColor="text1"/>
          <w:sz w:val="72"/>
          <w:szCs w:val="72"/>
          <w:highlight w:val="none"/>
          <w14:textFill>
            <w14:solidFill>
              <w14:schemeClr w14:val="tx1"/>
            </w14:solidFill>
          </w14:textFill>
        </w:rPr>
      </w:pPr>
      <w:r>
        <w:rPr>
          <w:rFonts w:hint="eastAsia" w:ascii="宋体" w:hAnsi="Times New Roman" w:eastAsia="宋体" w:cs="Times New Roman"/>
          <w:color w:val="000000" w:themeColor="text1"/>
          <w:sz w:val="72"/>
          <w:szCs w:val="72"/>
          <w:highlight w:val="none"/>
          <w14:textFill>
            <w14:solidFill>
              <w14:schemeClr w14:val="tx1"/>
            </w14:solidFill>
          </w14:textFill>
        </w:rPr>
        <w:t>竞争性磋商响应文件</w:t>
      </w:r>
    </w:p>
    <w:p w14:paraId="66C31164">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A8F5D48">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D16DA51">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5AB2BCCB">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0275A33E">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3B568A14">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8F21BF">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0E9522D9">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71736FE8">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6894E6B3">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158676C">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FC2317">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2A8D1A2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13F5F259">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7158988F">
      <w:pPr>
        <w:tabs>
          <w:tab w:val="left" w:pos="7560"/>
          <w:tab w:val="left" w:pos="7920"/>
        </w:tabs>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bookmarkStart w:id="1393" w:name="_Toc397585461"/>
      <w:bookmarkStart w:id="1394" w:name="_Toc417029006"/>
    </w:p>
    <w:p w14:paraId="72DE2F9F">
      <w:pPr>
        <w:tabs>
          <w:tab w:val="left" w:pos="7560"/>
          <w:tab w:val="left" w:pos="7920"/>
        </w:tabs>
        <w:spacing w:line="500" w:lineRule="exact"/>
        <w:jc w:val="center"/>
        <w:rPr>
          <w:rFonts w:ascii="宋体" w:hAnsi="Times New Roman" w:eastAsia="宋体" w:cs="Times New Roman"/>
          <w:color w:val="000000" w:themeColor="text1"/>
          <w:sz w:val="28"/>
          <w:szCs w:val="28"/>
          <w:highlight w:val="none"/>
          <w14:textFill>
            <w14:solidFill>
              <w14:schemeClr w14:val="tx1"/>
            </w14:solidFill>
          </w14:textFill>
        </w:rPr>
      </w:pPr>
      <w:r>
        <w:rPr>
          <w:rFonts w:ascii="宋体" w:hAnsi="Times New Roman" w:eastAsia="宋体" w:cs="Times New Roman"/>
          <w:color w:val="000000" w:themeColor="text1"/>
          <w:sz w:val="36"/>
          <w:szCs w:val="36"/>
          <w:highlight w:val="none"/>
          <w14:textFill>
            <w14:solidFill>
              <w14:schemeClr w14:val="tx1"/>
            </w14:solidFill>
          </w14:textFill>
        </w:rPr>
        <w:br w:type="page"/>
      </w:r>
    </w:p>
    <w:p w14:paraId="60A8F87E">
      <w:pPr>
        <w:jc w:val="center"/>
        <w:rPr>
          <w:rFonts w:ascii="宋体" w:hAnsi="宋体" w:eastAsia="宋体" w:cs="Times New Roman"/>
          <w:b/>
          <w:color w:val="000000" w:themeColor="text1"/>
          <w:sz w:val="44"/>
          <w:szCs w:val="52"/>
          <w:highlight w:val="none"/>
          <w14:textFill>
            <w14:solidFill>
              <w14:schemeClr w14:val="tx1"/>
            </w14:solidFill>
          </w14:textFill>
        </w:rPr>
      </w:pPr>
      <w:r>
        <w:rPr>
          <w:rFonts w:hint="eastAsia" w:ascii="宋体" w:hAnsi="宋体" w:eastAsia="宋体" w:cs="Times New Roman"/>
          <w:b/>
          <w:color w:val="000000" w:themeColor="text1"/>
          <w:sz w:val="44"/>
          <w:szCs w:val="52"/>
          <w:highlight w:val="none"/>
          <w14:textFill>
            <w14:solidFill>
              <w14:schemeClr w14:val="tx1"/>
            </w14:solidFill>
          </w14:textFill>
        </w:rPr>
        <w:t>目录</w:t>
      </w:r>
    </w:p>
    <w:p w14:paraId="4A15242E">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1、</w:t>
      </w:r>
      <w:r>
        <w:rPr>
          <w:rFonts w:hint="eastAsia" w:ascii="宋体" w:hAnsi="宋体" w:eastAsia="宋体" w:cs="Times New Roman"/>
          <w:b/>
          <w:color w:val="000000" w:themeColor="text1"/>
          <w:szCs w:val="21"/>
          <w:highlight w:val="none"/>
          <w14:textFill>
            <w14:solidFill>
              <w14:schemeClr w14:val="tx1"/>
            </w14:solidFill>
          </w14:textFill>
        </w:rPr>
        <w:t>资格证明文件</w:t>
      </w:r>
    </w:p>
    <w:p w14:paraId="504C5DF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E75A09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634FD8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0F011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3DFFAB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162001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32A760C">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2、</w:t>
      </w:r>
      <w:r>
        <w:rPr>
          <w:rFonts w:hint="eastAsia" w:ascii="宋体" w:hAnsi="宋体" w:eastAsia="宋体" w:cs="Times New Roman"/>
          <w:b/>
          <w:color w:val="000000" w:themeColor="text1"/>
          <w:szCs w:val="21"/>
          <w:highlight w:val="none"/>
          <w14:textFill>
            <w14:solidFill>
              <w14:schemeClr w14:val="tx1"/>
            </w14:solidFill>
          </w14:textFill>
        </w:rPr>
        <w:t>报价文件</w:t>
      </w:r>
    </w:p>
    <w:p w14:paraId="292B90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0F7CBC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6F101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AA01D57">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3、</w:t>
      </w:r>
      <w:r>
        <w:rPr>
          <w:rFonts w:hint="eastAsia" w:ascii="宋体" w:hAnsi="宋体" w:eastAsia="宋体" w:cs="Times New Roman"/>
          <w:b/>
          <w:color w:val="000000" w:themeColor="text1"/>
          <w:szCs w:val="21"/>
          <w:highlight w:val="none"/>
          <w14:textFill>
            <w14:solidFill>
              <w14:schemeClr w14:val="tx1"/>
            </w14:solidFill>
          </w14:textFill>
        </w:rPr>
        <w:t>商务技术文件</w:t>
      </w:r>
    </w:p>
    <w:p w14:paraId="3B5B73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21D0F5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5126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BA98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4C780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3BCB15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C850E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A939D6C">
      <w:pPr>
        <w:rPr>
          <w:rFonts w:ascii="Times New Roman" w:hAnsi="Times New Roman" w:eastAsia="宋体" w:cs="Times New Roman"/>
          <w:color w:val="000000" w:themeColor="text1"/>
          <w:szCs w:val="21"/>
          <w:highlight w:val="none"/>
          <w14:textFill>
            <w14:solidFill>
              <w14:schemeClr w14:val="tx1"/>
            </w14:solidFill>
          </w14:textFill>
        </w:rPr>
      </w:pPr>
    </w:p>
    <w:bookmarkEnd w:id="1393"/>
    <w:bookmarkEnd w:id="1394"/>
    <w:p w14:paraId="13B40831">
      <w:pPr>
        <w:keepNext/>
        <w:keepLines/>
        <w:spacing w:before="260" w:after="260"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sectPr>
          <w:footerReference r:id="rId11" w:type="first"/>
          <w:footerReference r:id="rId10" w:type="default"/>
          <w:pgSz w:w="11906" w:h="16838"/>
          <w:pgMar w:top="1440" w:right="1080" w:bottom="1440" w:left="1080" w:header="567" w:footer="624" w:gutter="0"/>
          <w:cols w:space="720" w:num="1"/>
          <w:docGrid w:linePitch="312" w:charSpace="0"/>
        </w:sectPr>
      </w:pPr>
      <w:bookmarkStart w:id="1395" w:name="_Toc358477286"/>
      <w:bookmarkStart w:id="1396" w:name="_Toc354479504"/>
      <w:bookmarkStart w:id="1397" w:name="_Toc357157412"/>
    </w:p>
    <w:bookmarkEnd w:id="1395"/>
    <w:bookmarkEnd w:id="1396"/>
    <w:bookmarkEnd w:id="1397"/>
    <w:p w14:paraId="70A25B07">
      <w:pPr>
        <w:jc w:val="center"/>
        <w:rPr>
          <w:rFonts w:ascii="Times New Roman" w:hAnsi="Times New Roman" w:eastAsia="宋体" w:cs="Times New Roman"/>
          <w:b/>
          <w:color w:val="000000" w:themeColor="text1"/>
          <w:sz w:val="28"/>
          <w:highlight w:val="none"/>
          <w14:textFill>
            <w14:solidFill>
              <w14:schemeClr w14:val="tx1"/>
            </w14:solidFill>
          </w14:textFill>
        </w:rPr>
      </w:pPr>
      <w:bookmarkStart w:id="1398" w:name="_Toc451430922"/>
      <w:bookmarkStart w:id="1399" w:name="_Toc451430990"/>
      <w:bookmarkStart w:id="1400" w:name="_Toc417029008"/>
      <w:bookmarkStart w:id="1401" w:name="_Toc397585463"/>
      <w:r>
        <w:rPr>
          <w:rFonts w:hint="eastAsia" w:ascii="Times New Roman" w:hAnsi="Times New Roman" w:eastAsia="宋体" w:cs="Times New Roman"/>
          <w:b/>
          <w:color w:val="000000" w:themeColor="text1"/>
          <w:sz w:val="28"/>
          <w:highlight w:val="none"/>
          <w14:textFill>
            <w14:solidFill>
              <w14:schemeClr w14:val="tx1"/>
            </w14:solidFill>
          </w14:textFill>
        </w:rPr>
        <w:t>一、资格证明文件</w:t>
      </w:r>
    </w:p>
    <w:p w14:paraId="299B82D4">
      <w:pPr>
        <w:spacing w:line="440" w:lineRule="exact"/>
        <w:jc w:val="center"/>
        <w:rPr>
          <w:rFonts w:ascii="宋体" w:hAnsi="宋体" w:eastAsia="宋体" w:cs="Times New Roman"/>
          <w:b/>
          <w:color w:val="000000" w:themeColor="text1"/>
          <w:sz w:val="22"/>
          <w:szCs w:val="36"/>
          <w:highlight w:val="none"/>
          <w14:textFill>
            <w14:solidFill>
              <w14:schemeClr w14:val="tx1"/>
            </w14:solidFill>
          </w14:textFill>
        </w:rPr>
      </w:pPr>
      <w:r>
        <w:rPr>
          <w:rFonts w:hint="eastAsia" w:ascii="宋体" w:hAnsi="宋体" w:eastAsia="宋体" w:cs="Times New Roman"/>
          <w:b/>
          <w:color w:val="000000" w:themeColor="text1"/>
          <w:sz w:val="22"/>
          <w:szCs w:val="36"/>
          <w:highlight w:val="none"/>
          <w14:textFill>
            <w14:solidFill>
              <w14:schemeClr w14:val="tx1"/>
            </w14:solidFill>
          </w14:textFill>
        </w:rPr>
        <w:t>1、磋商单位有效的营业执照复印件、有效的资质证书复印件、安全生产许可证复印件、有效的组织机构代码证复印件（如按国家规定三证合一的，不用提供）（必须提供，加盖单位电子公章）；</w:t>
      </w:r>
    </w:p>
    <w:p w14:paraId="72C637CA">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3E0DEA5">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DF8F94C">
      <w:pPr>
        <w:jc w:val="center"/>
        <w:rPr>
          <w:rFonts w:ascii="Times New Roman" w:hAnsi="Times New Roman" w:eastAsia="宋体" w:cs="Times New Roman"/>
          <w:color w:val="000000" w:themeColor="text1"/>
          <w:sz w:val="30"/>
          <w:szCs w:val="30"/>
          <w:highlight w:val="none"/>
          <w14:textFill>
            <w14:solidFill>
              <w14:schemeClr w14:val="tx1"/>
            </w14:solidFill>
          </w14:textFill>
        </w:rPr>
      </w:pPr>
    </w:p>
    <w:p w14:paraId="538BC3F9">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2、拟担任本工程项目项目经理（注册建造师）简历表；（必须提供，加盖单位电子公章）；</w:t>
      </w:r>
    </w:p>
    <w:tbl>
      <w:tblPr>
        <w:tblStyle w:val="29"/>
        <w:tblpPr w:leftFromText="180" w:rightFromText="180" w:vertAnchor="text" w:horzAnchor="margin" w:tblpXSpec="center" w:tblpY="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54"/>
        <w:gridCol w:w="1623"/>
        <w:gridCol w:w="1079"/>
        <w:gridCol w:w="899"/>
        <w:gridCol w:w="360"/>
        <w:gridCol w:w="1430"/>
        <w:gridCol w:w="1015"/>
        <w:gridCol w:w="1499"/>
      </w:tblGrid>
      <w:tr w14:paraId="6FF5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3EA973F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姓名</w:t>
            </w:r>
          </w:p>
        </w:tc>
        <w:tc>
          <w:tcPr>
            <w:tcW w:w="1623" w:type="dxa"/>
            <w:tcBorders>
              <w:top w:val="single" w:color="auto" w:sz="4" w:space="0"/>
              <w:left w:val="single" w:color="auto" w:sz="4" w:space="0"/>
              <w:bottom w:val="single" w:color="auto" w:sz="4" w:space="0"/>
              <w:right w:val="single" w:color="auto" w:sz="4" w:space="0"/>
            </w:tcBorders>
          </w:tcPr>
          <w:p w14:paraId="6EC1AC9C">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7766C18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年龄</w:t>
            </w:r>
          </w:p>
        </w:tc>
        <w:tc>
          <w:tcPr>
            <w:tcW w:w="1259" w:type="dxa"/>
            <w:gridSpan w:val="2"/>
            <w:tcBorders>
              <w:top w:val="single" w:color="auto" w:sz="4" w:space="0"/>
              <w:left w:val="single" w:color="auto" w:sz="4" w:space="0"/>
              <w:bottom w:val="single" w:color="auto" w:sz="4" w:space="0"/>
              <w:right w:val="single" w:color="auto" w:sz="4" w:space="0"/>
            </w:tcBorders>
          </w:tcPr>
          <w:p w14:paraId="4959C2AE">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25165024">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学 历</w:t>
            </w:r>
          </w:p>
        </w:tc>
        <w:tc>
          <w:tcPr>
            <w:tcW w:w="1499" w:type="dxa"/>
            <w:tcBorders>
              <w:top w:val="single" w:color="auto" w:sz="4" w:space="0"/>
              <w:left w:val="single" w:color="auto" w:sz="4" w:space="0"/>
              <w:bottom w:val="single" w:color="auto" w:sz="4" w:space="0"/>
              <w:right w:val="single" w:color="auto" w:sz="4" w:space="0"/>
            </w:tcBorders>
          </w:tcPr>
          <w:p w14:paraId="057D124A">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3595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BC6701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职称</w:t>
            </w:r>
          </w:p>
        </w:tc>
        <w:tc>
          <w:tcPr>
            <w:tcW w:w="1623" w:type="dxa"/>
            <w:tcBorders>
              <w:top w:val="single" w:color="auto" w:sz="4" w:space="0"/>
              <w:left w:val="single" w:color="auto" w:sz="4" w:space="0"/>
              <w:bottom w:val="single" w:color="auto" w:sz="4" w:space="0"/>
              <w:right w:val="single" w:color="auto" w:sz="4" w:space="0"/>
            </w:tcBorders>
          </w:tcPr>
          <w:p w14:paraId="6A487124">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2E34E51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职务</w:t>
            </w:r>
          </w:p>
        </w:tc>
        <w:tc>
          <w:tcPr>
            <w:tcW w:w="1259" w:type="dxa"/>
            <w:gridSpan w:val="2"/>
            <w:tcBorders>
              <w:top w:val="single" w:color="auto" w:sz="4" w:space="0"/>
              <w:left w:val="single" w:color="auto" w:sz="4" w:space="0"/>
              <w:bottom w:val="single" w:color="auto" w:sz="4" w:space="0"/>
              <w:right w:val="single" w:color="auto" w:sz="4" w:space="0"/>
            </w:tcBorders>
          </w:tcPr>
          <w:p w14:paraId="306BE2CD">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6CA0CD2C">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注册建造师证号</w:t>
            </w:r>
          </w:p>
        </w:tc>
        <w:tc>
          <w:tcPr>
            <w:tcW w:w="1499" w:type="dxa"/>
            <w:tcBorders>
              <w:top w:val="single" w:color="auto" w:sz="4" w:space="0"/>
              <w:left w:val="single" w:color="auto" w:sz="4" w:space="0"/>
              <w:bottom w:val="single" w:color="auto" w:sz="4" w:space="0"/>
              <w:right w:val="single" w:color="auto" w:sz="4" w:space="0"/>
            </w:tcBorders>
          </w:tcPr>
          <w:p w14:paraId="146FBF01">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53CD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4F86370">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毕业学校</w:t>
            </w:r>
          </w:p>
        </w:tc>
        <w:tc>
          <w:tcPr>
            <w:tcW w:w="7905" w:type="dxa"/>
            <w:gridSpan w:val="7"/>
            <w:tcBorders>
              <w:top w:val="single" w:color="auto" w:sz="4" w:space="0"/>
              <w:left w:val="single" w:color="auto" w:sz="4" w:space="0"/>
              <w:bottom w:val="single" w:color="auto" w:sz="4" w:space="0"/>
              <w:right w:val="single" w:color="auto" w:sz="4" w:space="0"/>
            </w:tcBorders>
          </w:tcPr>
          <w:p w14:paraId="75A6792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年毕业于                 学校         专业</w:t>
            </w:r>
          </w:p>
        </w:tc>
      </w:tr>
      <w:tr w14:paraId="6C97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518" w:type="dxa"/>
            <w:gridSpan w:val="9"/>
            <w:tcBorders>
              <w:top w:val="single" w:color="auto" w:sz="4" w:space="0"/>
              <w:left w:val="single" w:color="auto" w:sz="4" w:space="0"/>
              <w:bottom w:val="single" w:color="auto" w:sz="4" w:space="0"/>
              <w:right w:val="single" w:color="auto" w:sz="4" w:space="0"/>
            </w:tcBorders>
          </w:tcPr>
          <w:p w14:paraId="2CF38BF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主要工作经历</w:t>
            </w:r>
          </w:p>
        </w:tc>
      </w:tr>
      <w:tr w14:paraId="40CF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59" w:type="dxa"/>
            <w:tcBorders>
              <w:top w:val="single" w:color="auto" w:sz="4" w:space="0"/>
              <w:left w:val="single" w:color="auto" w:sz="4" w:space="0"/>
              <w:bottom w:val="single" w:color="auto" w:sz="4" w:space="0"/>
              <w:right w:val="single" w:color="auto" w:sz="4" w:space="0"/>
            </w:tcBorders>
            <w:vAlign w:val="center"/>
          </w:tcPr>
          <w:p w14:paraId="322AFF32">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时间</w:t>
            </w:r>
          </w:p>
        </w:tc>
        <w:tc>
          <w:tcPr>
            <w:tcW w:w="3955" w:type="dxa"/>
            <w:gridSpan w:val="4"/>
            <w:tcBorders>
              <w:top w:val="single" w:color="auto" w:sz="4" w:space="0"/>
              <w:left w:val="single" w:color="auto" w:sz="4" w:space="0"/>
              <w:bottom w:val="single" w:color="auto" w:sz="4" w:space="0"/>
              <w:right w:val="single" w:color="auto" w:sz="4" w:space="0"/>
            </w:tcBorders>
            <w:vAlign w:val="center"/>
          </w:tcPr>
          <w:p w14:paraId="634946E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完成过的类似项目</w:t>
            </w:r>
          </w:p>
        </w:tc>
        <w:tc>
          <w:tcPr>
            <w:tcW w:w="1790" w:type="dxa"/>
            <w:gridSpan w:val="2"/>
            <w:tcBorders>
              <w:top w:val="single" w:color="auto" w:sz="4" w:space="0"/>
              <w:left w:val="single" w:color="auto" w:sz="4" w:space="0"/>
              <w:bottom w:val="single" w:color="auto" w:sz="4" w:space="0"/>
              <w:right w:val="single" w:color="auto" w:sz="4" w:space="0"/>
            </w:tcBorders>
            <w:vAlign w:val="center"/>
          </w:tcPr>
          <w:p w14:paraId="629A183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结构类型</w:t>
            </w:r>
          </w:p>
        </w:tc>
        <w:tc>
          <w:tcPr>
            <w:tcW w:w="2514" w:type="dxa"/>
            <w:gridSpan w:val="2"/>
            <w:tcBorders>
              <w:top w:val="single" w:color="auto" w:sz="4" w:space="0"/>
              <w:left w:val="single" w:color="auto" w:sz="4" w:space="0"/>
              <w:bottom w:val="single" w:color="auto" w:sz="4" w:space="0"/>
              <w:right w:val="single" w:color="auto" w:sz="4" w:space="0"/>
            </w:tcBorders>
            <w:vAlign w:val="center"/>
          </w:tcPr>
          <w:p w14:paraId="232DC8C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合同价</w:t>
            </w:r>
          </w:p>
        </w:tc>
      </w:tr>
      <w:tr w14:paraId="461B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3E9BA681">
            <w:pPr>
              <w:rPr>
                <w:rFonts w:ascii="宋体" w:hAnsi="宋体" w:eastAsia="宋体" w:cs="Times New Roman"/>
                <w:color w:val="000000" w:themeColor="text1"/>
                <w:kern w:val="56"/>
                <w:szCs w:val="21"/>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777688BB">
            <w:pPr>
              <w:rPr>
                <w:rFonts w:ascii="宋体" w:hAnsi="宋体" w:eastAsia="宋体" w:cs="Times New Roman"/>
                <w:color w:val="000000" w:themeColor="text1"/>
                <w:kern w:val="56"/>
                <w:szCs w:val="21"/>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3E570808">
            <w:pPr>
              <w:rPr>
                <w:rFonts w:ascii="宋体" w:hAnsi="宋体" w:eastAsia="宋体" w:cs="Times New Roman"/>
                <w:color w:val="000000" w:themeColor="text1"/>
                <w:kern w:val="56"/>
                <w:szCs w:val="21"/>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32DF2423">
            <w:pPr>
              <w:rPr>
                <w:rFonts w:ascii="宋体" w:hAnsi="宋体" w:eastAsia="宋体" w:cs="Times New Roman"/>
                <w:color w:val="000000" w:themeColor="text1"/>
                <w:kern w:val="56"/>
                <w:szCs w:val="21"/>
                <w:highlight w:val="none"/>
                <w14:textFill>
                  <w14:solidFill>
                    <w14:schemeClr w14:val="tx1"/>
                  </w14:solidFill>
                </w14:textFill>
              </w:rPr>
            </w:pPr>
          </w:p>
        </w:tc>
      </w:tr>
      <w:tr w14:paraId="0422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5BCCBB55">
            <w:pPr>
              <w:rPr>
                <w:rFonts w:ascii="宋体" w:hAnsi="宋体" w:eastAsia="宋体" w:cs="Times New Roman"/>
                <w:color w:val="000000" w:themeColor="text1"/>
                <w:kern w:val="56"/>
                <w:sz w:val="24"/>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19E25566">
            <w:pPr>
              <w:rPr>
                <w:rFonts w:ascii="宋体" w:hAnsi="宋体" w:eastAsia="宋体" w:cs="Times New Roman"/>
                <w:color w:val="000000" w:themeColor="text1"/>
                <w:kern w:val="56"/>
                <w:sz w:val="24"/>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65398815">
            <w:pPr>
              <w:rPr>
                <w:rFonts w:ascii="宋体" w:hAnsi="宋体" w:eastAsia="宋体" w:cs="Times New Roman"/>
                <w:color w:val="000000" w:themeColor="text1"/>
                <w:kern w:val="56"/>
                <w:sz w:val="24"/>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2529D4AE">
            <w:pPr>
              <w:rPr>
                <w:rFonts w:ascii="宋体" w:hAnsi="宋体" w:eastAsia="宋体" w:cs="Times New Roman"/>
                <w:color w:val="000000" w:themeColor="text1"/>
                <w:kern w:val="56"/>
                <w:sz w:val="24"/>
                <w:highlight w:val="none"/>
                <w14:textFill>
                  <w14:solidFill>
                    <w14:schemeClr w14:val="tx1"/>
                  </w14:solidFill>
                </w14:textFill>
              </w:rPr>
            </w:pPr>
          </w:p>
        </w:tc>
      </w:tr>
    </w:tbl>
    <w:p w14:paraId="2778CBAA">
      <w:pPr>
        <w:jc w:val="center"/>
        <w:rPr>
          <w:rFonts w:ascii="Times New Roman" w:hAnsi="Times New Roman" w:eastAsia="宋体" w:cs="Times New Roman"/>
          <w:b/>
          <w:color w:val="000000" w:themeColor="text1"/>
          <w:highlight w:val="none"/>
          <w14:textFill>
            <w14:solidFill>
              <w14:schemeClr w14:val="tx1"/>
            </w14:solidFill>
          </w14:textFill>
        </w:rPr>
      </w:pPr>
      <w:r>
        <w:rPr>
          <w:rFonts w:hint="eastAsia" w:ascii="Times New Roman" w:hAnsi="Times New Roman" w:eastAsia="宋体" w:cs="Times New Roman"/>
          <w:b/>
          <w:color w:val="000000" w:themeColor="text1"/>
          <w:highlight w:val="none"/>
          <w14:textFill>
            <w14:solidFill>
              <w14:schemeClr w14:val="tx1"/>
            </w14:solidFill>
          </w14:textFill>
        </w:rPr>
        <w:t>注：附注册建造师资格证及其安全生产考核合格证复印件加盖磋商单位公章</w:t>
      </w:r>
    </w:p>
    <w:p w14:paraId="64E85874">
      <w:pPr>
        <w:jc w:val="center"/>
        <w:rPr>
          <w:rFonts w:ascii="宋体" w:hAnsi="宋体" w:eastAsia="宋体" w:cs="Times New Roman"/>
          <w:b/>
          <w:bCs/>
          <w:color w:val="000000" w:themeColor="text1"/>
          <w:sz w:val="30"/>
          <w:szCs w:val="30"/>
          <w:highlight w:val="none"/>
          <w14:textFill>
            <w14:solidFill>
              <w14:schemeClr w14:val="tx1"/>
            </w14:solidFill>
          </w14:textFill>
        </w:rPr>
      </w:pPr>
      <w:r>
        <w:rPr>
          <w:rFonts w:ascii="宋体" w:hAnsi="宋体" w:eastAsia="宋体" w:cs="Times New Roman"/>
          <w:b/>
          <w:bCs/>
          <w:color w:val="000000" w:themeColor="text1"/>
          <w:sz w:val="28"/>
          <w:szCs w:val="28"/>
          <w:highlight w:val="none"/>
          <w14:textFill>
            <w14:solidFill>
              <w14:schemeClr w14:val="tx1"/>
            </w14:solidFill>
          </w14:textFill>
        </w:rPr>
        <w:br w:type="page"/>
      </w:r>
    </w:p>
    <w:p w14:paraId="239805A6">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3、贵港市政府采购项目投标资格承诺函（必须提供，加盖单位电子公章）；</w:t>
      </w:r>
    </w:p>
    <w:p w14:paraId="3DA230F5">
      <w:pPr>
        <w:widowControl/>
        <w:spacing w:line="360" w:lineRule="auto"/>
        <w:ind w:firstLine="480" w:firstLineChars="200"/>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20C0C1BB">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0CB6DE1E">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1.具有独立承担民事责任的能力。 </w:t>
      </w:r>
    </w:p>
    <w:p w14:paraId="22033B3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2.具有良好的商业信誉和健全的财务会计制度。 </w:t>
      </w:r>
    </w:p>
    <w:p w14:paraId="6401699D">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3.具有履行合同所必需的设备和专业技术能力。 </w:t>
      </w:r>
    </w:p>
    <w:p w14:paraId="625080FC">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4.有依法缴纳税收和社会保障资金的良好记录。 </w:t>
      </w:r>
    </w:p>
    <w:p w14:paraId="4B48FC09">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5. 提交投标文件截止日期前三年内，在经营活动中没有重大 违法记录。 </w:t>
      </w:r>
    </w:p>
    <w:p w14:paraId="0677C16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41C85B42">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5FC994BE">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76B92FBF">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企业名称（电子公章）： </w:t>
      </w:r>
    </w:p>
    <w:p w14:paraId="5A6A406F">
      <w:pPr>
        <w:widowControl/>
        <w:spacing w:line="560" w:lineRule="exact"/>
        <w:ind w:firstLine="480" w:firstLineChars="200"/>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法定代表人（签名或签章）： </w:t>
      </w:r>
    </w:p>
    <w:p w14:paraId="79E9891D">
      <w:pPr>
        <w:widowControl/>
        <w:spacing w:line="560" w:lineRule="exact"/>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日期： 年 月 日</w:t>
      </w:r>
    </w:p>
    <w:p w14:paraId="60B90FF1">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ascii="宋体" w:hAnsi="宋体" w:eastAsia="宋体" w:cs="宋体"/>
          <w:color w:val="000000" w:themeColor="text1"/>
          <w:kern w:val="0"/>
          <w:sz w:val="24"/>
          <w:szCs w:val="24"/>
          <w:highlight w:val="none"/>
          <w:lang w:bidi="ar"/>
          <w14:textFill>
            <w14:solidFill>
              <w14:schemeClr w14:val="tx1"/>
            </w14:solidFill>
          </w14:textFill>
        </w:rPr>
        <w:br w:type="page"/>
      </w:r>
    </w:p>
    <w:p w14:paraId="4394CD7B">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4、信用承诺书（必须提供，加盖单位电子公章）；</w:t>
      </w:r>
    </w:p>
    <w:p w14:paraId="4F39857F">
      <w:pPr>
        <w:jc w:val="center"/>
        <w:rPr>
          <w:rFonts w:ascii="Times New Roman" w:hAnsi="Times New Roman" w:eastAsia="宋体" w:cs="Times New Roman"/>
          <w:b/>
          <w:color w:val="000000" w:themeColor="text1"/>
          <w:sz w:val="28"/>
          <w:szCs w:val="28"/>
          <w:highlight w:val="none"/>
          <w14:textFill>
            <w14:solidFill>
              <w14:schemeClr w14:val="tx1"/>
            </w14:solidFill>
          </w14:textFill>
        </w:rPr>
      </w:pPr>
    </w:p>
    <w:p w14:paraId="05D2C7D7">
      <w:pPr>
        <w:jc w:val="center"/>
        <w:rPr>
          <w:rFonts w:ascii="Times New Roman" w:hAnsi="Times New Roman" w:eastAsia="宋体" w:cs="Times New Roman"/>
          <w:b/>
          <w:bCs/>
          <w:color w:val="000000" w:themeColor="text1"/>
          <w:sz w:val="24"/>
          <w:szCs w:val="28"/>
          <w:highlight w:val="none"/>
          <w14:textFill>
            <w14:solidFill>
              <w14:schemeClr w14:val="tx1"/>
            </w14:solidFill>
          </w14:textFill>
        </w:rPr>
      </w:pPr>
      <w:r>
        <w:rPr>
          <w:rFonts w:hint="eastAsia" w:ascii="Times New Roman" w:hAnsi="Times New Roman" w:eastAsia="宋体" w:cs="Times New Roman"/>
          <w:b/>
          <w:color w:val="000000" w:themeColor="text1"/>
          <w:sz w:val="24"/>
          <w:szCs w:val="28"/>
          <w:highlight w:val="none"/>
          <w14:textFill>
            <w14:solidFill>
              <w14:schemeClr w14:val="tx1"/>
            </w14:solidFill>
          </w14:textFill>
        </w:rPr>
        <w:t>信用承诺书</w:t>
      </w:r>
    </w:p>
    <w:p w14:paraId="4C8C7C64">
      <w:pPr>
        <w:spacing w:line="500" w:lineRule="exact"/>
        <w:jc w:val="center"/>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（投标单位范本）</w:t>
      </w:r>
    </w:p>
    <w:p w14:paraId="73A4AAB9">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为营造我市公开、公平、公正、诚实守信的公共资源交易环境，树立诚信守法的投标人形象，本人代表本单位作出以下承诺： </w:t>
      </w:r>
    </w:p>
    <w:p w14:paraId="1BD6C16F">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对所提交的企（事）业单位基本信息、企（事）业单位负责人、项目负责人、技术负责人，从业资质和资格，业绩、财务状况、信誉等所有资料，均合法、真实、准确、有效，无任何伪造、修改、夸张成分，并对所提供资料的真实性负责；</w:t>
      </w:r>
    </w:p>
    <w:p w14:paraId="582D9A8E">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严格依照国家、自治区及我市关于公共资源交易招标投标领域的法律、法规、规章、规范性文件参加公共资源交易招标投标活动：活动中积极履行社会责任，促进廉政建设；</w:t>
      </w:r>
    </w:p>
    <w:p w14:paraId="5A728497">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自我约束、自我管理，守合同、重信用，不参与围标串标、弄虚作假、骗取中标、干扰评标、违约毁约等行为，自觉维护公共资源交易市场秩序； </w:t>
      </w:r>
    </w:p>
    <w:p w14:paraId="293650F5">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自觉接受政府、行业组织、社会公众、新闻舆论的监督；</w:t>
      </w:r>
    </w:p>
    <w:p w14:paraId="3C7170E0">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近三年参与的历史公共资源交易中，我单位及关联企业无发生重大违法记录，没有因违法经营受到刑事处罚或责令停产停业、吊销许可证或执照等行政处罚，且未在被禁止参加公共资源交易、政府采购活动的处罚期限内；</w:t>
      </w:r>
    </w:p>
    <w:p w14:paraId="233275EA">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我单位目前不存在以下情形：被人民法院列入失信惩戒对象，单位、法定代表人或拟派项目经理（项目负责人）被人民检察院列入行贿犯罪档案，被市场监督管理部门列入企业经营异常名录，被税务部门列入重大税收违法案件当事人名单，被政府采购监管部门列入政府采购严重违法失信行为记录名单；</w:t>
      </w:r>
    </w:p>
    <w:p w14:paraId="455EBA34">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自愿接受我市公共资源交易招标投标综合监管部门及行业主管部门的依法检查。如发生违法违规或不良行为，自愿接受行政主管部门依法给予的取消投标、取消中标资格等行政处罚（处理）、记录失信行为并依法承担相应的赔偿责任和刑事责任；</w:t>
      </w:r>
    </w:p>
    <w:p w14:paraId="537DAD88">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本人已认真阅读了上述承诺，并向本单位员工作了宣传教育。</w:t>
      </w:r>
    </w:p>
    <w:p w14:paraId="2B324847">
      <w:pPr>
        <w:spacing w:line="500" w:lineRule="exact"/>
        <w:rPr>
          <w:rFonts w:ascii="Times New Roman" w:hAnsi="Times New Roman" w:eastAsia="宋体" w:cs="Times New Roman"/>
          <w:color w:val="000000" w:themeColor="text1"/>
          <w:sz w:val="24"/>
          <w:szCs w:val="24"/>
          <w:highlight w:val="none"/>
          <w14:textFill>
            <w14:solidFill>
              <w14:schemeClr w14:val="tx1"/>
            </w14:solidFill>
          </w14:textFill>
        </w:rPr>
      </w:pPr>
    </w:p>
    <w:p w14:paraId="0932B07B">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法定代表人（签名或签章）：   </w:t>
      </w:r>
    </w:p>
    <w:p w14:paraId="1D120CE5">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企业名称（电子公章）： </w:t>
      </w:r>
    </w:p>
    <w:p w14:paraId="4DEF5578">
      <w:pPr>
        <w:widowControl/>
        <w:spacing w:line="360" w:lineRule="auto"/>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年  月  日</w:t>
      </w:r>
    </w:p>
    <w:p w14:paraId="75CD1614">
      <w:pPr>
        <w:spacing w:line="360" w:lineRule="auto"/>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ascii="Times New Roman" w:hAnsi="Times New Roman" w:eastAsia="宋体" w:cs="Times New Roman"/>
          <w:color w:val="000000" w:themeColor="text1"/>
          <w:sz w:val="28"/>
          <w:szCs w:val="28"/>
          <w:highlight w:val="none"/>
          <w:lang w:bidi="ar"/>
          <w14:textFill>
            <w14:solidFill>
              <w14:schemeClr w14:val="tx1"/>
            </w14:solidFill>
          </w14:textFill>
        </w:rPr>
        <w:br w:type="page"/>
      </w:r>
      <w:r>
        <w:rPr>
          <w:rFonts w:hint="eastAsia" w:ascii="Times New Roman" w:hAnsi="Times New Roman" w:eastAsia="宋体" w:cs="Times New Roman"/>
          <w:b/>
          <w:color w:val="000000" w:themeColor="text1"/>
          <w:sz w:val="24"/>
          <w:szCs w:val="30"/>
          <w:highlight w:val="none"/>
          <w:lang w:bidi="ar"/>
          <w14:textFill>
            <w14:solidFill>
              <w14:schemeClr w14:val="tx1"/>
            </w14:solidFill>
          </w14:textFill>
        </w:rPr>
        <w:t>5、</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磋商人为</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的证明材料【①如属于</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Times New Roman" w:hAnsi="Times New Roman" w:eastAsia="宋体" w:cs="Times New Roman"/>
          <w:b/>
          <w:color w:val="000000" w:themeColor="text1"/>
          <w:sz w:val="24"/>
          <w:szCs w:val="30"/>
          <w:highlight w:val="none"/>
          <w14:textFill>
            <w14:solidFill>
              <w14:schemeClr w14:val="tx1"/>
            </w14:solidFill>
          </w14:textFill>
        </w:rPr>
        <w:t>（必须提供，加盖单位电子公章）。</w:t>
      </w:r>
    </w:p>
    <w:p w14:paraId="0C4B4A64">
      <w:pPr>
        <w:widowControl/>
        <w:shd w:val="clear" w:color="auto" w:fill="FFFFFF"/>
        <w:spacing w:before="100" w:beforeAutospacing="1" w:after="100" w:afterAutospacing="1" w:line="482" w:lineRule="atLeast"/>
        <w:jc w:val="center"/>
        <w:rPr>
          <w:rFonts w:ascii="宋体" w:hAnsi="宋体" w:eastAsia="宋体" w:cs="Times New Roman"/>
          <w:color w:val="000000" w:themeColor="text1"/>
          <w:kern w:val="0"/>
          <w:sz w:val="24"/>
          <w:szCs w:val="32"/>
          <w:highlight w:val="none"/>
          <w14:textFill>
            <w14:solidFill>
              <w14:schemeClr w14:val="tx1"/>
            </w14:solidFill>
          </w14:textFill>
        </w:rPr>
      </w:pPr>
      <w:r>
        <w:rPr>
          <w:rFonts w:hint="eastAsia" w:ascii="宋体" w:hAnsi="宋体" w:eastAsia="宋体" w:cs="Times New Roman"/>
          <w:b/>
          <w:bCs/>
          <w:color w:val="000000" w:themeColor="text1"/>
          <w:kern w:val="0"/>
          <w:sz w:val="24"/>
          <w:szCs w:val="32"/>
          <w:highlight w:val="none"/>
          <w14:textFill>
            <w14:solidFill>
              <w14:schemeClr w14:val="tx1"/>
            </w14:solidFill>
          </w14:textFill>
        </w:rPr>
        <w:t>中小企业声明函（工程、服务）</w:t>
      </w:r>
    </w:p>
    <w:p w14:paraId="32C31FB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（单位名称）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的</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（项目名称）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0CD4831B">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1.</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（企业名称）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 ；</w:t>
      </w:r>
    </w:p>
    <w:p w14:paraId="221B8D3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2.</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w:t>
      </w:r>
    </w:p>
    <w:p w14:paraId="3819A49A">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w:t>
      </w:r>
    </w:p>
    <w:p w14:paraId="5DC29B31">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43B0BDB4">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本企业对上述声明内容的真实性负责。如有虚假，将依法承担相应责任。</w:t>
      </w:r>
    </w:p>
    <w:p w14:paraId="0744C708">
      <w:pPr>
        <w:widowControl/>
        <w:shd w:val="clear" w:color="auto" w:fill="FFFFFF"/>
        <w:spacing w:line="360" w:lineRule="auto"/>
        <w:ind w:firstLine="539"/>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0146C225">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14014BFA">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电子公章</w:t>
      </w:r>
      <w:r>
        <w:rPr>
          <w:rFonts w:ascii="Times New Roman" w:hAnsi="Times New Roman" w:eastAsia="宋体" w:cs="Times New Roman"/>
          <w:color w:val="000000" w:themeColor="text1"/>
          <w:kern w:val="0"/>
          <w:sz w:val="24"/>
          <w:szCs w:val="24"/>
          <w:highlight w:val="none"/>
          <w14:textFill>
            <w14:solidFill>
              <w14:schemeClr w14:val="tx1"/>
            </w14:solidFill>
          </w14:textFill>
        </w:rPr>
        <w:t>）：</w:t>
      </w:r>
    </w:p>
    <w:p w14:paraId="2ECC89FE">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日    期：</w:t>
      </w:r>
    </w:p>
    <w:p w14:paraId="233FE57D">
      <w:pPr>
        <w:rPr>
          <w:rFonts w:ascii="宋体" w:hAnsi="宋体" w:eastAsia="宋体" w:cs="Times New Roman"/>
          <w:color w:val="000000" w:themeColor="text1"/>
          <w:highlight w:val="none"/>
          <w14:textFill>
            <w14:solidFill>
              <w14:schemeClr w14:val="tx1"/>
            </w14:solidFill>
          </w14:textFill>
        </w:rPr>
      </w:pPr>
    </w:p>
    <w:p w14:paraId="1BC191A1">
      <w:pPr>
        <w:rPr>
          <w:rFonts w:ascii="宋体" w:hAnsi="宋体" w:eastAsia="宋体" w:cs="Times New Roman"/>
          <w:color w:val="000000" w:themeColor="text1"/>
          <w:highlight w:val="none"/>
          <w14:textFill>
            <w14:solidFill>
              <w14:schemeClr w14:val="tx1"/>
            </w14:solidFill>
          </w14:textFill>
        </w:rPr>
      </w:pPr>
    </w:p>
    <w:p w14:paraId="3B2C2492">
      <w:pPr>
        <w:rPr>
          <w:rFonts w:ascii="宋体" w:hAnsi="宋体" w:eastAsia="宋体" w:cs="Times New Roman"/>
          <w:color w:val="000000" w:themeColor="text1"/>
          <w:highlight w:val="none"/>
          <w14:textFill>
            <w14:solidFill>
              <w14:schemeClr w14:val="tx1"/>
            </w14:solidFill>
          </w14:textFill>
        </w:rPr>
      </w:pPr>
    </w:p>
    <w:p w14:paraId="260AC374">
      <w:pPr>
        <w:rPr>
          <w:rFonts w:ascii="宋体" w:hAnsi="宋体" w:eastAsia="宋体" w:cs="Times New Roman"/>
          <w:color w:val="000000" w:themeColor="text1"/>
          <w:sz w:val="30"/>
          <w:szCs w:val="30"/>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br w:type="page"/>
      </w:r>
    </w:p>
    <w:p w14:paraId="6F3E0A32">
      <w:pPr>
        <w:widowControl/>
        <w:shd w:val="clear" w:color="auto" w:fill="FFFFFF"/>
        <w:spacing w:line="360" w:lineRule="exact"/>
        <w:jc w:val="center"/>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《残疾人福利性单位声明函》格式（非残疾人福利性单位无需填写）</w:t>
      </w:r>
    </w:p>
    <w:p w14:paraId="2832A19C">
      <w:pPr>
        <w:spacing w:line="588" w:lineRule="exact"/>
        <w:jc w:val="center"/>
        <w:rPr>
          <w:rFonts w:ascii="宋体" w:hAnsi="宋体" w:eastAsia="宋体" w:cs="宋体"/>
          <w:b/>
          <w:color w:val="000000" w:themeColor="text1"/>
          <w:spacing w:val="6"/>
          <w:sz w:val="32"/>
          <w:szCs w:val="32"/>
          <w:highlight w:val="none"/>
          <w14:textFill>
            <w14:solidFill>
              <w14:schemeClr w14:val="tx1"/>
            </w14:solidFill>
          </w14:textFill>
        </w:rPr>
      </w:pPr>
      <w:bookmarkStart w:id="1402" w:name="OLE_LINK13"/>
      <w:bookmarkStart w:id="1403" w:name="OLE_LINK14"/>
    </w:p>
    <w:p w14:paraId="24A6BB5F">
      <w:pPr>
        <w:widowControl/>
        <w:shd w:val="clear" w:color="auto" w:fill="FFFFFF"/>
        <w:spacing w:before="100" w:beforeAutospacing="1" w:after="100" w:afterAutospacing="1" w:line="482" w:lineRule="atLeast"/>
        <w:jc w:val="center"/>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残疾人福利性单位声明函</w:t>
      </w:r>
    </w:p>
    <w:bookmarkEnd w:id="1402"/>
    <w:bookmarkEnd w:id="1403"/>
    <w:p w14:paraId="2B64AFC9">
      <w:pPr>
        <w:spacing w:line="588" w:lineRule="exact"/>
        <w:rPr>
          <w:rFonts w:ascii="宋体" w:hAnsi="宋体" w:eastAsia="宋体" w:cs="Times New Roman"/>
          <w:b/>
          <w:color w:val="000000" w:themeColor="text1"/>
          <w:spacing w:val="6"/>
          <w:szCs w:val="21"/>
          <w:highlight w:val="none"/>
          <w14:textFill>
            <w14:solidFill>
              <w14:schemeClr w14:val="tx1"/>
            </w14:solidFill>
          </w14:textFill>
        </w:rPr>
      </w:pPr>
    </w:p>
    <w:p w14:paraId="6FA65D19">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1"/>
          <w:highlight w:val="none"/>
          <w14:textFill>
            <w14:solidFill>
              <w14:schemeClr w14:val="tx1"/>
            </w14:solidFill>
          </w14:textFill>
        </w:rPr>
        <w:t>〔2017〕141</w:t>
      </w:r>
      <w:r>
        <w:rPr>
          <w:rFonts w:hint="eastAsia" w:ascii="宋体" w:hAnsi="宋体" w:eastAsia="宋体" w:cs="宋体"/>
          <w:color w:val="000000" w:themeColor="text1"/>
          <w:spacing w:val="6"/>
          <w:szCs w:val="21"/>
          <w:highlight w:val="none"/>
          <w14:textFill>
            <w14:solidFill>
              <w14:schemeClr w14:val="tx1"/>
            </w14:solidFill>
          </w14:textFill>
        </w:rPr>
        <w:t>号）的规定，本单位为符合条件的残疾人福利性单位，且本单位参加</w:t>
      </w:r>
    </w:p>
    <w:p w14:paraId="7BC0C15C">
      <w:pPr>
        <w:spacing w:line="588" w:lineRule="exact"/>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单位的</w:t>
      </w: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项目磋商活动提供的服务（由本单位承担工程/提供服务），或者由其他残疾人福利性单位提供的服务。</w:t>
      </w:r>
    </w:p>
    <w:p w14:paraId="2D577BA8">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7F44E5E6">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p>
    <w:p w14:paraId="748F1EC2">
      <w:pPr>
        <w:spacing w:line="588" w:lineRule="exact"/>
        <w:ind w:firstLine="444" w:firstLineChars="200"/>
        <w:rPr>
          <w:rFonts w:ascii="宋体" w:hAnsi="宋体" w:eastAsia="宋体" w:cs="Times New Roman"/>
          <w:color w:val="000000" w:themeColor="text1"/>
          <w:spacing w:val="6"/>
          <w:szCs w:val="21"/>
          <w:highlight w:val="none"/>
          <w14:textFill>
            <w14:solidFill>
              <w14:schemeClr w14:val="tx1"/>
            </w14:solidFill>
          </w14:textFill>
        </w:rPr>
      </w:pPr>
    </w:p>
    <w:p w14:paraId="7F4001D9">
      <w:pPr>
        <w:tabs>
          <w:tab w:val="left" w:pos="4860"/>
        </w:tabs>
        <w:spacing w:line="588" w:lineRule="exact"/>
        <w:ind w:firstLine="4440" w:firstLineChars="20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单位名称（电子公章）：</w:t>
      </w:r>
    </w:p>
    <w:p w14:paraId="760B8DD2">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 xml:space="preserve">        日    期：</w:t>
      </w:r>
    </w:p>
    <w:p w14:paraId="0D882DD1">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Times New Roman"/>
          <w:color w:val="000000" w:themeColor="text1"/>
          <w:sz w:val="32"/>
          <w:szCs w:val="32"/>
          <w:highlight w:val="none"/>
          <w14:textFill>
            <w14:solidFill>
              <w14:schemeClr w14:val="tx1"/>
            </w14:solidFill>
          </w14:textFill>
        </w:rPr>
        <w:t xml:space="preserve"> </w:t>
      </w:r>
    </w:p>
    <w:p w14:paraId="61BDCCC9">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7E36F362">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6AFB5663">
      <w:pPr>
        <w:widowControl/>
        <w:jc w:val="left"/>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6、</w:t>
      </w:r>
      <w:r>
        <w:rPr>
          <w:rFonts w:hint="eastAsia" w:ascii="Times New Roman" w:hAnsi="Times New Roman" w:eastAsia="宋体" w:cs="Times New Roman"/>
          <w:b/>
          <w:color w:val="000000" w:themeColor="text1"/>
          <w:sz w:val="24"/>
          <w:szCs w:val="30"/>
          <w:highlight w:val="none"/>
          <w14:textFill>
            <w14:solidFill>
              <w14:schemeClr w14:val="tx1"/>
            </w14:solidFill>
          </w14:textFill>
        </w:rPr>
        <w:t>按本竞争性磋商文件规定提交的其它资料（如有请提供，加盖单位电子公章）。</w:t>
      </w:r>
      <w:r>
        <w:rPr>
          <w:rFonts w:ascii="Times New Roman" w:hAnsi="Times New Roman" w:eastAsia="宋体" w:cs="Times New Roman"/>
          <w:color w:val="000000" w:themeColor="text1"/>
          <w:sz w:val="24"/>
          <w:szCs w:val="32"/>
          <w:highlight w:val="none"/>
          <w14:textFill>
            <w14:solidFill>
              <w14:schemeClr w14:val="tx1"/>
            </w14:solidFill>
          </w14:textFill>
        </w:rPr>
        <w:br w:type="page"/>
      </w:r>
      <w:r>
        <w:rPr>
          <w:rFonts w:hint="eastAsia" w:ascii="仿宋_GB2312" w:hAnsi="仿宋_GB2312" w:eastAsia="宋体" w:cs="Times New Roman"/>
          <w:b/>
          <w:color w:val="000000" w:themeColor="text1"/>
          <w:sz w:val="28"/>
          <w:szCs w:val="44"/>
          <w:highlight w:val="none"/>
          <w14:textFill>
            <w14:solidFill>
              <w14:schemeClr w14:val="tx1"/>
            </w14:solidFill>
          </w14:textFill>
        </w:rPr>
        <w:t>二、</w:t>
      </w:r>
      <w:bookmarkEnd w:id="1398"/>
      <w:bookmarkEnd w:id="1399"/>
      <w:bookmarkEnd w:id="1400"/>
      <w:bookmarkEnd w:id="1401"/>
      <w:r>
        <w:rPr>
          <w:rFonts w:hint="eastAsia" w:ascii="仿宋_GB2312" w:hAnsi="仿宋_GB2312" w:eastAsia="宋体" w:cs="Times New Roman"/>
          <w:b/>
          <w:color w:val="000000" w:themeColor="text1"/>
          <w:sz w:val="28"/>
          <w:szCs w:val="44"/>
          <w:highlight w:val="none"/>
          <w14:textFill>
            <w14:solidFill>
              <w14:schemeClr w14:val="tx1"/>
            </w14:solidFill>
          </w14:textFill>
        </w:rPr>
        <w:t>报价文件</w:t>
      </w:r>
    </w:p>
    <w:p w14:paraId="0BC1347B">
      <w:pPr>
        <w:jc w:val="center"/>
        <w:rPr>
          <w:rFonts w:ascii="Times New Roman" w:hAnsi="Times New Roman" w:eastAsia="宋体" w:cs="Times New Roman"/>
          <w:b/>
          <w:color w:val="000000" w:themeColor="text1"/>
          <w:sz w:val="24"/>
          <w:szCs w:val="36"/>
          <w:highlight w:val="none"/>
          <w14:textFill>
            <w14:solidFill>
              <w14:schemeClr w14:val="tx1"/>
            </w14:solidFill>
          </w14:textFill>
        </w:rPr>
      </w:pPr>
    </w:p>
    <w:p w14:paraId="76FF19E8">
      <w:pPr>
        <w:jc w:val="center"/>
        <w:rPr>
          <w:rFonts w:ascii="宋体" w:hAnsi="Times New Roman" w:eastAsia="宋体" w:cs="Times New Roman"/>
          <w:b/>
          <w:color w:val="000000" w:themeColor="text1"/>
          <w:sz w:val="24"/>
          <w:szCs w:val="36"/>
          <w:highlight w:val="none"/>
          <w14:textFill>
            <w14:solidFill>
              <w14:schemeClr w14:val="tx1"/>
            </w14:solidFill>
          </w14:textFill>
        </w:rPr>
      </w:pPr>
      <w:r>
        <w:rPr>
          <w:rFonts w:hint="eastAsia" w:ascii="Times New Roman" w:hAnsi="Times New Roman" w:eastAsia="宋体" w:cs="Times New Roman"/>
          <w:b/>
          <w:color w:val="000000" w:themeColor="text1"/>
          <w:sz w:val="24"/>
          <w:szCs w:val="36"/>
          <w:highlight w:val="none"/>
          <w14:textFill>
            <w14:solidFill>
              <w14:schemeClr w14:val="tx1"/>
            </w14:solidFill>
          </w14:textFill>
        </w:rPr>
        <w:t>1、磋商函（格式）</w:t>
      </w:r>
    </w:p>
    <w:p w14:paraId="50451B5A">
      <w:pPr>
        <w:spacing w:line="360" w:lineRule="auto"/>
        <w:rPr>
          <w:rFonts w:ascii="宋体" w:hAnsi="宋体" w:eastAsia="宋体" w:cs="Times New Roman"/>
          <w:color w:val="000000" w:themeColor="text1"/>
          <w:kern w:val="56"/>
          <w:szCs w:val="21"/>
          <w:highlight w:val="none"/>
          <w14:textFill>
            <w14:solidFill>
              <w14:schemeClr w14:val="tx1"/>
            </w14:solidFill>
          </w14:textFill>
        </w:rPr>
      </w:pPr>
    </w:p>
    <w:p w14:paraId="7E61F962">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36946072">
      <w:pPr>
        <w:spacing w:line="360" w:lineRule="auto"/>
        <w:ind w:left="210" w:leftChars="100" w:firstLine="165" w:firstLineChars="79"/>
        <w:jc w:val="left"/>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476A0D6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05940483">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5247D03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3BE911A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06A1C1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3770A597">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085AECB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0D7688E0">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磋商单位：</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（电子公章）     　　　 </w:t>
      </w:r>
    </w:p>
    <w:p w14:paraId="2D135C5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688A30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09FE2FC1">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104EF6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1649DA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5C6A1EC">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日   期 ：   </w:t>
      </w:r>
      <w:bookmarkStart w:id="1404" w:name="_Hlt76275027"/>
      <w:bookmarkEnd w:id="1404"/>
      <w:r>
        <w:rPr>
          <w:rFonts w:hint="eastAsia" w:ascii="宋体" w:hAnsi="宋体" w:eastAsia="宋体" w:cs="Times New Roman"/>
          <w:color w:val="000000" w:themeColor="text1"/>
          <w:kern w:val="56"/>
          <w:szCs w:val="21"/>
          <w:highlight w:val="none"/>
          <w14:textFill>
            <w14:solidFill>
              <w14:schemeClr w14:val="tx1"/>
            </w14:solidFill>
          </w14:textFill>
        </w:rPr>
        <w:t xml:space="preserve">  年    月    日</w:t>
      </w:r>
    </w:p>
    <w:p w14:paraId="466EC743">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15ADC78C">
      <w:pPr>
        <w:rPr>
          <w:rFonts w:ascii="宋体" w:hAnsi="宋体" w:eastAsia="宋体" w:cs="Times New Roman"/>
          <w:bCs/>
          <w:color w:val="000000" w:themeColor="text1"/>
          <w:szCs w:val="21"/>
          <w:highlight w:val="none"/>
          <w14:textFill>
            <w14:solidFill>
              <w14:schemeClr w14:val="tx1"/>
            </w14:solidFill>
          </w14:textFill>
        </w:rPr>
      </w:pPr>
      <w:r>
        <w:rPr>
          <w:rFonts w:hint="eastAsia" w:ascii="Times New Roman" w:hAnsi="宋体" w:eastAsia="宋体" w:cs="Times New Roman"/>
          <w:bCs/>
          <w:color w:val="000000" w:themeColor="text1"/>
          <w:highlight w:val="none"/>
          <w14:textFill>
            <w14:solidFill>
              <w14:schemeClr w14:val="tx1"/>
            </w14:solidFill>
          </w14:textFill>
        </w:rPr>
        <w:br w:type="page"/>
      </w:r>
    </w:p>
    <w:p w14:paraId="1C19DBE0">
      <w:pPr>
        <w:jc w:val="center"/>
        <w:rPr>
          <w:rFonts w:ascii="宋体" w:hAnsi="宋体" w:eastAsia="宋体" w:cs="Times New Roman"/>
          <w:b/>
          <w:color w:val="000000" w:themeColor="text1"/>
          <w:sz w:val="24"/>
          <w:szCs w:val="36"/>
          <w:highlight w:val="none"/>
          <w14:textFill>
            <w14:solidFill>
              <w14:schemeClr w14:val="tx1"/>
            </w14:solidFill>
          </w14:textFill>
        </w:rPr>
      </w:pPr>
      <w:bookmarkStart w:id="1405" w:name="_Toc15800"/>
      <w:r>
        <w:rPr>
          <w:rFonts w:hint="eastAsia" w:ascii="宋体" w:hAnsi="宋体" w:eastAsia="宋体" w:cs="Times New Roman"/>
          <w:b/>
          <w:color w:val="000000" w:themeColor="text1"/>
          <w:sz w:val="24"/>
          <w:szCs w:val="36"/>
          <w:highlight w:val="none"/>
          <w14:textFill>
            <w14:solidFill>
              <w14:schemeClr w14:val="tx1"/>
            </w14:solidFill>
          </w14:textFill>
        </w:rPr>
        <w:t>2、</w:t>
      </w:r>
      <w:bookmarkEnd w:id="1405"/>
      <w:r>
        <w:rPr>
          <w:rFonts w:hint="eastAsia" w:ascii="宋体" w:hAnsi="宋体" w:eastAsia="宋体" w:cs="Times New Roman"/>
          <w:b/>
          <w:color w:val="000000" w:themeColor="text1"/>
          <w:sz w:val="24"/>
          <w:szCs w:val="36"/>
          <w:highlight w:val="none"/>
          <w14:textFill>
            <w14:solidFill>
              <w14:schemeClr w14:val="tx1"/>
            </w14:solidFill>
          </w14:textFill>
        </w:rPr>
        <w:t>工程量清单报价有关资料</w:t>
      </w:r>
    </w:p>
    <w:p w14:paraId="5727FBB5">
      <w:pPr>
        <w:jc w:val="center"/>
        <w:rPr>
          <w:rFonts w:ascii="宋体" w:hAnsi="宋体" w:eastAsia="宋体" w:cs="Times New Roman"/>
          <w:color w:val="000000" w:themeColor="text1"/>
          <w:szCs w:val="21"/>
          <w:highlight w:val="none"/>
          <w14:textFill>
            <w14:solidFill>
              <w14:schemeClr w14:val="tx1"/>
            </w14:solidFill>
          </w14:textFill>
        </w:rPr>
      </w:pPr>
    </w:p>
    <w:p w14:paraId="0EAD584F">
      <w:pPr>
        <w:jc w:val="center"/>
        <w:rPr>
          <w:color w:val="000000" w:themeColor="text1"/>
          <w:highlight w:val="none"/>
          <w14:textFill>
            <w14:solidFill>
              <w14:schemeClr w14:val="tx1"/>
            </w14:solidFill>
          </w14:textFill>
        </w:rPr>
      </w:pPr>
    </w:p>
    <w:p w14:paraId="4052478D">
      <w:pPr>
        <w:jc w:val="center"/>
        <w:rPr>
          <w:color w:val="000000" w:themeColor="text1"/>
          <w:highlight w:val="none"/>
          <w14:textFill>
            <w14:solidFill>
              <w14:schemeClr w14:val="tx1"/>
            </w14:solidFill>
          </w14:textFill>
        </w:rPr>
      </w:pPr>
    </w:p>
    <w:p w14:paraId="7332A376">
      <w:pPr>
        <w:widowControl/>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6A1082B8">
      <w:pPr>
        <w:jc w:val="center"/>
        <w:rPr>
          <w:color w:val="000000" w:themeColor="text1"/>
          <w:highlight w:val="none"/>
          <w14:textFill>
            <w14:solidFill>
              <w14:schemeClr w14:val="tx1"/>
            </w14:solidFill>
          </w14:textFill>
        </w:rPr>
      </w:pPr>
    </w:p>
    <w:p w14:paraId="5B96C73C">
      <w:pPr>
        <w:jc w:val="center"/>
        <w:rPr>
          <w:rFonts w:ascii="宋体" w:hAnsi="宋体" w:eastAsia="宋体" w:cs="Times New Roman"/>
          <w:color w:val="000000" w:themeColor="text1"/>
          <w:kern w:val="56"/>
          <w:sz w:val="24"/>
          <w:highlight w:val="none"/>
          <w14:textFill>
            <w14:solidFill>
              <w14:schemeClr w14:val="tx1"/>
            </w14:solidFill>
          </w14:textFill>
        </w:rPr>
      </w:pPr>
      <w:bookmarkStart w:id="1406" w:name="_Toc12196"/>
      <w:r>
        <w:rPr>
          <w:rFonts w:hint="eastAsia" w:ascii="宋体" w:hAnsi="宋体" w:eastAsia="宋体" w:cs="Times New Roman"/>
          <w:b/>
          <w:color w:val="000000" w:themeColor="text1"/>
          <w:sz w:val="24"/>
          <w:szCs w:val="36"/>
          <w:highlight w:val="none"/>
          <w14:textFill>
            <w14:solidFill>
              <w14:schemeClr w14:val="tx1"/>
            </w14:solidFill>
          </w14:textFill>
        </w:rPr>
        <w:t>3、</w:t>
      </w:r>
      <w:bookmarkEnd w:id="1406"/>
      <w:r>
        <w:rPr>
          <w:rFonts w:hint="eastAsia" w:ascii="宋体" w:hAnsi="宋体" w:eastAsia="宋体" w:cs="Times New Roman"/>
          <w:b/>
          <w:color w:val="000000" w:themeColor="text1"/>
          <w:sz w:val="24"/>
          <w:szCs w:val="36"/>
          <w:highlight w:val="none"/>
          <w14:textFill>
            <w14:solidFill>
              <w14:schemeClr w14:val="tx1"/>
            </w14:solidFill>
          </w14:textFill>
        </w:rPr>
        <w:t>按本竞争性磋商文件规定提交的其它资料（如有请提供，加盖单位电子公章）。</w:t>
      </w:r>
    </w:p>
    <w:p w14:paraId="1C90FBC7">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5A6A4274">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4D9EFAD7">
      <w:pPr>
        <w:tabs>
          <w:tab w:val="left" w:pos="7380"/>
        </w:tabs>
        <w:spacing w:line="500" w:lineRule="exact"/>
        <w:ind w:right="-153" w:rightChars="-73"/>
        <w:jc w:val="center"/>
        <w:rPr>
          <w:rFonts w:ascii="宋体" w:hAnsi="宋体" w:eastAsia="宋体" w:cs="Times New Roman"/>
          <w:b/>
          <w:color w:val="000000" w:themeColor="text1"/>
          <w:sz w:val="28"/>
          <w:szCs w:val="36"/>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w:br w:type="page"/>
      </w:r>
      <w:r>
        <w:rPr>
          <w:rFonts w:hint="eastAsia" w:ascii="宋体" w:hAnsi="宋体" w:eastAsia="宋体" w:cs="Times New Roman"/>
          <w:b/>
          <w:color w:val="000000" w:themeColor="text1"/>
          <w:sz w:val="28"/>
          <w:szCs w:val="36"/>
          <w:highlight w:val="none"/>
          <w14:textFill>
            <w14:solidFill>
              <w14:schemeClr w14:val="tx1"/>
            </w14:solidFill>
          </w14:textFill>
        </w:rPr>
        <w:t>三、商务技术标文件</w:t>
      </w:r>
    </w:p>
    <w:p w14:paraId="7C4FAD49">
      <w:pPr>
        <w:spacing w:line="440" w:lineRule="exact"/>
        <w:jc w:val="center"/>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1、无串通竞标行为的承</w:t>
      </w:r>
      <w:r>
        <w:rPr>
          <w:rFonts w:hint="eastAsia" w:ascii="宋体" w:hAnsi="宋体" w:eastAsia="宋体" w:cs="Times New Roman"/>
          <w:b/>
          <w:color w:val="000000" w:themeColor="text1"/>
          <w:sz w:val="24"/>
          <w:szCs w:val="24"/>
          <w:highlight w:val="none"/>
          <w14:textFill>
            <w14:solidFill>
              <w14:schemeClr w14:val="tx1"/>
            </w14:solidFill>
          </w14:textFill>
        </w:rPr>
        <w:t>诺函（格式后附）；（必须提供，</w:t>
      </w:r>
      <w:r>
        <w:rPr>
          <w:rFonts w:hint="eastAsia" w:ascii="宋体" w:hAnsi="宋体" w:eastAsia="宋体" w:cs="Times New Roman"/>
          <w:b/>
          <w:bCs/>
          <w:color w:val="000000" w:themeColor="text1"/>
          <w:sz w:val="24"/>
          <w:szCs w:val="24"/>
          <w:highlight w:val="none"/>
          <w14:textFill>
            <w14:solidFill>
              <w14:schemeClr w14:val="tx1"/>
            </w14:solidFill>
          </w14:textFill>
        </w:rPr>
        <w:t>必须提供，加盖单位电子公章</w:t>
      </w:r>
      <w:r>
        <w:rPr>
          <w:rFonts w:hint="eastAsia" w:ascii="宋体" w:hAnsi="宋体" w:eastAsia="宋体" w:cs="Times New Roman"/>
          <w:b/>
          <w:color w:val="000000" w:themeColor="text1"/>
          <w:sz w:val="24"/>
          <w:szCs w:val="24"/>
          <w:highlight w:val="none"/>
          <w14:textFill>
            <w14:solidFill>
              <w14:schemeClr w14:val="tx1"/>
            </w14:solidFill>
          </w14:textFill>
        </w:rPr>
        <w:t>）；</w:t>
      </w:r>
    </w:p>
    <w:p w14:paraId="09A1E64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179FD2F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一、我方承诺无下列相互串通竞标的情形：</w:t>
      </w:r>
    </w:p>
    <w:p w14:paraId="5DA820A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1.不同供应商的响应文件由同一单位或者个人编制； </w:t>
      </w:r>
    </w:p>
    <w:p w14:paraId="14B2F5E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2.不同供应商委托同一单位或者个人办理竞标事宜；</w:t>
      </w:r>
    </w:p>
    <w:p w14:paraId="5EBA6370">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3.不同供应商的响应文件载明的项目管理员为同一个人；</w:t>
      </w:r>
    </w:p>
    <w:p w14:paraId="3A0F739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4.不</w:t>
      </w:r>
      <w:r>
        <w:rPr>
          <w:rFonts w:hint="eastAsia" w:ascii="宋体" w:hAnsi="宋体" w:eastAsia="宋体" w:cs="宋体"/>
          <w:color w:val="000000" w:themeColor="text1"/>
          <w:spacing w:val="-6"/>
          <w:sz w:val="24"/>
          <w:szCs w:val="24"/>
          <w:highlight w:val="none"/>
          <w14:textFill>
            <w14:solidFill>
              <w14:schemeClr w14:val="tx1"/>
            </w14:solidFill>
          </w14:textFill>
        </w:rPr>
        <w:t>同供应商的响应文件异常一致或者竞标报价呈规律性差异；</w:t>
      </w:r>
    </w:p>
    <w:p w14:paraId="665EB421">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5.不同供应商的响应文件相互混装。</w:t>
      </w:r>
    </w:p>
    <w:p w14:paraId="20E6049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二、我方承诺无下列恶意串通的情形：</w:t>
      </w:r>
    </w:p>
    <w:p w14:paraId="5A69633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1.供应商直接或者间接从采购人或者采购代理机构处获得其他供应商的相关信息并修改其响应文件；</w:t>
      </w:r>
    </w:p>
    <w:p w14:paraId="2623C288">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2.供应商按照采购人或者采购代理机构的授意撤换、修改响应文件；</w:t>
      </w:r>
    </w:p>
    <w:p w14:paraId="50CACC2D">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3.供</w:t>
      </w:r>
      <w:r>
        <w:rPr>
          <w:rFonts w:hint="eastAsia" w:ascii="宋体" w:hAnsi="宋体" w:eastAsia="宋体" w:cs="宋体"/>
          <w:color w:val="000000" w:themeColor="text1"/>
          <w:spacing w:val="-6"/>
          <w:sz w:val="24"/>
          <w:szCs w:val="24"/>
          <w:highlight w:val="none"/>
          <w14:textFill>
            <w14:solidFill>
              <w14:schemeClr w14:val="tx1"/>
            </w14:solidFill>
          </w14:textFill>
        </w:rPr>
        <w:t>应商之间协商报价、技术方案等响应文件的实质性内容；</w:t>
      </w:r>
    </w:p>
    <w:p w14:paraId="687393B2">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14:paraId="2E4A735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461BF4FB">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6.供应商之间商定部分供应商放弃参加政府采购活动或者放弃成交；</w:t>
      </w:r>
    </w:p>
    <w:p w14:paraId="130556F4">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7.供应商与采购人或者采购代理机构之间、供应商相互之间，为</w:t>
      </w:r>
      <w:r>
        <w:rPr>
          <w:rFonts w:hint="eastAsia" w:ascii="宋体" w:hAnsi="宋体" w:eastAsia="宋体" w:cs="宋体"/>
          <w:color w:val="000000" w:themeColor="text1"/>
          <w:spacing w:val="-6"/>
          <w:sz w:val="24"/>
          <w:szCs w:val="24"/>
          <w:highlight w:val="none"/>
          <w14:textFill>
            <w14:solidFill>
              <w14:schemeClr w14:val="tx1"/>
            </w14:solidFill>
          </w14:textFill>
        </w:rPr>
        <w:t>谋求特定供应商成交或者排斥其他供应商的其他串通行为。</w:t>
      </w:r>
    </w:p>
    <w:p w14:paraId="6190815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p>
    <w:p w14:paraId="26F9A979">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以上情形一经核查属实，我方愿意承担一切后果，并不再寻求任何旨在减轻或者免除法律责任的辩解。</w:t>
      </w:r>
    </w:p>
    <w:p w14:paraId="3A673B40">
      <w:pPr>
        <w:spacing w:line="500" w:lineRule="exact"/>
        <w:rPr>
          <w:rFonts w:ascii="宋体" w:hAnsi="宋体" w:eastAsia="宋体" w:cs="宋体"/>
          <w:color w:val="000000" w:themeColor="text1"/>
          <w:sz w:val="24"/>
          <w:szCs w:val="24"/>
          <w:highlight w:val="none"/>
          <w14:textFill>
            <w14:solidFill>
              <w14:schemeClr w14:val="tx1"/>
            </w14:solidFill>
          </w14:textFill>
        </w:rPr>
      </w:pPr>
    </w:p>
    <w:p w14:paraId="1233E612">
      <w:pPr>
        <w:spacing w:line="500" w:lineRule="exact"/>
        <w:ind w:firstLine="480" w:firstLineChars="200"/>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供应商（CA电子签章）：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D7DE196">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年   月   日</w:t>
      </w:r>
    </w:p>
    <w:p w14:paraId="05CF092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0B6BE72F">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ascii="宋体" w:hAnsi="宋体" w:eastAsia="宋体" w:cs="Times New Roman"/>
          <w:b/>
          <w:color w:val="000000" w:themeColor="text1"/>
          <w:sz w:val="24"/>
          <w:szCs w:val="36"/>
          <w:highlight w:val="none"/>
          <w14:textFill>
            <w14:solidFill>
              <w14:schemeClr w14:val="tx1"/>
            </w14:solidFill>
          </w14:textFill>
        </w:rPr>
        <w:br w:type="page"/>
      </w:r>
    </w:p>
    <w:p w14:paraId="23C46B9A">
      <w:pPr>
        <w:spacing w:line="440" w:lineRule="exact"/>
        <w:jc w:val="cente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2、法定代表人身份证明书及其有效的身份证正反面复印件（必须提供，加盖单位电子公章）；</w:t>
      </w:r>
    </w:p>
    <w:p w14:paraId="02601D8F">
      <w:pPr>
        <w:rPr>
          <w:rFonts w:ascii="宋体" w:hAnsi="宋体" w:eastAsia="宋体" w:cs="Times New Roman"/>
          <w:b/>
          <w:color w:val="000000" w:themeColor="text1"/>
          <w:sz w:val="24"/>
          <w:szCs w:val="36"/>
          <w:highlight w:val="none"/>
          <w14:textFill>
            <w14:solidFill>
              <w14:schemeClr w14:val="tx1"/>
            </w14:solidFill>
          </w14:textFill>
        </w:rPr>
      </w:pPr>
    </w:p>
    <w:p w14:paraId="68E7B01C">
      <w:pPr>
        <w:spacing w:line="520" w:lineRule="exact"/>
        <w:jc w:val="center"/>
        <w:rPr>
          <w:rFonts w:ascii="宋体" w:hAnsi="宋体" w:cs="宋体"/>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4"/>
          <w:szCs w:val="36"/>
          <w:highlight w:val="none"/>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法定代表人证明书</w:t>
      </w:r>
    </w:p>
    <w:p w14:paraId="7001011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供应商名称：</w:t>
      </w:r>
      <w:r>
        <w:rPr>
          <w:rFonts w:hint="eastAsia" w:ascii="宋体" w:hAnsi="宋体" w:cs="宋体"/>
          <w:color w:val="000000" w:themeColor="text1"/>
          <w:sz w:val="21"/>
          <w:szCs w:val="21"/>
          <w:u w:val="single"/>
          <w14:textFill>
            <w14:solidFill>
              <w14:schemeClr w14:val="tx1"/>
            </w14:solidFill>
          </w14:textFill>
        </w:rPr>
        <w:t xml:space="preserve">                            </w:t>
      </w:r>
    </w:p>
    <w:p w14:paraId="07756F5C">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地    址：</w:t>
      </w:r>
      <w:r>
        <w:rPr>
          <w:rFonts w:hint="eastAsia" w:ascii="宋体" w:hAnsi="宋体" w:cs="宋体"/>
          <w:color w:val="000000" w:themeColor="text1"/>
          <w:sz w:val="21"/>
          <w:szCs w:val="21"/>
          <w:u w:val="single"/>
          <w14:textFill>
            <w14:solidFill>
              <w14:schemeClr w14:val="tx1"/>
            </w14:solidFill>
          </w14:textFill>
        </w:rPr>
        <w:t xml:space="preserve">                              </w:t>
      </w:r>
    </w:p>
    <w:p w14:paraId="4D564AE3">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    名：</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性     别：</w:t>
      </w:r>
      <w:r>
        <w:rPr>
          <w:rFonts w:hint="eastAsia" w:ascii="宋体" w:hAnsi="宋体" w:cs="宋体"/>
          <w:color w:val="000000" w:themeColor="text1"/>
          <w:sz w:val="21"/>
          <w:szCs w:val="21"/>
          <w:u w:val="single"/>
          <w14:textFill>
            <w14:solidFill>
              <w14:schemeClr w14:val="tx1"/>
            </w14:solidFill>
          </w14:textFill>
        </w:rPr>
        <w:t xml:space="preserve">                </w:t>
      </w:r>
    </w:p>
    <w:p w14:paraId="33DCB647">
      <w:pPr>
        <w:spacing w:line="360" w:lineRule="auto"/>
        <w:ind w:left="540"/>
        <w:contextualSpacing/>
        <w:rPr>
          <w:rFonts w:hint="eastAsia" w:ascii="宋体" w:hAnsi="宋体" w:cs="宋体"/>
          <w:color w:val="000000" w:themeColor="text1"/>
          <w:sz w:val="21"/>
          <w:szCs w:val="21"/>
          <w:u w:val="single"/>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年    龄：</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职     务：</w:t>
      </w:r>
      <w:r>
        <w:rPr>
          <w:rFonts w:hint="eastAsia" w:ascii="宋体" w:hAnsi="宋体" w:cs="宋体"/>
          <w:color w:val="000000" w:themeColor="text1"/>
          <w:sz w:val="21"/>
          <w:szCs w:val="21"/>
          <w:u w:val="single"/>
          <w14:textFill>
            <w14:solidFill>
              <w14:schemeClr w14:val="tx1"/>
            </w14:solidFill>
          </w14:textFill>
        </w:rPr>
        <w:t xml:space="preserve">                </w:t>
      </w:r>
    </w:p>
    <w:p w14:paraId="3C1FE79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身份证号码：</w:t>
      </w:r>
      <w:r>
        <w:rPr>
          <w:rFonts w:hint="eastAsia" w:ascii="宋体" w:hAnsi="宋体" w:cs="宋体"/>
          <w:color w:val="000000" w:themeColor="text1"/>
          <w:sz w:val="21"/>
          <w:szCs w:val="21"/>
          <w:u w:val="single"/>
          <w14:textFill>
            <w14:solidFill>
              <w14:schemeClr w14:val="tx1"/>
            </w14:solidFill>
          </w14:textFill>
        </w:rPr>
        <w:t xml:space="preserve">                                        </w:t>
      </w:r>
    </w:p>
    <w:p w14:paraId="4A47E887">
      <w:pPr>
        <w:spacing w:line="360" w:lineRule="auto"/>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系</w:t>
      </w:r>
      <w:r>
        <w:rPr>
          <w:rFonts w:hint="eastAsia" w:ascii="宋体" w:hAnsi="宋体" w:cs="宋体"/>
          <w:color w:val="000000" w:themeColor="text1"/>
          <w:sz w:val="21"/>
          <w:szCs w:val="21"/>
          <w:u w:val="single"/>
          <w14:textFill>
            <w14:solidFill>
              <w14:schemeClr w14:val="tx1"/>
            </w14:solidFill>
          </w14:textFill>
        </w:rPr>
        <w:t>（供应商名称）</w:t>
      </w:r>
      <w:r>
        <w:rPr>
          <w:rFonts w:hint="eastAsia" w:ascii="宋体" w:hAnsi="宋体" w:cs="宋体"/>
          <w:color w:val="000000" w:themeColor="text1"/>
          <w:sz w:val="21"/>
          <w:szCs w:val="21"/>
          <w14:textFill>
            <w14:solidFill>
              <w14:schemeClr w14:val="tx1"/>
            </w14:solidFill>
          </w14:textFill>
        </w:rPr>
        <w:t>的法定代表人。</w:t>
      </w:r>
    </w:p>
    <w:p w14:paraId="2D3F0F52">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特此证明。</w:t>
      </w:r>
    </w:p>
    <w:p w14:paraId="701AB1C4">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359DB1CA">
      <w:pPr>
        <w:spacing w:line="360" w:lineRule="auto"/>
        <w:ind w:left="540"/>
        <w:contextualSpacing/>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附件：法定代表人有效身份证正反面复印件</w:t>
      </w:r>
    </w:p>
    <w:p w14:paraId="7C2E43B2">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2BD5477A">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（CA电子签章）</w:t>
      </w: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 xml:space="preserve">                            </w:t>
      </w:r>
    </w:p>
    <w:p w14:paraId="2C8272DB">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日</w:t>
      </w:r>
    </w:p>
    <w:p w14:paraId="0AD352E2">
      <w:pPr>
        <w:rPr>
          <w:rFonts w:ascii="宋体" w:hAnsi="宋体" w:eastAsia="宋体" w:cs="Times New Roman"/>
          <w:b/>
          <w:color w:val="000000" w:themeColor="text1"/>
          <w:sz w:val="24"/>
          <w:szCs w:val="36"/>
          <w:highlight w:val="none"/>
          <w14:textFill>
            <w14:solidFill>
              <w14:schemeClr w14:val="tx1"/>
            </w14:solidFill>
          </w14:textFill>
        </w:rPr>
      </w:pPr>
    </w:p>
    <w:p w14:paraId="213C97AF">
      <w:pPr>
        <w:rPr>
          <w:rFonts w:ascii="宋体" w:hAnsi="宋体" w:eastAsia="宋体" w:cs="Times New Roman"/>
          <w:b/>
          <w:color w:val="000000" w:themeColor="text1"/>
          <w:sz w:val="24"/>
          <w:szCs w:val="36"/>
          <w:highlight w:val="none"/>
          <w14:textFill>
            <w14:solidFill>
              <w14:schemeClr w14:val="tx1"/>
            </w14:solidFill>
          </w14:textFill>
        </w:rPr>
      </w:pPr>
    </w:p>
    <w:p w14:paraId="2132E8FD">
      <w:pPr>
        <w:rPr>
          <w:rFonts w:ascii="宋体" w:hAnsi="宋体" w:eastAsia="宋体" w:cs="Times New Roman"/>
          <w:b/>
          <w:color w:val="000000" w:themeColor="text1"/>
          <w:sz w:val="24"/>
          <w:szCs w:val="36"/>
          <w:highlight w:val="none"/>
          <w14:textFill>
            <w14:solidFill>
              <w14:schemeClr w14:val="tx1"/>
            </w14:solidFill>
          </w14:textFill>
        </w:rPr>
      </w:pPr>
    </w:p>
    <w:p w14:paraId="2C15FFB7">
      <w:pPr>
        <w:rPr>
          <w:rFonts w:hint="eastAsia"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br w:type="page"/>
      </w:r>
    </w:p>
    <w:p w14:paraId="60A1028E">
      <w:pP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3、法定代表人授权委托书原件和委托代理人有效的身份证正反面复印件（委托代理时必须提供，加盖单位电子公章）；</w:t>
      </w:r>
    </w:p>
    <w:p w14:paraId="73E03715">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p>
    <w:p w14:paraId="530F8909">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授权委托书（格式）</w:t>
      </w:r>
    </w:p>
    <w:p w14:paraId="01377D3C">
      <w:pPr>
        <w:rPr>
          <w:rFonts w:ascii="宋体" w:hAnsi="宋体" w:eastAsia="宋体" w:cs="Times New Roman"/>
          <w:color w:val="000000" w:themeColor="text1"/>
          <w:szCs w:val="21"/>
          <w:highlight w:val="none"/>
          <w14:textFill>
            <w14:solidFill>
              <w14:schemeClr w14:val="tx1"/>
            </w14:solidFill>
          </w14:textFill>
        </w:rPr>
      </w:pPr>
    </w:p>
    <w:p w14:paraId="033226DF">
      <w:pPr>
        <w:spacing w:line="500" w:lineRule="exact"/>
        <w:ind w:firstLine="42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本授权委托书声明：我</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(姓名)系</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(磋商单位名称)的法定代表人，现授权委托</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 xml:space="preserve">(姓名)为我单位代理人，以本单位的名义参加 </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p>
    <w:p w14:paraId="498B9648">
      <w:pPr>
        <w:spacing w:line="50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的政府采购活动，代理人在磋商过程中所签署的一切文件和处理与之有关的一切事务，我均予以承认。</w:t>
      </w:r>
    </w:p>
    <w:p w14:paraId="7BFF507A">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代理人无转委权。特此委托。</w:t>
      </w:r>
    </w:p>
    <w:p w14:paraId="3ABF1DC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              性别：               年龄：</w:t>
      </w:r>
    </w:p>
    <w:p w14:paraId="16149BF6">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单位：                部门：               职务：</w:t>
      </w:r>
    </w:p>
    <w:p w14:paraId="6F187E5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身份证号码：</w:t>
      </w:r>
    </w:p>
    <w:p w14:paraId="2617DA58">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磋商单位：(电子公章)</w:t>
      </w:r>
    </w:p>
    <w:p w14:paraId="340CC9F9">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法定代表人：(签名或签章)</w:t>
      </w:r>
    </w:p>
    <w:p w14:paraId="7026E6ED">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日期：         年        月        日</w:t>
      </w:r>
    </w:p>
    <w:p w14:paraId="589A9726">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p>
    <w:p w14:paraId="4911202B">
      <w:pPr>
        <w:widowControl/>
        <w:jc w:val="left"/>
        <w:rPr>
          <w:rFonts w:ascii="Times New Roman" w:hAnsi="Times New Roman" w:eastAsia="宋体" w:cs="Times New Roman"/>
          <w:b/>
          <w:color w:val="000000" w:themeColor="text1"/>
          <w:sz w:val="24"/>
          <w:szCs w:val="24"/>
          <w:highlight w:val="none"/>
          <w14:textFill>
            <w14:solidFill>
              <w14:schemeClr w14:val="tx1"/>
            </w14:solidFill>
          </w14:textFill>
        </w:rPr>
      </w:pPr>
      <w:bookmarkStart w:id="1407" w:name="_Toc23432"/>
      <w:r>
        <w:rPr>
          <w:rFonts w:ascii="Times New Roman" w:hAnsi="Times New Roman" w:eastAsia="宋体" w:cs="Times New Roman"/>
          <w:b/>
          <w:color w:val="000000" w:themeColor="text1"/>
          <w:sz w:val="24"/>
          <w:szCs w:val="24"/>
          <w:highlight w:val="none"/>
          <w14:textFill>
            <w14:solidFill>
              <w14:schemeClr w14:val="tx1"/>
            </w14:solidFill>
          </w14:textFill>
        </w:rPr>
        <w:br w:type="page"/>
      </w:r>
    </w:p>
    <w:p w14:paraId="1886AFAB">
      <w:pPr>
        <w:jc w:val="center"/>
        <w:rPr>
          <w:rFonts w:ascii="Times New Roman" w:hAnsi="Times New Roman" w:eastAsia="宋体" w:cs="Times New Roman"/>
          <w:b/>
          <w:color w:val="000000" w:themeColor="text1"/>
          <w:sz w:val="24"/>
          <w:szCs w:val="24"/>
          <w:highlight w:val="none"/>
          <w14:textFill>
            <w14:solidFill>
              <w14:schemeClr w14:val="tx1"/>
            </w14:solidFill>
          </w14:textFill>
        </w:rPr>
      </w:pPr>
      <w:r>
        <w:rPr>
          <w:rFonts w:hint="eastAsia" w:ascii="Times New Roman" w:hAnsi="Times New Roman" w:eastAsia="宋体" w:cs="Times New Roman"/>
          <w:b/>
          <w:color w:val="000000" w:themeColor="text1"/>
          <w:sz w:val="24"/>
          <w:szCs w:val="24"/>
          <w:highlight w:val="none"/>
          <w14:textFill>
            <w14:solidFill>
              <w14:schemeClr w14:val="tx1"/>
            </w14:solidFill>
          </w14:textFill>
        </w:rPr>
        <w:t>4、施工组织设计</w:t>
      </w:r>
      <w:bookmarkEnd w:id="1407"/>
    </w:p>
    <w:p w14:paraId="1678930D">
      <w:pPr>
        <w:jc w:val="center"/>
        <w:rPr>
          <w:rFonts w:ascii="Times New Roman" w:hAnsi="Times New Roman" w:eastAsia="宋体" w:cs="Times New Roman"/>
          <w:b/>
          <w:color w:val="000000" w:themeColor="text1"/>
          <w:sz w:val="24"/>
          <w:szCs w:val="24"/>
          <w:highlight w:val="none"/>
          <w14:textFill>
            <w14:solidFill>
              <w14:schemeClr w14:val="tx1"/>
            </w14:solidFill>
          </w14:textFill>
        </w:rPr>
      </w:pPr>
    </w:p>
    <w:p w14:paraId="299871CA">
      <w:pPr>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（1）施工方案或施工组织设计</w:t>
      </w:r>
    </w:p>
    <w:p w14:paraId="44651ACE">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磋商单位应递交完整的施工方案或施工组织设计，施工总布置图及其他必须的图表、文字说明书等资料，包括：</w:t>
      </w:r>
      <w:r>
        <w:rPr>
          <w:rFonts w:ascii="宋体" w:hAnsi="宋体" w:eastAsia="宋体" w:cs="Times New Roman"/>
          <w:color w:val="000000" w:themeColor="text1"/>
          <w:kern w:val="56"/>
          <w:sz w:val="24"/>
          <w:szCs w:val="24"/>
          <w:highlight w:val="none"/>
          <w14:textFill>
            <w14:solidFill>
              <w14:schemeClr w14:val="tx1"/>
            </w14:solidFill>
          </w14:textFill>
        </w:rPr>
        <w:t>主要施工方法</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拟投入的主要物资计划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拟投入的主要施工机械、设备计划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劳动力安排计划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确保工程质量的技术组织措施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确保安全生产的技术组织措施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确保工期的技术组织措施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确保文明施工的技术组织措施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等。</w:t>
      </w:r>
    </w:p>
    <w:p w14:paraId="4DACD91F">
      <w:pPr>
        <w:spacing w:line="500" w:lineRule="exact"/>
        <w:ind w:firstLine="432" w:firstLineChars="180"/>
        <w:rPr>
          <w:rFonts w:ascii="宋体" w:hAnsi="宋体" w:eastAsia="宋体" w:cs="Times New Roman"/>
          <w:color w:val="000000" w:themeColor="text1"/>
          <w:kern w:val="56"/>
          <w:sz w:val="24"/>
          <w:szCs w:val="24"/>
          <w:highlight w:val="none"/>
          <w14:textFill>
            <w14:solidFill>
              <w14:schemeClr w14:val="tx1"/>
            </w14:solidFill>
          </w14:textFill>
        </w:rPr>
      </w:pPr>
    </w:p>
    <w:p w14:paraId="783B6052">
      <w:pPr>
        <w:spacing w:line="500" w:lineRule="exact"/>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（2）计划开、竣工日期和施工进度表</w:t>
      </w:r>
    </w:p>
    <w:p w14:paraId="3AFD3359">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提交初步的施工进度表，说明按竞争性磋商文件要求的工期进行施工的各个关键日期。磋商单位还要按合同条件有关条款的要求提交详细的施工进度计划。初步施工进度表可采用横道图（或关键线路网络图）表示，说明计划开工日期和各分项工程各阶段的完工日期和分包合同签订的日期。施工进度计划应与施工方案或施工组织设计相适应。</w:t>
      </w:r>
    </w:p>
    <w:p w14:paraId="4E82D6E8">
      <w:pPr>
        <w:rPr>
          <w:rFonts w:ascii="Times New Roman" w:hAnsi="Times New Roman" w:eastAsia="宋体" w:cs="Times New Roman"/>
          <w:color w:val="000000" w:themeColor="text1"/>
          <w:highlight w:val="none"/>
          <w14:textFill>
            <w14:solidFill>
              <w14:schemeClr w14:val="tx1"/>
            </w14:solidFill>
          </w14:textFill>
        </w:rPr>
      </w:pPr>
    </w:p>
    <w:p w14:paraId="6832CFD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6F07A021">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8" w:name="_Toc26068"/>
      <w:r>
        <w:rPr>
          <w:rFonts w:hint="eastAsia" w:ascii="Times New Roman" w:hAnsi="Times New Roman" w:eastAsia="宋体" w:cs="Times New Roman"/>
          <w:b/>
          <w:color w:val="000000" w:themeColor="text1"/>
          <w:sz w:val="24"/>
          <w:highlight w:val="none"/>
          <w14:textFill>
            <w14:solidFill>
              <w14:schemeClr w14:val="tx1"/>
            </w14:solidFill>
          </w14:textFill>
        </w:rPr>
        <w:t>5、项目管理机构配备情况表；附安全生产管理人员、施工员等其他相关人员的上岗证和安全生产管理人员安全生产考核合格证复印件</w:t>
      </w:r>
      <w:bookmarkEnd w:id="1408"/>
    </w:p>
    <w:p w14:paraId="7A9A0C09">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p w14:paraId="5CF94F8F">
      <w:pPr>
        <w:ind w:firstLine="378" w:firstLineChars="180"/>
        <w:jc w:val="cente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(由供应商根据《第三章 评定标准》自行填写)。</w:t>
      </w:r>
    </w:p>
    <w:p w14:paraId="4F594073">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9" w:name="_Toc9273"/>
    </w:p>
    <w:p w14:paraId="2AD21805">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项目管理机构配备情况表</w:t>
      </w:r>
      <w:bookmarkEnd w:id="140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1843"/>
        <w:gridCol w:w="1134"/>
        <w:gridCol w:w="1276"/>
        <w:gridCol w:w="2835"/>
      </w:tblGrid>
      <w:tr w14:paraId="3D2C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18C7230">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名    称</w:t>
            </w:r>
          </w:p>
        </w:tc>
        <w:tc>
          <w:tcPr>
            <w:tcW w:w="1843" w:type="dxa"/>
            <w:tcBorders>
              <w:top w:val="single" w:color="auto" w:sz="4" w:space="0"/>
              <w:left w:val="single" w:color="auto" w:sz="4" w:space="0"/>
              <w:bottom w:val="single" w:color="auto" w:sz="4" w:space="0"/>
              <w:right w:val="single" w:color="auto" w:sz="4" w:space="0"/>
            </w:tcBorders>
            <w:vAlign w:val="center"/>
          </w:tcPr>
          <w:p w14:paraId="19132A2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姓    名</w:t>
            </w:r>
          </w:p>
        </w:tc>
        <w:tc>
          <w:tcPr>
            <w:tcW w:w="1134" w:type="dxa"/>
            <w:tcBorders>
              <w:top w:val="single" w:color="auto" w:sz="4" w:space="0"/>
              <w:left w:val="single" w:color="auto" w:sz="4" w:space="0"/>
              <w:bottom w:val="single" w:color="auto" w:sz="4" w:space="0"/>
              <w:right w:val="single" w:color="auto" w:sz="4" w:space="0"/>
            </w:tcBorders>
            <w:vAlign w:val="center"/>
          </w:tcPr>
          <w:p w14:paraId="5952BCE5">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 xml:space="preserve">职 </w:t>
            </w:r>
            <w:r>
              <w:rPr>
                <w:rFonts w:hint="eastAsia" w:ascii="宋体" w:hAnsi="宋体" w:eastAsia="宋体" w:cs="Times New Roman"/>
                <w:color w:val="000000" w:themeColor="text1"/>
                <w:kern w:val="56"/>
                <w:sz w:val="24"/>
                <w:highlight w:val="none"/>
                <w14:textFill>
                  <w14:solidFill>
                    <w14:schemeClr w14:val="tx1"/>
                  </w14:solidFill>
                </w14:textFill>
              </w:rPr>
              <w:t>务</w:t>
            </w:r>
          </w:p>
        </w:tc>
        <w:tc>
          <w:tcPr>
            <w:tcW w:w="1276" w:type="dxa"/>
            <w:tcBorders>
              <w:top w:val="single" w:color="auto" w:sz="4" w:space="0"/>
              <w:left w:val="single" w:color="auto" w:sz="4" w:space="0"/>
              <w:bottom w:val="single" w:color="auto" w:sz="4" w:space="0"/>
              <w:right w:val="single" w:color="auto" w:sz="4" w:space="0"/>
            </w:tcBorders>
            <w:vAlign w:val="center"/>
          </w:tcPr>
          <w:p w14:paraId="39DDE02D">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职   称</w:t>
            </w:r>
          </w:p>
        </w:tc>
        <w:tc>
          <w:tcPr>
            <w:tcW w:w="2835" w:type="dxa"/>
            <w:tcBorders>
              <w:top w:val="single" w:color="auto" w:sz="4" w:space="0"/>
              <w:left w:val="single" w:color="auto" w:sz="4" w:space="0"/>
              <w:bottom w:val="single" w:color="auto" w:sz="4" w:space="0"/>
              <w:right w:val="single" w:color="auto" w:sz="4" w:space="0"/>
            </w:tcBorders>
            <w:vAlign w:val="center"/>
          </w:tcPr>
          <w:p w14:paraId="5ECC9D93">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任职务及资格经历</w:t>
            </w:r>
          </w:p>
        </w:tc>
      </w:tr>
      <w:tr w14:paraId="7BE1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726D8D6">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一、总   部</w:t>
            </w:r>
          </w:p>
        </w:tc>
        <w:tc>
          <w:tcPr>
            <w:tcW w:w="1843" w:type="dxa"/>
            <w:tcBorders>
              <w:top w:val="single" w:color="auto" w:sz="4" w:space="0"/>
              <w:left w:val="single" w:color="auto" w:sz="4" w:space="0"/>
              <w:bottom w:val="single" w:color="auto" w:sz="4" w:space="0"/>
              <w:right w:val="single" w:color="auto" w:sz="4" w:space="0"/>
            </w:tcBorders>
            <w:vAlign w:val="center"/>
          </w:tcPr>
          <w:p w14:paraId="10EE3AC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75DB5B4">
            <w:pPr>
              <w:rPr>
                <w:rFonts w:ascii="Times New Roman" w:hAnsi="Times New Roman" w:eastAsia="宋体" w:cs="Times New Roman"/>
                <w:color w:val="000000" w:themeColor="text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34F72D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6AE3592">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42B3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55E333E0">
            <w:pPr>
              <w:widowControl/>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1、项目主管</w:t>
            </w:r>
          </w:p>
        </w:tc>
        <w:tc>
          <w:tcPr>
            <w:tcW w:w="1843" w:type="dxa"/>
            <w:tcBorders>
              <w:top w:val="single" w:color="auto" w:sz="4" w:space="0"/>
              <w:left w:val="single" w:color="auto" w:sz="4" w:space="0"/>
              <w:bottom w:val="single" w:color="auto" w:sz="4" w:space="0"/>
              <w:right w:val="single" w:color="auto" w:sz="4" w:space="0"/>
            </w:tcBorders>
            <w:vAlign w:val="center"/>
          </w:tcPr>
          <w:p w14:paraId="572B154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70D3A15">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4C929E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4CCCFE7D">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EDA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ADF8985">
            <w:pPr>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4BDABEB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F592EA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82A4060">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A6B38AB">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772E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A1295B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7A57644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45E686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A2BD03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2A745A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F23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3A21DA1">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5F09C5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270DC2F">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D6AE3D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07E5B4C">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001E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0406AE7">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二、现   场</w:t>
            </w:r>
          </w:p>
        </w:tc>
        <w:tc>
          <w:tcPr>
            <w:tcW w:w="1843" w:type="dxa"/>
            <w:tcBorders>
              <w:top w:val="single" w:color="auto" w:sz="4" w:space="0"/>
              <w:left w:val="single" w:color="auto" w:sz="4" w:space="0"/>
              <w:bottom w:val="single" w:color="auto" w:sz="4" w:space="0"/>
              <w:right w:val="single" w:color="auto" w:sz="4" w:space="0"/>
            </w:tcBorders>
            <w:vAlign w:val="center"/>
          </w:tcPr>
          <w:p w14:paraId="654BED1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81C14F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BB8EDA4">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6FED4EC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1129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2036B6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1、项目经理</w:t>
            </w:r>
          </w:p>
          <w:p w14:paraId="1C1D049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（建造师）</w:t>
            </w:r>
          </w:p>
        </w:tc>
        <w:tc>
          <w:tcPr>
            <w:tcW w:w="1843" w:type="dxa"/>
            <w:tcBorders>
              <w:top w:val="single" w:color="auto" w:sz="4" w:space="0"/>
              <w:left w:val="single" w:color="auto" w:sz="4" w:space="0"/>
              <w:bottom w:val="single" w:color="auto" w:sz="4" w:space="0"/>
              <w:right w:val="single" w:color="auto" w:sz="4" w:space="0"/>
            </w:tcBorders>
            <w:vAlign w:val="center"/>
          </w:tcPr>
          <w:p w14:paraId="3A5934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8BC1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1BA4BAF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24E0D3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FF4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0D239B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2、技术负责人</w:t>
            </w:r>
          </w:p>
        </w:tc>
        <w:tc>
          <w:tcPr>
            <w:tcW w:w="1843" w:type="dxa"/>
            <w:tcBorders>
              <w:top w:val="single" w:color="auto" w:sz="4" w:space="0"/>
              <w:left w:val="single" w:color="auto" w:sz="4" w:space="0"/>
              <w:bottom w:val="single" w:color="auto" w:sz="4" w:space="0"/>
              <w:right w:val="single" w:color="auto" w:sz="4" w:space="0"/>
            </w:tcBorders>
            <w:vAlign w:val="center"/>
          </w:tcPr>
          <w:p w14:paraId="5A84991A">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2B291A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87D07E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C4D139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2DFE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566F05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3、安全生产管理人员</w:t>
            </w:r>
          </w:p>
        </w:tc>
        <w:tc>
          <w:tcPr>
            <w:tcW w:w="1843" w:type="dxa"/>
            <w:tcBorders>
              <w:top w:val="single" w:color="auto" w:sz="4" w:space="0"/>
              <w:left w:val="single" w:color="auto" w:sz="4" w:space="0"/>
              <w:bottom w:val="single" w:color="auto" w:sz="4" w:space="0"/>
              <w:right w:val="single" w:color="auto" w:sz="4" w:space="0"/>
            </w:tcBorders>
            <w:vAlign w:val="center"/>
          </w:tcPr>
          <w:p w14:paraId="128455C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4E360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1E9703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2A1DC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3F6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86FB9A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4、材料员</w:t>
            </w:r>
          </w:p>
        </w:tc>
        <w:tc>
          <w:tcPr>
            <w:tcW w:w="1843" w:type="dxa"/>
            <w:tcBorders>
              <w:top w:val="single" w:color="auto" w:sz="4" w:space="0"/>
              <w:left w:val="single" w:color="auto" w:sz="4" w:space="0"/>
              <w:bottom w:val="single" w:color="auto" w:sz="4" w:space="0"/>
              <w:right w:val="single" w:color="auto" w:sz="4" w:space="0"/>
            </w:tcBorders>
            <w:vAlign w:val="center"/>
          </w:tcPr>
          <w:p w14:paraId="7748653E">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AB07E8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742910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7C9AACC2">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82F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BD7EB6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5、质检员</w:t>
            </w:r>
          </w:p>
        </w:tc>
        <w:tc>
          <w:tcPr>
            <w:tcW w:w="1843" w:type="dxa"/>
            <w:tcBorders>
              <w:top w:val="single" w:color="auto" w:sz="4" w:space="0"/>
              <w:left w:val="single" w:color="auto" w:sz="4" w:space="0"/>
              <w:bottom w:val="single" w:color="auto" w:sz="4" w:space="0"/>
              <w:right w:val="single" w:color="auto" w:sz="4" w:space="0"/>
            </w:tcBorders>
            <w:vAlign w:val="center"/>
          </w:tcPr>
          <w:p w14:paraId="69C70A0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C66B5E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BCD26D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2583F4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355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20CFD59B">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6、施工员</w:t>
            </w:r>
          </w:p>
        </w:tc>
        <w:tc>
          <w:tcPr>
            <w:tcW w:w="1843" w:type="dxa"/>
            <w:tcBorders>
              <w:top w:val="single" w:color="auto" w:sz="4" w:space="0"/>
              <w:left w:val="single" w:color="auto" w:sz="4" w:space="0"/>
              <w:bottom w:val="single" w:color="auto" w:sz="4" w:space="0"/>
              <w:right w:val="single" w:color="auto" w:sz="4" w:space="0"/>
            </w:tcBorders>
            <w:vAlign w:val="center"/>
          </w:tcPr>
          <w:p w14:paraId="2A7CC74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0A0D263">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CBB1E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0B5804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448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FA645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372CA7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01EBB3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1F05D0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7D76E3F">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bl>
    <w:p w14:paraId="0B5344EB">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注：</w:t>
      </w:r>
      <w:r>
        <w:rPr>
          <w:rFonts w:hint="eastAsia" w:ascii="宋体" w:hAnsi="宋体" w:eastAsia="宋体" w:cs="Times New Roman"/>
          <w:color w:val="000000" w:themeColor="text1"/>
          <w:kern w:val="56"/>
          <w:sz w:val="24"/>
          <w:highlight w:val="none"/>
          <w14:textFill>
            <w14:solidFill>
              <w14:schemeClr w14:val="tx1"/>
            </w14:solidFill>
          </w14:textFill>
        </w:rPr>
        <w:t xml:space="preserve">附上岗证和安全生产管理人员安全考核合格证复印件。 </w:t>
      </w:r>
    </w:p>
    <w:p w14:paraId="3AAE936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p w14:paraId="78308768">
      <w:pPr>
        <w:widowControl/>
        <w:jc w:val="left"/>
        <w:rPr>
          <w:rFonts w:ascii="Times New Roman" w:hAnsi="Times New Roman" w:eastAsia="宋体" w:cs="Times New Roman"/>
          <w:b/>
          <w:color w:val="000000" w:themeColor="text1"/>
          <w:sz w:val="24"/>
          <w:highlight w:val="none"/>
          <w14:textFill>
            <w14:solidFill>
              <w14:schemeClr w14:val="tx1"/>
            </w14:solidFill>
          </w14:textFill>
        </w:rPr>
      </w:pPr>
      <w:r>
        <w:rPr>
          <w:rFonts w:ascii="Times New Roman" w:hAnsi="Times New Roman" w:eastAsia="宋体" w:cs="Times New Roman"/>
          <w:b/>
          <w:color w:val="000000" w:themeColor="text1"/>
          <w:sz w:val="24"/>
          <w:highlight w:val="none"/>
          <w14:textFill>
            <w14:solidFill>
              <w14:schemeClr w14:val="tx1"/>
            </w14:solidFill>
          </w14:textFill>
        </w:rPr>
        <w:br w:type="page"/>
      </w:r>
    </w:p>
    <w:p w14:paraId="3B61D62E">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6、202</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b/>
          <w:color w:val="000000" w:themeColor="text1"/>
          <w:sz w:val="24"/>
          <w:highlight w:val="none"/>
          <w14:textFill>
            <w14:solidFill>
              <w14:schemeClr w14:val="tx1"/>
            </w14:solidFill>
          </w14:textFill>
        </w:rPr>
        <w:t>年1月1日以来至今企业完成过</w:t>
      </w:r>
      <w:r>
        <w:rPr>
          <w:rFonts w:hint="eastAsia" w:ascii="宋体" w:hAnsi="宋体" w:eastAsia="宋体" w:cs="Times New Roman"/>
          <w:b/>
          <w:color w:val="000000" w:themeColor="text1"/>
          <w:sz w:val="24"/>
          <w:szCs w:val="24"/>
          <w:highlight w:val="none"/>
          <w:u w:val="none"/>
          <w:lang w:val="en-US" w:eastAsia="zh-CN"/>
          <w14:textFill>
            <w14:solidFill>
              <w14:schemeClr w14:val="tx1"/>
            </w14:solidFill>
          </w14:textFill>
        </w:rPr>
        <w:t>市政公用工程项目</w:t>
      </w:r>
      <w:r>
        <w:rPr>
          <w:rFonts w:hint="eastAsia" w:ascii="Times New Roman" w:hAnsi="Times New Roman" w:eastAsia="宋体" w:cs="Times New Roman"/>
          <w:b/>
          <w:color w:val="000000" w:themeColor="text1"/>
          <w:sz w:val="24"/>
          <w:highlight w:val="none"/>
          <w14:textFill>
            <w14:solidFill>
              <w14:schemeClr w14:val="tx1"/>
            </w14:solidFill>
          </w14:textFill>
        </w:rPr>
        <w:t>情况表（格式自拟）。附成交（中标）通知书或施工合同复印件（如有请提供，加盖单位电子公章）。</w:t>
      </w:r>
    </w:p>
    <w:p w14:paraId="5937E5A6">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601806AA">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569BD34">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270D10D3">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1F6B25B7">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0F23ADBD">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5CB82A35">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E955778">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7、按本竞争性磋商文件规定提交的其它资料（如有请提供，加盖单位电子公章）。</w:t>
      </w:r>
    </w:p>
    <w:p w14:paraId="33838314">
      <w:pPr>
        <w:rPr>
          <w:rFonts w:ascii="Times New Roman" w:hAnsi="Times New Roman" w:eastAsia="宋体" w:cs="Times New Roman"/>
          <w:color w:val="000000" w:themeColor="text1"/>
          <w:highlight w:val="none"/>
          <w14:textFill>
            <w14:solidFill>
              <w14:schemeClr w14:val="tx1"/>
            </w14:solidFill>
          </w14:textFill>
        </w:rPr>
      </w:pPr>
    </w:p>
    <w:p w14:paraId="04D55130">
      <w:pPr>
        <w:rPr>
          <w:rFonts w:ascii="Times New Roman" w:hAnsi="Times New Roman" w:eastAsia="宋体" w:cs="Times New Roman"/>
          <w:color w:val="000000" w:themeColor="text1"/>
          <w:highlight w:val="none"/>
          <w14:textFill>
            <w14:solidFill>
              <w14:schemeClr w14:val="tx1"/>
            </w14:solidFill>
          </w14:textFill>
        </w:rPr>
      </w:pPr>
    </w:p>
    <w:p w14:paraId="5CCCC9AC">
      <w:pPr>
        <w:rPr>
          <w:rFonts w:ascii="Times New Roman" w:hAnsi="Times New Roman" w:eastAsia="宋体" w:cs="Times New Roman"/>
          <w:color w:val="000000" w:themeColor="text1"/>
          <w:highlight w:val="none"/>
          <w14:textFill>
            <w14:solidFill>
              <w14:schemeClr w14:val="tx1"/>
            </w14:solidFill>
          </w14:textFill>
        </w:rPr>
      </w:pPr>
    </w:p>
    <w:p w14:paraId="414DD7AE">
      <w:pPr>
        <w:rPr>
          <w:rFonts w:ascii="Times New Roman" w:hAnsi="Times New Roman" w:eastAsia="宋体" w:cs="Times New Roman"/>
          <w:color w:val="000000" w:themeColor="text1"/>
          <w:highlight w:val="none"/>
          <w14:textFill>
            <w14:solidFill>
              <w14:schemeClr w14:val="tx1"/>
            </w14:solidFill>
          </w14:textFill>
        </w:rPr>
      </w:pPr>
    </w:p>
    <w:p w14:paraId="7225F00D">
      <w:pPr>
        <w:rPr>
          <w:rFonts w:ascii="Times New Roman" w:hAnsi="Times New Roman" w:eastAsia="宋体" w:cs="Times New Roman"/>
          <w:color w:val="000000" w:themeColor="text1"/>
          <w:highlight w:val="none"/>
          <w14:textFill>
            <w14:solidFill>
              <w14:schemeClr w14:val="tx1"/>
            </w14:solidFill>
          </w14:textFill>
        </w:rPr>
      </w:pPr>
    </w:p>
    <w:p w14:paraId="3200175D">
      <w:pPr>
        <w:rPr>
          <w:rFonts w:ascii="Times New Roman" w:hAnsi="Times New Roman" w:eastAsia="宋体" w:cs="Times New Roman"/>
          <w:color w:val="000000" w:themeColor="text1"/>
          <w:highlight w:val="none"/>
          <w14:textFill>
            <w14:solidFill>
              <w14:schemeClr w14:val="tx1"/>
            </w14:solidFill>
          </w14:textFill>
        </w:rPr>
      </w:pPr>
    </w:p>
    <w:p w14:paraId="0170EA2C">
      <w:pPr>
        <w:rPr>
          <w:rFonts w:ascii="Times New Roman" w:hAnsi="Times New Roman" w:eastAsia="宋体" w:cs="Times New Roman"/>
          <w:color w:val="000000" w:themeColor="text1"/>
          <w:highlight w:val="none"/>
          <w14:textFill>
            <w14:solidFill>
              <w14:schemeClr w14:val="tx1"/>
            </w14:solidFill>
          </w14:textFill>
        </w:rPr>
      </w:pPr>
    </w:p>
    <w:p w14:paraId="34D78DB9">
      <w:pPr>
        <w:rPr>
          <w:rFonts w:ascii="Times New Roman" w:hAnsi="Times New Roman" w:eastAsia="宋体" w:cs="Times New Roman"/>
          <w:color w:val="000000" w:themeColor="text1"/>
          <w:highlight w:val="none"/>
          <w14:textFill>
            <w14:solidFill>
              <w14:schemeClr w14:val="tx1"/>
            </w14:solidFill>
          </w14:textFill>
        </w:rPr>
      </w:pPr>
    </w:p>
    <w:p w14:paraId="471C53B0">
      <w:pPr>
        <w:rPr>
          <w:rFonts w:ascii="Times New Roman" w:hAnsi="Times New Roman" w:eastAsia="宋体" w:cs="Times New Roman"/>
          <w:color w:val="000000" w:themeColor="text1"/>
          <w:highlight w:val="none"/>
          <w14:textFill>
            <w14:solidFill>
              <w14:schemeClr w14:val="tx1"/>
            </w14:solidFill>
          </w14:textFill>
        </w:rPr>
      </w:pPr>
    </w:p>
    <w:p w14:paraId="16581585">
      <w:pPr>
        <w:rPr>
          <w:rFonts w:ascii="Times New Roman" w:hAnsi="Times New Roman" w:eastAsia="宋体" w:cs="Times New Roman"/>
          <w:color w:val="000000" w:themeColor="text1"/>
          <w:highlight w:val="none"/>
          <w14:textFill>
            <w14:solidFill>
              <w14:schemeClr w14:val="tx1"/>
            </w14:solidFill>
          </w14:textFill>
        </w:rPr>
      </w:pPr>
    </w:p>
    <w:p w14:paraId="655BDD90">
      <w:pPr>
        <w:rPr>
          <w:rFonts w:ascii="Times New Roman" w:hAnsi="Times New Roman" w:eastAsia="宋体" w:cs="Times New Roman"/>
          <w:color w:val="000000" w:themeColor="text1"/>
          <w:highlight w:val="none"/>
          <w14:textFill>
            <w14:solidFill>
              <w14:schemeClr w14:val="tx1"/>
            </w14:solidFill>
          </w14:textFill>
        </w:rPr>
      </w:pPr>
    </w:p>
    <w:p w14:paraId="10EC06EE">
      <w:pPr>
        <w:rPr>
          <w:rFonts w:ascii="Times New Roman" w:hAnsi="Times New Roman" w:eastAsia="宋体" w:cs="Times New Roman"/>
          <w:color w:val="000000" w:themeColor="text1"/>
          <w:highlight w:val="none"/>
          <w14:textFill>
            <w14:solidFill>
              <w14:schemeClr w14:val="tx1"/>
            </w14:solidFill>
          </w14:textFill>
        </w:rPr>
      </w:pPr>
    </w:p>
    <w:p w14:paraId="40B61E4C">
      <w:pPr>
        <w:rPr>
          <w:rFonts w:ascii="Times New Roman" w:hAnsi="Times New Roman" w:eastAsia="宋体" w:cs="Times New Roman"/>
          <w:color w:val="000000" w:themeColor="text1"/>
          <w:highlight w:val="none"/>
          <w14:textFill>
            <w14:solidFill>
              <w14:schemeClr w14:val="tx1"/>
            </w14:solidFill>
          </w14:textFill>
        </w:rPr>
      </w:pPr>
    </w:p>
    <w:p w14:paraId="3B9274EB">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277C4FB">
      <w:pPr>
        <w:rPr>
          <w:rFonts w:ascii="宋体" w:hAnsi="宋体" w:eastAsia="宋体" w:cs="Times New Roman"/>
          <w:color w:val="000000" w:themeColor="text1"/>
          <w:kern w:val="56"/>
          <w:sz w:val="24"/>
          <w:highlight w:val="none"/>
          <w14:textFill>
            <w14:solidFill>
              <w14:schemeClr w14:val="tx1"/>
            </w14:solidFill>
          </w14:textFill>
        </w:rPr>
      </w:pPr>
    </w:p>
    <w:p w14:paraId="71F37C64">
      <w:pPr>
        <w:rPr>
          <w:rFonts w:ascii="宋体" w:hAnsi="宋体" w:eastAsia="宋体" w:cs="Times New Roman"/>
          <w:b/>
          <w:color w:val="000000" w:themeColor="text1"/>
          <w:sz w:val="28"/>
          <w:szCs w:val="36"/>
          <w:highlight w:val="none"/>
          <w14:textFill>
            <w14:solidFill>
              <w14:schemeClr w14:val="tx1"/>
            </w14:solidFill>
          </w14:textFill>
        </w:rPr>
      </w:pPr>
      <w:r>
        <w:rPr>
          <w:rFonts w:hint="eastAsia" w:ascii="宋体" w:hAnsi="宋体" w:eastAsia="宋体" w:cs="Times New Roman"/>
          <w:b/>
          <w:color w:val="000000" w:themeColor="text1"/>
          <w:sz w:val="28"/>
          <w:szCs w:val="36"/>
          <w:highlight w:val="none"/>
          <w14:textFill>
            <w14:solidFill>
              <w14:schemeClr w14:val="tx1"/>
            </w14:solidFill>
          </w14:textFill>
        </w:rPr>
        <w:t>三、二次报价封面格式</w:t>
      </w:r>
    </w:p>
    <w:p w14:paraId="3D2886CB">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bookmarkStart w:id="1410" w:name="_Toc31650"/>
      <w:bookmarkStart w:id="1411" w:name="_Toc293903940"/>
      <w:bookmarkStart w:id="1412" w:name="_Toc300661871"/>
    </w:p>
    <w:p w14:paraId="2D856015">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r>
        <w:rPr>
          <w:rFonts w:hint="eastAsia" w:ascii="宋体" w:hAnsi="宋体" w:eastAsia="宋体" w:cs="Times New Roman"/>
          <w:b/>
          <w:color w:val="000000" w:themeColor="text1"/>
          <w:sz w:val="48"/>
          <w:szCs w:val="36"/>
          <w:highlight w:val="none"/>
          <w14:textFill>
            <w14:solidFill>
              <w14:schemeClr w14:val="tx1"/>
            </w14:solidFill>
          </w14:textFill>
        </w:rPr>
        <w:t>第二次报价文件</w:t>
      </w:r>
    </w:p>
    <w:p w14:paraId="4BE3FC85">
      <w:pPr>
        <w:spacing w:line="520" w:lineRule="exact"/>
        <w:jc w:val="center"/>
        <w:rPr>
          <w:rFonts w:ascii="宋体" w:hAnsi="宋体" w:eastAsia="宋体" w:cs="Times New Roman"/>
          <w:b/>
          <w:color w:val="000000" w:themeColor="text1"/>
          <w:sz w:val="28"/>
          <w:szCs w:val="36"/>
          <w:highlight w:val="none"/>
          <w14:textFill>
            <w14:solidFill>
              <w14:schemeClr w14:val="tx1"/>
            </w14:solidFill>
          </w14:textFill>
        </w:rPr>
      </w:pPr>
    </w:p>
    <w:p w14:paraId="3BAC2B62">
      <w:pPr>
        <w:spacing w:line="520" w:lineRule="exact"/>
        <w:jc w:val="center"/>
        <w:rPr>
          <w:rFonts w:ascii="Times New Roman" w:hAnsi="宋体" w:eastAsia="宋体" w:cs="Times New Roman"/>
          <w:bCs/>
          <w:color w:val="000000" w:themeColor="text1"/>
          <w:sz w:val="24"/>
          <w:highlight w:val="none"/>
          <w14:textFill>
            <w14:solidFill>
              <w14:schemeClr w14:val="tx1"/>
            </w14:solidFill>
          </w14:textFill>
        </w:rPr>
      </w:pPr>
    </w:p>
    <w:p w14:paraId="2D0B25DD">
      <w:pPr>
        <w:rPr>
          <w:rFonts w:ascii="Times New Roman" w:hAnsi="Times New Roman" w:eastAsia="宋体" w:cs="Times New Roman"/>
          <w:color w:val="000000" w:themeColor="text1"/>
          <w:highlight w:val="none"/>
          <w14:textFill>
            <w14:solidFill>
              <w14:schemeClr w14:val="tx1"/>
            </w14:solidFill>
          </w14:textFill>
        </w:rPr>
      </w:pPr>
    </w:p>
    <w:p w14:paraId="265314A5">
      <w:pPr>
        <w:rPr>
          <w:rFonts w:ascii="Times New Roman" w:hAnsi="Times New Roman" w:eastAsia="宋体" w:cs="Times New Roman"/>
          <w:color w:val="000000" w:themeColor="text1"/>
          <w:highlight w:val="none"/>
          <w14:textFill>
            <w14:solidFill>
              <w14:schemeClr w14:val="tx1"/>
            </w14:solidFill>
          </w14:textFill>
        </w:rPr>
      </w:pPr>
    </w:p>
    <w:p w14:paraId="2E0FA672">
      <w:pPr>
        <w:rPr>
          <w:rFonts w:ascii="Times New Roman" w:hAnsi="Times New Roman" w:eastAsia="宋体" w:cs="Times New Roman"/>
          <w:color w:val="000000" w:themeColor="text1"/>
          <w:highlight w:val="none"/>
          <w14:textFill>
            <w14:solidFill>
              <w14:schemeClr w14:val="tx1"/>
            </w14:solidFill>
          </w14:textFill>
        </w:rPr>
      </w:pPr>
    </w:p>
    <w:p w14:paraId="4430FA42">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0A1F0F7">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51261F98">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5C70ACBA">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0E46B8EE">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3246243B">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77E9859F">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1C16838E">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09B040D0">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6BA75EA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64565593">
      <w:pPr>
        <w:rPr>
          <w:rFonts w:ascii="Times New Roman" w:hAnsi="Times New Roman" w:eastAsia="宋体" w:cs="Times New Roman"/>
          <w:color w:val="000000" w:themeColor="text1"/>
          <w:highlight w:val="none"/>
          <w14:textFill>
            <w14:solidFill>
              <w14:schemeClr w14:val="tx1"/>
            </w14:solidFill>
          </w14:textFill>
        </w:rPr>
      </w:pPr>
    </w:p>
    <w:p w14:paraId="18FB14DD">
      <w:pPr>
        <w:rPr>
          <w:rFonts w:ascii="Times New Roman" w:hAnsi="Times New Roman" w:eastAsia="宋体" w:cs="Times New Roman"/>
          <w:color w:val="000000" w:themeColor="text1"/>
          <w:highlight w:val="none"/>
          <w14:textFill>
            <w14:solidFill>
              <w14:schemeClr w14:val="tx1"/>
            </w14:solidFill>
          </w14:textFill>
        </w:rPr>
      </w:pPr>
    </w:p>
    <w:p w14:paraId="12B943C2">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617D001B">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017D5D54">
      <w:pPr>
        <w:spacing w:line="520" w:lineRule="exact"/>
        <w:rPr>
          <w:rFonts w:ascii="Times New Roman" w:hAnsi="宋体" w:eastAsia="宋体" w:cs="Times New Roman"/>
          <w:b/>
          <w:color w:val="000000" w:themeColor="text1"/>
          <w:sz w:val="24"/>
          <w:highlight w:val="none"/>
          <w14:textFill>
            <w14:solidFill>
              <w14:schemeClr w14:val="tx1"/>
            </w14:solidFill>
          </w14:textFill>
        </w:rPr>
      </w:pPr>
    </w:p>
    <w:p w14:paraId="57EE7A56">
      <w:pPr>
        <w:spacing w:line="360" w:lineRule="auto"/>
        <w:jc w:val="center"/>
        <w:rPr>
          <w:rFonts w:ascii="Times New Roman" w:hAnsi="宋体" w:eastAsia="宋体" w:cs="Times New Roman"/>
          <w:b/>
          <w:bCs/>
          <w:color w:val="000000" w:themeColor="text1"/>
          <w:sz w:val="48"/>
          <w:szCs w:val="48"/>
          <w:highlight w:val="none"/>
          <w14:textFill>
            <w14:solidFill>
              <w14:schemeClr w14:val="tx1"/>
            </w14:solidFill>
          </w14:textFill>
        </w:rPr>
      </w:pPr>
      <w:r>
        <w:rPr>
          <w:rFonts w:ascii="宋体" w:hAnsi="宋体" w:eastAsia="宋体" w:cs="Times New Roman"/>
          <w:b/>
          <w:bCs/>
          <w:color w:val="000000" w:themeColor="text1"/>
          <w:kern w:val="56"/>
          <w:sz w:val="48"/>
          <w:szCs w:val="48"/>
          <w:highlight w:val="none"/>
          <w14:textFill>
            <w14:solidFill>
              <w14:schemeClr w14:val="tx1"/>
            </w14:solidFill>
          </w14:textFill>
        </w:rPr>
        <w:br w:type="page"/>
      </w:r>
      <w:r>
        <w:rPr>
          <w:rFonts w:hint="eastAsia" w:ascii="宋体" w:hAnsi="宋体" w:eastAsia="宋体" w:cs="Times New Roman"/>
          <w:b/>
          <w:bCs/>
          <w:color w:val="000000" w:themeColor="text1"/>
          <w:kern w:val="56"/>
          <w:sz w:val="28"/>
          <w:szCs w:val="48"/>
          <w:highlight w:val="none"/>
          <w14:textFill>
            <w14:solidFill>
              <w14:schemeClr w14:val="tx1"/>
            </w14:solidFill>
          </w14:textFill>
        </w:rPr>
        <w:t>二次报价磋商函</w:t>
      </w:r>
    </w:p>
    <w:p w14:paraId="5239B116">
      <w:pPr>
        <w:jc w:val="center"/>
        <w:rPr>
          <w:rFonts w:ascii="宋体"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1. 磋商函（格式）</w:t>
      </w:r>
    </w:p>
    <w:p w14:paraId="6CF3D4B6">
      <w:pPr>
        <w:rPr>
          <w:color w:val="000000" w:themeColor="text1"/>
          <w:highlight w:val="none"/>
          <w14:textFill>
            <w14:solidFill>
              <w14:schemeClr w14:val="tx1"/>
            </w14:solidFill>
          </w14:textFill>
        </w:rPr>
      </w:pPr>
    </w:p>
    <w:p w14:paraId="5569C9DC">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4D41B3AF">
      <w:pPr>
        <w:wordWrap w:val="0"/>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00377EE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44F5E12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4E7E11F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5532623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DF8A31B">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1C83F49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1395C32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17219326">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磋商单位：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  （电子公章）</w:t>
      </w:r>
    </w:p>
    <w:p w14:paraId="2743E87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48A2908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76A96E5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EB337E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p>
    <w:p w14:paraId="78827989">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1AE89B8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3D1A942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F55212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日   期 ：     年    月    日</w:t>
      </w:r>
    </w:p>
    <w:p w14:paraId="7D1EA6A1">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78C76A57">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4D846431">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7A7708D2">
      <w:pPr>
        <w:rPr>
          <w:rFonts w:ascii="Times New Roman" w:hAnsi="Times New Roman" w:eastAsia="宋体" w:cs="Times New Roman"/>
          <w:color w:val="000000" w:themeColor="text1"/>
          <w:highlight w:val="none"/>
          <w14:textFill>
            <w14:solidFill>
              <w14:schemeClr w14:val="tx1"/>
            </w14:solidFill>
          </w14:textFill>
        </w:rPr>
      </w:pPr>
    </w:p>
    <w:p w14:paraId="45E224C3">
      <w:pPr>
        <w:rPr>
          <w:rFonts w:ascii="Times New Roman" w:hAnsi="Times New Roman" w:eastAsia="宋体" w:cs="Times New Roman"/>
          <w:color w:val="000000" w:themeColor="text1"/>
          <w:highlight w:val="none"/>
          <w14:textFill>
            <w14:solidFill>
              <w14:schemeClr w14:val="tx1"/>
            </w14:solidFill>
          </w14:textFill>
        </w:rPr>
      </w:pPr>
    </w:p>
    <w:p w14:paraId="099E360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48BFED36">
      <w:pPr>
        <w:jc w:val="center"/>
        <w:rPr>
          <w:rFonts w:ascii="Times New Roman" w:hAnsi="Times New Roman" w:eastAsia="宋体" w:cs="Times New Roman"/>
          <w:color w:val="000000" w:themeColor="text1"/>
          <w:highlight w:val="none"/>
          <w14:textFill>
            <w14:solidFill>
              <w14:schemeClr w14:val="tx1"/>
            </w14:solidFill>
          </w14:textFill>
        </w:rPr>
      </w:pPr>
    </w:p>
    <w:p w14:paraId="657BA9E1">
      <w:pPr>
        <w:jc w:val="center"/>
        <w:rPr>
          <w:rFonts w:ascii="Times New Roman" w:hAnsi="宋体" w:eastAsia="宋体" w:cs="Times New Roman"/>
          <w:b/>
          <w:color w:val="000000" w:themeColor="text1"/>
          <w:sz w:val="28"/>
          <w:szCs w:val="36"/>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四、工程量清单报价有关资料</w:t>
      </w:r>
    </w:p>
    <w:p w14:paraId="304027F6">
      <w:pPr>
        <w:jc w:val="center"/>
        <w:rPr>
          <w:rFonts w:ascii="宋体" w:hAnsi="宋体" w:eastAsia="宋体" w:cs="Times New Roman"/>
          <w:b/>
          <w:color w:val="000000" w:themeColor="text1"/>
          <w:sz w:val="36"/>
          <w:szCs w:val="36"/>
          <w:highlight w:val="none"/>
          <w14:textFill>
            <w14:solidFill>
              <w14:schemeClr w14:val="tx1"/>
            </w14:solidFill>
          </w14:textFill>
        </w:rPr>
      </w:pPr>
    </w:p>
    <w:p w14:paraId="36F84CA9">
      <w:pPr>
        <w:jc w:val="center"/>
        <w:rPr>
          <w:rFonts w:ascii="宋体" w:hAnsi="宋体" w:eastAsia="宋体" w:cs="Times New Roman"/>
          <w:color w:val="000000" w:themeColor="text1"/>
          <w:szCs w:val="21"/>
          <w:highlight w:val="none"/>
          <w14:textFill>
            <w14:solidFill>
              <w14:schemeClr w14:val="tx1"/>
            </w14:solidFill>
          </w14:textFill>
        </w:rPr>
      </w:pPr>
    </w:p>
    <w:p w14:paraId="0C870EB7">
      <w:pPr>
        <w:jc w:val="center"/>
        <w:rPr>
          <w:color w:val="000000" w:themeColor="text1"/>
          <w:highlight w:val="none"/>
          <w14:textFill>
            <w14:solidFill>
              <w14:schemeClr w14:val="tx1"/>
            </w14:solidFill>
          </w14:textFill>
        </w:rPr>
      </w:pPr>
    </w:p>
    <w:p w14:paraId="6F689175">
      <w:pPr>
        <w:jc w:val="center"/>
        <w:rPr>
          <w:color w:val="000000" w:themeColor="text1"/>
          <w:highlight w:val="none"/>
          <w14:textFill>
            <w14:solidFill>
              <w14:schemeClr w14:val="tx1"/>
            </w14:solidFill>
          </w14:textFill>
        </w:rPr>
      </w:pPr>
    </w:p>
    <w:p w14:paraId="4638E177">
      <w:pPr>
        <w:jc w:val="center"/>
        <w:rPr>
          <w:rFonts w:ascii="Times New Roman" w:hAnsi="Times New Roman" w:eastAsia="宋体" w:cs="Times New Roman"/>
          <w:color w:val="000000" w:themeColor="text1"/>
          <w:highlight w:val="none"/>
          <w14:textFill>
            <w14:solidFill>
              <w14:schemeClr w14:val="tx1"/>
            </w14:solidFill>
          </w14:textFill>
        </w:rPr>
      </w:pPr>
    </w:p>
    <w:p w14:paraId="7B88F918">
      <w:pPr>
        <w:rPr>
          <w:rFonts w:ascii="Times New Roman" w:hAnsi="Times New Roman" w:eastAsia="宋体" w:cs="Times New Roman"/>
          <w:color w:val="000000" w:themeColor="text1"/>
          <w:highlight w:val="none"/>
          <w14:textFill>
            <w14:solidFill>
              <w14:schemeClr w14:val="tx1"/>
            </w14:solidFill>
          </w14:textFill>
        </w:rPr>
      </w:pPr>
    </w:p>
    <w:p w14:paraId="307D31FB">
      <w:pPr>
        <w:rPr>
          <w:rFonts w:ascii="Times New Roman" w:hAnsi="Times New Roman" w:eastAsia="宋体" w:cs="Times New Roman"/>
          <w:color w:val="000000" w:themeColor="text1"/>
          <w:highlight w:val="none"/>
          <w14:textFill>
            <w14:solidFill>
              <w14:schemeClr w14:val="tx1"/>
            </w14:solidFill>
          </w14:textFill>
        </w:rPr>
      </w:pPr>
    </w:p>
    <w:p w14:paraId="13041704">
      <w:pPr>
        <w:rPr>
          <w:rFonts w:ascii="Times New Roman" w:hAnsi="Times New Roman" w:eastAsia="宋体" w:cs="Times New Roman"/>
          <w:color w:val="000000" w:themeColor="text1"/>
          <w:highlight w:val="none"/>
          <w14:textFill>
            <w14:solidFill>
              <w14:schemeClr w14:val="tx1"/>
            </w14:solidFill>
          </w14:textFill>
        </w:rPr>
      </w:pPr>
    </w:p>
    <w:p w14:paraId="669101DE">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06966003">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3EBCA7FB">
      <w:pPr>
        <w:spacing w:line="500" w:lineRule="exact"/>
        <w:jc w:val="center"/>
        <w:rPr>
          <w:rFonts w:ascii="Times New Roman" w:hAnsi="Times New Roman" w:eastAsia="宋体" w:cs="Times New Roman"/>
          <w:color w:val="000000" w:themeColor="text1"/>
          <w:sz w:val="18"/>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五、竞争性磋商文件要求的其他材料</w:t>
      </w:r>
      <w:bookmarkEnd w:id="1410"/>
      <w:bookmarkEnd w:id="1411"/>
      <w:bookmarkEnd w:id="1412"/>
    </w:p>
    <w:p w14:paraId="5A2FDE3F">
      <w:pPr>
        <w:spacing w:line="600" w:lineRule="exact"/>
        <w:rPr>
          <w:rFonts w:ascii="宋体" w:hAnsi="宋体" w:eastAsia="宋体" w:cs="宋体"/>
          <w:color w:val="000000" w:themeColor="text1"/>
          <w:kern w:val="0"/>
          <w:sz w:val="24"/>
          <w:highlight w:val="none"/>
          <w14:textFill>
            <w14:solidFill>
              <w14:schemeClr w14:val="tx1"/>
            </w14:solidFill>
          </w14:textFill>
        </w:rPr>
      </w:pPr>
      <w:r>
        <w:rPr>
          <w:rFonts w:ascii="宋体" w:hAnsi="宋体" w:eastAsia="宋体" w:cs="宋体"/>
          <w:color w:val="000000" w:themeColor="text1"/>
          <w:kern w:val="0"/>
          <w:sz w:val="24"/>
          <w:highlight w:val="none"/>
          <w14:textFill>
            <w14:solidFill>
              <w14:schemeClr w14:val="tx1"/>
            </w14:solidFill>
          </w14:textFill>
        </w:rPr>
        <w:br w:type="textWrapping"/>
      </w:r>
      <w:r>
        <w:rPr>
          <w:rFonts w:hint="eastAsia" w:ascii="宋体" w:hAnsi="宋体" w:eastAsia="宋体" w:cs="宋体"/>
          <w:color w:val="000000" w:themeColor="text1"/>
          <w:kern w:val="0"/>
          <w:sz w:val="24"/>
          <w:highlight w:val="none"/>
          <w14:textFill>
            <w14:solidFill>
              <w14:schemeClr w14:val="tx1"/>
            </w14:solidFill>
          </w14:textFill>
        </w:rPr>
        <w:t xml:space="preserve">                           </w:t>
      </w:r>
    </w:p>
    <w:p w14:paraId="0CBA8604">
      <w:pPr>
        <w:spacing w:line="500" w:lineRule="exact"/>
        <w:rPr>
          <w:rFonts w:ascii="Times New Roman" w:hAnsi="Times New Roman" w:eastAsia="宋体" w:cs="Times New Roman"/>
          <w:color w:val="000000" w:themeColor="text1"/>
          <w:highlight w:val="none"/>
          <w14:textFill>
            <w14:solidFill>
              <w14:schemeClr w14:val="tx1"/>
            </w14:solidFill>
          </w14:textFill>
        </w:rPr>
      </w:pPr>
    </w:p>
    <w:p w14:paraId="07522502">
      <w:pPr>
        <w:rPr>
          <w:color w:val="000000" w:themeColor="text1"/>
          <w:highlight w:val="none"/>
          <w14:textFill>
            <w14:solidFill>
              <w14:schemeClr w14:val="tx1"/>
            </w14:solidFill>
          </w14:textFill>
        </w:rPr>
      </w:pPr>
    </w:p>
    <w:sectPr>
      <w:pgSz w:w="11907" w:h="16839"/>
      <w:pgMar w:top="1440" w:right="1080" w:bottom="1440" w:left="1080" w:header="567" w:footer="51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dobe 宋体 Std L">
    <w:altName w:val="宋体"/>
    <w:panose1 w:val="00000000000000000000"/>
    <w:charset w:val="86"/>
    <w:family w:val="roman"/>
    <w:pitch w:val="default"/>
    <w:sig w:usb0="00000000" w:usb1="00000000" w:usb2="00000016" w:usb3="00000000" w:csb0="00060007"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altName w:val="仿宋"/>
    <w:panose1 w:val="02010609030101010101"/>
    <w:charset w:val="86"/>
    <w:family w:val="modern"/>
    <w:pitch w:val="default"/>
    <w:sig w:usb0="00000000" w:usb1="0000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2840">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 xml:space="preserve"> </w:t>
    </w:r>
    <w:r>
      <w:fldChar w:fldCharType="end"/>
    </w:r>
  </w:p>
  <w:p w14:paraId="721EA8FC">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410A">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47EFC">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42E8">
                          <w:pPr>
                            <w:pStyle w:val="19"/>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9042E8">
                    <w:pPr>
                      <w:pStyle w:val="19"/>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AF3F">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F5D36">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27F5D36">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78D4">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BA854">
                          <w:pPr>
                            <w:pStyle w:val="1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62BA854">
                    <w:pPr>
                      <w:pStyle w:val="1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BF0A">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11546">
                          <w:pPr>
                            <w:pStyle w:val="19"/>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1811546">
                    <w:pPr>
                      <w:pStyle w:val="1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9644">
    <w:pPr>
      <w:pStyle w:val="19"/>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AECAC">
                          <w:pPr>
                            <w:pStyle w:val="19"/>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5BAECAC">
                    <w:pPr>
                      <w:pStyle w:val="19"/>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633A">
    <w:pPr>
      <w:pStyle w:val="19"/>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95CDE">
                          <w:pPr>
                            <w:pStyle w:val="19"/>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E895CDE">
                    <w:pPr>
                      <w:pStyle w:val="1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E9F7">
    <w:pPr>
      <w:pStyle w:val="19"/>
      <w:framePr w:wrap="around" w:vAnchor="text" w:hAnchor="margin" w:xAlign="center" w:y="1"/>
      <w:rPr>
        <w:rStyle w:val="33"/>
      </w:rPr>
    </w:pPr>
    <w:r>
      <w:rPr>
        <w:rStyle w:val="33"/>
        <w:rFonts w:hint="eastAsia"/>
      </w:rPr>
      <w:t>8</w:t>
    </w:r>
  </w:p>
  <w:p w14:paraId="618ED4AD">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4OGQ2NDEyZWYzMTAxZTUyMGFmYzc2ZWE3YTMwOTcifQ=="/>
  </w:docVars>
  <w:rsids>
    <w:rsidRoot w:val="00C45131"/>
    <w:rsid w:val="00003677"/>
    <w:rsid w:val="0001366F"/>
    <w:rsid w:val="0002231B"/>
    <w:rsid w:val="00027A8B"/>
    <w:rsid w:val="000370E0"/>
    <w:rsid w:val="0004234C"/>
    <w:rsid w:val="00042DFD"/>
    <w:rsid w:val="00045072"/>
    <w:rsid w:val="000502DD"/>
    <w:rsid w:val="00055516"/>
    <w:rsid w:val="0006154A"/>
    <w:rsid w:val="000677CA"/>
    <w:rsid w:val="000678B2"/>
    <w:rsid w:val="00080F5A"/>
    <w:rsid w:val="00082634"/>
    <w:rsid w:val="0008309E"/>
    <w:rsid w:val="000840C8"/>
    <w:rsid w:val="00092F8D"/>
    <w:rsid w:val="000B79C4"/>
    <w:rsid w:val="000C103B"/>
    <w:rsid w:val="000C10EB"/>
    <w:rsid w:val="000D0288"/>
    <w:rsid w:val="000D6512"/>
    <w:rsid w:val="000D7309"/>
    <w:rsid w:val="000E29DD"/>
    <w:rsid w:val="00106908"/>
    <w:rsid w:val="001075AE"/>
    <w:rsid w:val="001229C0"/>
    <w:rsid w:val="0014636C"/>
    <w:rsid w:val="00146E9A"/>
    <w:rsid w:val="00147B87"/>
    <w:rsid w:val="00176BAE"/>
    <w:rsid w:val="00180410"/>
    <w:rsid w:val="00190309"/>
    <w:rsid w:val="001968DE"/>
    <w:rsid w:val="001C10C6"/>
    <w:rsid w:val="001C2E51"/>
    <w:rsid w:val="001C759C"/>
    <w:rsid w:val="001E73BC"/>
    <w:rsid w:val="001F4651"/>
    <w:rsid w:val="001F664F"/>
    <w:rsid w:val="002018EA"/>
    <w:rsid w:val="00206631"/>
    <w:rsid w:val="002407E2"/>
    <w:rsid w:val="002543FC"/>
    <w:rsid w:val="00256F2B"/>
    <w:rsid w:val="00263075"/>
    <w:rsid w:val="002653DA"/>
    <w:rsid w:val="00282AD1"/>
    <w:rsid w:val="00291659"/>
    <w:rsid w:val="002A0A22"/>
    <w:rsid w:val="002C3EB4"/>
    <w:rsid w:val="002D3245"/>
    <w:rsid w:val="002D68E8"/>
    <w:rsid w:val="002E1B0A"/>
    <w:rsid w:val="002F01A7"/>
    <w:rsid w:val="002F43B5"/>
    <w:rsid w:val="00302A98"/>
    <w:rsid w:val="00305CD1"/>
    <w:rsid w:val="00307DF7"/>
    <w:rsid w:val="00310276"/>
    <w:rsid w:val="00314C5B"/>
    <w:rsid w:val="00321D77"/>
    <w:rsid w:val="003226DA"/>
    <w:rsid w:val="0032750D"/>
    <w:rsid w:val="00331A35"/>
    <w:rsid w:val="00347BB7"/>
    <w:rsid w:val="0035411F"/>
    <w:rsid w:val="00354A0D"/>
    <w:rsid w:val="00360DC7"/>
    <w:rsid w:val="00365E9C"/>
    <w:rsid w:val="00370DA4"/>
    <w:rsid w:val="0038373F"/>
    <w:rsid w:val="00392013"/>
    <w:rsid w:val="00396792"/>
    <w:rsid w:val="003A6E12"/>
    <w:rsid w:val="003A78CF"/>
    <w:rsid w:val="003B407F"/>
    <w:rsid w:val="003B43BC"/>
    <w:rsid w:val="003C0196"/>
    <w:rsid w:val="003C1F17"/>
    <w:rsid w:val="003D0257"/>
    <w:rsid w:val="003D12F5"/>
    <w:rsid w:val="003D6E8F"/>
    <w:rsid w:val="003D7C42"/>
    <w:rsid w:val="003F392F"/>
    <w:rsid w:val="00401CB6"/>
    <w:rsid w:val="00410ADD"/>
    <w:rsid w:val="00412657"/>
    <w:rsid w:val="00414F2B"/>
    <w:rsid w:val="00415ED9"/>
    <w:rsid w:val="0041636B"/>
    <w:rsid w:val="00424656"/>
    <w:rsid w:val="0042772A"/>
    <w:rsid w:val="0043302D"/>
    <w:rsid w:val="0043464E"/>
    <w:rsid w:val="0044531F"/>
    <w:rsid w:val="004522F5"/>
    <w:rsid w:val="004575AF"/>
    <w:rsid w:val="00460288"/>
    <w:rsid w:val="0046598E"/>
    <w:rsid w:val="00465D4B"/>
    <w:rsid w:val="00470B96"/>
    <w:rsid w:val="004710FF"/>
    <w:rsid w:val="00473ADF"/>
    <w:rsid w:val="00473DF1"/>
    <w:rsid w:val="0048310F"/>
    <w:rsid w:val="00484C0A"/>
    <w:rsid w:val="004A03CE"/>
    <w:rsid w:val="004A47C4"/>
    <w:rsid w:val="004B3946"/>
    <w:rsid w:val="004D279C"/>
    <w:rsid w:val="004E76C9"/>
    <w:rsid w:val="00500BD8"/>
    <w:rsid w:val="0050183F"/>
    <w:rsid w:val="0050486D"/>
    <w:rsid w:val="00504C6D"/>
    <w:rsid w:val="00504CC5"/>
    <w:rsid w:val="00506790"/>
    <w:rsid w:val="00506EE8"/>
    <w:rsid w:val="005079F8"/>
    <w:rsid w:val="00510791"/>
    <w:rsid w:val="005134FC"/>
    <w:rsid w:val="00527250"/>
    <w:rsid w:val="00535E3F"/>
    <w:rsid w:val="005467AD"/>
    <w:rsid w:val="00550B98"/>
    <w:rsid w:val="005545EA"/>
    <w:rsid w:val="00555A1D"/>
    <w:rsid w:val="00565B4A"/>
    <w:rsid w:val="00566994"/>
    <w:rsid w:val="00580360"/>
    <w:rsid w:val="005A028B"/>
    <w:rsid w:val="005A0C7F"/>
    <w:rsid w:val="005A1375"/>
    <w:rsid w:val="005A1D59"/>
    <w:rsid w:val="005A3A48"/>
    <w:rsid w:val="005B0F7F"/>
    <w:rsid w:val="005B30D6"/>
    <w:rsid w:val="005C7431"/>
    <w:rsid w:val="005D03E6"/>
    <w:rsid w:val="005D3A6F"/>
    <w:rsid w:val="005E457E"/>
    <w:rsid w:val="005E784D"/>
    <w:rsid w:val="005E7EFC"/>
    <w:rsid w:val="005F78EB"/>
    <w:rsid w:val="006112F5"/>
    <w:rsid w:val="0063204E"/>
    <w:rsid w:val="00632743"/>
    <w:rsid w:val="00636EB7"/>
    <w:rsid w:val="00640559"/>
    <w:rsid w:val="00640893"/>
    <w:rsid w:val="0065267F"/>
    <w:rsid w:val="00656476"/>
    <w:rsid w:val="00675F91"/>
    <w:rsid w:val="00676173"/>
    <w:rsid w:val="0068366E"/>
    <w:rsid w:val="00683E37"/>
    <w:rsid w:val="00687139"/>
    <w:rsid w:val="0069606A"/>
    <w:rsid w:val="006A2E81"/>
    <w:rsid w:val="006C08B5"/>
    <w:rsid w:val="006C1415"/>
    <w:rsid w:val="006C61DB"/>
    <w:rsid w:val="006C6B4C"/>
    <w:rsid w:val="006D147B"/>
    <w:rsid w:val="006D5996"/>
    <w:rsid w:val="006D65DD"/>
    <w:rsid w:val="006E2F9C"/>
    <w:rsid w:val="006E3B36"/>
    <w:rsid w:val="006E3CE2"/>
    <w:rsid w:val="006F003E"/>
    <w:rsid w:val="006F0C6D"/>
    <w:rsid w:val="006F3211"/>
    <w:rsid w:val="00700E7C"/>
    <w:rsid w:val="007053E6"/>
    <w:rsid w:val="00727ABB"/>
    <w:rsid w:val="00737BF4"/>
    <w:rsid w:val="007438BF"/>
    <w:rsid w:val="007539FF"/>
    <w:rsid w:val="00757B9E"/>
    <w:rsid w:val="00764639"/>
    <w:rsid w:val="00773220"/>
    <w:rsid w:val="00776A6C"/>
    <w:rsid w:val="007855FD"/>
    <w:rsid w:val="00785835"/>
    <w:rsid w:val="0078773A"/>
    <w:rsid w:val="007A55CA"/>
    <w:rsid w:val="007B2F35"/>
    <w:rsid w:val="007C4AE1"/>
    <w:rsid w:val="007D3CE2"/>
    <w:rsid w:val="007E0F00"/>
    <w:rsid w:val="007E482C"/>
    <w:rsid w:val="007E6EA3"/>
    <w:rsid w:val="007F7A46"/>
    <w:rsid w:val="007F7B2C"/>
    <w:rsid w:val="00814CBA"/>
    <w:rsid w:val="0082327A"/>
    <w:rsid w:val="00825AB2"/>
    <w:rsid w:val="00825DEE"/>
    <w:rsid w:val="00840755"/>
    <w:rsid w:val="0084083B"/>
    <w:rsid w:val="008441CA"/>
    <w:rsid w:val="00853CFA"/>
    <w:rsid w:val="00855B92"/>
    <w:rsid w:val="008671DC"/>
    <w:rsid w:val="00877361"/>
    <w:rsid w:val="008804A1"/>
    <w:rsid w:val="008837BE"/>
    <w:rsid w:val="008917A7"/>
    <w:rsid w:val="00895FC5"/>
    <w:rsid w:val="008A6FE8"/>
    <w:rsid w:val="008B2F7E"/>
    <w:rsid w:val="008B7399"/>
    <w:rsid w:val="008C351A"/>
    <w:rsid w:val="008C55D3"/>
    <w:rsid w:val="008D2F9D"/>
    <w:rsid w:val="008D36C7"/>
    <w:rsid w:val="008D5887"/>
    <w:rsid w:val="008E7E62"/>
    <w:rsid w:val="008F5DFC"/>
    <w:rsid w:val="009053C6"/>
    <w:rsid w:val="009100C8"/>
    <w:rsid w:val="00915196"/>
    <w:rsid w:val="00923195"/>
    <w:rsid w:val="009315FB"/>
    <w:rsid w:val="00935486"/>
    <w:rsid w:val="009403B7"/>
    <w:rsid w:val="009431C1"/>
    <w:rsid w:val="00961228"/>
    <w:rsid w:val="0096574B"/>
    <w:rsid w:val="009702EE"/>
    <w:rsid w:val="009703E3"/>
    <w:rsid w:val="00981858"/>
    <w:rsid w:val="00996949"/>
    <w:rsid w:val="009969CF"/>
    <w:rsid w:val="009A0176"/>
    <w:rsid w:val="009A75AD"/>
    <w:rsid w:val="009B4526"/>
    <w:rsid w:val="009B5CC4"/>
    <w:rsid w:val="009C1034"/>
    <w:rsid w:val="009C2190"/>
    <w:rsid w:val="009C4E7B"/>
    <w:rsid w:val="009E5935"/>
    <w:rsid w:val="009E5AB4"/>
    <w:rsid w:val="009F1531"/>
    <w:rsid w:val="009F19B1"/>
    <w:rsid w:val="009F4158"/>
    <w:rsid w:val="009F5FF9"/>
    <w:rsid w:val="00A05021"/>
    <w:rsid w:val="00A1598B"/>
    <w:rsid w:val="00A26452"/>
    <w:rsid w:val="00A40C56"/>
    <w:rsid w:val="00A50943"/>
    <w:rsid w:val="00A51D1B"/>
    <w:rsid w:val="00A57DEA"/>
    <w:rsid w:val="00A77CAC"/>
    <w:rsid w:val="00A840B6"/>
    <w:rsid w:val="00A85470"/>
    <w:rsid w:val="00AA7000"/>
    <w:rsid w:val="00AB6C0E"/>
    <w:rsid w:val="00AD5E80"/>
    <w:rsid w:val="00AE37F6"/>
    <w:rsid w:val="00AE3FB3"/>
    <w:rsid w:val="00AE5FD9"/>
    <w:rsid w:val="00AF17DD"/>
    <w:rsid w:val="00AF278B"/>
    <w:rsid w:val="00AF45EF"/>
    <w:rsid w:val="00AF5AE1"/>
    <w:rsid w:val="00AF7A82"/>
    <w:rsid w:val="00B02F2C"/>
    <w:rsid w:val="00B12F10"/>
    <w:rsid w:val="00B307D5"/>
    <w:rsid w:val="00B36A63"/>
    <w:rsid w:val="00B459B1"/>
    <w:rsid w:val="00B46085"/>
    <w:rsid w:val="00B56934"/>
    <w:rsid w:val="00B61352"/>
    <w:rsid w:val="00B76368"/>
    <w:rsid w:val="00B80557"/>
    <w:rsid w:val="00B80FF8"/>
    <w:rsid w:val="00B81D57"/>
    <w:rsid w:val="00BA51E7"/>
    <w:rsid w:val="00BC69EF"/>
    <w:rsid w:val="00BD5DEB"/>
    <w:rsid w:val="00BD7829"/>
    <w:rsid w:val="00BE7802"/>
    <w:rsid w:val="00BE7AF2"/>
    <w:rsid w:val="00BF2FFE"/>
    <w:rsid w:val="00C03D23"/>
    <w:rsid w:val="00C14FA6"/>
    <w:rsid w:val="00C32F4E"/>
    <w:rsid w:val="00C3401E"/>
    <w:rsid w:val="00C45131"/>
    <w:rsid w:val="00C46E32"/>
    <w:rsid w:val="00C47AE3"/>
    <w:rsid w:val="00C56A53"/>
    <w:rsid w:val="00C60415"/>
    <w:rsid w:val="00C73B8F"/>
    <w:rsid w:val="00C771DD"/>
    <w:rsid w:val="00C81B99"/>
    <w:rsid w:val="00C83A32"/>
    <w:rsid w:val="00CA2868"/>
    <w:rsid w:val="00CA6FA5"/>
    <w:rsid w:val="00CD0766"/>
    <w:rsid w:val="00CD350F"/>
    <w:rsid w:val="00CD4086"/>
    <w:rsid w:val="00CD76A1"/>
    <w:rsid w:val="00CE593F"/>
    <w:rsid w:val="00CF355F"/>
    <w:rsid w:val="00D04EAE"/>
    <w:rsid w:val="00D16D6C"/>
    <w:rsid w:val="00D17276"/>
    <w:rsid w:val="00D31CE1"/>
    <w:rsid w:val="00D33580"/>
    <w:rsid w:val="00D37CB8"/>
    <w:rsid w:val="00D42E51"/>
    <w:rsid w:val="00D61CB8"/>
    <w:rsid w:val="00D6689F"/>
    <w:rsid w:val="00D713F0"/>
    <w:rsid w:val="00D7358A"/>
    <w:rsid w:val="00D73F78"/>
    <w:rsid w:val="00D75E9C"/>
    <w:rsid w:val="00D76080"/>
    <w:rsid w:val="00D83787"/>
    <w:rsid w:val="00D946E2"/>
    <w:rsid w:val="00D966F8"/>
    <w:rsid w:val="00DA21B8"/>
    <w:rsid w:val="00DB6D74"/>
    <w:rsid w:val="00DC7BD5"/>
    <w:rsid w:val="00DD2D21"/>
    <w:rsid w:val="00DD4FF5"/>
    <w:rsid w:val="00DE71EA"/>
    <w:rsid w:val="00DF124E"/>
    <w:rsid w:val="00DF1C51"/>
    <w:rsid w:val="00DF1D8F"/>
    <w:rsid w:val="00E00C4C"/>
    <w:rsid w:val="00E04807"/>
    <w:rsid w:val="00E06E9D"/>
    <w:rsid w:val="00E10D30"/>
    <w:rsid w:val="00E24BAF"/>
    <w:rsid w:val="00E24D8E"/>
    <w:rsid w:val="00E277B9"/>
    <w:rsid w:val="00E30FE3"/>
    <w:rsid w:val="00E40B94"/>
    <w:rsid w:val="00E52479"/>
    <w:rsid w:val="00E53BF9"/>
    <w:rsid w:val="00E56372"/>
    <w:rsid w:val="00E63690"/>
    <w:rsid w:val="00E74E64"/>
    <w:rsid w:val="00E867D4"/>
    <w:rsid w:val="00E86F21"/>
    <w:rsid w:val="00E87761"/>
    <w:rsid w:val="00EB1C74"/>
    <w:rsid w:val="00EB2C15"/>
    <w:rsid w:val="00ED264A"/>
    <w:rsid w:val="00ED37B7"/>
    <w:rsid w:val="00ED58ED"/>
    <w:rsid w:val="00ED7C3E"/>
    <w:rsid w:val="00EE062C"/>
    <w:rsid w:val="00EE5831"/>
    <w:rsid w:val="00F063E0"/>
    <w:rsid w:val="00F10EAE"/>
    <w:rsid w:val="00F1283A"/>
    <w:rsid w:val="00F12ECC"/>
    <w:rsid w:val="00F17E81"/>
    <w:rsid w:val="00F30F60"/>
    <w:rsid w:val="00F32AF5"/>
    <w:rsid w:val="00F36CA0"/>
    <w:rsid w:val="00F468BC"/>
    <w:rsid w:val="00F50484"/>
    <w:rsid w:val="00F544F8"/>
    <w:rsid w:val="00F64940"/>
    <w:rsid w:val="00F70EC8"/>
    <w:rsid w:val="00F7222E"/>
    <w:rsid w:val="00F72C9D"/>
    <w:rsid w:val="00F824F9"/>
    <w:rsid w:val="00F82D5C"/>
    <w:rsid w:val="00F87D41"/>
    <w:rsid w:val="00F9591B"/>
    <w:rsid w:val="00FC4B9F"/>
    <w:rsid w:val="00FC506E"/>
    <w:rsid w:val="00FC6B80"/>
    <w:rsid w:val="00FD3DE9"/>
    <w:rsid w:val="00FD5B2D"/>
    <w:rsid w:val="00FE5290"/>
    <w:rsid w:val="00FF31DC"/>
    <w:rsid w:val="00FF5C79"/>
    <w:rsid w:val="0147778C"/>
    <w:rsid w:val="014C20CB"/>
    <w:rsid w:val="029274C2"/>
    <w:rsid w:val="02B94070"/>
    <w:rsid w:val="02DF1744"/>
    <w:rsid w:val="04E96525"/>
    <w:rsid w:val="04ED064B"/>
    <w:rsid w:val="05027CB6"/>
    <w:rsid w:val="050C3E03"/>
    <w:rsid w:val="05177F45"/>
    <w:rsid w:val="05667019"/>
    <w:rsid w:val="05911632"/>
    <w:rsid w:val="05A625A8"/>
    <w:rsid w:val="076F3599"/>
    <w:rsid w:val="08734A61"/>
    <w:rsid w:val="09052183"/>
    <w:rsid w:val="099E2019"/>
    <w:rsid w:val="09AE3850"/>
    <w:rsid w:val="0AB54445"/>
    <w:rsid w:val="0BB53545"/>
    <w:rsid w:val="0BCB6592"/>
    <w:rsid w:val="0C0B585A"/>
    <w:rsid w:val="0C6805B7"/>
    <w:rsid w:val="0C8B4D7E"/>
    <w:rsid w:val="0CBD3AB0"/>
    <w:rsid w:val="0CE642FD"/>
    <w:rsid w:val="0F6C529A"/>
    <w:rsid w:val="10130B2C"/>
    <w:rsid w:val="1054157E"/>
    <w:rsid w:val="1093512B"/>
    <w:rsid w:val="10E70644"/>
    <w:rsid w:val="11C646FD"/>
    <w:rsid w:val="14101C60"/>
    <w:rsid w:val="143B4364"/>
    <w:rsid w:val="15512530"/>
    <w:rsid w:val="15A20FDE"/>
    <w:rsid w:val="16603759"/>
    <w:rsid w:val="1660564F"/>
    <w:rsid w:val="169C77DB"/>
    <w:rsid w:val="16CD711D"/>
    <w:rsid w:val="17092996"/>
    <w:rsid w:val="17E75054"/>
    <w:rsid w:val="17F00DBC"/>
    <w:rsid w:val="195B4971"/>
    <w:rsid w:val="1B3A3A66"/>
    <w:rsid w:val="1B4617DE"/>
    <w:rsid w:val="1B90627B"/>
    <w:rsid w:val="1DCA10D2"/>
    <w:rsid w:val="1DFD3848"/>
    <w:rsid w:val="1E2017E9"/>
    <w:rsid w:val="1E217D6D"/>
    <w:rsid w:val="1E9A6CF6"/>
    <w:rsid w:val="1F112126"/>
    <w:rsid w:val="1FD53D5E"/>
    <w:rsid w:val="20CD2A7D"/>
    <w:rsid w:val="21A30814"/>
    <w:rsid w:val="21DF2C72"/>
    <w:rsid w:val="21F20BF7"/>
    <w:rsid w:val="22235254"/>
    <w:rsid w:val="22482F0D"/>
    <w:rsid w:val="23587725"/>
    <w:rsid w:val="247E79BA"/>
    <w:rsid w:val="249850F9"/>
    <w:rsid w:val="24BB14F6"/>
    <w:rsid w:val="24CA5CCD"/>
    <w:rsid w:val="25DC7BF4"/>
    <w:rsid w:val="26CA4FBB"/>
    <w:rsid w:val="26E01CD2"/>
    <w:rsid w:val="27EA7CF4"/>
    <w:rsid w:val="2846392D"/>
    <w:rsid w:val="28AC7AF0"/>
    <w:rsid w:val="296045C3"/>
    <w:rsid w:val="29B901B6"/>
    <w:rsid w:val="29FD638B"/>
    <w:rsid w:val="2A3049B2"/>
    <w:rsid w:val="2A5855C7"/>
    <w:rsid w:val="2B147F81"/>
    <w:rsid w:val="2B862E35"/>
    <w:rsid w:val="2B97636B"/>
    <w:rsid w:val="2BC87059"/>
    <w:rsid w:val="2BD12EC2"/>
    <w:rsid w:val="2BFE4486"/>
    <w:rsid w:val="2C26606D"/>
    <w:rsid w:val="2E0C2D75"/>
    <w:rsid w:val="2EDF0755"/>
    <w:rsid w:val="2F370591"/>
    <w:rsid w:val="2F6B6E2B"/>
    <w:rsid w:val="2FE57FED"/>
    <w:rsid w:val="2FFA471E"/>
    <w:rsid w:val="301754B3"/>
    <w:rsid w:val="30600A8B"/>
    <w:rsid w:val="306233EC"/>
    <w:rsid w:val="30B3360D"/>
    <w:rsid w:val="30E958BB"/>
    <w:rsid w:val="30EF4623"/>
    <w:rsid w:val="316B4522"/>
    <w:rsid w:val="316F09DC"/>
    <w:rsid w:val="31A56340"/>
    <w:rsid w:val="31B01E2C"/>
    <w:rsid w:val="31FE6223"/>
    <w:rsid w:val="32060CC4"/>
    <w:rsid w:val="32C92C04"/>
    <w:rsid w:val="32CB6625"/>
    <w:rsid w:val="32D0420A"/>
    <w:rsid w:val="32EA3B58"/>
    <w:rsid w:val="3311674D"/>
    <w:rsid w:val="333B6100"/>
    <w:rsid w:val="33D26ADA"/>
    <w:rsid w:val="343C5323"/>
    <w:rsid w:val="34D16D92"/>
    <w:rsid w:val="352B6181"/>
    <w:rsid w:val="355F3C24"/>
    <w:rsid w:val="35DE52C2"/>
    <w:rsid w:val="382D74DB"/>
    <w:rsid w:val="388D19F8"/>
    <w:rsid w:val="38E96714"/>
    <w:rsid w:val="39FA59D9"/>
    <w:rsid w:val="3A1A633C"/>
    <w:rsid w:val="3A583C64"/>
    <w:rsid w:val="3A754C22"/>
    <w:rsid w:val="3B844B5E"/>
    <w:rsid w:val="3BB12EC6"/>
    <w:rsid w:val="3BE13D5E"/>
    <w:rsid w:val="3C2425EB"/>
    <w:rsid w:val="3DA05D07"/>
    <w:rsid w:val="3DAF51DD"/>
    <w:rsid w:val="3DDA2813"/>
    <w:rsid w:val="3EA53627"/>
    <w:rsid w:val="3F9767C2"/>
    <w:rsid w:val="402B735A"/>
    <w:rsid w:val="403D4072"/>
    <w:rsid w:val="43B11127"/>
    <w:rsid w:val="44D75CFE"/>
    <w:rsid w:val="45225E78"/>
    <w:rsid w:val="455646CE"/>
    <w:rsid w:val="455904DB"/>
    <w:rsid w:val="460348D1"/>
    <w:rsid w:val="467E4538"/>
    <w:rsid w:val="46C67DD9"/>
    <w:rsid w:val="46CD6437"/>
    <w:rsid w:val="47075D41"/>
    <w:rsid w:val="47A22023"/>
    <w:rsid w:val="48844A88"/>
    <w:rsid w:val="48F74BC1"/>
    <w:rsid w:val="49FE675C"/>
    <w:rsid w:val="4A7638C4"/>
    <w:rsid w:val="4A96711A"/>
    <w:rsid w:val="4B673131"/>
    <w:rsid w:val="4C9F1D46"/>
    <w:rsid w:val="4CDF3CE1"/>
    <w:rsid w:val="4CEA0599"/>
    <w:rsid w:val="4E386F08"/>
    <w:rsid w:val="4E9007F4"/>
    <w:rsid w:val="4F192116"/>
    <w:rsid w:val="4F544F68"/>
    <w:rsid w:val="4FB14184"/>
    <w:rsid w:val="51350CF4"/>
    <w:rsid w:val="517259CF"/>
    <w:rsid w:val="51D41A09"/>
    <w:rsid w:val="53BA0CC5"/>
    <w:rsid w:val="556D1D67"/>
    <w:rsid w:val="56540BC6"/>
    <w:rsid w:val="56C45DB3"/>
    <w:rsid w:val="57EE407F"/>
    <w:rsid w:val="580E1184"/>
    <w:rsid w:val="58365DF6"/>
    <w:rsid w:val="58892DB2"/>
    <w:rsid w:val="58BE3005"/>
    <w:rsid w:val="592F0E28"/>
    <w:rsid w:val="594A4899"/>
    <w:rsid w:val="5A054C64"/>
    <w:rsid w:val="5AF414BE"/>
    <w:rsid w:val="5C101C2A"/>
    <w:rsid w:val="5D415FB3"/>
    <w:rsid w:val="5D6C2A4E"/>
    <w:rsid w:val="5D7A6ADA"/>
    <w:rsid w:val="5DAB20C4"/>
    <w:rsid w:val="5E38719E"/>
    <w:rsid w:val="5E587A58"/>
    <w:rsid w:val="5E8F0FA0"/>
    <w:rsid w:val="5E9842F9"/>
    <w:rsid w:val="5EA7174A"/>
    <w:rsid w:val="60714E01"/>
    <w:rsid w:val="607309D5"/>
    <w:rsid w:val="6154366A"/>
    <w:rsid w:val="621E6D52"/>
    <w:rsid w:val="63332842"/>
    <w:rsid w:val="6347447A"/>
    <w:rsid w:val="636C483F"/>
    <w:rsid w:val="637844CF"/>
    <w:rsid w:val="637B1AF3"/>
    <w:rsid w:val="63FE740D"/>
    <w:rsid w:val="64041AE8"/>
    <w:rsid w:val="64A044AD"/>
    <w:rsid w:val="65306514"/>
    <w:rsid w:val="654523B9"/>
    <w:rsid w:val="65AC5139"/>
    <w:rsid w:val="663D1266"/>
    <w:rsid w:val="66CC1ACE"/>
    <w:rsid w:val="677C5B11"/>
    <w:rsid w:val="67A97F8B"/>
    <w:rsid w:val="683C04AE"/>
    <w:rsid w:val="6873723D"/>
    <w:rsid w:val="68DC4899"/>
    <w:rsid w:val="68E31FE5"/>
    <w:rsid w:val="68F44821"/>
    <w:rsid w:val="69DC26B1"/>
    <w:rsid w:val="6A5D4F51"/>
    <w:rsid w:val="6AB5405B"/>
    <w:rsid w:val="6B640C93"/>
    <w:rsid w:val="6B6E08BB"/>
    <w:rsid w:val="6BCA3618"/>
    <w:rsid w:val="6C305B70"/>
    <w:rsid w:val="6CE87151"/>
    <w:rsid w:val="6D6E0002"/>
    <w:rsid w:val="6E82642B"/>
    <w:rsid w:val="6EFE1F56"/>
    <w:rsid w:val="705234B1"/>
    <w:rsid w:val="71E01A79"/>
    <w:rsid w:val="71E05943"/>
    <w:rsid w:val="72086C48"/>
    <w:rsid w:val="72302FD1"/>
    <w:rsid w:val="7316521F"/>
    <w:rsid w:val="732C46D0"/>
    <w:rsid w:val="73CE2BBF"/>
    <w:rsid w:val="73DE4ECE"/>
    <w:rsid w:val="758331B5"/>
    <w:rsid w:val="75CE6840"/>
    <w:rsid w:val="75ED566C"/>
    <w:rsid w:val="762A7738"/>
    <w:rsid w:val="763B3A90"/>
    <w:rsid w:val="76BA0E58"/>
    <w:rsid w:val="79102556"/>
    <w:rsid w:val="79A90CAB"/>
    <w:rsid w:val="7AB931D5"/>
    <w:rsid w:val="7AC22512"/>
    <w:rsid w:val="7B3C48BB"/>
    <w:rsid w:val="7B66335D"/>
    <w:rsid w:val="7D112314"/>
    <w:rsid w:val="7D524406"/>
    <w:rsid w:val="7DF12C86"/>
    <w:rsid w:val="7E0623DB"/>
    <w:rsid w:val="7FF30225"/>
    <w:rsid w:val="CF6FE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4">
    <w:name w:val="heading 3"/>
    <w:basedOn w:val="1"/>
    <w:next w:val="1"/>
    <w:link w:val="41"/>
    <w:qFormat/>
    <w:uiPriority w:val="9"/>
    <w:pPr>
      <w:keepNext/>
      <w:keepLines/>
      <w:spacing w:before="260" w:after="260" w:line="24" w:lineRule="auto"/>
      <w:outlineLvl w:val="2"/>
    </w:pPr>
    <w:rPr>
      <w:rFonts w:hint="eastAsia" w:ascii="宋体" w:hAnsi="宋体" w:eastAsia="宋体" w:cs="Times New Roman"/>
      <w:b/>
      <w:bCs/>
      <w:kern w:val="0"/>
      <w:sz w:val="24"/>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7"/>
    <w:link w:val="43"/>
    <w:qFormat/>
    <w:uiPriority w:val="0"/>
    <w:pPr>
      <w:keepNext/>
      <w:keepLines/>
      <w:tabs>
        <w:tab w:val="left" w:pos="360"/>
      </w:tabs>
      <w:spacing w:before="280" w:after="290" w:line="376" w:lineRule="auto"/>
      <w:ind w:left="360" w:hanging="360"/>
      <w:outlineLvl w:val="4"/>
    </w:pPr>
    <w:rPr>
      <w:rFonts w:ascii="Times New Roman" w:hAnsi="Times New Roman" w:eastAsia="宋体" w:cs="Times New Roman"/>
      <w:b/>
      <w:sz w:val="28"/>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8">
    <w:name w:val="toc 7"/>
    <w:basedOn w:val="1"/>
    <w:next w:val="1"/>
    <w:unhideWhenUsed/>
    <w:qFormat/>
    <w:uiPriority w:val="39"/>
    <w:pPr>
      <w:ind w:left="2520" w:leftChars="1200"/>
    </w:pPr>
  </w:style>
  <w:style w:type="paragraph" w:styleId="9">
    <w:name w:val="List Number"/>
    <w:basedOn w:val="1"/>
    <w:qFormat/>
    <w:uiPriority w:val="0"/>
    <w:pPr>
      <w:tabs>
        <w:tab w:val="left" w:pos="360"/>
      </w:tabs>
      <w:ind w:left="360" w:hanging="360"/>
    </w:pPr>
    <w:rPr>
      <w:rFonts w:ascii="Times New Roman" w:hAnsi="Times New Roman" w:eastAsia="宋体" w:cs="Times New Roman"/>
    </w:rPr>
  </w:style>
  <w:style w:type="paragraph" w:styleId="10">
    <w:name w:val="annotation text"/>
    <w:basedOn w:val="1"/>
    <w:link w:val="57"/>
    <w:unhideWhenUsed/>
    <w:qFormat/>
    <w:uiPriority w:val="0"/>
    <w:pPr>
      <w:jc w:val="left"/>
    </w:pPr>
  </w:style>
  <w:style w:type="paragraph" w:styleId="11">
    <w:name w:val="Body Text"/>
    <w:basedOn w:val="1"/>
    <w:next w:val="12"/>
    <w:link w:val="69"/>
    <w:qFormat/>
    <w:uiPriority w:val="0"/>
    <w:pPr>
      <w:adjustRightInd w:val="0"/>
      <w:spacing w:after="60" w:line="360" w:lineRule="atLeast"/>
      <w:ind w:left="72" w:leftChars="30" w:right="30" w:rightChars="30"/>
      <w:jc w:val="center"/>
      <w:textAlignment w:val="baseline"/>
    </w:pPr>
    <w:rPr>
      <w:rFonts w:ascii="Times New Roman" w:hAnsi="Times New Roman" w:eastAsia="宋体" w:cs="Times New Roman"/>
      <w:kern w:val="0"/>
      <w:sz w:val="20"/>
      <w:szCs w:val="20"/>
    </w:rPr>
  </w:style>
  <w:style w:type="paragraph" w:styleId="12">
    <w:name w:val="Title"/>
    <w:next w:val="1"/>
    <w:qFormat/>
    <w:uiPriority w:val="0"/>
    <w:pPr>
      <w:widowControl w:val="0"/>
      <w:jc w:val="center"/>
    </w:pPr>
    <w:rPr>
      <w:rFonts w:ascii="Times New Roman" w:hAnsi="Times New Roman" w:eastAsia="宋体" w:cs="Times New Roman"/>
      <w:b/>
      <w:bCs/>
      <w:kern w:val="2"/>
      <w:sz w:val="21"/>
      <w:lang w:val="en-US" w:eastAsia="zh-CN" w:bidi="ar-SA"/>
    </w:rPr>
  </w:style>
  <w:style w:type="paragraph" w:styleId="13">
    <w:name w:val="Body Text Indent"/>
    <w:basedOn w:val="1"/>
    <w:link w:val="51"/>
    <w:qFormat/>
    <w:uiPriority w:val="0"/>
    <w:pPr>
      <w:spacing w:after="120"/>
      <w:ind w:left="420" w:leftChars="200"/>
    </w:pPr>
  </w:style>
  <w:style w:type="paragraph" w:styleId="14">
    <w:name w:val="toc 5"/>
    <w:basedOn w:val="1"/>
    <w:next w:val="1"/>
    <w:unhideWhenUsed/>
    <w:qFormat/>
    <w:uiPriority w:val="39"/>
    <w:pPr>
      <w:ind w:left="840"/>
      <w:jc w:val="left"/>
    </w:pPr>
    <w:rPr>
      <w:rFonts w:ascii="Times New Roman" w:hAnsi="Times New Roman" w:eastAsia="宋体" w:cs="Times New Roman"/>
      <w:sz w:val="18"/>
      <w:szCs w:val="18"/>
    </w:rPr>
  </w:style>
  <w:style w:type="paragraph" w:styleId="15">
    <w:name w:val="toc 3"/>
    <w:basedOn w:val="1"/>
    <w:next w:val="1"/>
    <w:unhideWhenUsed/>
    <w:qFormat/>
    <w:uiPriority w:val="39"/>
    <w:pPr>
      <w:tabs>
        <w:tab w:val="right" w:leader="dot" w:pos="9292"/>
      </w:tabs>
      <w:spacing w:line="400" w:lineRule="exact"/>
      <w:ind w:left="420"/>
      <w:jc w:val="left"/>
    </w:pPr>
    <w:rPr>
      <w:rFonts w:ascii="宋体" w:hAnsi="宋体" w:eastAsia="宋体" w:cs="Courier New"/>
      <w:bCs/>
      <w:i/>
      <w:iCs/>
      <w:spacing w:val="2"/>
      <w:sz w:val="24"/>
    </w:rPr>
  </w:style>
  <w:style w:type="paragraph" w:styleId="16">
    <w:name w:val="Plain Text"/>
    <w:basedOn w:val="1"/>
    <w:link w:val="50"/>
    <w:qFormat/>
    <w:uiPriority w:val="0"/>
    <w:rPr>
      <w:rFonts w:ascii="宋体" w:cs="Courier New"/>
      <w:szCs w:val="21"/>
    </w:rPr>
  </w:style>
  <w:style w:type="paragraph" w:styleId="17">
    <w:name w:val="toc 8"/>
    <w:basedOn w:val="1"/>
    <w:next w:val="1"/>
    <w:unhideWhenUsed/>
    <w:qFormat/>
    <w:uiPriority w:val="39"/>
    <w:pPr>
      <w:ind w:left="2940" w:leftChars="1400"/>
    </w:pPr>
  </w:style>
  <w:style w:type="paragraph" w:styleId="18">
    <w:name w:val="Balloon Text"/>
    <w:basedOn w:val="1"/>
    <w:link w:val="45"/>
    <w:qFormat/>
    <w:uiPriority w:val="0"/>
    <w:rPr>
      <w:sz w:val="18"/>
      <w:szCs w:val="18"/>
    </w:rPr>
  </w:style>
  <w:style w:type="paragraph" w:styleId="19">
    <w:name w:val="footer"/>
    <w:basedOn w:val="1"/>
    <w:link w:val="68"/>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0">
    <w:name w:val="header"/>
    <w:basedOn w:val="1"/>
    <w:link w:val="7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1">
    <w:name w:val="toc 1"/>
    <w:basedOn w:val="1"/>
    <w:next w:val="1"/>
    <w:qFormat/>
    <w:uiPriority w:val="39"/>
    <w:rPr>
      <w:rFonts w:ascii="Times New Roman" w:hAnsi="Times New Roman" w:eastAsia="宋体" w:cs="Times New Roman"/>
    </w:rPr>
  </w:style>
  <w:style w:type="paragraph" w:styleId="22">
    <w:name w:val="toc 4"/>
    <w:basedOn w:val="1"/>
    <w:next w:val="1"/>
    <w:unhideWhenUsed/>
    <w:qFormat/>
    <w:uiPriority w:val="39"/>
    <w:pPr>
      <w:ind w:left="630"/>
      <w:jc w:val="left"/>
    </w:pPr>
    <w:rPr>
      <w:rFonts w:ascii="Times New Roman" w:hAnsi="Times New Roman" w:eastAsia="宋体" w:cs="Times New Roman"/>
      <w:sz w:val="18"/>
      <w:szCs w:val="18"/>
    </w:rPr>
  </w:style>
  <w:style w:type="paragraph" w:styleId="23">
    <w:name w:val="toc 6"/>
    <w:basedOn w:val="1"/>
    <w:next w:val="1"/>
    <w:unhideWhenUsed/>
    <w:qFormat/>
    <w:uiPriority w:val="39"/>
    <w:pPr>
      <w:ind w:left="2100" w:leftChars="1000"/>
    </w:pPr>
  </w:style>
  <w:style w:type="paragraph" w:styleId="24">
    <w:name w:val="toc 2"/>
    <w:basedOn w:val="1"/>
    <w:next w:val="1"/>
    <w:qFormat/>
    <w:uiPriority w:val="39"/>
    <w:pPr>
      <w:ind w:left="200" w:leftChars="200"/>
    </w:pPr>
    <w:rPr>
      <w:rFonts w:ascii="Times New Roman" w:hAnsi="Times New Roman" w:eastAsia="宋体" w:cs="Times New Roman"/>
      <w:szCs w:val="24"/>
    </w:rPr>
  </w:style>
  <w:style w:type="paragraph" w:styleId="25">
    <w:name w:val="toc 9"/>
    <w:basedOn w:val="1"/>
    <w:next w:val="1"/>
    <w:unhideWhenUsed/>
    <w:qFormat/>
    <w:uiPriority w:val="39"/>
    <w:pPr>
      <w:ind w:left="3360" w:leftChars="1600"/>
    </w:pPr>
  </w:style>
  <w:style w:type="paragraph" w:styleId="26">
    <w:name w:val="Normal (Web)"/>
    <w:basedOn w:val="1"/>
    <w:qFormat/>
    <w:uiPriority w:val="0"/>
    <w:pPr>
      <w:jc w:val="left"/>
    </w:pPr>
    <w:rPr>
      <w:rFonts w:ascii="Times New Roman" w:hAnsi="Times New Roman" w:eastAsia="宋体" w:cs="Times New Roman"/>
      <w:kern w:val="0"/>
      <w:sz w:val="24"/>
      <w:szCs w:val="24"/>
    </w:rPr>
  </w:style>
  <w:style w:type="paragraph" w:styleId="27">
    <w:name w:val="index 1"/>
    <w:basedOn w:val="1"/>
    <w:next w:val="1"/>
    <w:qFormat/>
    <w:uiPriority w:val="0"/>
    <w:pPr>
      <w:spacing w:line="360" w:lineRule="auto"/>
    </w:pPr>
    <w:rPr>
      <w:rFonts w:ascii="宋体" w:hAnsi="宋体" w:eastAsia="宋体" w:cs="Times New Roman"/>
      <w:bCs/>
      <w:szCs w:val="21"/>
    </w:rPr>
  </w:style>
  <w:style w:type="paragraph" w:styleId="28">
    <w:name w:val="annotation subject"/>
    <w:basedOn w:val="10"/>
    <w:next w:val="10"/>
    <w:link w:val="44"/>
    <w:qFormat/>
    <w:uiPriority w:val="0"/>
    <w:rPr>
      <w:b/>
      <w:bCs/>
    </w:rPr>
  </w:style>
  <w:style w:type="table" w:styleId="30">
    <w:name w:val="Table Grid"/>
    <w:basedOn w:val="2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rPr>
  </w:style>
  <w:style w:type="character" w:styleId="33">
    <w:name w:val="page number"/>
    <w:qFormat/>
    <w:uiPriority w:val="0"/>
  </w:style>
  <w:style w:type="character" w:styleId="34">
    <w:name w:val="FollowedHyperlink"/>
    <w:qFormat/>
    <w:uiPriority w:val="0"/>
    <w:rPr>
      <w:color w:val="333333"/>
      <w:u w:val="none"/>
    </w:rPr>
  </w:style>
  <w:style w:type="character" w:styleId="35">
    <w:name w:val="Emphasis"/>
    <w:qFormat/>
    <w:uiPriority w:val="0"/>
    <w:rPr>
      <w:color w:val="CC0000"/>
      <w:sz w:val="24"/>
      <w:szCs w:val="24"/>
    </w:rPr>
  </w:style>
  <w:style w:type="character" w:styleId="36">
    <w:name w:val="Hyperlink"/>
    <w:qFormat/>
    <w:uiPriority w:val="99"/>
    <w:rPr>
      <w:color w:val="333333"/>
      <w:u w:val="none"/>
    </w:rPr>
  </w:style>
  <w:style w:type="character" w:styleId="37">
    <w:name w:val="annotation reference"/>
    <w:qFormat/>
    <w:uiPriority w:val="0"/>
    <w:rPr>
      <w:sz w:val="21"/>
      <w:szCs w:val="21"/>
    </w:rPr>
  </w:style>
  <w:style w:type="character" w:customStyle="1" w:styleId="38">
    <w:name w:val="标题 2 Char"/>
    <w:basedOn w:val="31"/>
    <w:link w:val="3"/>
    <w:qFormat/>
    <w:uiPriority w:val="0"/>
    <w:rPr>
      <w:rFonts w:ascii="Cambria" w:hAnsi="Cambria" w:eastAsia="宋体" w:cs="Times New Roman"/>
      <w:b/>
      <w:bCs/>
      <w:sz w:val="32"/>
      <w:szCs w:val="32"/>
    </w:rPr>
  </w:style>
  <w:style w:type="paragraph" w:customStyle="1" w:styleId="39">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40">
    <w:name w:val="标题 1 Char"/>
    <w:basedOn w:val="31"/>
    <w:link w:val="2"/>
    <w:qFormat/>
    <w:uiPriority w:val="0"/>
    <w:rPr>
      <w:rFonts w:ascii="Times New Roman" w:hAnsi="Times New Roman" w:eastAsia="宋体" w:cs="Times New Roman"/>
      <w:b/>
      <w:bCs/>
      <w:kern w:val="44"/>
      <w:sz w:val="44"/>
      <w:szCs w:val="44"/>
    </w:rPr>
  </w:style>
  <w:style w:type="character" w:customStyle="1" w:styleId="41">
    <w:name w:val="标题 3 Char"/>
    <w:basedOn w:val="31"/>
    <w:link w:val="4"/>
    <w:qFormat/>
    <w:uiPriority w:val="9"/>
    <w:rPr>
      <w:rFonts w:ascii="宋体" w:hAnsi="宋体" w:eastAsia="宋体" w:cs="Times New Roman"/>
      <w:b/>
      <w:bCs/>
      <w:kern w:val="0"/>
      <w:sz w:val="24"/>
      <w:szCs w:val="32"/>
    </w:rPr>
  </w:style>
  <w:style w:type="character" w:customStyle="1" w:styleId="42">
    <w:name w:val="标题 4 Char"/>
    <w:basedOn w:val="31"/>
    <w:link w:val="5"/>
    <w:qFormat/>
    <w:uiPriority w:val="0"/>
    <w:rPr>
      <w:rFonts w:ascii="Arial" w:hAnsi="Arial" w:eastAsia="黑体" w:cs="Times New Roman"/>
      <w:b/>
      <w:bCs/>
      <w:sz w:val="28"/>
      <w:szCs w:val="28"/>
    </w:rPr>
  </w:style>
  <w:style w:type="character" w:customStyle="1" w:styleId="43">
    <w:name w:val="标题 5 Char"/>
    <w:basedOn w:val="31"/>
    <w:link w:val="6"/>
    <w:qFormat/>
    <w:uiPriority w:val="0"/>
    <w:rPr>
      <w:rFonts w:ascii="Times New Roman" w:hAnsi="Times New Roman" w:eastAsia="宋体" w:cs="Times New Roman"/>
      <w:b/>
      <w:sz w:val="28"/>
      <w:szCs w:val="20"/>
    </w:rPr>
  </w:style>
  <w:style w:type="character" w:customStyle="1" w:styleId="44">
    <w:name w:val="批注主题 Char"/>
    <w:link w:val="28"/>
    <w:qFormat/>
    <w:uiPriority w:val="0"/>
    <w:rPr>
      <w:b/>
      <w:bCs/>
    </w:rPr>
  </w:style>
  <w:style w:type="character" w:customStyle="1" w:styleId="45">
    <w:name w:val="批注框文本 Char"/>
    <w:link w:val="18"/>
    <w:qFormat/>
    <w:uiPriority w:val="0"/>
    <w:rPr>
      <w:sz w:val="18"/>
      <w:szCs w:val="18"/>
    </w:rPr>
  </w:style>
  <w:style w:type="character" w:customStyle="1" w:styleId="46">
    <w:name w:val="纯文本 Char1"/>
    <w:semiHidden/>
    <w:qFormat/>
    <w:locked/>
    <w:uiPriority w:val="0"/>
    <w:rPr>
      <w:rFonts w:ascii="宋体" w:cs="Courier New"/>
      <w:kern w:val="2"/>
      <w:sz w:val="21"/>
      <w:szCs w:val="21"/>
    </w:rPr>
  </w:style>
  <w:style w:type="character" w:customStyle="1" w:styleId="47">
    <w:name w:val="hover3"/>
    <w:qFormat/>
    <w:uiPriority w:val="0"/>
    <w:rPr>
      <w:shd w:val="clear" w:color="auto" w:fill="9370DB"/>
    </w:rPr>
  </w:style>
  <w:style w:type="character" w:customStyle="1" w:styleId="48">
    <w:name w:val="Char Char17"/>
    <w:qFormat/>
    <w:uiPriority w:val="0"/>
    <w:rPr>
      <w:rFonts w:ascii="Arial" w:hAnsi="Arial" w:eastAsia="黑体" w:cs="Times New Roman"/>
      <w:szCs w:val="24"/>
    </w:rPr>
  </w:style>
  <w:style w:type="character" w:customStyle="1" w:styleId="49">
    <w:name w:val="纯文本 Char2"/>
    <w:qFormat/>
    <w:uiPriority w:val="0"/>
    <w:rPr>
      <w:rFonts w:ascii="宋体" w:hAnsi="Courier New" w:eastAsia="宋体"/>
      <w:kern w:val="2"/>
      <w:sz w:val="21"/>
      <w:lang w:val="en-US" w:eastAsia="zh-CN" w:bidi="ar-SA"/>
    </w:rPr>
  </w:style>
  <w:style w:type="character" w:customStyle="1" w:styleId="50">
    <w:name w:val="纯文本 Char"/>
    <w:link w:val="16"/>
    <w:qFormat/>
    <w:uiPriority w:val="0"/>
    <w:rPr>
      <w:rFonts w:ascii="宋体" w:cs="Courier New"/>
      <w:szCs w:val="21"/>
    </w:rPr>
  </w:style>
  <w:style w:type="character" w:customStyle="1" w:styleId="51">
    <w:name w:val="正文文本缩进 Char"/>
    <w:link w:val="13"/>
    <w:qFormat/>
    <w:uiPriority w:val="0"/>
  </w:style>
  <w:style w:type="character" w:customStyle="1" w:styleId="52">
    <w:name w:val="批注文字 Char"/>
    <w:qFormat/>
    <w:uiPriority w:val="0"/>
    <w:rPr>
      <w:kern w:val="2"/>
      <w:sz w:val="21"/>
      <w:szCs w:val="22"/>
    </w:rPr>
  </w:style>
  <w:style w:type="paragraph" w:customStyle="1" w:styleId="53">
    <w:name w:val="Normal_1"/>
    <w:qFormat/>
    <w:uiPriority w:val="0"/>
    <w:pPr>
      <w:jc w:val="both"/>
    </w:pPr>
    <w:rPr>
      <w:rFonts w:ascii="Times New Roman" w:hAnsi="Times New Roman" w:eastAsia="宋体" w:cs="Times New Roman"/>
      <w:kern w:val="2"/>
      <w:sz w:val="21"/>
      <w:szCs w:val="21"/>
      <w:lang w:val="en-US" w:eastAsia="zh-CN" w:bidi="ar-SA"/>
    </w:rPr>
  </w:style>
  <w:style w:type="paragraph" w:customStyle="1" w:styleId="5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标题 3_0_0"/>
    <w:basedOn w:val="56"/>
    <w:next w:val="56"/>
    <w:semiHidden/>
    <w:qFormat/>
    <w:uiPriority w:val="0"/>
    <w:pPr>
      <w:keepNext/>
      <w:keepLines/>
      <w:spacing w:before="260" w:after="260" w:line="410" w:lineRule="auto"/>
      <w:outlineLvl w:val="2"/>
    </w:pPr>
    <w:rPr>
      <w:b/>
      <w:bCs/>
      <w:kern w:val="0"/>
      <w:sz w:val="32"/>
      <w:szCs w:val="32"/>
    </w:rPr>
  </w:style>
  <w:style w:type="paragraph" w:customStyle="1" w:styleId="56">
    <w:name w:val="正文_2_0"/>
    <w:basedOn w:val="54"/>
    <w:qFormat/>
    <w:uiPriority w:val="0"/>
    <w:rPr>
      <w:rFonts w:cs="宋体"/>
      <w:szCs w:val="21"/>
    </w:rPr>
  </w:style>
  <w:style w:type="character" w:customStyle="1" w:styleId="57">
    <w:name w:val="批注文字 Char1"/>
    <w:basedOn w:val="31"/>
    <w:link w:val="10"/>
    <w:semiHidden/>
    <w:qFormat/>
    <w:uiPriority w:val="99"/>
  </w:style>
  <w:style w:type="character" w:customStyle="1" w:styleId="58">
    <w:name w:val="批注主题 Char1"/>
    <w:basedOn w:val="57"/>
    <w:semiHidden/>
    <w:qFormat/>
    <w:uiPriority w:val="99"/>
    <w:rPr>
      <w:b/>
      <w:bCs/>
    </w:rPr>
  </w:style>
  <w:style w:type="paragraph" w:customStyle="1" w:styleId="59">
    <w:name w:val="标题 2_0"/>
    <w:basedOn w:val="60"/>
    <w:next w:val="60"/>
    <w:unhideWhenUsed/>
    <w:qFormat/>
    <w:uiPriority w:val="9"/>
    <w:pPr>
      <w:keepNext/>
      <w:keepLines/>
      <w:spacing w:before="260" w:after="260" w:line="416" w:lineRule="auto"/>
      <w:outlineLvl w:val="1"/>
    </w:pPr>
    <w:rPr>
      <w:rFonts w:ascii="Cambria" w:hAnsi="Cambria"/>
      <w:b/>
      <w:bCs/>
      <w:sz w:val="32"/>
      <w:szCs w:val="32"/>
    </w:rPr>
  </w:style>
  <w:style w:type="paragraph" w:customStyle="1" w:styleId="6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标题 1_0"/>
    <w:basedOn w:val="54"/>
    <w:next w:val="54"/>
    <w:qFormat/>
    <w:uiPriority w:val="0"/>
    <w:pPr>
      <w:keepNext/>
      <w:keepLines/>
      <w:spacing w:line="360" w:lineRule="auto"/>
      <w:outlineLvl w:val="0"/>
    </w:pPr>
    <w:rPr>
      <w:rFonts w:ascii="Times New Roman" w:hAnsi="Times New Roman" w:eastAsia="黑体"/>
      <w:b/>
      <w:bCs/>
      <w:kern w:val="44"/>
      <w:sz w:val="32"/>
      <w:szCs w:val="44"/>
    </w:rPr>
  </w:style>
  <w:style w:type="paragraph" w:customStyle="1" w:styleId="62">
    <w:name w:val="_Style 2"/>
    <w:basedOn w:val="2"/>
    <w:next w:val="1"/>
    <w:qFormat/>
    <w:uiPriority w:val="0"/>
    <w:pPr>
      <w:outlineLvl w:val="9"/>
    </w:pPr>
  </w:style>
  <w:style w:type="paragraph" w:customStyle="1" w:styleId="63">
    <w:name w:val="_Style 4"/>
    <w:basedOn w:val="2"/>
    <w:next w:val="1"/>
    <w:qFormat/>
    <w:uiPriority w:val="39"/>
    <w:pPr>
      <w:outlineLvl w:val="9"/>
    </w:pPr>
  </w:style>
  <w:style w:type="paragraph" w:customStyle="1" w:styleId="64">
    <w:name w:val="标题 2_1"/>
    <w:basedOn w:val="54"/>
    <w:next w:val="54"/>
    <w:unhideWhenUsed/>
    <w:qFormat/>
    <w:uiPriority w:val="0"/>
    <w:pPr>
      <w:keepNext/>
      <w:keepLines/>
      <w:spacing w:before="260" w:after="260" w:line="416" w:lineRule="auto"/>
      <w:outlineLvl w:val="1"/>
    </w:pPr>
    <w:rPr>
      <w:rFonts w:ascii="Cambria" w:hAnsi="Cambria"/>
      <w:b/>
      <w:bCs/>
      <w:sz w:val="32"/>
      <w:szCs w:val="32"/>
    </w:rPr>
  </w:style>
  <w:style w:type="paragraph" w:customStyle="1" w:styleId="65">
    <w:name w:val="样式 标题 2 + 宋体"/>
    <w:basedOn w:val="3"/>
    <w:qFormat/>
    <w:uiPriority w:val="99"/>
    <w:pPr>
      <w:tabs>
        <w:tab w:val="left" w:pos="1021"/>
      </w:tabs>
    </w:pPr>
    <w:rPr>
      <w:rFonts w:ascii="宋体" w:hAnsi="宋体"/>
      <w:sz w:val="30"/>
    </w:rPr>
  </w:style>
  <w:style w:type="paragraph" w:customStyle="1" w:styleId="66">
    <w:name w:val="标题 3_0"/>
    <w:basedOn w:val="54"/>
    <w:next w:val="54"/>
    <w:unhideWhenUsed/>
    <w:qFormat/>
    <w:uiPriority w:val="0"/>
    <w:pPr>
      <w:keepNext/>
      <w:keepLines/>
      <w:spacing w:before="260" w:after="260" w:line="416" w:lineRule="auto"/>
      <w:outlineLvl w:val="2"/>
    </w:pPr>
    <w:rPr>
      <w:b/>
      <w:bCs/>
      <w:sz w:val="32"/>
      <w:szCs w:val="32"/>
    </w:rPr>
  </w:style>
  <w:style w:type="paragraph" w:customStyle="1" w:styleId="67">
    <w:name w:val="正文_2_1"/>
    <w:basedOn w:val="54"/>
    <w:qFormat/>
    <w:uiPriority w:val="0"/>
    <w:rPr>
      <w:rFonts w:cs="宋体"/>
      <w:szCs w:val="21"/>
    </w:rPr>
  </w:style>
  <w:style w:type="character" w:customStyle="1" w:styleId="68">
    <w:name w:val="页脚 Char"/>
    <w:basedOn w:val="31"/>
    <w:link w:val="19"/>
    <w:qFormat/>
    <w:uiPriority w:val="0"/>
    <w:rPr>
      <w:rFonts w:ascii="Times New Roman" w:hAnsi="Times New Roman" w:eastAsia="宋体" w:cs="Times New Roman"/>
      <w:sz w:val="18"/>
      <w:szCs w:val="18"/>
    </w:rPr>
  </w:style>
  <w:style w:type="character" w:customStyle="1" w:styleId="69">
    <w:name w:val="正文文本 Char"/>
    <w:basedOn w:val="31"/>
    <w:link w:val="11"/>
    <w:qFormat/>
    <w:uiPriority w:val="0"/>
    <w:rPr>
      <w:rFonts w:ascii="Times New Roman" w:hAnsi="Times New Roman" w:eastAsia="宋体" w:cs="Times New Roman"/>
      <w:kern w:val="0"/>
      <w:sz w:val="20"/>
      <w:szCs w:val="20"/>
    </w:rPr>
  </w:style>
  <w:style w:type="paragraph" w:customStyle="1" w:styleId="70">
    <w:name w:val="纯文本_0"/>
    <w:basedOn w:val="56"/>
    <w:semiHidden/>
    <w:qFormat/>
    <w:uiPriority w:val="0"/>
    <w:rPr>
      <w:rFonts w:ascii="宋体" w:hAnsi="Courier New"/>
      <w:kern w:val="0"/>
      <w:sz w:val="20"/>
      <w:szCs w:val="20"/>
    </w:rPr>
  </w:style>
  <w:style w:type="paragraph" w:customStyle="1" w:styleId="71">
    <w:name w:val="[基本段落]"/>
    <w:basedOn w:val="1"/>
    <w:qFormat/>
    <w:uiPriority w:val="99"/>
    <w:pPr>
      <w:autoSpaceDE w:val="0"/>
      <w:autoSpaceDN w:val="0"/>
      <w:adjustRightInd w:val="0"/>
      <w:spacing w:line="288" w:lineRule="auto"/>
      <w:textAlignment w:val="center"/>
    </w:pPr>
    <w:rPr>
      <w:rFonts w:ascii="Adobe 宋体 Std L" w:hAnsi="Times New Roman" w:eastAsia="Adobe 宋体 Std L" w:cs="Adobe 宋体 Std L"/>
      <w:color w:val="000000"/>
      <w:kern w:val="0"/>
      <w:sz w:val="24"/>
      <w:szCs w:val="24"/>
      <w:lang w:val="zh-CN"/>
    </w:rPr>
  </w:style>
  <w:style w:type="paragraph" w:customStyle="1" w:styleId="72">
    <w:name w:val="正文_1_0"/>
    <w:basedOn w:val="54"/>
    <w:qFormat/>
    <w:uiPriority w:val="0"/>
    <w:rPr>
      <w:rFonts w:ascii="Times New Roman" w:hAnsi="Times New Roman"/>
      <w:szCs w:val="21"/>
    </w:rPr>
  </w:style>
  <w:style w:type="character" w:customStyle="1" w:styleId="73">
    <w:name w:val="正文文本缩进 Char1"/>
    <w:basedOn w:val="31"/>
    <w:semiHidden/>
    <w:qFormat/>
    <w:uiPriority w:val="99"/>
  </w:style>
  <w:style w:type="paragraph" w:customStyle="1" w:styleId="74">
    <w:name w:val="Normal_0"/>
    <w:qFormat/>
    <w:uiPriority w:val="0"/>
    <w:pPr>
      <w:jc w:val="both"/>
    </w:pPr>
    <w:rPr>
      <w:rFonts w:ascii="Times New Roman" w:hAnsi="Times New Roman" w:eastAsia="宋体" w:cs="Times New Roman"/>
      <w:kern w:val="2"/>
      <w:sz w:val="21"/>
      <w:szCs w:val="21"/>
      <w:lang w:val="en-US" w:eastAsia="zh-CN" w:bidi="ar-SA"/>
    </w:rPr>
  </w:style>
  <w:style w:type="character" w:customStyle="1" w:styleId="75">
    <w:name w:val="批注框文本 Char1"/>
    <w:basedOn w:val="31"/>
    <w:semiHidden/>
    <w:qFormat/>
    <w:uiPriority w:val="99"/>
    <w:rPr>
      <w:sz w:val="18"/>
      <w:szCs w:val="18"/>
    </w:rPr>
  </w:style>
  <w:style w:type="character" w:customStyle="1" w:styleId="76">
    <w:name w:val="纯文本 Char3"/>
    <w:basedOn w:val="31"/>
    <w:semiHidden/>
    <w:qFormat/>
    <w:uiPriority w:val="99"/>
    <w:rPr>
      <w:rFonts w:ascii="宋体" w:hAnsi="Courier New" w:eastAsia="宋体" w:cs="Courier New"/>
      <w:szCs w:val="21"/>
    </w:rPr>
  </w:style>
  <w:style w:type="paragraph" w:customStyle="1" w:styleId="77">
    <w:name w:val="_Style 10"/>
    <w:basedOn w:val="2"/>
    <w:next w:val="1"/>
    <w:qFormat/>
    <w:uiPriority w:val="39"/>
    <w:pPr>
      <w:widowControl/>
      <w:tabs>
        <w:tab w:val="left" w:pos="420"/>
      </w:tabs>
      <w:spacing w:before="480" w:after="0" w:line="276" w:lineRule="auto"/>
      <w:ind w:left="420" w:hanging="420"/>
      <w:jc w:val="left"/>
      <w:outlineLvl w:val="9"/>
    </w:pPr>
    <w:rPr>
      <w:rFonts w:ascii="Cambria" w:hAnsi="Cambria"/>
      <w:color w:val="365F91"/>
      <w:kern w:val="0"/>
      <w:sz w:val="28"/>
      <w:szCs w:val="28"/>
    </w:rPr>
  </w:style>
  <w:style w:type="character" w:customStyle="1" w:styleId="78">
    <w:name w:val="页眉 Char"/>
    <w:basedOn w:val="31"/>
    <w:link w:val="20"/>
    <w:qFormat/>
    <w:uiPriority w:val="0"/>
    <w:rPr>
      <w:rFonts w:ascii="Times New Roman" w:hAnsi="Times New Roman" w:eastAsia="宋体" w:cs="Times New Roman"/>
      <w:sz w:val="18"/>
      <w:szCs w:val="18"/>
    </w:rPr>
  </w:style>
  <w:style w:type="paragraph" w:customStyle="1" w:styleId="79">
    <w:name w:val="List Paragraph1"/>
    <w:basedOn w:val="1"/>
    <w:qFormat/>
    <w:uiPriority w:val="0"/>
    <w:pPr>
      <w:widowControl/>
      <w:spacing w:after="200" w:line="276" w:lineRule="auto"/>
      <w:ind w:left="720"/>
      <w:jc w:val="left"/>
    </w:pPr>
    <w:rPr>
      <w:rFonts w:ascii="Calibri" w:hAnsi="Calibri" w:eastAsia="宋体" w:cs="Times New Roman"/>
      <w:kern w:val="0"/>
      <w:sz w:val="22"/>
    </w:rPr>
  </w:style>
  <w:style w:type="paragraph" w:styleId="8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wmf"/><Relationship Id="rId21" Type="http://schemas.openxmlformats.org/officeDocument/2006/relationships/oleObject" Target="embeddings/oleObject5.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wmf"/><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152</Pages>
  <Words>180</Words>
  <Characters>187</Characters>
  <Lines>764</Lines>
  <Paragraphs>215</Paragraphs>
  <TotalTime>11</TotalTime>
  <ScaleCrop>false</ScaleCrop>
  <LinksUpToDate>false</LinksUpToDate>
  <CharactersWithSpaces>202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2024-02-18T10:51:00Z</dcterms:created>
  <dc:creator>PC</dc:creator>
  <cp:lastModifiedBy>Administrator</cp:lastModifiedBy>
  <cp:lastPrinted>2024-08-22T11:57:00Z</cp:lastPrinted>
  <dcterms:modified xsi:type="dcterms:W3CDTF">2026-08-19T12:32:28Z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A887CDF6E502409C91492F580FE73F7C_13</vt:lpwstr>
  </property>
  <property fmtid="{D5CDD505-2E9C-101B-9397-08002B2CF9AE}" pid="4" name="KSOTemplateDocerSaveRecord">
    <vt:lpwstr>eyJoZGlkIjoiNTA1MDBmN2M5NjdiZDk3MTk3ZGU1YzFmN2FiY2M5OTIiLCJ1c2VySWQiOiIxNDE4MTk4MTMyIn0=</vt:lpwstr>
  </property>
</Properties>
</file>